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Grams Blake 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VP, Global Operations</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243"/>
              <w:spacing w:after="0"/>
              <w:rPr>
                <w:sz w:val="20"/>
                <w:szCs w:val="20"/>
                <w:color w:val="auto"/>
              </w:rPr>
            </w:pPr>
            <w:r>
              <w:rPr>
                <w:rFonts w:ascii="Times New Roman" w:cs="Times New Roman" w:eastAsia="Times New Roman" w:hAnsi="Times New Roman"/>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2" w:lineRule="exact"/>
              <w:rPr>
                <w:sz w:val="20"/>
                <w:szCs w:val="20"/>
                <w:color w:val="auto"/>
              </w:rPr>
            </w:pPr>
            <w:r>
              <w:rPr>
                <w:rFonts w:ascii="Arial" w:cs="Arial" w:eastAsia="Arial" w:hAnsi="Arial"/>
                <w:sz w:val="8"/>
                <w:szCs w:val="8"/>
                <w:b w:val="1"/>
                <w:bCs w:val="1"/>
                <w:color w:val="auto"/>
              </w:rPr>
              <w:t>Reported</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09/08/2020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1,659</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80.409</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7"/>
              <w:spacing w:after="0"/>
              <w:rPr>
                <w:sz w:val="20"/>
                <w:szCs w:val="20"/>
                <w:color w:val="auto"/>
              </w:rPr>
            </w:pPr>
            <w:r>
              <w:rPr>
                <w:rFonts w:ascii="Times New Roman" w:cs="Times New Roman" w:eastAsia="Times New Roman" w:hAnsi="Times New Roman"/>
                <w:sz w:val="17"/>
                <w:szCs w:val="17"/>
                <w:color w:val="0000FF"/>
              </w:rPr>
              <w:t>0</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197.821</w:t>
            </w:r>
            <w:r>
              <w:rPr>
                <w:rFonts w:ascii="Times New Roman" w:cs="Times New Roman" w:eastAsia="Times New Roman" w:hAnsi="Times New Roman"/>
                <w:sz w:val="22"/>
                <w:szCs w:val="22"/>
                <w:color w:val="008000"/>
                <w:w w:val="96"/>
                <w:vertAlign w:val="superscript"/>
              </w:rPr>
              <w:t>(2)</w:t>
            </w:r>
          </w:p>
        </w:tc>
        <w:tc>
          <w:tcPr>
            <w:tcW w:w="320" w:type="dxa"/>
            <w:vAlign w:val="bottom"/>
          </w:tcPr>
          <w:p>
            <w:pPr>
              <w:spacing w:after="0"/>
              <w:rPr>
                <w:sz w:val="18"/>
                <w:szCs w:val="18"/>
                <w:color w:val="auto"/>
              </w:rPr>
            </w:pPr>
          </w:p>
        </w:tc>
        <w:tc>
          <w:tcPr>
            <w:tcW w:w="50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36,038.48</w:t>
            </w:r>
            <w:r>
              <w:rPr>
                <w:rFonts w:ascii="Times New Roman" w:cs="Times New Roman" w:eastAsia="Times New Roman" w:hAnsi="Times New Roman"/>
                <w:sz w:val="22"/>
                <w:szCs w:val="22"/>
                <w:color w:val="008000"/>
                <w:w w:val="96"/>
                <w:vertAlign w:val="superscript"/>
              </w:rPr>
              <w:t>(3)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12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$80.400 to $80.411,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2.032 net shares acquired by the reporting person since the date of his last report under the dividend reinvestment feature of The Toro Company Retirement Plan less non-discretionary quarterly administrative fees.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385.270 performance share units acquired by the reporting person since the date of his last report under the dividend reinvestment feature of The Toro Company Deferred Compensation Plan for Officers.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09/10/2020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088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2020-09-10T16:13:45Z</dcterms:created>
  <dcterms:modified xsi:type="dcterms:W3CDTF">2020-09-10T16:13:45Z</dcterms:modified>
</cp:coreProperties>
</file>