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March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179705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2800" w:type="dxa"/>
            <w:vAlign w:val="bottom"/>
          </w:tcPr>
          <w:p>
            <w:pPr>
              <w:jc w:val="center"/>
              <w:ind w:right="70"/>
              <w:spacing w:after="0"/>
              <w:rPr>
                <w:sz w:val="20"/>
                <w:szCs w:val="20"/>
                <w:color w:val="auto"/>
              </w:rPr>
            </w:pPr>
            <w:r>
              <w:rPr>
                <w:rFonts w:ascii="Arial" w:cs="Arial" w:eastAsia="Arial" w:hAnsi="Arial"/>
                <w:sz w:val="20"/>
                <w:szCs w:val="20"/>
                <w:b w:val="1"/>
                <w:bCs w:val="1"/>
                <w:color w:val="auto"/>
                <w:w w:val="91"/>
              </w:rPr>
              <w:t>Delaware</w:t>
            </w:r>
          </w:p>
        </w:tc>
        <w:tc>
          <w:tcPr>
            <w:tcW w:w="47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2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70"/>
              <w:spacing w:after="0"/>
              <w:rPr>
                <w:sz w:val="20"/>
                <w:szCs w:val="20"/>
                <w:color w:val="auto"/>
              </w:rPr>
            </w:pPr>
            <w:r>
              <w:rPr>
                <w:rFonts w:ascii="Arial" w:cs="Arial" w:eastAsia="Arial" w:hAnsi="Arial"/>
                <w:sz w:val="16"/>
                <w:szCs w:val="16"/>
                <w:color w:val="auto"/>
                <w:w w:val="92"/>
              </w:rPr>
              <w:t>(State or Other Jurisdiction</w:t>
            </w:r>
          </w:p>
        </w:tc>
        <w:tc>
          <w:tcPr>
            <w:tcW w:w="4720" w:type="dxa"/>
            <w:vAlign w:val="bottom"/>
          </w:tcPr>
          <w:p>
            <w:pPr>
              <w:jc w:val="center"/>
              <w:spacing w:after="0"/>
              <w:rPr>
                <w:sz w:val="20"/>
                <w:szCs w:val="20"/>
                <w:color w:val="auto"/>
              </w:rPr>
            </w:pPr>
            <w:r>
              <w:rPr>
                <w:rFonts w:ascii="Arial" w:cs="Arial" w:eastAsia="Arial" w:hAnsi="Arial"/>
                <w:sz w:val="16"/>
                <w:szCs w:val="16"/>
                <w:color w:val="auto"/>
                <w:w w:val="94"/>
              </w:rPr>
              <w:t>(Commission File Number)</w:t>
            </w:r>
          </w:p>
        </w:tc>
        <w:tc>
          <w:tcPr>
            <w:tcW w:w="2520" w:type="dxa"/>
            <w:vAlign w:val="bottom"/>
          </w:tcPr>
          <w:p>
            <w:pPr>
              <w:jc w:val="center"/>
              <w:ind w:left="19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90"/>
              <w:spacing w:after="0"/>
              <w:rPr>
                <w:sz w:val="20"/>
                <w:szCs w:val="20"/>
                <w:color w:val="auto"/>
              </w:rPr>
            </w:pPr>
            <w:r>
              <w:rPr>
                <w:rFonts w:ascii="Arial" w:cs="Arial" w:eastAsia="Arial" w:hAnsi="Arial"/>
                <w:sz w:val="16"/>
                <w:szCs w:val="16"/>
                <w:color w:val="auto"/>
                <w:w w:val="94"/>
              </w:rPr>
              <w:t>of Incorporation)</w:t>
            </w:r>
          </w:p>
        </w:tc>
        <w:tc>
          <w:tcPr>
            <w:tcW w:w="47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29"/>
        </w:trPr>
        <w:tc>
          <w:tcPr>
            <w:tcW w:w="2800" w:type="dxa"/>
            <w:vAlign w:val="bottom"/>
          </w:tcPr>
          <w:p>
            <w:pPr>
              <w:jc w:val="center"/>
              <w:ind w:right="70"/>
              <w:spacing w:after="0"/>
              <w:rPr>
                <w:sz w:val="20"/>
                <w:szCs w:val="20"/>
                <w:color w:val="auto"/>
              </w:rPr>
            </w:pPr>
            <w:r>
              <w:rPr>
                <w:rFonts w:ascii="Arial" w:cs="Arial" w:eastAsia="Arial" w:hAnsi="Arial"/>
                <w:sz w:val="20"/>
                <w:szCs w:val="20"/>
                <w:b w:val="1"/>
                <w:bCs w:val="1"/>
                <w:color w:val="auto"/>
                <w:w w:val="87"/>
              </w:rPr>
              <w:t>8111 Lyndale Avenue South</w:t>
            </w:r>
          </w:p>
        </w:tc>
        <w:tc>
          <w:tcPr>
            <w:tcW w:w="47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3"/>
        </w:trPr>
        <w:tc>
          <w:tcPr>
            <w:tcW w:w="2800" w:type="dxa"/>
            <w:vAlign w:val="bottom"/>
          </w:tcPr>
          <w:p>
            <w:pPr>
              <w:jc w:val="center"/>
              <w:ind w:right="70"/>
              <w:spacing w:after="0"/>
              <w:rPr>
                <w:sz w:val="20"/>
                <w:szCs w:val="20"/>
                <w:color w:val="auto"/>
              </w:rPr>
            </w:pPr>
            <w:r>
              <w:rPr>
                <w:rFonts w:ascii="Arial" w:cs="Arial" w:eastAsia="Arial" w:hAnsi="Arial"/>
                <w:sz w:val="20"/>
                <w:szCs w:val="20"/>
                <w:b w:val="1"/>
                <w:bCs w:val="1"/>
                <w:color w:val="auto"/>
                <w:w w:val="89"/>
              </w:rPr>
              <w:t>Bloomington, Minnesota</w:t>
            </w:r>
          </w:p>
        </w:tc>
        <w:tc>
          <w:tcPr>
            <w:tcW w:w="4720" w:type="dxa"/>
            <w:vAlign w:val="bottom"/>
          </w:tcPr>
          <w:p>
            <w:pPr>
              <w:spacing w:after="0"/>
              <w:rPr>
                <w:sz w:val="21"/>
                <w:szCs w:val="21"/>
                <w:color w:val="auto"/>
              </w:rPr>
            </w:pPr>
          </w:p>
        </w:tc>
        <w:tc>
          <w:tcPr>
            <w:tcW w:w="252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70"/>
              <w:spacing w:after="0"/>
              <w:rPr>
                <w:sz w:val="20"/>
                <w:szCs w:val="20"/>
                <w:color w:val="auto"/>
              </w:rPr>
            </w:pPr>
            <w:r>
              <w:rPr>
                <w:rFonts w:ascii="Arial" w:cs="Arial" w:eastAsia="Arial" w:hAnsi="Arial"/>
                <w:sz w:val="16"/>
                <w:szCs w:val="16"/>
                <w:color w:val="auto"/>
                <w:w w:val="93"/>
              </w:rPr>
              <w:t>(Address of Principal Executive Offices)</w:t>
            </w:r>
          </w:p>
        </w:tc>
        <w:tc>
          <w:tcPr>
            <w:tcW w:w="4720" w:type="dxa"/>
            <w:vAlign w:val="bottom"/>
          </w:tcPr>
          <w:p>
            <w:pPr>
              <w:spacing w:after="0"/>
              <w:rPr>
                <w:sz w:val="17"/>
                <w:szCs w:val="17"/>
                <w:color w:val="auto"/>
              </w:rPr>
            </w:pPr>
          </w:p>
        </w:tc>
        <w:tc>
          <w:tcPr>
            <w:tcW w:w="2520" w:type="dxa"/>
            <w:vAlign w:val="bottom"/>
          </w:tcPr>
          <w:p>
            <w:pPr>
              <w:jc w:val="center"/>
              <w:ind w:left="190"/>
              <w:spacing w:after="0"/>
              <w:rPr>
                <w:sz w:val="20"/>
                <w:szCs w:val="20"/>
                <w:color w:val="auto"/>
              </w:rPr>
            </w:pPr>
            <w:r>
              <w:rPr>
                <w:rFonts w:ascii="Arial" w:cs="Arial" w:eastAsia="Arial" w:hAnsi="Arial"/>
                <w:sz w:val="16"/>
                <w:szCs w:val="16"/>
                <w:color w:val="auto"/>
                <w:w w:val="95"/>
              </w:rPr>
              <w:t>(Zip Code)</w:t>
            </w:r>
          </w:p>
        </w:tc>
      </w:tr>
      <w:tr>
        <w:trPr>
          <w:trHeight w:val="383"/>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2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720" w:type="dxa"/>
            <w:vAlign w:val="bottom"/>
          </w:tcPr>
          <w:p>
            <w:pPr>
              <w:jc w:val="center"/>
              <w:ind w:right="8"/>
              <w:spacing w:after="0"/>
              <w:rPr>
                <w:sz w:val="20"/>
                <w:szCs w:val="20"/>
                <w:color w:val="auto"/>
              </w:rPr>
            </w:pPr>
            <w:r>
              <w:rPr>
                <w:rFonts w:ascii="Arial" w:cs="Arial" w:eastAsia="Arial" w:hAnsi="Arial"/>
                <w:sz w:val="18"/>
                <w:szCs w:val="18"/>
                <w:color w:val="auto"/>
                <w:w w:val="91"/>
              </w:rPr>
              <w:t>Registrant’s Telephone Number, Including Area Code:</w:t>
            </w:r>
          </w:p>
        </w:tc>
        <w:tc>
          <w:tcPr>
            <w:tcW w:w="2520" w:type="dxa"/>
            <w:vAlign w:val="bottom"/>
          </w:tcPr>
          <w:p>
            <w:pPr>
              <w:spacing w:after="0"/>
              <w:rPr>
                <w:sz w:val="20"/>
                <w:szCs w:val="20"/>
                <w:color w:val="auto"/>
              </w:rPr>
            </w:pPr>
          </w:p>
        </w:tc>
      </w:tr>
      <w:tr>
        <w:trPr>
          <w:trHeight w:val="382"/>
        </w:trPr>
        <w:tc>
          <w:tcPr>
            <w:tcW w:w="2800" w:type="dxa"/>
            <w:vAlign w:val="bottom"/>
          </w:tcPr>
          <w:p>
            <w:pPr>
              <w:spacing w:after="0"/>
              <w:rPr>
                <w:sz w:val="24"/>
                <w:szCs w:val="24"/>
                <w:color w:val="auto"/>
              </w:rPr>
            </w:pPr>
          </w:p>
        </w:tc>
        <w:tc>
          <w:tcPr>
            <w:tcW w:w="4720" w:type="dxa"/>
            <w:vAlign w:val="bottom"/>
          </w:tcPr>
          <w:p>
            <w:pPr>
              <w:jc w:val="center"/>
              <w:ind w:right="8"/>
              <w:spacing w:after="0"/>
              <w:rPr>
                <w:sz w:val="20"/>
                <w:szCs w:val="20"/>
                <w:color w:val="auto"/>
              </w:rPr>
            </w:pPr>
            <w:r>
              <w:rPr>
                <w:rFonts w:ascii="Arial" w:cs="Arial" w:eastAsia="Arial" w:hAnsi="Arial"/>
                <w:sz w:val="20"/>
                <w:szCs w:val="20"/>
                <w:b w:val="1"/>
                <w:bCs w:val="1"/>
                <w:color w:val="auto"/>
                <w:w w:val="89"/>
              </w:rPr>
              <w:t>Not Applicable</w:t>
            </w:r>
          </w:p>
        </w:tc>
        <w:tc>
          <w:tcPr>
            <w:tcW w:w="2520" w:type="dxa"/>
            <w:vAlign w:val="bottom"/>
          </w:tcPr>
          <w:p>
            <w:pPr>
              <w:spacing w:after="0"/>
              <w:rPr>
                <w:sz w:val="24"/>
                <w:szCs w:val="24"/>
                <w:color w:val="auto"/>
              </w:rPr>
            </w:pPr>
          </w:p>
        </w:tc>
      </w:tr>
      <w:tr>
        <w:trPr>
          <w:trHeight w:val="206"/>
        </w:trPr>
        <w:tc>
          <w:tcPr>
            <w:tcW w:w="2800" w:type="dxa"/>
            <w:vAlign w:val="bottom"/>
          </w:tcPr>
          <w:p>
            <w:pPr>
              <w:spacing w:after="0"/>
              <w:rPr>
                <w:sz w:val="17"/>
                <w:szCs w:val="17"/>
                <w:color w:val="auto"/>
              </w:rPr>
            </w:pPr>
          </w:p>
        </w:tc>
        <w:tc>
          <w:tcPr>
            <w:tcW w:w="4720" w:type="dxa"/>
            <w:vAlign w:val="bottom"/>
          </w:tcPr>
          <w:p>
            <w:pPr>
              <w:jc w:val="center"/>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25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158115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721360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1—Registrant’s Business and Operations</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5"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8"/>
          <w:szCs w:val="18"/>
          <w:color w:val="auto"/>
        </w:rPr>
        <w:t>On March 19, 2019, The Toro Company (“Toro”) entered into a term loan credit agreement (the “Term Loan Credit Agreement”) with certain lenders, Bank of America, N.A., as administrative agent, (the “Administrative Agent”), and JPMorgan Chase Bank, N.A. and Wells Fargo Bank, National Association, as syndication agents (together, the “Syndication Agents”). The Term Loan Credit Agreement provides for an aggregate credit commitment of up to $500 million to Toro consisting of: (a) a three-year unsecured term loan credit facility up to an aggregate principal amount of $200 million (the “Three-Year Facility”) and (b) a five-year unsecured term loan credit facility up to an aggregate principal amount of $300 million (the “Five-Year Facility” and, collectively with the Three-Year Facility, the “Facilities”).</w:t>
      </w:r>
    </w:p>
    <w:p>
      <w:pPr>
        <w:spacing w:after="0" w:line="179"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0"/>
          <w:szCs w:val="20"/>
          <w:color w:val="auto"/>
        </w:rPr>
        <w:t>Subject to customary closing conditions, funds are available under the Term Loan Credit Agreement (a) to finance Toro’s acquisition of The Charles Machine Works, Inc. and its subsidiaries, including the payment of costs, fees and expenses related to such acquisition and (b) for general corporate purposes. Loans under the Facilities are available in U.S. Dollars.</w:t>
      </w:r>
    </w:p>
    <w:p>
      <w:pPr>
        <w:spacing w:after="0" w:line="200"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8"/>
          <w:szCs w:val="18"/>
          <w:color w:val="auto"/>
        </w:rPr>
        <w:t>In addition to certain initial fees payable to the Administrative Agent, the Syndication Agents and their respective affiliates, Toro is obligated to pay (a) an administrative agency fee to the Administrative Agent annually in advance and (b) beginning 90 days after the execution of the Term Loan Credit Agreement, provided that Toro has not requested that the lenders fund the loans under the Facilities, a ticking fee based on the daily average of undrawn commitments under the Facilities, which is payable to the lenders on the earlier of (i) the date the loans under the Facilities are funded and (ii) the termination or expiration of the commitments. At the option of Toro, any loan under the Facilities will bear interest at a variable rate generally based on LIBOR or an alternative variable rate based on the highest of the Bank of America prime rate, the federal funds rate or a rate generally based on LIBOR, in each case depending on the leverage ratio (as measured quarterly and defined as the ratio of (a) total indebtedness to (b) consolidated EBIT (earnings before interest and taxes) plus depreciation and amortization expense) and debt rating of Toro, each as identified in the Term Loan Credit Agreement. Interest is payable quarterly in arrears. Beginning with the last business day of the thirteenth (13th) calendar quarter ending after the loans under the Facilities are funded, Toro will make quarterly amortization payments on the Five-Year Facility equal to 2.50% of the aggregate principal amount of the loans funded under such Facility.</w:t>
      </w:r>
    </w:p>
    <w:p>
      <w:pPr>
        <w:spacing w:after="0" w:line="184"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8"/>
          <w:szCs w:val="18"/>
          <w:color w:val="auto"/>
        </w:rPr>
        <w:t>The Term Loan Credit Agreement contains customary covenants regarding Toro and its subsidiaries, including, without limitation: financial covenants, such as the maintenance of minimum interest coverage and maximum leverage ratios; and negative covenants, which, among other things, limit dividends, disposition of assets, consolidations and mergers, liens and other matters customarily restricted in such agreements. Most of these restrictions are subject to certain minimum thresholds and exceptions. The Term Loan Credit Agreement also contains customary events of default, including, without limitation, payment defaults, material inaccuracy of representations and warranties, covenant defaults, bankruptcy and insolvency proceedings, cross-defaults to certain other agreements, and change of control.</w:t>
      </w:r>
    </w:p>
    <w:p>
      <w:pPr>
        <w:spacing w:after="0" w:line="179" w:lineRule="exact"/>
        <w:rPr>
          <w:sz w:val="20"/>
          <w:szCs w:val="20"/>
          <w:color w:val="auto"/>
        </w:rPr>
      </w:pPr>
    </w:p>
    <w:p>
      <w:pPr>
        <w:jc w:val="both"/>
        <w:ind w:firstLine="761"/>
        <w:spacing w:after="0" w:line="278" w:lineRule="auto"/>
        <w:rPr>
          <w:sz w:val="20"/>
          <w:szCs w:val="20"/>
          <w:color w:val="auto"/>
        </w:rPr>
      </w:pPr>
      <w:r>
        <w:rPr>
          <w:rFonts w:ascii="Arial" w:cs="Arial" w:eastAsia="Arial" w:hAnsi="Arial"/>
          <w:sz w:val="18"/>
          <w:szCs w:val="18"/>
          <w:color w:val="auto"/>
        </w:rPr>
        <w:t>Bank of America Merrill Lynch, JPMorgan Chase Bank, N.A., and Wells Fargo Securities, LLC served as joint lead arrangers and joint bookrunners for the Facilities, for which they each received customary compensation. In addition, the Administrative Agent, the Syndication Agents and certain of the other lenders and their respective affiliates have in the past performed, and may in the future from time to time perform, investment banking, financial advisory, lending and/or commercial banking services for Toro and its subsidiaries, for which service they have in the past received, and may in the future receive, customary compensation and reimbursement of expenses.</w:t>
      </w:r>
    </w:p>
    <w:p>
      <w:pPr>
        <w:spacing w:after="0" w:line="179"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0"/>
          <w:szCs w:val="20"/>
          <w:color w:val="auto"/>
        </w:rPr>
        <w:t>The foregoing description of the Term Loan Credit Agreement is a summary of the material terms of such agreement, does not purport to be complete and is qualified in its entirety by reference to the complete text of the agreement, a copy of which is filed as Exhibit 10.1 to this Current Report on Form 8-K and is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2—Financial Information</w:t>
      </w:r>
    </w:p>
    <w:p>
      <w:pPr>
        <w:spacing w:after="0" w:line="229"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235" w:lineRule="exact"/>
        <w:rPr>
          <w:sz w:val="20"/>
          <w:szCs w:val="20"/>
          <w:color w:val="auto"/>
        </w:rPr>
      </w:pPr>
    </w:p>
    <w:p>
      <w:pPr>
        <w:ind w:right="840" w:firstLine="761"/>
        <w:spacing w:after="0" w:line="260" w:lineRule="auto"/>
        <w:rPr>
          <w:sz w:val="20"/>
          <w:szCs w:val="20"/>
          <w:color w:val="auto"/>
        </w:rPr>
      </w:pPr>
      <w:r>
        <w:rPr>
          <w:rFonts w:ascii="Arial" w:cs="Arial" w:eastAsia="Arial" w:hAnsi="Arial"/>
          <w:sz w:val="20"/>
          <w:szCs w:val="20"/>
          <w:color w:val="auto"/>
        </w:rPr>
        <w:t>The information described above under “Section 1 – Registrant’s Business and Operations – Item 1.01 Entry into a Material Definitive Agreement”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5—Corporate Governance and Management</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ind w:right="500" w:firstLine="761"/>
        <w:spacing w:after="0" w:line="260" w:lineRule="auto"/>
        <w:rPr>
          <w:sz w:val="20"/>
          <w:szCs w:val="20"/>
          <w:color w:val="auto"/>
        </w:rPr>
      </w:pPr>
      <w:r>
        <w:rPr>
          <w:rFonts w:ascii="Arial" w:cs="Arial" w:eastAsia="Arial" w:hAnsi="Arial"/>
          <w:sz w:val="20"/>
          <w:szCs w:val="20"/>
          <w:color w:val="auto"/>
        </w:rPr>
        <w:t>Toro held its 2019 Annual Meeting of Shareholders on March 19, 2019. The final results of the shareholder vote on the business brought before the meeting were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20"/>
                <w:szCs w:val="20"/>
                <w:color w:val="auto"/>
                <w:w w:val="94"/>
              </w:rPr>
              <w:t>Against/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41"/>
              <w:spacing w:after="0"/>
              <w:rPr>
                <w:sz w:val="20"/>
                <w:szCs w:val="20"/>
                <w:color w:val="auto"/>
              </w:rPr>
            </w:pPr>
            <w:r>
              <w:rPr>
                <w:rFonts w:ascii="Arial" w:cs="Arial" w:eastAsia="Arial" w:hAnsi="Arial"/>
                <w:sz w:val="20"/>
                <w:szCs w:val="20"/>
                <w:color w:val="auto"/>
              </w:rPr>
              <w:t>Broker</w:t>
            </w: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20"/>
                <w:szCs w:val="20"/>
                <w:color w:val="auto"/>
              </w:rPr>
              <w:t>For</w:t>
            </w:r>
          </w:p>
        </w:tc>
        <w:tc>
          <w:tcPr>
            <w:tcW w:w="114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Withheld</w:t>
            </w:r>
          </w:p>
        </w:tc>
        <w:tc>
          <w:tcPr>
            <w:tcW w:w="1260" w:type="dxa"/>
            <w:vAlign w:val="bottom"/>
            <w:gridSpan w:val="2"/>
          </w:tcPr>
          <w:p>
            <w:pPr>
              <w:ind w:left="220"/>
              <w:spacing w:after="0"/>
              <w:rPr>
                <w:sz w:val="20"/>
                <w:szCs w:val="20"/>
                <w:color w:val="auto"/>
              </w:rPr>
            </w:pPr>
            <w:r>
              <w:rPr>
                <w:rFonts w:ascii="Arial" w:cs="Arial" w:eastAsia="Arial" w:hAnsi="Arial"/>
                <w:sz w:val="20"/>
                <w:szCs w:val="20"/>
                <w:color w:val="auto"/>
              </w:rPr>
              <w:t>Abstain</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w w:val="97"/>
              </w:rPr>
              <w:t>Non-Votes</w:t>
            </w:r>
          </w:p>
        </w:tc>
        <w:tc>
          <w:tcPr>
            <w:tcW w:w="0" w:type="dxa"/>
            <w:vAlign w:val="bottom"/>
          </w:tcPr>
          <w:p>
            <w:pPr>
              <w:spacing w:after="0"/>
              <w:rPr>
                <w:sz w:val="1"/>
                <w:szCs w:val="1"/>
                <w:color w:val="auto"/>
              </w:rPr>
            </w:pPr>
          </w:p>
        </w:tc>
      </w:tr>
      <w:tr>
        <w:trPr>
          <w:trHeight w:val="214"/>
        </w:trPr>
        <w:tc>
          <w:tcPr>
            <w:tcW w:w="4980" w:type="dxa"/>
            <w:vAlign w:val="bottom"/>
          </w:tcPr>
          <w:p>
            <w:pPr>
              <w:spacing w:after="0" w:line="214" w:lineRule="exact"/>
              <w:rPr>
                <w:sz w:val="20"/>
                <w:szCs w:val="20"/>
                <w:color w:val="auto"/>
              </w:rPr>
            </w:pPr>
            <w:r>
              <w:rPr>
                <w:rFonts w:ascii="Arial" w:cs="Arial" w:eastAsia="Arial" w:hAnsi="Arial"/>
                <w:sz w:val="20"/>
                <w:szCs w:val="20"/>
                <w:b w:val="1"/>
                <w:bCs w:val="1"/>
                <w:color w:val="auto"/>
                <w:w w:val="94"/>
              </w:rPr>
              <w:t>Proposal One—Election of four directors, each to serve</w:t>
            </w: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20"/>
                <w:szCs w:val="20"/>
                <w:b w:val="1"/>
                <w:bCs w:val="1"/>
                <w:color w:val="auto"/>
              </w:rPr>
              <w:t>for a term of three years ending at Toro’s 2022</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80" w:type="dxa"/>
            <w:vAlign w:val="bottom"/>
          </w:tcPr>
          <w:p>
            <w:pPr>
              <w:ind w:left="300"/>
              <w:spacing w:after="0"/>
              <w:rPr>
                <w:sz w:val="20"/>
                <w:szCs w:val="20"/>
                <w:color w:val="auto"/>
              </w:rPr>
            </w:pPr>
            <w:r>
              <w:rPr>
                <w:rFonts w:ascii="Arial" w:cs="Arial" w:eastAsia="Arial" w:hAnsi="Arial"/>
                <w:sz w:val="20"/>
                <w:szCs w:val="20"/>
                <w:b w:val="1"/>
                <w:bCs w:val="1"/>
                <w:color w:val="auto"/>
              </w:rPr>
              <w:t>Annual Meeting of Shareholders</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980" w:type="dxa"/>
            <w:vAlign w:val="bottom"/>
          </w:tcPr>
          <w:p>
            <w:pPr>
              <w:ind w:left="300"/>
              <w:spacing w:after="0"/>
              <w:rPr>
                <w:sz w:val="20"/>
                <w:szCs w:val="20"/>
                <w:color w:val="auto"/>
              </w:rPr>
            </w:pPr>
            <w:r>
              <w:rPr>
                <w:rFonts w:ascii="Arial" w:cs="Arial" w:eastAsia="Arial" w:hAnsi="Arial"/>
                <w:sz w:val="20"/>
                <w:szCs w:val="20"/>
                <w:color w:val="auto"/>
              </w:rPr>
              <w:t>Jeffrey L. Harmening</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87,361,123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303,141</w:t>
            </w:r>
          </w:p>
        </w:tc>
        <w:tc>
          <w:tcPr>
            <w:tcW w:w="2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9,800,650</w:t>
            </w:r>
          </w:p>
        </w:tc>
        <w:tc>
          <w:tcPr>
            <w:tcW w:w="0" w:type="dxa"/>
            <w:vAlign w:val="bottom"/>
          </w:tcPr>
          <w:p>
            <w:pPr>
              <w:spacing w:after="0"/>
              <w:rPr>
                <w:sz w:val="1"/>
                <w:szCs w:val="1"/>
                <w:color w:val="auto"/>
              </w:rPr>
            </w:pPr>
          </w:p>
        </w:tc>
      </w:tr>
      <w:tr>
        <w:trPr>
          <w:trHeight w:val="257"/>
        </w:trPr>
        <w:tc>
          <w:tcPr>
            <w:tcW w:w="4980" w:type="dxa"/>
            <w:vAlign w:val="bottom"/>
          </w:tcPr>
          <w:p>
            <w:pPr>
              <w:ind w:left="300"/>
              <w:spacing w:after="0"/>
              <w:rPr>
                <w:sz w:val="20"/>
                <w:szCs w:val="20"/>
                <w:color w:val="auto"/>
              </w:rPr>
            </w:pPr>
            <w:r>
              <w:rPr>
                <w:rFonts w:ascii="Arial" w:cs="Arial" w:eastAsia="Arial" w:hAnsi="Arial"/>
                <w:sz w:val="20"/>
                <w:szCs w:val="20"/>
                <w:color w:val="auto"/>
              </w:rPr>
              <w:t>Joyce A. Mullen</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87,178,145</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486,119</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9,800,650</w:t>
            </w:r>
          </w:p>
        </w:tc>
        <w:tc>
          <w:tcPr>
            <w:tcW w:w="0" w:type="dxa"/>
            <w:vAlign w:val="bottom"/>
          </w:tcPr>
          <w:p>
            <w:pPr>
              <w:spacing w:after="0"/>
              <w:rPr>
                <w:sz w:val="1"/>
                <w:szCs w:val="1"/>
                <w:color w:val="auto"/>
              </w:rPr>
            </w:pPr>
          </w:p>
        </w:tc>
      </w:tr>
      <w:tr>
        <w:trPr>
          <w:trHeight w:val="257"/>
        </w:trPr>
        <w:tc>
          <w:tcPr>
            <w:tcW w:w="4980" w:type="dxa"/>
            <w:vAlign w:val="bottom"/>
          </w:tcPr>
          <w:p>
            <w:pPr>
              <w:ind w:left="300"/>
              <w:spacing w:after="0"/>
              <w:rPr>
                <w:sz w:val="20"/>
                <w:szCs w:val="20"/>
                <w:color w:val="auto"/>
              </w:rPr>
            </w:pPr>
            <w:r>
              <w:rPr>
                <w:rFonts w:ascii="Arial" w:cs="Arial" w:eastAsia="Arial" w:hAnsi="Arial"/>
                <w:sz w:val="20"/>
                <w:szCs w:val="20"/>
                <w:color w:val="auto"/>
              </w:rPr>
              <w:t>Richard M. Olson</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86,120,185</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1,544,079</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9,800,650</w:t>
            </w:r>
          </w:p>
        </w:tc>
        <w:tc>
          <w:tcPr>
            <w:tcW w:w="0" w:type="dxa"/>
            <w:vAlign w:val="bottom"/>
          </w:tcPr>
          <w:p>
            <w:pPr>
              <w:spacing w:after="0"/>
              <w:rPr>
                <w:sz w:val="1"/>
                <w:szCs w:val="1"/>
                <w:color w:val="auto"/>
              </w:rPr>
            </w:pPr>
          </w:p>
        </w:tc>
      </w:tr>
      <w:tr>
        <w:trPr>
          <w:trHeight w:val="264"/>
        </w:trPr>
        <w:tc>
          <w:tcPr>
            <w:tcW w:w="4980" w:type="dxa"/>
            <w:vAlign w:val="bottom"/>
          </w:tcPr>
          <w:p>
            <w:pPr>
              <w:ind w:left="300"/>
              <w:spacing w:after="0"/>
              <w:rPr>
                <w:sz w:val="20"/>
                <w:szCs w:val="20"/>
                <w:color w:val="auto"/>
              </w:rPr>
            </w:pPr>
            <w:r>
              <w:rPr>
                <w:rFonts w:ascii="Arial" w:cs="Arial" w:eastAsia="Arial" w:hAnsi="Arial"/>
                <w:sz w:val="20"/>
                <w:szCs w:val="20"/>
                <w:color w:val="auto"/>
              </w:rPr>
              <w:t>James C. O’Rourke</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86,809,112</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855,152</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9,800,650</w:t>
            </w:r>
          </w:p>
        </w:tc>
        <w:tc>
          <w:tcPr>
            <w:tcW w:w="0" w:type="dxa"/>
            <w:vAlign w:val="bottom"/>
          </w:tcPr>
          <w:p>
            <w:pPr>
              <w:spacing w:after="0"/>
              <w:rPr>
                <w:sz w:val="1"/>
                <w:szCs w:val="1"/>
                <w:color w:val="auto"/>
              </w:rPr>
            </w:pPr>
          </w:p>
        </w:tc>
      </w:tr>
      <w:tr>
        <w:trPr>
          <w:trHeight w:val="486"/>
        </w:trPr>
        <w:tc>
          <w:tcPr>
            <w:tcW w:w="4980" w:type="dxa"/>
            <w:vAlign w:val="bottom"/>
          </w:tcPr>
          <w:p>
            <w:pPr>
              <w:spacing w:after="0"/>
              <w:rPr>
                <w:sz w:val="20"/>
                <w:szCs w:val="20"/>
                <w:color w:val="auto"/>
              </w:rPr>
            </w:pPr>
            <w:r>
              <w:rPr>
                <w:rFonts w:ascii="Arial" w:cs="Arial" w:eastAsia="Arial" w:hAnsi="Arial"/>
                <w:sz w:val="20"/>
                <w:szCs w:val="20"/>
                <w:b w:val="1"/>
                <w:bCs w:val="1"/>
                <w:color w:val="auto"/>
                <w:w w:val="98"/>
              </w:rPr>
              <w:t>Proposal Two—Ratification of the selection of KPMG</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96,022,956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1,171,938</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270,020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20"/>
                <w:szCs w:val="20"/>
                <w:b w:val="1"/>
                <w:bCs w:val="1"/>
                <w:color w:val="auto"/>
              </w:rPr>
              <w:t>LLP as Toro’s independent registered public</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20"/>
                <w:szCs w:val="20"/>
                <w:b w:val="1"/>
                <w:bCs w:val="1"/>
                <w:color w:val="auto"/>
              </w:rPr>
              <w:t>accounting firm for Toro’s fiscal year ending</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80" w:type="dxa"/>
            <w:vAlign w:val="bottom"/>
          </w:tcPr>
          <w:p>
            <w:pPr>
              <w:ind w:left="300"/>
              <w:spacing w:after="0"/>
              <w:rPr>
                <w:sz w:val="20"/>
                <w:szCs w:val="20"/>
                <w:color w:val="auto"/>
              </w:rPr>
            </w:pPr>
            <w:r>
              <w:rPr>
                <w:rFonts w:ascii="Arial" w:cs="Arial" w:eastAsia="Arial" w:hAnsi="Arial"/>
                <w:sz w:val="20"/>
                <w:szCs w:val="20"/>
                <w:b w:val="1"/>
                <w:bCs w:val="1"/>
                <w:color w:val="auto"/>
              </w:rPr>
              <w:t>October 31, 2019</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4980" w:type="dxa"/>
            <w:vAlign w:val="bottom"/>
          </w:tcPr>
          <w:p>
            <w:pPr>
              <w:spacing w:after="0"/>
              <w:rPr>
                <w:sz w:val="20"/>
                <w:szCs w:val="20"/>
                <w:color w:val="auto"/>
              </w:rPr>
            </w:pPr>
            <w:r>
              <w:rPr>
                <w:rFonts w:ascii="Arial" w:cs="Arial" w:eastAsia="Arial" w:hAnsi="Arial"/>
                <w:sz w:val="20"/>
                <w:szCs w:val="20"/>
                <w:b w:val="1"/>
                <w:bCs w:val="1"/>
                <w:color w:val="auto"/>
              </w:rPr>
              <w:t>Proposal Three—Advisory approval of executive</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83,470,889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3,313,001</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880,374</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9,800,650</w:t>
            </w:r>
          </w:p>
        </w:tc>
        <w:tc>
          <w:tcPr>
            <w:tcW w:w="0" w:type="dxa"/>
            <w:vAlign w:val="bottom"/>
          </w:tcPr>
          <w:p>
            <w:pPr>
              <w:spacing w:after="0"/>
              <w:rPr>
                <w:sz w:val="1"/>
                <w:szCs w:val="1"/>
                <w:color w:val="auto"/>
              </w:rPr>
            </w:pPr>
          </w:p>
        </w:tc>
      </w:tr>
      <w:tr>
        <w:trPr>
          <w:trHeight w:val="256"/>
        </w:trPr>
        <w:tc>
          <w:tcPr>
            <w:tcW w:w="4980" w:type="dxa"/>
            <w:vAlign w:val="bottom"/>
          </w:tcPr>
          <w:p>
            <w:pPr>
              <w:ind w:left="300"/>
              <w:spacing w:after="0"/>
              <w:rPr>
                <w:sz w:val="20"/>
                <w:szCs w:val="20"/>
                <w:color w:val="auto"/>
              </w:rPr>
            </w:pPr>
            <w:r>
              <w:rPr>
                <w:rFonts w:ascii="Arial" w:cs="Arial" w:eastAsia="Arial" w:hAnsi="Arial"/>
                <w:sz w:val="20"/>
                <w:szCs w:val="20"/>
                <w:b w:val="1"/>
                <w:bCs w:val="1"/>
                <w:color w:val="auto"/>
              </w:rPr>
              <w:t>compensation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20" w:firstLine="761"/>
        <w:spacing w:after="0" w:line="260" w:lineRule="auto"/>
        <w:rPr>
          <w:sz w:val="20"/>
          <w:szCs w:val="20"/>
          <w:color w:val="auto"/>
        </w:rPr>
      </w:pPr>
      <w:r>
        <w:rPr>
          <w:rFonts w:ascii="Arial" w:cs="Arial" w:eastAsia="Arial" w:hAnsi="Arial"/>
          <w:sz w:val="20"/>
          <w:szCs w:val="20"/>
          <w:color w:val="auto"/>
        </w:rPr>
        <w:t>Each of the directors in Proposal One was elected by Toro’s shareholders by the required vote and each of Proposals Two and Three was approved by Toro’s shareholders by the required vote.</w:t>
      </w:r>
    </w:p>
    <w:p>
      <w:pPr>
        <w:spacing w:after="0" w:line="190" w:lineRule="exact"/>
        <w:rPr>
          <w:sz w:val="20"/>
          <w:szCs w:val="20"/>
          <w:color w:val="auto"/>
        </w:rPr>
      </w:pPr>
    </w:p>
    <w:p>
      <w:pPr>
        <w:jc w:val="both"/>
        <w:ind w:firstLine="761"/>
        <w:spacing w:after="0" w:line="263" w:lineRule="auto"/>
        <w:rPr>
          <w:sz w:val="20"/>
          <w:szCs w:val="20"/>
          <w:color w:val="auto"/>
        </w:rPr>
      </w:pPr>
      <w:r>
        <w:rPr>
          <w:rFonts w:ascii="Arial" w:cs="Arial" w:eastAsia="Arial" w:hAnsi="Arial"/>
          <w:sz w:val="19"/>
          <w:szCs w:val="19"/>
          <w:color w:val="auto"/>
        </w:rPr>
        <w:t>Regarding Toro’s other directors (i) each of Jeffrey M. Ettinger, Katherine J. Harless, and D. Christian Koch continue to serve as a director for a term ending at Toro’s 2020 Annual Meeting of Shareholders and (ii) each of Janet K. Cooper, Gary L. Ellis, Gregg W. Steinhafel, and Dr. Michael G. Vale continue to serve as a director for a term ending at Toro’s 2021 Annual Meeting of Shareholders. Each of Robert C. Buhrmaster and Christopher A. Twomey retired as directors at Toro’s 2019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7—Regulation FD</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0"/>
          <w:szCs w:val="20"/>
          <w:color w:val="auto"/>
        </w:rPr>
        <w:t>Attached to this Current Report on Form 8-K as Exhibit 99.1 is a copy of the press release issued by Toro in connection with the announcement of the election of each of Jeffrey L. Harmening and Joyce A. Mullen to the Board at Toro’s 2019 Annual Meeting of Shareholders.</w:t>
      </w:r>
    </w:p>
    <w:p>
      <w:pPr>
        <w:spacing w:after="0" w:line="200" w:lineRule="exact"/>
        <w:rPr>
          <w:sz w:val="20"/>
          <w:szCs w:val="20"/>
          <w:color w:val="auto"/>
        </w:rPr>
      </w:pPr>
    </w:p>
    <w:p>
      <w:pPr>
        <w:jc w:val="both"/>
        <w:ind w:firstLine="761"/>
        <w:spacing w:after="0" w:line="260" w:lineRule="auto"/>
        <w:rPr>
          <w:sz w:val="20"/>
          <w:szCs w:val="20"/>
          <w:color w:val="auto"/>
        </w:rPr>
      </w:pPr>
      <w:r>
        <w:rPr>
          <w:rFonts w:ascii="Arial" w:cs="Arial" w:eastAsia="Arial" w:hAnsi="Arial"/>
          <w:sz w:val="20"/>
          <w:szCs w:val="20"/>
          <w:color w:val="auto"/>
        </w:rPr>
        <w:t>The information contained in this Item 7.01 and Exhibit 99.1 to this Current Report on Form 8-K shall not be deemed to be “filed” for purposes of Section 18 of the Securities Exchange Act of 1934, as amended (the “Exchange Act”),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both"/>
        <w:spacing w:after="0" w:line="316" w:lineRule="auto"/>
        <w:rPr>
          <w:sz w:val="20"/>
          <w:szCs w:val="20"/>
          <w:color w:val="auto"/>
        </w:rPr>
      </w:pPr>
      <w:r>
        <w:rPr>
          <w:rFonts w:ascii="Arial" w:cs="Arial" w:eastAsia="Arial" w:hAnsi="Arial"/>
          <w:sz w:val="18"/>
          <w:szCs w:val="18"/>
          <w:color w:val="auto"/>
        </w:rPr>
        <w:t>or otherwise subject to the liability of that section, and shall not be incorporated by reference into any filings made by Toro under the Securities Act of 1933, as amended (the “Securities Act”), or the Exchange Act, except as shall be expressly set forth by specific reference in such filing.</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8—Other Events</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5"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19"/>
          <w:szCs w:val="19"/>
          <w:color w:val="auto"/>
        </w:rPr>
        <w:t>As previously announced (i) Toro entered into a definitive merger agreement (“Merger Agreement”) with The Charles Machine Works, Inc., a privately held Oklahoma corporation, on February 14, 2019, (ii) the U.S. Federal Trade Commission granted early termination of the applicable waiting period under the Hart-Scott-Rodino Antitrust Improvements Act of 1976, as amended, with respect to the transactions contemplated by the Merger Agreement, and (iii) the German Federal Cartel Office provided clearance with respect to the transactions contemplated by the Merger Agreement. The closing of the merger remains subject to the satisfaction or waiver of the remaining closing conditions set forth in the Merger Agreement, however, as a result of the receipt of all necessary regulatory approvals, Toro now expects the transaction to close prior to the end of its fiscal second quarter.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940" w:hanging="932"/>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4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Exhibit No.</w:t>
            </w:r>
          </w:p>
        </w:tc>
        <w:tc>
          <w:tcPr>
            <w:tcW w:w="720" w:type="dxa"/>
            <w:vAlign w:val="bottom"/>
          </w:tcPr>
          <w:p>
            <w:pPr>
              <w:spacing w:after="0"/>
              <w:rPr>
                <w:sz w:val="21"/>
                <w:szCs w:val="21"/>
                <w:color w:val="auto"/>
              </w:rPr>
            </w:pPr>
          </w:p>
        </w:tc>
        <w:tc>
          <w:tcPr>
            <w:tcW w:w="8960" w:type="dxa"/>
            <w:vAlign w:val="bottom"/>
            <w:tcBorders>
              <w:bottom w:val="single" w:sz="8" w:color="auto"/>
            </w:tcBorders>
            <w:gridSpan w:val="5"/>
          </w:tcPr>
          <w:p>
            <w:pPr>
              <w:ind w:left="3980"/>
              <w:spacing w:after="0"/>
              <w:rPr>
                <w:sz w:val="20"/>
                <w:szCs w:val="20"/>
                <w:color w:val="auto"/>
              </w:rPr>
            </w:pPr>
            <w:r>
              <w:rPr>
                <w:rFonts w:ascii="Arial" w:cs="Arial" w:eastAsia="Arial" w:hAnsi="Arial"/>
                <w:sz w:val="20"/>
                <w:szCs w:val="20"/>
                <w:b w:val="1"/>
                <w:bCs w:val="1"/>
                <w:color w:val="auto"/>
              </w:rPr>
              <w:t>Description</w:t>
            </w:r>
          </w:p>
        </w:tc>
      </w:tr>
      <w:tr>
        <w:trPr>
          <w:trHeight w:val="277"/>
        </w:trPr>
        <w:tc>
          <w:tcPr>
            <w:tcW w:w="1740" w:type="dxa"/>
            <w:vAlign w:val="bottom"/>
          </w:tcPr>
          <w:p>
            <w:pPr>
              <w:jc w:val="right"/>
              <w:ind w:right="1281"/>
              <w:spacing w:after="0"/>
              <w:rPr>
                <w:sz w:val="20"/>
                <w:szCs w:val="20"/>
                <w:color w:val="auto"/>
              </w:rPr>
            </w:pPr>
            <w:r>
              <w:rPr>
                <w:rFonts w:ascii="Arial" w:cs="Arial" w:eastAsia="Arial" w:hAnsi="Arial"/>
                <w:sz w:val="20"/>
                <w:szCs w:val="20"/>
                <w:color w:val="auto"/>
                <w:w w:val="87"/>
              </w:rPr>
              <w:t>10.1</w:t>
            </w:r>
          </w:p>
        </w:tc>
        <w:tc>
          <w:tcPr>
            <w:tcW w:w="720" w:type="dxa"/>
            <w:vAlign w:val="bottom"/>
          </w:tcPr>
          <w:p>
            <w:pPr>
              <w:spacing w:after="0"/>
              <w:rPr>
                <w:sz w:val="24"/>
                <w:szCs w:val="24"/>
                <w:color w:val="auto"/>
              </w:rPr>
            </w:pPr>
          </w:p>
        </w:tc>
        <w:tc>
          <w:tcPr>
            <w:tcW w:w="8960" w:type="dxa"/>
            <w:vAlign w:val="bottom"/>
            <w:gridSpan w:val="5"/>
          </w:tcPr>
          <w:p>
            <w:pPr>
              <w:spacing w:after="0"/>
              <w:rPr>
                <w:rFonts w:ascii="Arial" w:cs="Arial" w:eastAsia="Arial" w:hAnsi="Arial"/>
                <w:sz w:val="20"/>
                <w:szCs w:val="20"/>
                <w:color w:val="0000EE"/>
                <w:w w:val="91"/>
              </w:rPr>
            </w:pPr>
            <w:hyperlink w:anchor="page7">
              <w:r>
                <w:rPr>
                  <w:rFonts w:ascii="Arial" w:cs="Arial" w:eastAsia="Arial" w:hAnsi="Arial"/>
                  <w:sz w:val="20"/>
                  <w:szCs w:val="20"/>
                  <w:color w:val="0000EE"/>
                  <w:w w:val="91"/>
                </w:rPr>
                <w:t>Term Loan Credit Agreement dated as of March 19, 2019, by and among The Toro Company, as Borrower, the</w:t>
              </w:r>
            </w:hyperlink>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20" w:type="dxa"/>
            <w:vAlign w:val="bottom"/>
            <w:tcBorders>
              <w:bottom w:val="single" w:sz="8" w:color="0000EE"/>
            </w:tcBorders>
            <w:gridSpan w:val="4"/>
          </w:tcPr>
          <w:p>
            <w:pPr>
              <w:spacing w:after="0" w:line="209" w:lineRule="exact"/>
              <w:rPr>
                <w:rFonts w:ascii="Arial" w:cs="Arial" w:eastAsia="Arial" w:hAnsi="Arial"/>
                <w:sz w:val="20"/>
                <w:szCs w:val="20"/>
                <w:color w:val="0000EE"/>
                <w:w w:val="90"/>
              </w:rPr>
            </w:pPr>
            <w:hyperlink w:anchor="page7">
              <w:r>
                <w:rPr>
                  <w:rFonts w:ascii="Arial" w:cs="Arial" w:eastAsia="Arial" w:hAnsi="Arial"/>
                  <w:sz w:val="20"/>
                  <w:szCs w:val="20"/>
                  <w:color w:val="0000EE"/>
                  <w:w w:val="90"/>
                </w:rPr>
                <w:t>lenders from time to time party thereto, Bank of America, N.A., as Administrative Agent, and JPMorgan Chase</w:t>
              </w:r>
            </w:hyperlink>
          </w:p>
        </w:tc>
        <w:tc>
          <w:tcPr>
            <w:tcW w:w="14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60" w:type="dxa"/>
            <w:vAlign w:val="bottom"/>
            <w:gridSpan w:val="5"/>
          </w:tcPr>
          <w:p>
            <w:pPr>
              <w:spacing w:after="0" w:line="209" w:lineRule="exact"/>
              <w:rPr>
                <w:rFonts w:ascii="Arial" w:cs="Arial" w:eastAsia="Arial" w:hAnsi="Arial"/>
                <w:sz w:val="20"/>
                <w:szCs w:val="20"/>
                <w:color w:val="0000EE"/>
              </w:rPr>
            </w:pPr>
            <w:hyperlink w:anchor="page7">
              <w:r>
                <w:rPr>
                  <w:rFonts w:ascii="Arial" w:cs="Arial" w:eastAsia="Arial" w:hAnsi="Arial"/>
                  <w:sz w:val="20"/>
                  <w:szCs w:val="20"/>
                  <w:color w:val="0000EE"/>
                </w:rPr>
                <w:t>Bank, N.A. and Wells Fargo Bank, National Association, as Syndication Agents (filed herewith).</w:t>
              </w:r>
            </w:hyperlink>
          </w:p>
        </w:tc>
      </w:tr>
      <w:tr>
        <w:trPr>
          <w:trHeight w:val="466"/>
        </w:trPr>
        <w:tc>
          <w:tcPr>
            <w:tcW w:w="1740" w:type="dxa"/>
            <w:vAlign w:val="bottom"/>
          </w:tcPr>
          <w:p>
            <w:pPr>
              <w:jc w:val="right"/>
              <w:ind w:right="1281"/>
              <w:spacing w:after="0"/>
              <w:rPr>
                <w:sz w:val="20"/>
                <w:szCs w:val="20"/>
                <w:color w:val="auto"/>
              </w:rPr>
            </w:pPr>
            <w:r>
              <w:rPr>
                <w:rFonts w:ascii="Arial" w:cs="Arial" w:eastAsia="Arial" w:hAnsi="Arial"/>
                <w:sz w:val="20"/>
                <w:szCs w:val="20"/>
                <w:color w:val="auto"/>
                <w:w w:val="87"/>
              </w:rPr>
              <w:t>99.1</w:t>
            </w:r>
          </w:p>
        </w:tc>
        <w:tc>
          <w:tcPr>
            <w:tcW w:w="720" w:type="dxa"/>
            <w:vAlign w:val="bottom"/>
          </w:tcPr>
          <w:p>
            <w:pPr>
              <w:spacing w:after="0"/>
              <w:rPr>
                <w:sz w:val="24"/>
                <w:szCs w:val="24"/>
                <w:color w:val="auto"/>
              </w:rPr>
            </w:pPr>
          </w:p>
        </w:tc>
        <w:tc>
          <w:tcPr>
            <w:tcW w:w="7660" w:type="dxa"/>
            <w:vAlign w:val="bottom"/>
            <w:tcBorders>
              <w:top w:val="single" w:sz="8" w:color="0000EE"/>
            </w:tcBorders>
            <w:gridSpan w:val="2"/>
          </w:tcPr>
          <w:p>
            <w:pPr>
              <w:spacing w:after="0"/>
              <w:rPr>
                <w:rFonts w:ascii="Arial" w:cs="Arial" w:eastAsia="Arial" w:hAnsi="Arial"/>
                <w:sz w:val="20"/>
                <w:szCs w:val="20"/>
                <w:color w:val="0000EE"/>
              </w:rPr>
            </w:pPr>
            <w:hyperlink w:anchor="page104">
              <w:r>
                <w:rPr>
                  <w:rFonts w:ascii="Arial" w:cs="Arial" w:eastAsia="Arial" w:hAnsi="Arial"/>
                  <w:sz w:val="20"/>
                  <w:szCs w:val="20"/>
                  <w:color w:val="0000EE"/>
                </w:rPr>
                <w:t>Press Release dated March 20, 2019 (furnished herewith).</w:t>
              </w:r>
            </w:hyperlink>
          </w:p>
        </w:tc>
        <w:tc>
          <w:tcPr>
            <w:tcW w:w="1300" w:type="dxa"/>
            <w:vAlign w:val="bottom"/>
            <w:gridSpan w:val="3"/>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Current Report on Form 8-K contains not only historical information, but also forward-looking statements within the meaning of Section 27A of the Securities Act and Section 21E of the Exchange Act, and that are subject to the safe harbor created by those sections. In addition, Toro or others on its behalf may make forward-looking statements, including statements relating to the pending merger of The Charles Machine Works, Inc. (the “Merger”),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Toro’s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The forward-looking statements in this report about the Merger include Toro’s expectations with regard to the use of the Term Loan Credit Agreement in connection with financing the Merger and the timing of the potential closing of the Merger.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completing the Merger and the risk that the Merger may not be completed at all; business disruption during the pendency of and following the Merger; failure to satisfy closing conditions necessary to obtain funding under the Term Loan Credit Agreement; and general adverse business, economic or competitive conditions.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and Quarterly Report on Form 10-Q, Part II, Item IA, “Risk Factors”. All forward-looking statements included in this report are expressly qualified in their entirety by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18"/>
          <w:szCs w:val="18"/>
          <w:color w:val="auto"/>
        </w:rPr>
        <w:t>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and Quarterly Report on Form 10-Q, Part II, Item 1A,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Pr>
          <w:p>
            <w:pPr>
              <w:spacing w:after="0"/>
              <w:rPr>
                <w:sz w:val="21"/>
                <w:szCs w:val="21"/>
                <w:color w:val="auto"/>
              </w:rPr>
            </w:pPr>
          </w:p>
        </w:tc>
        <w:tc>
          <w:tcPr>
            <w:tcW w:w="7760" w:type="dxa"/>
            <w:vAlign w:val="bottom"/>
            <w:gridSpan w:val="2"/>
          </w:tcPr>
          <w:p>
            <w:pPr>
              <w:ind w:left="2120"/>
              <w:spacing w:after="0"/>
              <w:rPr>
                <w:sz w:val="20"/>
                <w:szCs w:val="20"/>
                <w:color w:val="auto"/>
              </w:rPr>
            </w:pPr>
            <w:r>
              <w:rPr>
                <w:rFonts w:ascii="Arial" w:cs="Arial" w:eastAsia="Arial" w:hAnsi="Arial"/>
                <w:sz w:val="20"/>
                <w:szCs w:val="20"/>
                <w:b w:val="1"/>
                <w:bCs w:val="1"/>
                <w:color w:val="auto"/>
              </w:rPr>
              <w:t>THE TORO COMPANY</w:t>
            </w:r>
          </w:p>
        </w:tc>
      </w:tr>
      <w:tr>
        <w:trPr>
          <w:trHeight w:val="256"/>
        </w:trPr>
        <w:tc>
          <w:tcPr>
            <w:tcW w:w="3660" w:type="dxa"/>
            <w:vAlign w:val="bottom"/>
          </w:tcPr>
          <w:p>
            <w:pPr>
              <w:spacing w:after="0"/>
              <w:rPr>
                <w:sz w:val="22"/>
                <w:szCs w:val="22"/>
                <w:color w:val="auto"/>
              </w:rPr>
            </w:pPr>
          </w:p>
        </w:tc>
        <w:tc>
          <w:tcPr>
            <w:tcW w:w="7760" w:type="dxa"/>
            <w:vAlign w:val="bottom"/>
            <w:gridSpan w:val="2"/>
          </w:tcPr>
          <w:p>
            <w:pPr>
              <w:ind w:left="2120"/>
              <w:spacing w:after="0"/>
              <w:rPr>
                <w:sz w:val="20"/>
                <w:szCs w:val="20"/>
                <w:color w:val="auto"/>
              </w:rPr>
            </w:pPr>
            <w:r>
              <w:rPr>
                <w:rFonts w:ascii="Arial" w:cs="Arial" w:eastAsia="Arial" w:hAnsi="Arial"/>
                <w:sz w:val="20"/>
                <w:szCs w:val="20"/>
                <w:b w:val="1"/>
                <w:bCs w:val="1"/>
                <w:color w:val="auto"/>
              </w:rPr>
              <w:t>(Registrant)</w:t>
            </w:r>
          </w:p>
        </w:tc>
      </w:tr>
      <w:tr>
        <w:trPr>
          <w:trHeight w:val="685"/>
        </w:trPr>
        <w:tc>
          <w:tcPr>
            <w:tcW w:w="3660" w:type="dxa"/>
            <w:vAlign w:val="bottom"/>
          </w:tcPr>
          <w:p>
            <w:pPr>
              <w:spacing w:after="0"/>
              <w:rPr>
                <w:sz w:val="20"/>
                <w:szCs w:val="20"/>
                <w:color w:val="auto"/>
              </w:rPr>
            </w:pPr>
            <w:r>
              <w:rPr>
                <w:rFonts w:ascii="Arial" w:cs="Arial" w:eastAsia="Arial" w:hAnsi="Arial"/>
                <w:sz w:val="19"/>
                <w:szCs w:val="19"/>
                <w:color w:val="auto"/>
              </w:rPr>
              <w:t>Date: March 20, 2019</w:t>
            </w:r>
          </w:p>
        </w:tc>
        <w:tc>
          <w:tcPr>
            <w:tcW w:w="7760" w:type="dxa"/>
            <w:vAlign w:val="bottom"/>
            <w:gridSpan w:val="2"/>
          </w:tcPr>
          <w:p>
            <w:pPr>
              <w:ind w:left="2120"/>
              <w:spacing w:after="0"/>
              <w:rPr>
                <w:sz w:val="20"/>
                <w:szCs w:val="20"/>
                <w:color w:val="auto"/>
              </w:rPr>
            </w:pPr>
            <w:r>
              <w:rPr>
                <w:rFonts w:ascii="Arial" w:cs="Arial" w:eastAsia="Arial" w:hAnsi="Arial"/>
                <w:sz w:val="19"/>
                <w:szCs w:val="19"/>
                <w:color w:val="auto"/>
              </w:rPr>
              <w:t>By:  /s/ Timothy P. Dordell</w:t>
            </w:r>
          </w:p>
        </w:tc>
      </w:tr>
      <w:tr>
        <w:trPr>
          <w:trHeight w:val="214"/>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Timothy P. Dordell</w:t>
            </w:r>
          </w:p>
        </w:tc>
      </w:tr>
      <w:tr>
        <w:trPr>
          <w:trHeight w:val="24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9"/>
                <w:szCs w:val="19"/>
                <w:color w:val="auto"/>
              </w:rPr>
              <w:t>Vice President, Secretary and General Counsel</w:t>
            </w:r>
          </w:p>
        </w:tc>
      </w:tr>
      <w:tr>
        <w:trPr>
          <w:trHeight w:val="862"/>
        </w:trPr>
        <w:tc>
          <w:tcPr>
            <w:tcW w:w="3660" w:type="dxa"/>
            <w:vAlign w:val="bottom"/>
          </w:tcPr>
          <w:p>
            <w:pPr>
              <w:spacing w:after="0"/>
              <w:rPr>
                <w:sz w:val="24"/>
                <w:szCs w:val="24"/>
                <w:color w:val="auto"/>
              </w:rPr>
            </w:pPr>
          </w:p>
        </w:tc>
        <w:tc>
          <w:tcPr>
            <w:tcW w:w="2540" w:type="dxa"/>
            <w:vAlign w:val="bottom"/>
          </w:tcPr>
          <w:p>
            <w:pPr>
              <w:jc w:val="right"/>
              <w:ind w:right="344"/>
              <w:spacing w:after="0"/>
              <w:rPr>
                <w:sz w:val="20"/>
                <w:szCs w:val="20"/>
                <w:color w:val="auto"/>
              </w:rPr>
            </w:pPr>
            <w:r>
              <w:rPr>
                <w:rFonts w:ascii="Arial" w:cs="Arial" w:eastAsia="Arial" w:hAnsi="Arial"/>
                <w:sz w:val="18"/>
                <w:szCs w:val="18"/>
                <w:color w:val="auto"/>
              </w:rPr>
              <w:t>5</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409575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Deal CUSIP: 891091AK6</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Published Three-Year Term Loan CUSIP: 891091AL4</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Published Five-Year Term Loan CUSIP: 891091AM2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TERM LOAN CREDIT AGREEMENT</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Dated as of March 19, 2019</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147955</wp:posOffset>
            </wp:positionV>
            <wp:extent cx="1543685" cy="1012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68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THE TORO COMPANY,</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Borrower,</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Administrative Agent,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JPMORGAN CHASE 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19"/>
          <w:szCs w:val="19"/>
          <w:b w:val="1"/>
          <w:bCs w:val="1"/>
          <w:color w:val="auto"/>
        </w:rPr>
        <w:t>WELLS FARGO BANK, NATIONAL ASSOCIATION,</w:t>
      </w:r>
    </w:p>
    <w:p>
      <w:pPr>
        <w:spacing w:after="0" w:line="11"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Syndication Agents,</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Other Lenders Party Hereto</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BANK OF AMERICA MERRILL LYNCH,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JPMORGAN CHASE BANK, N.A.</w:t>
      </w: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b w:val="1"/>
          <w:bCs w:val="1"/>
          <w:color w:val="auto"/>
        </w:rPr>
        <w:t>WELLS FARGO SECURITIES, LLC,</w:t>
      </w:r>
    </w:p>
    <w:p>
      <w:pPr>
        <w:jc w:val="center"/>
        <w:ind w:right="120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580" w:type="dxa"/>
            <w:vAlign w:val="bottom"/>
          </w:tcPr>
          <w:p>
            <w:pPr>
              <w:ind w:left="3740"/>
              <w:spacing w:after="0"/>
              <w:rPr>
                <w:sz w:val="20"/>
                <w:szCs w:val="20"/>
                <w:color w:val="auto"/>
              </w:rPr>
            </w:pPr>
            <w:r>
              <w:rPr>
                <w:rFonts w:ascii="Arial" w:cs="Arial" w:eastAsia="Arial" w:hAnsi="Arial"/>
                <w:sz w:val="20"/>
                <w:szCs w:val="20"/>
                <w:b w:val="1"/>
                <w:bCs w:val="1"/>
                <w:color w:val="auto"/>
              </w:rPr>
              <w:t>TABLE OF CONTENTS</w:t>
            </w:r>
          </w:p>
        </w:tc>
        <w:tc>
          <w:tcPr>
            <w:tcW w:w="15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01"/>
        </w:trPr>
        <w:tc>
          <w:tcPr>
            <w:tcW w:w="880" w:type="dxa"/>
            <w:vAlign w:val="bottom"/>
            <w:gridSpan w:val="2"/>
          </w:tcPr>
          <w:p>
            <w:pPr>
              <w:spacing w:after="0"/>
              <w:rPr>
                <w:sz w:val="20"/>
                <w:szCs w:val="20"/>
                <w:color w:val="auto"/>
              </w:rPr>
            </w:pPr>
            <w:r>
              <w:rPr>
                <w:rFonts w:ascii="Arial" w:cs="Arial" w:eastAsia="Arial" w:hAnsi="Arial"/>
                <w:sz w:val="20"/>
                <w:szCs w:val="20"/>
                <w:color w:val="auto"/>
              </w:rPr>
              <w:t>Section</w:t>
            </w:r>
          </w:p>
        </w:tc>
        <w:tc>
          <w:tcPr>
            <w:tcW w:w="858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Page</w:t>
            </w:r>
          </w:p>
        </w:tc>
      </w:tr>
      <w:tr>
        <w:trPr>
          <w:trHeight w:val="355"/>
        </w:trPr>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tcPr>
          <w:p>
            <w:pPr>
              <w:jc w:val="center"/>
              <w:ind w:left="1201"/>
              <w:spacing w:after="0"/>
              <w:rPr>
                <w:sz w:val="20"/>
                <w:szCs w:val="20"/>
                <w:color w:val="auto"/>
              </w:rPr>
            </w:pPr>
            <w:r>
              <w:rPr>
                <w:rFonts w:ascii="Arial" w:cs="Arial" w:eastAsia="Arial" w:hAnsi="Arial"/>
                <w:sz w:val="20"/>
                <w:szCs w:val="20"/>
                <w:color w:val="auto"/>
                <w:w w:val="98"/>
              </w:rPr>
              <w:t>ARTICLE I.</w:t>
            </w:r>
          </w:p>
        </w:tc>
        <w:tc>
          <w:tcPr>
            <w:tcW w:w="1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0"/>
        </w:trPr>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80" w:type="dxa"/>
            <w:vAlign w:val="bottom"/>
          </w:tcPr>
          <w:p>
            <w:pPr>
              <w:jc w:val="center"/>
              <w:ind w:left="1181"/>
              <w:spacing w:after="0"/>
              <w:rPr>
                <w:sz w:val="20"/>
                <w:szCs w:val="20"/>
                <w:color w:val="auto"/>
              </w:rPr>
            </w:pPr>
            <w:r>
              <w:rPr>
                <w:rFonts w:ascii="Arial" w:cs="Arial" w:eastAsia="Arial" w:hAnsi="Arial"/>
                <w:sz w:val="20"/>
                <w:szCs w:val="20"/>
                <w:color w:val="auto"/>
                <w:w w:val="96"/>
              </w:rPr>
              <w:t>DEFINITIONS AND ACCOUNTING TERMS</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44"/>
        </w:trPr>
        <w:tc>
          <w:tcPr>
            <w:tcW w:w="600" w:type="dxa"/>
            <w:vAlign w:val="bottom"/>
          </w:tcPr>
          <w:p>
            <w:pPr>
              <w:spacing w:after="0"/>
              <w:rPr>
                <w:sz w:val="20"/>
                <w:szCs w:val="20"/>
                <w:color w:val="auto"/>
              </w:rPr>
            </w:pPr>
            <w:r>
              <w:rPr>
                <w:rFonts w:ascii="Arial" w:cs="Arial" w:eastAsia="Arial" w:hAnsi="Arial"/>
                <w:sz w:val="20"/>
                <w:szCs w:val="20"/>
                <w:color w:val="auto"/>
              </w:rPr>
              <w:t>1.01</w:t>
            </w:r>
          </w:p>
        </w:tc>
        <w:tc>
          <w:tcPr>
            <w:tcW w:w="280" w:type="dxa"/>
            <w:vAlign w:val="bottom"/>
          </w:tcPr>
          <w:p>
            <w:pPr>
              <w:spacing w:after="0"/>
              <w:rPr>
                <w:sz w:val="24"/>
                <w:szCs w:val="24"/>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Defined Terms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1.02</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Other Interpretive Provisions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1.03</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Accounting Terms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1.04</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Times of Day</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1.05</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Rounding</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1.06</w:t>
            </w:r>
          </w:p>
        </w:tc>
        <w:tc>
          <w:tcPr>
            <w:tcW w:w="280" w:type="dxa"/>
            <w:vAlign w:val="bottom"/>
          </w:tcPr>
          <w:p>
            <w:pPr>
              <w:spacing w:after="0"/>
              <w:rPr>
                <w:sz w:val="21"/>
                <w:szCs w:val="21"/>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Interest Rates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411"/>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tcPr>
          <w:p>
            <w:pPr>
              <w:jc w:val="center"/>
              <w:ind w:left="1181"/>
              <w:spacing w:after="0"/>
              <w:rPr>
                <w:sz w:val="20"/>
                <w:szCs w:val="20"/>
                <w:color w:val="auto"/>
              </w:rPr>
            </w:pPr>
            <w:r>
              <w:rPr>
                <w:rFonts w:ascii="Arial" w:cs="Arial" w:eastAsia="Arial" w:hAnsi="Arial"/>
                <w:sz w:val="20"/>
                <w:szCs w:val="20"/>
                <w:color w:val="auto"/>
                <w:w w:val="99"/>
              </w:rPr>
              <w:t>ARTICLE II.</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80" w:type="dxa"/>
            <w:vAlign w:val="bottom"/>
          </w:tcPr>
          <w:p>
            <w:pPr>
              <w:jc w:val="center"/>
              <w:ind w:left="1181"/>
              <w:spacing w:after="0"/>
              <w:rPr>
                <w:sz w:val="20"/>
                <w:szCs w:val="20"/>
                <w:color w:val="auto"/>
              </w:rPr>
            </w:pPr>
            <w:r>
              <w:rPr>
                <w:rFonts w:ascii="Arial" w:cs="Arial" w:eastAsia="Arial" w:hAnsi="Arial"/>
                <w:sz w:val="20"/>
                <w:szCs w:val="20"/>
                <w:color w:val="auto"/>
                <w:w w:val="97"/>
              </w:rPr>
              <w:t>THE COMMITMENTS AND LOANS</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30"/>
        </w:trPr>
        <w:tc>
          <w:tcPr>
            <w:tcW w:w="600" w:type="dxa"/>
            <w:vAlign w:val="bottom"/>
          </w:tcPr>
          <w:p>
            <w:pPr>
              <w:spacing w:after="0"/>
              <w:rPr>
                <w:sz w:val="20"/>
                <w:szCs w:val="20"/>
                <w:color w:val="auto"/>
              </w:rPr>
            </w:pPr>
            <w:r>
              <w:rPr>
                <w:rFonts w:ascii="Arial" w:cs="Arial" w:eastAsia="Arial" w:hAnsi="Arial"/>
                <w:sz w:val="20"/>
                <w:szCs w:val="20"/>
                <w:color w:val="auto"/>
              </w:rPr>
              <w:t>2.01</w:t>
            </w:r>
          </w:p>
        </w:tc>
        <w:tc>
          <w:tcPr>
            <w:tcW w:w="280" w:type="dxa"/>
            <w:vAlign w:val="bottom"/>
          </w:tcPr>
          <w:p>
            <w:pPr>
              <w:spacing w:after="0"/>
              <w:rPr>
                <w:sz w:val="24"/>
                <w:szCs w:val="24"/>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Loans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2.02</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Borrowings, Conversions and Continuations of Loans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2.03</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Prepayments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2.04</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Reduction of Commitments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2.05</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Repayment of Loans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2.06</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Interest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2.07</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Fees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2.08</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2.09</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Evidence of Debt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2.10</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Payments Generally; Administrative Agent’s Clawback</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2.11</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Sharing of Payments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32</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2.12</w:t>
            </w:r>
          </w:p>
        </w:tc>
        <w:tc>
          <w:tcPr>
            <w:tcW w:w="280" w:type="dxa"/>
            <w:vAlign w:val="bottom"/>
          </w:tcPr>
          <w:p>
            <w:pPr>
              <w:spacing w:after="0"/>
              <w:rPr>
                <w:sz w:val="21"/>
                <w:szCs w:val="21"/>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Defaulting Lenders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32</w:t>
            </w:r>
          </w:p>
        </w:tc>
      </w:tr>
      <w:tr>
        <w:trPr>
          <w:trHeight w:val="411"/>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tcPr>
          <w:p>
            <w:pPr>
              <w:jc w:val="center"/>
              <w:ind w:left="1201"/>
              <w:spacing w:after="0"/>
              <w:rPr>
                <w:sz w:val="20"/>
                <w:szCs w:val="20"/>
                <w:color w:val="auto"/>
              </w:rPr>
            </w:pPr>
            <w:r>
              <w:rPr>
                <w:rFonts w:ascii="Arial" w:cs="Arial" w:eastAsia="Arial" w:hAnsi="Arial"/>
                <w:sz w:val="20"/>
                <w:szCs w:val="20"/>
                <w:color w:val="auto"/>
                <w:w w:val="99"/>
              </w:rPr>
              <w:t>ARTICLE III.</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80" w:type="dxa"/>
            <w:vAlign w:val="bottom"/>
          </w:tcPr>
          <w:p>
            <w:pPr>
              <w:jc w:val="center"/>
              <w:ind w:left="1201"/>
              <w:spacing w:after="0"/>
              <w:rPr>
                <w:sz w:val="20"/>
                <w:szCs w:val="20"/>
                <w:color w:val="auto"/>
              </w:rPr>
            </w:pPr>
            <w:r>
              <w:rPr>
                <w:rFonts w:ascii="Arial" w:cs="Arial" w:eastAsia="Arial" w:hAnsi="Arial"/>
                <w:sz w:val="20"/>
                <w:szCs w:val="20"/>
                <w:color w:val="auto"/>
                <w:w w:val="97"/>
              </w:rPr>
              <w:t>TAXES, YIELD PROTECTION AND ILLEGALITY</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30"/>
        </w:trPr>
        <w:tc>
          <w:tcPr>
            <w:tcW w:w="600" w:type="dxa"/>
            <w:vAlign w:val="bottom"/>
          </w:tcPr>
          <w:p>
            <w:pPr>
              <w:spacing w:after="0"/>
              <w:rPr>
                <w:sz w:val="20"/>
                <w:szCs w:val="20"/>
                <w:color w:val="auto"/>
              </w:rPr>
            </w:pPr>
            <w:r>
              <w:rPr>
                <w:rFonts w:ascii="Arial" w:cs="Arial" w:eastAsia="Arial" w:hAnsi="Arial"/>
                <w:sz w:val="20"/>
                <w:szCs w:val="20"/>
                <w:color w:val="auto"/>
              </w:rPr>
              <w:t>3.01</w:t>
            </w:r>
          </w:p>
        </w:tc>
        <w:tc>
          <w:tcPr>
            <w:tcW w:w="280" w:type="dxa"/>
            <w:vAlign w:val="bottom"/>
          </w:tcPr>
          <w:p>
            <w:pPr>
              <w:spacing w:after="0"/>
              <w:rPr>
                <w:sz w:val="24"/>
                <w:szCs w:val="24"/>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Taxes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3.02</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Illegality</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3.03</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Inability to Determine Rates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3.04</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Increased Costs; Reserves on Eurodollar Rate Loans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3.05</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Compensation for Losses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3.06</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Mitigation Obligations; Replacement of Lenders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42</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3.07</w:t>
            </w:r>
          </w:p>
        </w:tc>
        <w:tc>
          <w:tcPr>
            <w:tcW w:w="280" w:type="dxa"/>
            <w:vAlign w:val="bottom"/>
          </w:tcPr>
          <w:p>
            <w:pPr>
              <w:spacing w:after="0"/>
              <w:rPr>
                <w:sz w:val="21"/>
                <w:szCs w:val="21"/>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Survival</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42</w:t>
            </w:r>
          </w:p>
        </w:tc>
      </w:tr>
      <w:tr>
        <w:trPr>
          <w:trHeight w:val="411"/>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tcPr>
          <w:p>
            <w:pPr>
              <w:jc w:val="center"/>
              <w:ind w:left="1181"/>
              <w:spacing w:after="0"/>
              <w:rPr>
                <w:sz w:val="20"/>
                <w:szCs w:val="20"/>
                <w:color w:val="auto"/>
              </w:rPr>
            </w:pPr>
            <w:r>
              <w:rPr>
                <w:rFonts w:ascii="Arial" w:cs="Arial" w:eastAsia="Arial" w:hAnsi="Arial"/>
                <w:sz w:val="20"/>
                <w:szCs w:val="20"/>
                <w:color w:val="auto"/>
                <w:w w:val="96"/>
              </w:rPr>
              <w:t>ARTICLE IV.</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80" w:type="dxa"/>
            <w:vAlign w:val="bottom"/>
          </w:tcPr>
          <w:p>
            <w:pPr>
              <w:jc w:val="center"/>
              <w:ind w:left="1201"/>
              <w:spacing w:after="0"/>
              <w:rPr>
                <w:sz w:val="20"/>
                <w:szCs w:val="20"/>
                <w:color w:val="auto"/>
              </w:rPr>
            </w:pPr>
            <w:r>
              <w:rPr>
                <w:rFonts w:ascii="Arial" w:cs="Arial" w:eastAsia="Arial" w:hAnsi="Arial"/>
                <w:sz w:val="20"/>
                <w:szCs w:val="20"/>
                <w:color w:val="auto"/>
                <w:w w:val="94"/>
              </w:rPr>
              <w:t>CONDITIONS PRECEDENT</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30"/>
        </w:trPr>
        <w:tc>
          <w:tcPr>
            <w:tcW w:w="600" w:type="dxa"/>
            <w:vAlign w:val="bottom"/>
          </w:tcPr>
          <w:p>
            <w:pPr>
              <w:spacing w:after="0"/>
              <w:rPr>
                <w:sz w:val="20"/>
                <w:szCs w:val="20"/>
                <w:color w:val="auto"/>
              </w:rPr>
            </w:pPr>
            <w:r>
              <w:rPr>
                <w:rFonts w:ascii="Arial" w:cs="Arial" w:eastAsia="Arial" w:hAnsi="Arial"/>
                <w:sz w:val="20"/>
                <w:szCs w:val="20"/>
                <w:color w:val="auto"/>
              </w:rPr>
              <w:t>4.01</w:t>
            </w:r>
          </w:p>
        </w:tc>
        <w:tc>
          <w:tcPr>
            <w:tcW w:w="280" w:type="dxa"/>
            <w:vAlign w:val="bottom"/>
          </w:tcPr>
          <w:p>
            <w:pPr>
              <w:spacing w:after="0"/>
              <w:rPr>
                <w:sz w:val="24"/>
                <w:szCs w:val="24"/>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Conditions to Effective Date</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42</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4.02</w:t>
            </w:r>
          </w:p>
        </w:tc>
        <w:tc>
          <w:tcPr>
            <w:tcW w:w="280" w:type="dxa"/>
            <w:vAlign w:val="bottom"/>
          </w:tcPr>
          <w:p>
            <w:pPr>
              <w:spacing w:after="0"/>
              <w:rPr>
                <w:sz w:val="21"/>
                <w:szCs w:val="21"/>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Conditions of Closing Date</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44</w:t>
            </w:r>
          </w:p>
        </w:tc>
      </w:tr>
      <w:tr>
        <w:trPr>
          <w:trHeight w:val="42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tcPr>
          <w:p>
            <w:pPr>
              <w:jc w:val="center"/>
              <w:ind w:left="1181"/>
              <w:spacing w:after="0"/>
              <w:rPr>
                <w:sz w:val="20"/>
                <w:szCs w:val="20"/>
                <w:color w:val="auto"/>
              </w:rPr>
            </w:pPr>
            <w:r>
              <w:rPr>
                <w:rFonts w:ascii="Arial" w:cs="Arial" w:eastAsia="Arial" w:hAnsi="Arial"/>
                <w:sz w:val="22"/>
                <w:szCs w:val="22"/>
                <w:color w:val="auto"/>
                <w:w w:val="95"/>
              </w:rPr>
              <w:t>ARTICLE V.</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5"/>
        </w:trPr>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580" w:type="dxa"/>
            <w:vAlign w:val="bottom"/>
          </w:tcPr>
          <w:p>
            <w:pPr>
              <w:jc w:val="center"/>
              <w:ind w:left="1181"/>
              <w:spacing w:after="0"/>
              <w:rPr>
                <w:sz w:val="20"/>
                <w:szCs w:val="20"/>
                <w:color w:val="auto"/>
              </w:rPr>
            </w:pPr>
            <w:r>
              <w:rPr>
                <w:rFonts w:ascii="Arial" w:cs="Arial" w:eastAsia="Arial" w:hAnsi="Arial"/>
                <w:sz w:val="22"/>
                <w:szCs w:val="22"/>
                <w:color w:val="auto"/>
                <w:w w:val="93"/>
              </w:rPr>
              <w:t>REPRESENTATIONS AND WARRANTIES</w:t>
            </w:r>
          </w:p>
        </w:tc>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5.01</w:t>
            </w:r>
          </w:p>
        </w:tc>
        <w:tc>
          <w:tcPr>
            <w:tcW w:w="280" w:type="dxa"/>
            <w:vAlign w:val="bottom"/>
          </w:tcPr>
          <w:p>
            <w:pPr>
              <w:spacing w:after="0"/>
              <w:rPr>
                <w:sz w:val="24"/>
                <w:szCs w:val="24"/>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Existence, Qualification and Power</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5.02</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Authorization; No Contravention</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5.03</w:t>
            </w:r>
          </w:p>
        </w:tc>
        <w:tc>
          <w:tcPr>
            <w:tcW w:w="280" w:type="dxa"/>
            <w:vAlign w:val="bottom"/>
          </w:tcPr>
          <w:p>
            <w:pPr>
              <w:spacing w:after="0"/>
              <w:rPr>
                <w:sz w:val="19"/>
                <w:szCs w:val="19"/>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Governmental Authorization; Other Consents</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5.04</w:t>
            </w:r>
          </w:p>
        </w:tc>
        <w:tc>
          <w:tcPr>
            <w:tcW w:w="280" w:type="dxa"/>
            <w:vAlign w:val="bottom"/>
          </w:tcPr>
          <w:p>
            <w:pPr>
              <w:spacing w:after="0"/>
              <w:rPr>
                <w:sz w:val="21"/>
                <w:szCs w:val="21"/>
                <w:color w:val="auto"/>
              </w:rPr>
            </w:pPr>
          </w:p>
        </w:tc>
        <w:tc>
          <w:tcPr>
            <w:tcW w:w="8580" w:type="dxa"/>
            <w:vAlign w:val="bottom"/>
          </w:tcPr>
          <w:p>
            <w:pPr>
              <w:ind w:left="280"/>
              <w:spacing w:after="0"/>
              <w:rPr>
                <w:sz w:val="20"/>
                <w:szCs w:val="20"/>
                <w:color w:val="auto"/>
              </w:rPr>
            </w:pPr>
            <w:r>
              <w:rPr>
                <w:rFonts w:ascii="Arial" w:cs="Arial" w:eastAsia="Arial" w:hAnsi="Arial"/>
                <w:sz w:val="20"/>
                <w:szCs w:val="20"/>
                <w:color w:val="auto"/>
              </w:rPr>
              <w:t>Binding Effect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47</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333"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5.05</w:t>
            </w:r>
          </w:p>
        </w:tc>
        <w:tc>
          <w:tcPr>
            <w:tcW w:w="8580" w:type="dxa"/>
            <w:vAlign w:val="bottom"/>
          </w:tcPr>
          <w:p>
            <w:pPr>
              <w:ind w:left="400"/>
              <w:spacing w:after="0"/>
              <w:rPr>
                <w:sz w:val="20"/>
                <w:szCs w:val="20"/>
                <w:color w:val="auto"/>
              </w:rPr>
            </w:pPr>
            <w:r>
              <w:rPr>
                <w:rFonts w:ascii="Arial" w:cs="Arial" w:eastAsia="Arial" w:hAnsi="Arial"/>
                <w:sz w:val="20"/>
                <w:szCs w:val="20"/>
                <w:color w:val="auto"/>
              </w:rPr>
              <w:t>Financial Statements; No Material Adverse Effect</w:t>
            </w:r>
          </w:p>
        </w:tc>
        <w:tc>
          <w:tcPr>
            <w:tcW w:w="19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5.06</w:t>
            </w:r>
          </w:p>
        </w:tc>
        <w:tc>
          <w:tcPr>
            <w:tcW w:w="8580" w:type="dxa"/>
            <w:vAlign w:val="bottom"/>
          </w:tcPr>
          <w:p>
            <w:pPr>
              <w:ind w:left="400"/>
              <w:spacing w:after="0"/>
              <w:rPr>
                <w:sz w:val="20"/>
                <w:szCs w:val="20"/>
                <w:color w:val="auto"/>
              </w:rPr>
            </w:pPr>
            <w:r>
              <w:rPr>
                <w:rFonts w:ascii="Arial" w:cs="Arial" w:eastAsia="Arial" w:hAnsi="Arial"/>
                <w:sz w:val="20"/>
                <w:szCs w:val="20"/>
                <w:color w:val="auto"/>
              </w:rPr>
              <w:t>Litigation</w:t>
            </w:r>
          </w:p>
        </w:tc>
        <w:tc>
          <w:tcPr>
            <w:tcW w:w="19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5.07</w:t>
            </w:r>
          </w:p>
        </w:tc>
        <w:tc>
          <w:tcPr>
            <w:tcW w:w="8580" w:type="dxa"/>
            <w:vAlign w:val="bottom"/>
          </w:tcPr>
          <w:p>
            <w:pPr>
              <w:ind w:left="400"/>
              <w:spacing w:after="0"/>
              <w:rPr>
                <w:sz w:val="20"/>
                <w:szCs w:val="20"/>
                <w:color w:val="auto"/>
              </w:rPr>
            </w:pPr>
            <w:r>
              <w:rPr>
                <w:rFonts w:ascii="Arial" w:cs="Arial" w:eastAsia="Arial" w:hAnsi="Arial"/>
                <w:sz w:val="20"/>
                <w:szCs w:val="20"/>
                <w:color w:val="auto"/>
              </w:rPr>
              <w:t>No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5.08</w:t>
            </w:r>
          </w:p>
        </w:tc>
        <w:tc>
          <w:tcPr>
            <w:tcW w:w="8580" w:type="dxa"/>
            <w:vAlign w:val="bottom"/>
          </w:tcPr>
          <w:p>
            <w:pPr>
              <w:ind w:left="400"/>
              <w:spacing w:after="0"/>
              <w:rPr>
                <w:sz w:val="20"/>
                <w:szCs w:val="20"/>
                <w:color w:val="auto"/>
              </w:rPr>
            </w:pPr>
            <w:r>
              <w:rPr>
                <w:rFonts w:ascii="Arial" w:cs="Arial" w:eastAsia="Arial" w:hAnsi="Arial"/>
                <w:sz w:val="20"/>
                <w:szCs w:val="20"/>
                <w:color w:val="auto"/>
              </w:rPr>
              <w:t>Ownership of Property; Liens</w:t>
            </w:r>
          </w:p>
        </w:tc>
        <w:tc>
          <w:tcPr>
            <w:tcW w:w="19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5.09</w:t>
            </w:r>
          </w:p>
        </w:tc>
        <w:tc>
          <w:tcPr>
            <w:tcW w:w="8580" w:type="dxa"/>
            <w:vAlign w:val="bottom"/>
          </w:tcPr>
          <w:p>
            <w:pPr>
              <w:ind w:left="400"/>
              <w:spacing w:after="0"/>
              <w:rPr>
                <w:sz w:val="20"/>
                <w:szCs w:val="20"/>
                <w:color w:val="auto"/>
              </w:rPr>
            </w:pPr>
            <w:r>
              <w:rPr>
                <w:rFonts w:ascii="Arial" w:cs="Arial" w:eastAsia="Arial" w:hAnsi="Arial"/>
                <w:sz w:val="20"/>
                <w:szCs w:val="20"/>
                <w:color w:val="auto"/>
              </w:rPr>
              <w:t>Environmental Compliance</w:t>
            </w:r>
          </w:p>
        </w:tc>
        <w:tc>
          <w:tcPr>
            <w:tcW w:w="19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5.10</w:t>
            </w:r>
          </w:p>
        </w:tc>
        <w:tc>
          <w:tcPr>
            <w:tcW w:w="8580" w:type="dxa"/>
            <w:vAlign w:val="bottom"/>
          </w:tcPr>
          <w:p>
            <w:pPr>
              <w:ind w:left="400"/>
              <w:spacing w:after="0"/>
              <w:rPr>
                <w:sz w:val="20"/>
                <w:szCs w:val="20"/>
                <w:color w:val="auto"/>
              </w:rPr>
            </w:pPr>
            <w:r>
              <w:rPr>
                <w:rFonts w:ascii="Arial" w:cs="Arial" w:eastAsia="Arial" w:hAnsi="Arial"/>
                <w:sz w:val="20"/>
                <w:szCs w:val="20"/>
                <w:color w:val="auto"/>
              </w:rPr>
              <w:t>Insurance</w:t>
            </w:r>
          </w:p>
        </w:tc>
        <w:tc>
          <w:tcPr>
            <w:tcW w:w="19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5.11</w:t>
            </w:r>
          </w:p>
        </w:tc>
        <w:tc>
          <w:tcPr>
            <w:tcW w:w="8580" w:type="dxa"/>
            <w:vAlign w:val="bottom"/>
          </w:tcPr>
          <w:p>
            <w:pPr>
              <w:ind w:left="400"/>
              <w:spacing w:after="0"/>
              <w:rPr>
                <w:sz w:val="20"/>
                <w:szCs w:val="20"/>
                <w:color w:val="auto"/>
              </w:rPr>
            </w:pPr>
            <w:r>
              <w:rPr>
                <w:rFonts w:ascii="Arial" w:cs="Arial" w:eastAsia="Arial" w:hAnsi="Arial"/>
                <w:sz w:val="20"/>
                <w:szCs w:val="20"/>
                <w:color w:val="auto"/>
              </w:rPr>
              <w:t>Taxes</w:t>
            </w:r>
          </w:p>
        </w:tc>
        <w:tc>
          <w:tcPr>
            <w:tcW w:w="198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5.12</w:t>
            </w:r>
          </w:p>
        </w:tc>
        <w:tc>
          <w:tcPr>
            <w:tcW w:w="8580" w:type="dxa"/>
            <w:vAlign w:val="bottom"/>
          </w:tcPr>
          <w:p>
            <w:pPr>
              <w:ind w:left="400"/>
              <w:spacing w:after="0"/>
              <w:rPr>
                <w:sz w:val="20"/>
                <w:szCs w:val="20"/>
                <w:color w:val="auto"/>
              </w:rPr>
            </w:pPr>
            <w:r>
              <w:rPr>
                <w:rFonts w:ascii="Arial" w:cs="Arial" w:eastAsia="Arial" w:hAnsi="Arial"/>
                <w:sz w:val="20"/>
                <w:szCs w:val="20"/>
                <w:color w:val="auto"/>
              </w:rPr>
              <w:t>ERISA Compliance</w:t>
            </w:r>
          </w:p>
        </w:tc>
        <w:tc>
          <w:tcPr>
            <w:tcW w:w="198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5.13</w:t>
            </w:r>
          </w:p>
        </w:tc>
        <w:tc>
          <w:tcPr>
            <w:tcW w:w="8580" w:type="dxa"/>
            <w:vAlign w:val="bottom"/>
          </w:tcPr>
          <w:p>
            <w:pPr>
              <w:ind w:left="400"/>
              <w:spacing w:after="0"/>
              <w:rPr>
                <w:sz w:val="20"/>
                <w:szCs w:val="20"/>
                <w:color w:val="auto"/>
              </w:rPr>
            </w:pPr>
            <w:r>
              <w:rPr>
                <w:rFonts w:ascii="Arial" w:cs="Arial" w:eastAsia="Arial" w:hAnsi="Arial"/>
                <w:sz w:val="20"/>
                <w:szCs w:val="20"/>
                <w:color w:val="auto"/>
              </w:rPr>
              <w:t>Subsidiaries; Equity Interests</w:t>
            </w:r>
          </w:p>
        </w:tc>
        <w:tc>
          <w:tcPr>
            <w:tcW w:w="198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5.14</w:t>
            </w:r>
          </w:p>
        </w:tc>
        <w:tc>
          <w:tcPr>
            <w:tcW w:w="8580" w:type="dxa"/>
            <w:vAlign w:val="bottom"/>
          </w:tcPr>
          <w:p>
            <w:pPr>
              <w:ind w:left="400"/>
              <w:spacing w:after="0"/>
              <w:rPr>
                <w:sz w:val="20"/>
                <w:szCs w:val="20"/>
                <w:color w:val="auto"/>
              </w:rPr>
            </w:pPr>
            <w:r>
              <w:rPr>
                <w:rFonts w:ascii="Arial" w:cs="Arial" w:eastAsia="Arial" w:hAnsi="Arial"/>
                <w:sz w:val="20"/>
                <w:szCs w:val="20"/>
                <w:color w:val="auto"/>
              </w:rPr>
              <w:t>Margin Regulations; Investment Company Act</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5.15</w:t>
            </w:r>
          </w:p>
        </w:tc>
        <w:tc>
          <w:tcPr>
            <w:tcW w:w="8580" w:type="dxa"/>
            <w:vAlign w:val="bottom"/>
          </w:tcPr>
          <w:p>
            <w:pPr>
              <w:ind w:left="400"/>
              <w:spacing w:after="0"/>
              <w:rPr>
                <w:sz w:val="20"/>
                <w:szCs w:val="20"/>
                <w:color w:val="auto"/>
              </w:rPr>
            </w:pPr>
            <w:r>
              <w:rPr>
                <w:rFonts w:ascii="Arial" w:cs="Arial" w:eastAsia="Arial" w:hAnsi="Arial"/>
                <w:sz w:val="20"/>
                <w:szCs w:val="20"/>
                <w:color w:val="auto"/>
              </w:rPr>
              <w:t>Copyrights, Patents, Trademarks and Licenses, Etc</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5.16</w:t>
            </w:r>
          </w:p>
        </w:tc>
        <w:tc>
          <w:tcPr>
            <w:tcW w:w="8580" w:type="dxa"/>
            <w:vAlign w:val="bottom"/>
          </w:tcPr>
          <w:p>
            <w:pPr>
              <w:ind w:left="400"/>
              <w:spacing w:after="0"/>
              <w:rPr>
                <w:sz w:val="20"/>
                <w:szCs w:val="20"/>
                <w:color w:val="auto"/>
              </w:rPr>
            </w:pPr>
            <w:r>
              <w:rPr>
                <w:rFonts w:ascii="Arial" w:cs="Arial" w:eastAsia="Arial" w:hAnsi="Arial"/>
                <w:sz w:val="20"/>
                <w:szCs w:val="20"/>
                <w:color w:val="auto"/>
              </w:rPr>
              <w:t>Disclosure</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5.17</w:t>
            </w:r>
          </w:p>
        </w:tc>
        <w:tc>
          <w:tcPr>
            <w:tcW w:w="8580" w:type="dxa"/>
            <w:vAlign w:val="bottom"/>
          </w:tcPr>
          <w:p>
            <w:pPr>
              <w:ind w:left="400"/>
              <w:spacing w:after="0"/>
              <w:rPr>
                <w:sz w:val="20"/>
                <w:szCs w:val="20"/>
                <w:color w:val="auto"/>
              </w:rPr>
            </w:pPr>
            <w:r>
              <w:rPr>
                <w:rFonts w:ascii="Arial" w:cs="Arial" w:eastAsia="Arial" w:hAnsi="Arial"/>
                <w:sz w:val="20"/>
                <w:szCs w:val="20"/>
                <w:color w:val="auto"/>
              </w:rPr>
              <w:t>Compliance with Laws</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5.18</w:t>
            </w:r>
          </w:p>
        </w:tc>
        <w:tc>
          <w:tcPr>
            <w:tcW w:w="8580" w:type="dxa"/>
            <w:vAlign w:val="bottom"/>
          </w:tcPr>
          <w:p>
            <w:pPr>
              <w:ind w:left="400"/>
              <w:spacing w:after="0"/>
              <w:rPr>
                <w:sz w:val="20"/>
                <w:szCs w:val="20"/>
                <w:color w:val="auto"/>
              </w:rPr>
            </w:pPr>
            <w:r>
              <w:rPr>
                <w:rFonts w:ascii="Arial" w:cs="Arial" w:eastAsia="Arial" w:hAnsi="Arial"/>
                <w:sz w:val="20"/>
                <w:szCs w:val="20"/>
                <w:color w:val="auto"/>
              </w:rPr>
              <w:t>Taxpayer Identification Number; Other Identifying Information</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5.19</w:t>
            </w:r>
          </w:p>
        </w:tc>
        <w:tc>
          <w:tcPr>
            <w:tcW w:w="8580" w:type="dxa"/>
            <w:vAlign w:val="bottom"/>
          </w:tcPr>
          <w:p>
            <w:pPr>
              <w:ind w:left="400"/>
              <w:spacing w:after="0"/>
              <w:rPr>
                <w:sz w:val="20"/>
                <w:szCs w:val="20"/>
                <w:color w:val="auto"/>
              </w:rPr>
            </w:pPr>
            <w:r>
              <w:rPr>
                <w:rFonts w:ascii="Arial" w:cs="Arial" w:eastAsia="Arial" w:hAnsi="Arial"/>
                <w:sz w:val="20"/>
                <w:szCs w:val="20"/>
                <w:color w:val="auto"/>
              </w:rPr>
              <w:t>OFAC</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5.20</w:t>
            </w:r>
          </w:p>
        </w:tc>
        <w:tc>
          <w:tcPr>
            <w:tcW w:w="8580" w:type="dxa"/>
            <w:vAlign w:val="bottom"/>
          </w:tcPr>
          <w:p>
            <w:pPr>
              <w:ind w:left="400"/>
              <w:spacing w:after="0"/>
              <w:rPr>
                <w:sz w:val="20"/>
                <w:szCs w:val="20"/>
                <w:color w:val="auto"/>
              </w:rPr>
            </w:pPr>
            <w:r>
              <w:rPr>
                <w:rFonts w:ascii="Arial" w:cs="Arial" w:eastAsia="Arial" w:hAnsi="Arial"/>
                <w:sz w:val="20"/>
                <w:szCs w:val="20"/>
                <w:color w:val="auto"/>
              </w:rPr>
              <w:t>Anti-Corruption Laws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5.21</w:t>
            </w:r>
          </w:p>
        </w:tc>
        <w:tc>
          <w:tcPr>
            <w:tcW w:w="8580" w:type="dxa"/>
            <w:vAlign w:val="bottom"/>
          </w:tcPr>
          <w:p>
            <w:pPr>
              <w:ind w:left="400"/>
              <w:spacing w:after="0"/>
              <w:rPr>
                <w:sz w:val="20"/>
                <w:szCs w:val="20"/>
                <w:color w:val="auto"/>
              </w:rPr>
            </w:pPr>
            <w:r>
              <w:rPr>
                <w:rFonts w:ascii="Arial" w:cs="Arial" w:eastAsia="Arial" w:hAnsi="Arial"/>
                <w:sz w:val="20"/>
                <w:szCs w:val="20"/>
                <w:color w:val="auto"/>
              </w:rPr>
              <w:t>Beneficial Ownership</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5.22</w:t>
            </w:r>
          </w:p>
        </w:tc>
        <w:tc>
          <w:tcPr>
            <w:tcW w:w="8580" w:type="dxa"/>
            <w:vAlign w:val="bottom"/>
          </w:tcPr>
          <w:p>
            <w:pPr>
              <w:ind w:left="400"/>
              <w:spacing w:after="0"/>
              <w:rPr>
                <w:sz w:val="20"/>
                <w:szCs w:val="20"/>
                <w:color w:val="auto"/>
              </w:rPr>
            </w:pPr>
            <w:r>
              <w:rPr>
                <w:rFonts w:ascii="Arial" w:cs="Arial" w:eastAsia="Arial" w:hAnsi="Arial"/>
                <w:sz w:val="20"/>
                <w:szCs w:val="20"/>
                <w:color w:val="auto"/>
              </w:rPr>
              <w:t>Solvency</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11"/>
        </w:trPr>
        <w:tc>
          <w:tcPr>
            <w:tcW w:w="760" w:type="dxa"/>
            <w:vAlign w:val="bottom"/>
          </w:tcPr>
          <w:p>
            <w:pPr>
              <w:spacing w:after="0"/>
              <w:rPr>
                <w:sz w:val="24"/>
                <w:szCs w:val="24"/>
                <w:color w:val="auto"/>
              </w:rPr>
            </w:pPr>
          </w:p>
        </w:tc>
        <w:tc>
          <w:tcPr>
            <w:tcW w:w="8580" w:type="dxa"/>
            <w:vAlign w:val="bottom"/>
          </w:tcPr>
          <w:p>
            <w:pPr>
              <w:jc w:val="center"/>
              <w:ind w:left="1421"/>
              <w:spacing w:after="0"/>
              <w:rPr>
                <w:sz w:val="20"/>
                <w:szCs w:val="20"/>
                <w:color w:val="auto"/>
              </w:rPr>
            </w:pPr>
            <w:r>
              <w:rPr>
                <w:rFonts w:ascii="Arial" w:cs="Arial" w:eastAsia="Arial" w:hAnsi="Arial"/>
                <w:sz w:val="20"/>
                <w:szCs w:val="20"/>
                <w:color w:val="auto"/>
                <w:w w:val="99"/>
              </w:rPr>
              <w:t>ARTICLE VI.</w:t>
            </w:r>
          </w:p>
        </w:tc>
        <w:tc>
          <w:tcPr>
            <w:tcW w:w="1980" w:type="dxa"/>
            <w:vAlign w:val="bottom"/>
          </w:tcPr>
          <w:p>
            <w:pPr>
              <w:spacing w:after="0"/>
              <w:rPr>
                <w:sz w:val="24"/>
                <w:szCs w:val="24"/>
                <w:color w:val="auto"/>
              </w:rPr>
            </w:pPr>
          </w:p>
        </w:tc>
      </w:tr>
      <w:tr>
        <w:trPr>
          <w:trHeight w:val="250"/>
        </w:trPr>
        <w:tc>
          <w:tcPr>
            <w:tcW w:w="760" w:type="dxa"/>
            <w:vAlign w:val="bottom"/>
          </w:tcPr>
          <w:p>
            <w:pPr>
              <w:spacing w:after="0"/>
              <w:rPr>
                <w:sz w:val="21"/>
                <w:szCs w:val="21"/>
                <w:color w:val="auto"/>
              </w:rPr>
            </w:pPr>
          </w:p>
        </w:tc>
        <w:tc>
          <w:tcPr>
            <w:tcW w:w="8580" w:type="dxa"/>
            <w:vAlign w:val="bottom"/>
          </w:tcPr>
          <w:p>
            <w:pPr>
              <w:jc w:val="center"/>
              <w:ind w:left="1421"/>
              <w:spacing w:after="0"/>
              <w:rPr>
                <w:sz w:val="20"/>
                <w:szCs w:val="20"/>
                <w:color w:val="auto"/>
              </w:rPr>
            </w:pPr>
            <w:r>
              <w:rPr>
                <w:rFonts w:ascii="Arial" w:cs="Arial" w:eastAsia="Arial" w:hAnsi="Arial"/>
                <w:sz w:val="20"/>
                <w:szCs w:val="20"/>
                <w:color w:val="auto"/>
                <w:w w:val="96"/>
              </w:rPr>
              <w:t>AFFIRMATIVE COVENANTS</w:t>
            </w:r>
          </w:p>
        </w:tc>
        <w:tc>
          <w:tcPr>
            <w:tcW w:w="1980" w:type="dxa"/>
            <w:vAlign w:val="bottom"/>
          </w:tcPr>
          <w:p>
            <w:pPr>
              <w:spacing w:after="0"/>
              <w:rPr>
                <w:sz w:val="21"/>
                <w:szCs w:val="21"/>
                <w:color w:val="auto"/>
              </w:rPr>
            </w:pPr>
          </w:p>
        </w:tc>
      </w:tr>
      <w:tr>
        <w:trPr>
          <w:trHeight w:val="330"/>
        </w:trPr>
        <w:tc>
          <w:tcPr>
            <w:tcW w:w="760" w:type="dxa"/>
            <w:vAlign w:val="bottom"/>
          </w:tcPr>
          <w:p>
            <w:pPr>
              <w:spacing w:after="0"/>
              <w:rPr>
                <w:sz w:val="20"/>
                <w:szCs w:val="20"/>
                <w:color w:val="auto"/>
              </w:rPr>
            </w:pPr>
            <w:r>
              <w:rPr>
                <w:rFonts w:ascii="Arial" w:cs="Arial" w:eastAsia="Arial" w:hAnsi="Arial"/>
                <w:sz w:val="20"/>
                <w:szCs w:val="20"/>
                <w:color w:val="auto"/>
              </w:rPr>
              <w:t>6.01</w:t>
            </w:r>
          </w:p>
        </w:tc>
        <w:tc>
          <w:tcPr>
            <w:tcW w:w="8580" w:type="dxa"/>
            <w:vAlign w:val="bottom"/>
          </w:tcPr>
          <w:p>
            <w:pPr>
              <w:ind w:left="400"/>
              <w:spacing w:after="0"/>
              <w:rPr>
                <w:sz w:val="20"/>
                <w:szCs w:val="20"/>
                <w:color w:val="auto"/>
              </w:rPr>
            </w:pPr>
            <w:r>
              <w:rPr>
                <w:rFonts w:ascii="Arial" w:cs="Arial" w:eastAsia="Arial" w:hAnsi="Arial"/>
                <w:sz w:val="20"/>
                <w:szCs w:val="20"/>
                <w:color w:val="auto"/>
              </w:rPr>
              <w:t>Financial Statements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6.02</w:t>
            </w:r>
          </w:p>
        </w:tc>
        <w:tc>
          <w:tcPr>
            <w:tcW w:w="8580" w:type="dxa"/>
            <w:vAlign w:val="bottom"/>
          </w:tcPr>
          <w:p>
            <w:pPr>
              <w:ind w:left="400"/>
              <w:spacing w:after="0"/>
              <w:rPr>
                <w:sz w:val="20"/>
                <w:szCs w:val="20"/>
                <w:color w:val="auto"/>
              </w:rPr>
            </w:pPr>
            <w:r>
              <w:rPr>
                <w:rFonts w:ascii="Arial" w:cs="Arial" w:eastAsia="Arial" w:hAnsi="Arial"/>
                <w:sz w:val="20"/>
                <w:szCs w:val="20"/>
                <w:color w:val="auto"/>
              </w:rPr>
              <w:t>Certificates; Other Information</w:t>
            </w:r>
          </w:p>
        </w:tc>
        <w:tc>
          <w:tcPr>
            <w:tcW w:w="198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6.03</w:t>
            </w:r>
          </w:p>
        </w:tc>
        <w:tc>
          <w:tcPr>
            <w:tcW w:w="8580" w:type="dxa"/>
            <w:vAlign w:val="bottom"/>
          </w:tcPr>
          <w:p>
            <w:pPr>
              <w:ind w:left="400"/>
              <w:spacing w:after="0"/>
              <w:rPr>
                <w:sz w:val="20"/>
                <w:szCs w:val="20"/>
                <w:color w:val="auto"/>
              </w:rPr>
            </w:pPr>
            <w:r>
              <w:rPr>
                <w:rFonts w:ascii="Arial" w:cs="Arial" w:eastAsia="Arial" w:hAnsi="Arial"/>
                <w:sz w:val="20"/>
                <w:szCs w:val="20"/>
                <w:color w:val="auto"/>
              </w:rPr>
              <w:t>Notices</w:t>
            </w:r>
          </w:p>
        </w:tc>
        <w:tc>
          <w:tcPr>
            <w:tcW w:w="19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6.04</w:t>
            </w:r>
          </w:p>
        </w:tc>
        <w:tc>
          <w:tcPr>
            <w:tcW w:w="8580" w:type="dxa"/>
            <w:vAlign w:val="bottom"/>
          </w:tcPr>
          <w:p>
            <w:pPr>
              <w:ind w:left="400"/>
              <w:spacing w:after="0"/>
              <w:rPr>
                <w:sz w:val="20"/>
                <w:szCs w:val="20"/>
                <w:color w:val="auto"/>
              </w:rPr>
            </w:pPr>
            <w:r>
              <w:rPr>
                <w:rFonts w:ascii="Arial" w:cs="Arial" w:eastAsia="Arial" w:hAnsi="Arial"/>
                <w:sz w:val="20"/>
                <w:szCs w:val="20"/>
                <w:color w:val="auto"/>
              </w:rPr>
              <w:t>Anti-Corruption Laws; Sanctions</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6.05</w:t>
            </w:r>
          </w:p>
        </w:tc>
        <w:tc>
          <w:tcPr>
            <w:tcW w:w="8580" w:type="dxa"/>
            <w:vAlign w:val="bottom"/>
          </w:tcPr>
          <w:p>
            <w:pPr>
              <w:ind w:left="400"/>
              <w:spacing w:after="0"/>
              <w:rPr>
                <w:sz w:val="20"/>
                <w:szCs w:val="20"/>
                <w:color w:val="auto"/>
              </w:rPr>
            </w:pPr>
            <w:r>
              <w:rPr>
                <w:rFonts w:ascii="Arial" w:cs="Arial" w:eastAsia="Arial" w:hAnsi="Arial"/>
                <w:sz w:val="20"/>
                <w:szCs w:val="20"/>
                <w:color w:val="auto"/>
              </w:rPr>
              <w:t>Preservation of Existence, Etc</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6.06</w:t>
            </w:r>
          </w:p>
        </w:tc>
        <w:tc>
          <w:tcPr>
            <w:tcW w:w="8580" w:type="dxa"/>
            <w:vAlign w:val="bottom"/>
          </w:tcPr>
          <w:p>
            <w:pPr>
              <w:ind w:left="400"/>
              <w:spacing w:after="0"/>
              <w:rPr>
                <w:sz w:val="20"/>
                <w:szCs w:val="20"/>
                <w:color w:val="auto"/>
              </w:rPr>
            </w:pPr>
            <w:r>
              <w:rPr>
                <w:rFonts w:ascii="Arial" w:cs="Arial" w:eastAsia="Arial" w:hAnsi="Arial"/>
                <w:sz w:val="20"/>
                <w:szCs w:val="20"/>
                <w:color w:val="auto"/>
              </w:rPr>
              <w:t>Maintenance of Properties</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6.07</w:t>
            </w:r>
          </w:p>
        </w:tc>
        <w:tc>
          <w:tcPr>
            <w:tcW w:w="8580" w:type="dxa"/>
            <w:vAlign w:val="bottom"/>
          </w:tcPr>
          <w:p>
            <w:pPr>
              <w:ind w:left="400"/>
              <w:spacing w:after="0"/>
              <w:rPr>
                <w:sz w:val="20"/>
                <w:szCs w:val="20"/>
                <w:color w:val="auto"/>
              </w:rPr>
            </w:pPr>
            <w:r>
              <w:rPr>
                <w:rFonts w:ascii="Arial" w:cs="Arial" w:eastAsia="Arial" w:hAnsi="Arial"/>
                <w:sz w:val="20"/>
                <w:szCs w:val="20"/>
                <w:color w:val="auto"/>
              </w:rPr>
              <w:t>Maintenance of Insurance</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6.08</w:t>
            </w:r>
          </w:p>
        </w:tc>
        <w:tc>
          <w:tcPr>
            <w:tcW w:w="8580" w:type="dxa"/>
            <w:vAlign w:val="bottom"/>
          </w:tcPr>
          <w:p>
            <w:pPr>
              <w:ind w:left="400"/>
              <w:spacing w:after="0"/>
              <w:rPr>
                <w:sz w:val="20"/>
                <w:szCs w:val="20"/>
                <w:color w:val="auto"/>
              </w:rPr>
            </w:pPr>
            <w:r>
              <w:rPr>
                <w:rFonts w:ascii="Arial" w:cs="Arial" w:eastAsia="Arial" w:hAnsi="Arial"/>
                <w:sz w:val="20"/>
                <w:szCs w:val="20"/>
                <w:color w:val="auto"/>
              </w:rPr>
              <w:t>Compliance with Laws and Contractual Obligations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6.09</w:t>
            </w:r>
          </w:p>
        </w:tc>
        <w:tc>
          <w:tcPr>
            <w:tcW w:w="8580" w:type="dxa"/>
            <w:vAlign w:val="bottom"/>
          </w:tcPr>
          <w:p>
            <w:pPr>
              <w:ind w:left="400"/>
              <w:spacing w:after="0"/>
              <w:rPr>
                <w:sz w:val="20"/>
                <w:szCs w:val="20"/>
                <w:color w:val="auto"/>
              </w:rPr>
            </w:pPr>
            <w:r>
              <w:rPr>
                <w:rFonts w:ascii="Arial" w:cs="Arial" w:eastAsia="Arial" w:hAnsi="Arial"/>
                <w:sz w:val="20"/>
                <w:szCs w:val="20"/>
                <w:color w:val="auto"/>
              </w:rPr>
              <w:t>Books and Records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6.10</w:t>
            </w:r>
          </w:p>
        </w:tc>
        <w:tc>
          <w:tcPr>
            <w:tcW w:w="8580" w:type="dxa"/>
            <w:vAlign w:val="bottom"/>
          </w:tcPr>
          <w:p>
            <w:pPr>
              <w:ind w:left="400"/>
              <w:spacing w:after="0"/>
              <w:rPr>
                <w:sz w:val="20"/>
                <w:szCs w:val="20"/>
                <w:color w:val="auto"/>
              </w:rPr>
            </w:pPr>
            <w:r>
              <w:rPr>
                <w:rFonts w:ascii="Arial" w:cs="Arial" w:eastAsia="Arial" w:hAnsi="Arial"/>
                <w:sz w:val="20"/>
                <w:szCs w:val="20"/>
                <w:color w:val="auto"/>
              </w:rPr>
              <w:t>Inspection Rights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6.11</w:t>
            </w:r>
          </w:p>
        </w:tc>
        <w:tc>
          <w:tcPr>
            <w:tcW w:w="8580" w:type="dxa"/>
            <w:vAlign w:val="bottom"/>
          </w:tcPr>
          <w:p>
            <w:pPr>
              <w:ind w:left="400"/>
              <w:spacing w:after="0"/>
              <w:rPr>
                <w:sz w:val="20"/>
                <w:szCs w:val="20"/>
                <w:color w:val="auto"/>
              </w:rPr>
            </w:pPr>
            <w:r>
              <w:rPr>
                <w:rFonts w:ascii="Arial" w:cs="Arial" w:eastAsia="Arial" w:hAnsi="Arial"/>
                <w:sz w:val="20"/>
                <w:szCs w:val="20"/>
                <w:color w:val="auto"/>
              </w:rPr>
              <w:t>Use of Proceeds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11"/>
        </w:trPr>
        <w:tc>
          <w:tcPr>
            <w:tcW w:w="760" w:type="dxa"/>
            <w:vAlign w:val="bottom"/>
          </w:tcPr>
          <w:p>
            <w:pPr>
              <w:spacing w:after="0"/>
              <w:rPr>
                <w:sz w:val="24"/>
                <w:szCs w:val="24"/>
                <w:color w:val="auto"/>
              </w:rPr>
            </w:pPr>
          </w:p>
        </w:tc>
        <w:tc>
          <w:tcPr>
            <w:tcW w:w="8580" w:type="dxa"/>
            <w:vAlign w:val="bottom"/>
          </w:tcPr>
          <w:p>
            <w:pPr>
              <w:jc w:val="center"/>
              <w:ind w:left="1421"/>
              <w:spacing w:after="0"/>
              <w:rPr>
                <w:sz w:val="20"/>
                <w:szCs w:val="20"/>
                <w:color w:val="auto"/>
              </w:rPr>
            </w:pPr>
            <w:r>
              <w:rPr>
                <w:rFonts w:ascii="Arial" w:cs="Arial" w:eastAsia="Arial" w:hAnsi="Arial"/>
                <w:sz w:val="20"/>
                <w:szCs w:val="20"/>
                <w:color w:val="auto"/>
                <w:w w:val="98"/>
              </w:rPr>
              <w:t>ARTICLE VII.</w:t>
            </w:r>
          </w:p>
        </w:tc>
        <w:tc>
          <w:tcPr>
            <w:tcW w:w="1980" w:type="dxa"/>
            <w:vAlign w:val="bottom"/>
          </w:tcPr>
          <w:p>
            <w:pPr>
              <w:spacing w:after="0"/>
              <w:rPr>
                <w:sz w:val="24"/>
                <w:szCs w:val="24"/>
                <w:color w:val="auto"/>
              </w:rPr>
            </w:pPr>
          </w:p>
        </w:tc>
      </w:tr>
      <w:tr>
        <w:trPr>
          <w:trHeight w:val="250"/>
        </w:trPr>
        <w:tc>
          <w:tcPr>
            <w:tcW w:w="760" w:type="dxa"/>
            <w:vAlign w:val="bottom"/>
          </w:tcPr>
          <w:p>
            <w:pPr>
              <w:spacing w:after="0"/>
              <w:rPr>
                <w:sz w:val="21"/>
                <w:szCs w:val="21"/>
                <w:color w:val="auto"/>
              </w:rPr>
            </w:pPr>
          </w:p>
        </w:tc>
        <w:tc>
          <w:tcPr>
            <w:tcW w:w="8580" w:type="dxa"/>
            <w:vAlign w:val="bottom"/>
          </w:tcPr>
          <w:p>
            <w:pPr>
              <w:jc w:val="center"/>
              <w:ind w:left="1421"/>
              <w:spacing w:after="0"/>
              <w:rPr>
                <w:sz w:val="20"/>
                <w:szCs w:val="20"/>
                <w:color w:val="auto"/>
              </w:rPr>
            </w:pPr>
            <w:r>
              <w:rPr>
                <w:rFonts w:ascii="Arial" w:cs="Arial" w:eastAsia="Arial" w:hAnsi="Arial"/>
                <w:sz w:val="20"/>
                <w:szCs w:val="20"/>
                <w:color w:val="auto"/>
                <w:w w:val="96"/>
              </w:rPr>
              <w:t>NEGATIVE COVENANTS</w:t>
            </w:r>
          </w:p>
        </w:tc>
        <w:tc>
          <w:tcPr>
            <w:tcW w:w="1980" w:type="dxa"/>
            <w:vAlign w:val="bottom"/>
          </w:tcPr>
          <w:p>
            <w:pPr>
              <w:spacing w:after="0"/>
              <w:rPr>
                <w:sz w:val="21"/>
                <w:szCs w:val="21"/>
                <w:color w:val="auto"/>
              </w:rPr>
            </w:pPr>
          </w:p>
        </w:tc>
      </w:tr>
      <w:tr>
        <w:trPr>
          <w:trHeight w:val="330"/>
        </w:trPr>
        <w:tc>
          <w:tcPr>
            <w:tcW w:w="760" w:type="dxa"/>
            <w:vAlign w:val="bottom"/>
          </w:tcPr>
          <w:p>
            <w:pPr>
              <w:spacing w:after="0"/>
              <w:rPr>
                <w:sz w:val="20"/>
                <w:szCs w:val="20"/>
                <w:color w:val="auto"/>
              </w:rPr>
            </w:pPr>
            <w:r>
              <w:rPr>
                <w:rFonts w:ascii="Arial" w:cs="Arial" w:eastAsia="Arial" w:hAnsi="Arial"/>
                <w:sz w:val="20"/>
                <w:szCs w:val="20"/>
                <w:color w:val="auto"/>
              </w:rPr>
              <w:t>7.01</w:t>
            </w:r>
          </w:p>
        </w:tc>
        <w:tc>
          <w:tcPr>
            <w:tcW w:w="8580" w:type="dxa"/>
            <w:vAlign w:val="bottom"/>
          </w:tcPr>
          <w:p>
            <w:pPr>
              <w:ind w:left="400"/>
              <w:spacing w:after="0"/>
              <w:rPr>
                <w:sz w:val="20"/>
                <w:szCs w:val="20"/>
                <w:color w:val="auto"/>
              </w:rPr>
            </w:pPr>
            <w:r>
              <w:rPr>
                <w:rFonts w:ascii="Arial" w:cs="Arial" w:eastAsia="Arial" w:hAnsi="Arial"/>
                <w:sz w:val="20"/>
                <w:szCs w:val="20"/>
                <w:color w:val="auto"/>
              </w:rPr>
              <w:t>Limitation on Liens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7.02</w:t>
            </w:r>
          </w:p>
        </w:tc>
        <w:tc>
          <w:tcPr>
            <w:tcW w:w="8580" w:type="dxa"/>
            <w:vAlign w:val="bottom"/>
          </w:tcPr>
          <w:p>
            <w:pPr>
              <w:ind w:left="400"/>
              <w:spacing w:after="0"/>
              <w:rPr>
                <w:sz w:val="20"/>
                <w:szCs w:val="20"/>
                <w:color w:val="auto"/>
              </w:rPr>
            </w:pPr>
            <w:r>
              <w:rPr>
                <w:rFonts w:ascii="Arial" w:cs="Arial" w:eastAsia="Arial" w:hAnsi="Arial"/>
                <w:sz w:val="20"/>
                <w:szCs w:val="20"/>
                <w:color w:val="auto"/>
              </w:rPr>
              <w:t>Disposition of Assets</w:t>
            </w:r>
          </w:p>
        </w:tc>
        <w:tc>
          <w:tcPr>
            <w:tcW w:w="19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7.03</w:t>
            </w:r>
          </w:p>
        </w:tc>
        <w:tc>
          <w:tcPr>
            <w:tcW w:w="8580" w:type="dxa"/>
            <w:vAlign w:val="bottom"/>
          </w:tcPr>
          <w:p>
            <w:pPr>
              <w:ind w:left="400"/>
              <w:spacing w:after="0"/>
              <w:rPr>
                <w:sz w:val="20"/>
                <w:szCs w:val="20"/>
                <w:color w:val="auto"/>
              </w:rPr>
            </w:pPr>
            <w:r>
              <w:rPr>
                <w:rFonts w:ascii="Arial" w:cs="Arial" w:eastAsia="Arial" w:hAnsi="Arial"/>
                <w:sz w:val="20"/>
                <w:szCs w:val="20"/>
                <w:color w:val="auto"/>
              </w:rPr>
              <w:t>Consolidations and Mergers</w:t>
            </w:r>
          </w:p>
        </w:tc>
        <w:tc>
          <w:tcPr>
            <w:tcW w:w="19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7.04</w:t>
            </w:r>
          </w:p>
        </w:tc>
        <w:tc>
          <w:tcPr>
            <w:tcW w:w="8580" w:type="dxa"/>
            <w:vAlign w:val="bottom"/>
          </w:tcPr>
          <w:p>
            <w:pPr>
              <w:ind w:left="400"/>
              <w:spacing w:after="0"/>
              <w:rPr>
                <w:sz w:val="20"/>
                <w:szCs w:val="20"/>
                <w:color w:val="auto"/>
              </w:rPr>
            </w:pPr>
            <w:r>
              <w:rPr>
                <w:rFonts w:ascii="Arial" w:cs="Arial" w:eastAsia="Arial" w:hAnsi="Arial"/>
                <w:sz w:val="20"/>
                <w:szCs w:val="20"/>
                <w:color w:val="auto"/>
              </w:rPr>
              <w:t>Restricted Payments</w:t>
            </w:r>
          </w:p>
        </w:tc>
        <w:tc>
          <w:tcPr>
            <w:tcW w:w="19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7.05</w:t>
            </w:r>
          </w:p>
        </w:tc>
        <w:tc>
          <w:tcPr>
            <w:tcW w:w="8580" w:type="dxa"/>
            <w:vAlign w:val="bottom"/>
          </w:tcPr>
          <w:p>
            <w:pPr>
              <w:ind w:left="400"/>
              <w:spacing w:after="0"/>
              <w:rPr>
                <w:sz w:val="20"/>
                <w:szCs w:val="20"/>
                <w:color w:val="auto"/>
              </w:rPr>
            </w:pPr>
            <w:r>
              <w:rPr>
                <w:rFonts w:ascii="Arial" w:cs="Arial" w:eastAsia="Arial" w:hAnsi="Arial"/>
                <w:sz w:val="20"/>
                <w:szCs w:val="20"/>
                <w:color w:val="auto"/>
              </w:rPr>
              <w:t>Minimum Interest Coverage Ratio</w:t>
            </w:r>
          </w:p>
        </w:tc>
        <w:tc>
          <w:tcPr>
            <w:tcW w:w="19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7.06</w:t>
            </w:r>
          </w:p>
        </w:tc>
        <w:tc>
          <w:tcPr>
            <w:tcW w:w="8580" w:type="dxa"/>
            <w:vAlign w:val="bottom"/>
          </w:tcPr>
          <w:p>
            <w:pPr>
              <w:ind w:left="400"/>
              <w:spacing w:after="0"/>
              <w:rPr>
                <w:sz w:val="20"/>
                <w:szCs w:val="20"/>
                <w:color w:val="auto"/>
              </w:rPr>
            </w:pPr>
            <w:r>
              <w:rPr>
                <w:rFonts w:ascii="Arial" w:cs="Arial" w:eastAsia="Arial" w:hAnsi="Arial"/>
                <w:sz w:val="20"/>
                <w:szCs w:val="20"/>
                <w:color w:val="auto"/>
              </w:rPr>
              <w:t>Maximum Leverage Ratio</w:t>
            </w:r>
          </w:p>
        </w:tc>
        <w:tc>
          <w:tcPr>
            <w:tcW w:w="19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7.07</w:t>
            </w:r>
          </w:p>
        </w:tc>
        <w:tc>
          <w:tcPr>
            <w:tcW w:w="8580" w:type="dxa"/>
            <w:vAlign w:val="bottom"/>
          </w:tcPr>
          <w:p>
            <w:pPr>
              <w:ind w:left="400"/>
              <w:spacing w:after="0"/>
              <w:rPr>
                <w:sz w:val="20"/>
                <w:szCs w:val="20"/>
                <w:color w:val="auto"/>
              </w:rPr>
            </w:pPr>
            <w:r>
              <w:rPr>
                <w:rFonts w:ascii="Arial" w:cs="Arial" w:eastAsia="Arial" w:hAnsi="Arial"/>
                <w:sz w:val="20"/>
                <w:szCs w:val="20"/>
                <w:color w:val="auto"/>
              </w:rPr>
              <w:t>Red Iron</w:t>
            </w:r>
          </w:p>
        </w:tc>
        <w:tc>
          <w:tcPr>
            <w:tcW w:w="19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7.08</w:t>
            </w:r>
          </w:p>
        </w:tc>
        <w:tc>
          <w:tcPr>
            <w:tcW w:w="8580" w:type="dxa"/>
            <w:vAlign w:val="bottom"/>
          </w:tcPr>
          <w:p>
            <w:pPr>
              <w:ind w:left="400"/>
              <w:spacing w:after="0"/>
              <w:rPr>
                <w:sz w:val="20"/>
                <w:szCs w:val="20"/>
                <w:color w:val="auto"/>
              </w:rPr>
            </w:pPr>
            <w:r>
              <w:rPr>
                <w:rFonts w:ascii="Arial" w:cs="Arial" w:eastAsia="Arial" w:hAnsi="Arial"/>
                <w:sz w:val="20"/>
                <w:szCs w:val="20"/>
                <w:color w:val="auto"/>
              </w:rPr>
              <w:t>Sanctions</w:t>
            </w:r>
          </w:p>
        </w:tc>
        <w:tc>
          <w:tcPr>
            <w:tcW w:w="19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7.09</w:t>
            </w:r>
          </w:p>
        </w:tc>
        <w:tc>
          <w:tcPr>
            <w:tcW w:w="8580" w:type="dxa"/>
            <w:vAlign w:val="bottom"/>
          </w:tcPr>
          <w:p>
            <w:pPr>
              <w:ind w:left="400"/>
              <w:spacing w:after="0"/>
              <w:rPr>
                <w:sz w:val="20"/>
                <w:szCs w:val="20"/>
                <w:color w:val="auto"/>
              </w:rPr>
            </w:pPr>
            <w:r>
              <w:rPr>
                <w:rFonts w:ascii="Arial" w:cs="Arial" w:eastAsia="Arial" w:hAnsi="Arial"/>
                <w:sz w:val="20"/>
                <w:szCs w:val="20"/>
                <w:color w:val="auto"/>
              </w:rPr>
              <w:t>Anti-Corruption Laws</w:t>
            </w:r>
          </w:p>
        </w:tc>
        <w:tc>
          <w:tcPr>
            <w:tcW w:w="19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411"/>
        </w:trPr>
        <w:tc>
          <w:tcPr>
            <w:tcW w:w="760" w:type="dxa"/>
            <w:vAlign w:val="bottom"/>
          </w:tcPr>
          <w:p>
            <w:pPr>
              <w:spacing w:after="0"/>
              <w:rPr>
                <w:sz w:val="24"/>
                <w:szCs w:val="24"/>
                <w:color w:val="auto"/>
              </w:rPr>
            </w:pPr>
          </w:p>
        </w:tc>
        <w:tc>
          <w:tcPr>
            <w:tcW w:w="8580" w:type="dxa"/>
            <w:vAlign w:val="bottom"/>
          </w:tcPr>
          <w:p>
            <w:pPr>
              <w:jc w:val="center"/>
              <w:ind w:left="1421"/>
              <w:spacing w:after="0"/>
              <w:rPr>
                <w:sz w:val="20"/>
                <w:szCs w:val="20"/>
                <w:color w:val="auto"/>
              </w:rPr>
            </w:pPr>
            <w:r>
              <w:rPr>
                <w:rFonts w:ascii="Arial" w:cs="Arial" w:eastAsia="Arial" w:hAnsi="Arial"/>
                <w:sz w:val="20"/>
                <w:szCs w:val="20"/>
                <w:color w:val="auto"/>
              </w:rPr>
              <w:t>ARTICLE VIII.</w:t>
            </w:r>
          </w:p>
        </w:tc>
        <w:tc>
          <w:tcPr>
            <w:tcW w:w="1980" w:type="dxa"/>
            <w:vAlign w:val="bottom"/>
          </w:tcPr>
          <w:p>
            <w:pPr>
              <w:spacing w:after="0"/>
              <w:rPr>
                <w:sz w:val="24"/>
                <w:szCs w:val="24"/>
                <w:color w:val="auto"/>
              </w:rPr>
            </w:pPr>
          </w:p>
        </w:tc>
      </w:tr>
      <w:tr>
        <w:trPr>
          <w:trHeight w:val="250"/>
        </w:trPr>
        <w:tc>
          <w:tcPr>
            <w:tcW w:w="760" w:type="dxa"/>
            <w:vAlign w:val="bottom"/>
          </w:tcPr>
          <w:p>
            <w:pPr>
              <w:spacing w:after="0"/>
              <w:rPr>
                <w:sz w:val="21"/>
                <w:szCs w:val="21"/>
                <w:color w:val="auto"/>
              </w:rPr>
            </w:pPr>
          </w:p>
        </w:tc>
        <w:tc>
          <w:tcPr>
            <w:tcW w:w="8580" w:type="dxa"/>
            <w:vAlign w:val="bottom"/>
          </w:tcPr>
          <w:p>
            <w:pPr>
              <w:jc w:val="center"/>
              <w:ind w:left="1421"/>
              <w:spacing w:after="0"/>
              <w:rPr>
                <w:sz w:val="20"/>
                <w:szCs w:val="20"/>
                <w:color w:val="auto"/>
              </w:rPr>
            </w:pPr>
            <w:r>
              <w:rPr>
                <w:rFonts w:ascii="Arial" w:cs="Arial" w:eastAsia="Arial" w:hAnsi="Arial"/>
                <w:sz w:val="20"/>
                <w:szCs w:val="20"/>
                <w:color w:val="auto"/>
                <w:w w:val="95"/>
              </w:rPr>
              <w:t>EVENTS OF DEFAULT AND REMEDIES</w:t>
            </w:r>
          </w:p>
        </w:tc>
        <w:tc>
          <w:tcPr>
            <w:tcW w:w="1980" w:type="dxa"/>
            <w:vAlign w:val="bottom"/>
          </w:tcPr>
          <w:p>
            <w:pPr>
              <w:spacing w:after="0"/>
              <w:rPr>
                <w:sz w:val="21"/>
                <w:szCs w:val="21"/>
                <w:color w:val="auto"/>
              </w:rPr>
            </w:pPr>
          </w:p>
        </w:tc>
      </w:tr>
      <w:tr>
        <w:trPr>
          <w:trHeight w:val="330"/>
        </w:trPr>
        <w:tc>
          <w:tcPr>
            <w:tcW w:w="760" w:type="dxa"/>
            <w:vAlign w:val="bottom"/>
          </w:tcPr>
          <w:p>
            <w:pPr>
              <w:spacing w:after="0"/>
              <w:rPr>
                <w:sz w:val="20"/>
                <w:szCs w:val="20"/>
                <w:color w:val="auto"/>
              </w:rPr>
            </w:pPr>
            <w:r>
              <w:rPr>
                <w:rFonts w:ascii="Arial" w:cs="Arial" w:eastAsia="Arial" w:hAnsi="Arial"/>
                <w:sz w:val="20"/>
                <w:szCs w:val="20"/>
                <w:color w:val="auto"/>
              </w:rPr>
              <w:t>8.01</w:t>
            </w:r>
          </w:p>
        </w:tc>
        <w:tc>
          <w:tcPr>
            <w:tcW w:w="8580" w:type="dxa"/>
            <w:vAlign w:val="bottom"/>
          </w:tcPr>
          <w:p>
            <w:pPr>
              <w:ind w:left="400"/>
              <w:spacing w:after="0"/>
              <w:rPr>
                <w:sz w:val="20"/>
                <w:szCs w:val="20"/>
                <w:color w:val="auto"/>
              </w:rPr>
            </w:pPr>
            <w:r>
              <w:rPr>
                <w:rFonts w:ascii="Arial" w:cs="Arial" w:eastAsia="Arial" w:hAnsi="Arial"/>
                <w:sz w:val="20"/>
                <w:szCs w:val="20"/>
                <w:color w:val="auto"/>
              </w:rPr>
              <w:t>Events of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8.02</w:t>
            </w:r>
          </w:p>
        </w:tc>
        <w:tc>
          <w:tcPr>
            <w:tcW w:w="8580" w:type="dxa"/>
            <w:vAlign w:val="bottom"/>
          </w:tcPr>
          <w:p>
            <w:pPr>
              <w:ind w:left="400"/>
              <w:spacing w:after="0"/>
              <w:rPr>
                <w:sz w:val="20"/>
                <w:szCs w:val="20"/>
                <w:color w:val="auto"/>
              </w:rPr>
            </w:pPr>
            <w:r>
              <w:rPr>
                <w:rFonts w:ascii="Arial" w:cs="Arial" w:eastAsia="Arial" w:hAnsi="Arial"/>
                <w:sz w:val="20"/>
                <w:szCs w:val="20"/>
                <w:color w:val="auto"/>
              </w:rPr>
              <w:t>Remedies Upon Event of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61</w:t>
            </w:r>
          </w:p>
        </w:tc>
      </w:tr>
    </w:tbl>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80" w:top="433"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8.03</w:t>
            </w:r>
          </w:p>
        </w:tc>
        <w:tc>
          <w:tcPr>
            <w:tcW w:w="8220" w:type="dxa"/>
            <w:vAlign w:val="bottom"/>
          </w:tcPr>
          <w:p>
            <w:pPr>
              <w:ind w:left="360"/>
              <w:spacing w:after="0"/>
              <w:rPr>
                <w:sz w:val="20"/>
                <w:szCs w:val="20"/>
                <w:color w:val="auto"/>
              </w:rPr>
            </w:pPr>
            <w:r>
              <w:rPr>
                <w:rFonts w:ascii="Arial" w:cs="Arial" w:eastAsia="Arial" w:hAnsi="Arial"/>
                <w:sz w:val="20"/>
                <w:szCs w:val="20"/>
                <w:color w:val="auto"/>
              </w:rPr>
              <w:t>Application of Funds</w:t>
            </w:r>
          </w:p>
        </w:tc>
        <w:tc>
          <w:tcPr>
            <w:tcW w:w="23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411"/>
        </w:trPr>
        <w:tc>
          <w:tcPr>
            <w:tcW w:w="800" w:type="dxa"/>
            <w:vAlign w:val="bottom"/>
          </w:tcPr>
          <w:p>
            <w:pPr>
              <w:spacing w:after="0"/>
              <w:rPr>
                <w:sz w:val="24"/>
                <w:szCs w:val="24"/>
                <w:color w:val="auto"/>
              </w:rPr>
            </w:pPr>
          </w:p>
        </w:tc>
        <w:tc>
          <w:tcPr>
            <w:tcW w:w="8220" w:type="dxa"/>
            <w:vAlign w:val="bottom"/>
          </w:tcPr>
          <w:p>
            <w:pPr>
              <w:jc w:val="center"/>
              <w:ind w:left="1701"/>
              <w:spacing w:after="0"/>
              <w:rPr>
                <w:sz w:val="20"/>
                <w:szCs w:val="20"/>
                <w:color w:val="auto"/>
              </w:rPr>
            </w:pPr>
            <w:r>
              <w:rPr>
                <w:rFonts w:ascii="Arial" w:cs="Arial" w:eastAsia="Arial" w:hAnsi="Arial"/>
                <w:sz w:val="20"/>
                <w:szCs w:val="20"/>
                <w:color w:val="auto"/>
                <w:w w:val="99"/>
              </w:rPr>
              <w:t>ARTICLE IX.</w:t>
            </w:r>
          </w:p>
        </w:tc>
        <w:tc>
          <w:tcPr>
            <w:tcW w:w="230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8220" w:type="dxa"/>
            <w:vAlign w:val="bottom"/>
          </w:tcPr>
          <w:p>
            <w:pPr>
              <w:jc w:val="center"/>
              <w:ind w:left="1701"/>
              <w:spacing w:after="0"/>
              <w:rPr>
                <w:sz w:val="20"/>
                <w:szCs w:val="20"/>
                <w:color w:val="auto"/>
              </w:rPr>
            </w:pPr>
            <w:r>
              <w:rPr>
                <w:rFonts w:ascii="Arial" w:cs="Arial" w:eastAsia="Arial" w:hAnsi="Arial"/>
                <w:sz w:val="20"/>
                <w:szCs w:val="20"/>
                <w:color w:val="auto"/>
                <w:w w:val="98"/>
              </w:rPr>
              <w:t>ADMINISTRATIVE AGENT</w:t>
            </w:r>
          </w:p>
        </w:tc>
        <w:tc>
          <w:tcPr>
            <w:tcW w:w="2300" w:type="dxa"/>
            <w:vAlign w:val="bottom"/>
          </w:tcPr>
          <w:p>
            <w:pPr>
              <w:spacing w:after="0"/>
              <w:rPr>
                <w:sz w:val="21"/>
                <w:szCs w:val="21"/>
                <w:color w:val="auto"/>
              </w:rPr>
            </w:pPr>
          </w:p>
        </w:tc>
      </w:tr>
      <w:tr>
        <w:trPr>
          <w:trHeight w:val="330"/>
        </w:trPr>
        <w:tc>
          <w:tcPr>
            <w:tcW w:w="800" w:type="dxa"/>
            <w:vAlign w:val="bottom"/>
          </w:tcPr>
          <w:p>
            <w:pPr>
              <w:spacing w:after="0"/>
              <w:rPr>
                <w:sz w:val="20"/>
                <w:szCs w:val="20"/>
                <w:color w:val="auto"/>
              </w:rPr>
            </w:pPr>
            <w:r>
              <w:rPr>
                <w:rFonts w:ascii="Arial" w:cs="Arial" w:eastAsia="Arial" w:hAnsi="Arial"/>
                <w:sz w:val="20"/>
                <w:szCs w:val="20"/>
                <w:color w:val="auto"/>
              </w:rPr>
              <w:t>9.01</w:t>
            </w:r>
          </w:p>
        </w:tc>
        <w:tc>
          <w:tcPr>
            <w:tcW w:w="8220" w:type="dxa"/>
            <w:vAlign w:val="bottom"/>
          </w:tcPr>
          <w:p>
            <w:pPr>
              <w:ind w:left="360"/>
              <w:spacing w:after="0"/>
              <w:rPr>
                <w:sz w:val="20"/>
                <w:szCs w:val="20"/>
                <w:color w:val="auto"/>
              </w:rPr>
            </w:pPr>
            <w:r>
              <w:rPr>
                <w:rFonts w:ascii="Arial" w:cs="Arial" w:eastAsia="Arial" w:hAnsi="Arial"/>
                <w:sz w:val="20"/>
                <w:szCs w:val="20"/>
                <w:color w:val="auto"/>
              </w:rPr>
              <w:t>Appointment and Authority</w:t>
            </w:r>
          </w:p>
        </w:tc>
        <w:tc>
          <w:tcPr>
            <w:tcW w:w="23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9.02</w:t>
            </w:r>
          </w:p>
        </w:tc>
        <w:tc>
          <w:tcPr>
            <w:tcW w:w="8220" w:type="dxa"/>
            <w:vAlign w:val="bottom"/>
          </w:tcPr>
          <w:p>
            <w:pPr>
              <w:ind w:left="360"/>
              <w:spacing w:after="0"/>
              <w:rPr>
                <w:sz w:val="20"/>
                <w:szCs w:val="20"/>
                <w:color w:val="auto"/>
              </w:rPr>
            </w:pPr>
            <w:r>
              <w:rPr>
                <w:rFonts w:ascii="Arial" w:cs="Arial" w:eastAsia="Arial" w:hAnsi="Arial"/>
                <w:sz w:val="20"/>
                <w:szCs w:val="20"/>
                <w:color w:val="auto"/>
              </w:rPr>
              <w:t>Rights as a Lender</w:t>
            </w:r>
          </w:p>
        </w:tc>
        <w:tc>
          <w:tcPr>
            <w:tcW w:w="23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9.03</w:t>
            </w:r>
          </w:p>
        </w:tc>
        <w:tc>
          <w:tcPr>
            <w:tcW w:w="8220" w:type="dxa"/>
            <w:vAlign w:val="bottom"/>
          </w:tcPr>
          <w:p>
            <w:pPr>
              <w:ind w:left="360"/>
              <w:spacing w:after="0"/>
              <w:rPr>
                <w:sz w:val="20"/>
                <w:szCs w:val="20"/>
                <w:color w:val="auto"/>
              </w:rPr>
            </w:pPr>
            <w:r>
              <w:rPr>
                <w:rFonts w:ascii="Arial" w:cs="Arial" w:eastAsia="Arial" w:hAnsi="Arial"/>
                <w:sz w:val="20"/>
                <w:szCs w:val="20"/>
                <w:color w:val="auto"/>
              </w:rPr>
              <w:t>Exculpatory Provisions</w:t>
            </w:r>
          </w:p>
        </w:tc>
        <w:tc>
          <w:tcPr>
            <w:tcW w:w="23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9.04</w:t>
            </w:r>
          </w:p>
        </w:tc>
        <w:tc>
          <w:tcPr>
            <w:tcW w:w="8220" w:type="dxa"/>
            <w:vAlign w:val="bottom"/>
          </w:tcPr>
          <w:p>
            <w:pPr>
              <w:ind w:left="360"/>
              <w:spacing w:after="0"/>
              <w:rPr>
                <w:sz w:val="20"/>
                <w:szCs w:val="20"/>
                <w:color w:val="auto"/>
              </w:rPr>
            </w:pPr>
            <w:r>
              <w:rPr>
                <w:rFonts w:ascii="Arial" w:cs="Arial" w:eastAsia="Arial" w:hAnsi="Arial"/>
                <w:sz w:val="20"/>
                <w:szCs w:val="20"/>
                <w:color w:val="auto"/>
              </w:rPr>
              <w:t>Reliance by Administrative Agent</w:t>
            </w:r>
          </w:p>
        </w:tc>
        <w:tc>
          <w:tcPr>
            <w:tcW w:w="23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9.05</w:t>
            </w:r>
          </w:p>
        </w:tc>
        <w:tc>
          <w:tcPr>
            <w:tcW w:w="8220" w:type="dxa"/>
            <w:vAlign w:val="bottom"/>
          </w:tcPr>
          <w:p>
            <w:pPr>
              <w:ind w:left="360"/>
              <w:spacing w:after="0"/>
              <w:rPr>
                <w:sz w:val="20"/>
                <w:szCs w:val="20"/>
                <w:color w:val="auto"/>
              </w:rPr>
            </w:pPr>
            <w:r>
              <w:rPr>
                <w:rFonts w:ascii="Arial" w:cs="Arial" w:eastAsia="Arial" w:hAnsi="Arial"/>
                <w:sz w:val="20"/>
                <w:szCs w:val="20"/>
                <w:color w:val="auto"/>
              </w:rPr>
              <w:t>Delegation of Duties</w:t>
            </w:r>
          </w:p>
        </w:tc>
        <w:tc>
          <w:tcPr>
            <w:tcW w:w="230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9.06</w:t>
            </w:r>
          </w:p>
        </w:tc>
        <w:tc>
          <w:tcPr>
            <w:tcW w:w="8220" w:type="dxa"/>
            <w:vAlign w:val="bottom"/>
          </w:tcPr>
          <w:p>
            <w:pPr>
              <w:ind w:left="360"/>
              <w:spacing w:after="0"/>
              <w:rPr>
                <w:sz w:val="20"/>
                <w:szCs w:val="20"/>
                <w:color w:val="auto"/>
              </w:rPr>
            </w:pPr>
            <w:r>
              <w:rPr>
                <w:rFonts w:ascii="Arial" w:cs="Arial" w:eastAsia="Arial" w:hAnsi="Arial"/>
                <w:sz w:val="20"/>
                <w:szCs w:val="20"/>
                <w:color w:val="auto"/>
              </w:rPr>
              <w:t>Resignation or Removal of Administrative Agent</w:t>
            </w:r>
          </w:p>
        </w:tc>
        <w:tc>
          <w:tcPr>
            <w:tcW w:w="230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9.07</w:t>
            </w:r>
          </w:p>
        </w:tc>
        <w:tc>
          <w:tcPr>
            <w:tcW w:w="8220" w:type="dxa"/>
            <w:vAlign w:val="bottom"/>
          </w:tcPr>
          <w:p>
            <w:pPr>
              <w:ind w:left="360"/>
              <w:spacing w:after="0"/>
              <w:rPr>
                <w:sz w:val="20"/>
                <w:szCs w:val="20"/>
                <w:color w:val="auto"/>
              </w:rPr>
            </w:pPr>
            <w:r>
              <w:rPr>
                <w:rFonts w:ascii="Arial" w:cs="Arial" w:eastAsia="Arial" w:hAnsi="Arial"/>
                <w:sz w:val="20"/>
                <w:szCs w:val="20"/>
                <w:color w:val="auto"/>
              </w:rPr>
              <w:t>Non-Reliance on Administrative Agent and Other Lenders</w:t>
            </w:r>
          </w:p>
        </w:tc>
        <w:tc>
          <w:tcPr>
            <w:tcW w:w="23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9.08</w:t>
            </w:r>
          </w:p>
        </w:tc>
        <w:tc>
          <w:tcPr>
            <w:tcW w:w="8220" w:type="dxa"/>
            <w:vAlign w:val="bottom"/>
          </w:tcPr>
          <w:p>
            <w:pPr>
              <w:ind w:left="360"/>
              <w:spacing w:after="0"/>
              <w:rPr>
                <w:sz w:val="20"/>
                <w:szCs w:val="20"/>
                <w:color w:val="auto"/>
              </w:rPr>
            </w:pPr>
            <w:r>
              <w:rPr>
                <w:rFonts w:ascii="Arial" w:cs="Arial" w:eastAsia="Arial" w:hAnsi="Arial"/>
                <w:sz w:val="20"/>
                <w:szCs w:val="20"/>
                <w:color w:val="auto"/>
              </w:rPr>
              <w:t>No Other Duties, Etc</w:t>
            </w:r>
          </w:p>
        </w:tc>
        <w:tc>
          <w:tcPr>
            <w:tcW w:w="23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9.09</w:t>
            </w:r>
          </w:p>
        </w:tc>
        <w:tc>
          <w:tcPr>
            <w:tcW w:w="8220" w:type="dxa"/>
            <w:vAlign w:val="bottom"/>
          </w:tcPr>
          <w:p>
            <w:pPr>
              <w:ind w:left="360"/>
              <w:spacing w:after="0"/>
              <w:rPr>
                <w:sz w:val="20"/>
                <w:szCs w:val="20"/>
                <w:color w:val="auto"/>
              </w:rPr>
            </w:pPr>
            <w:r>
              <w:rPr>
                <w:rFonts w:ascii="Arial" w:cs="Arial" w:eastAsia="Arial" w:hAnsi="Arial"/>
                <w:sz w:val="20"/>
                <w:szCs w:val="20"/>
                <w:color w:val="auto"/>
              </w:rPr>
              <w:t>Administrative Agent May File Proofs of Claim</w:t>
            </w:r>
          </w:p>
        </w:tc>
        <w:tc>
          <w:tcPr>
            <w:tcW w:w="23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9.10</w:t>
            </w:r>
          </w:p>
        </w:tc>
        <w:tc>
          <w:tcPr>
            <w:tcW w:w="8220" w:type="dxa"/>
            <w:vAlign w:val="bottom"/>
          </w:tcPr>
          <w:p>
            <w:pPr>
              <w:ind w:left="360"/>
              <w:spacing w:after="0"/>
              <w:rPr>
                <w:sz w:val="20"/>
                <w:szCs w:val="20"/>
                <w:color w:val="auto"/>
              </w:rPr>
            </w:pPr>
            <w:r>
              <w:rPr>
                <w:rFonts w:ascii="Arial" w:cs="Arial" w:eastAsia="Arial" w:hAnsi="Arial"/>
                <w:sz w:val="20"/>
                <w:szCs w:val="20"/>
                <w:color w:val="auto"/>
              </w:rPr>
              <w:t>No Lender is an Employee Benefit Plan</w:t>
            </w:r>
          </w:p>
        </w:tc>
        <w:tc>
          <w:tcPr>
            <w:tcW w:w="23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411"/>
        </w:trPr>
        <w:tc>
          <w:tcPr>
            <w:tcW w:w="800" w:type="dxa"/>
            <w:vAlign w:val="bottom"/>
          </w:tcPr>
          <w:p>
            <w:pPr>
              <w:spacing w:after="0"/>
              <w:rPr>
                <w:sz w:val="24"/>
                <w:szCs w:val="24"/>
                <w:color w:val="auto"/>
              </w:rPr>
            </w:pPr>
          </w:p>
        </w:tc>
        <w:tc>
          <w:tcPr>
            <w:tcW w:w="8220" w:type="dxa"/>
            <w:vAlign w:val="bottom"/>
          </w:tcPr>
          <w:p>
            <w:pPr>
              <w:jc w:val="center"/>
              <w:ind w:left="1701"/>
              <w:spacing w:after="0"/>
              <w:rPr>
                <w:sz w:val="20"/>
                <w:szCs w:val="20"/>
                <w:color w:val="auto"/>
              </w:rPr>
            </w:pPr>
            <w:r>
              <w:rPr>
                <w:rFonts w:ascii="Arial" w:cs="Arial" w:eastAsia="Arial" w:hAnsi="Arial"/>
                <w:sz w:val="20"/>
                <w:szCs w:val="20"/>
                <w:color w:val="auto"/>
                <w:w w:val="97"/>
              </w:rPr>
              <w:t>ARTICLE X.</w:t>
            </w:r>
          </w:p>
        </w:tc>
        <w:tc>
          <w:tcPr>
            <w:tcW w:w="230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8220" w:type="dxa"/>
            <w:vAlign w:val="bottom"/>
          </w:tcPr>
          <w:p>
            <w:pPr>
              <w:jc w:val="center"/>
              <w:ind w:left="1701"/>
              <w:spacing w:after="0"/>
              <w:rPr>
                <w:sz w:val="20"/>
                <w:szCs w:val="20"/>
                <w:color w:val="auto"/>
              </w:rPr>
            </w:pPr>
            <w:r>
              <w:rPr>
                <w:rFonts w:ascii="Arial" w:cs="Arial" w:eastAsia="Arial" w:hAnsi="Arial"/>
                <w:sz w:val="20"/>
                <w:szCs w:val="20"/>
                <w:color w:val="auto"/>
                <w:w w:val="97"/>
              </w:rPr>
              <w:t>MISCELLANEOUS</w:t>
            </w:r>
          </w:p>
        </w:tc>
        <w:tc>
          <w:tcPr>
            <w:tcW w:w="2300" w:type="dxa"/>
            <w:vAlign w:val="bottom"/>
          </w:tcPr>
          <w:p>
            <w:pPr>
              <w:spacing w:after="0"/>
              <w:rPr>
                <w:sz w:val="21"/>
                <w:szCs w:val="21"/>
                <w:color w:val="auto"/>
              </w:rPr>
            </w:pPr>
          </w:p>
        </w:tc>
      </w:tr>
      <w:tr>
        <w:trPr>
          <w:trHeight w:val="330"/>
        </w:trPr>
        <w:tc>
          <w:tcPr>
            <w:tcW w:w="800" w:type="dxa"/>
            <w:vAlign w:val="bottom"/>
          </w:tcPr>
          <w:p>
            <w:pPr>
              <w:spacing w:after="0"/>
              <w:rPr>
                <w:sz w:val="20"/>
                <w:szCs w:val="20"/>
                <w:color w:val="auto"/>
              </w:rPr>
            </w:pPr>
            <w:r>
              <w:rPr>
                <w:rFonts w:ascii="Arial" w:cs="Arial" w:eastAsia="Arial" w:hAnsi="Arial"/>
                <w:sz w:val="20"/>
                <w:szCs w:val="20"/>
                <w:color w:val="auto"/>
              </w:rPr>
              <w:t>10.01</w:t>
            </w:r>
          </w:p>
        </w:tc>
        <w:tc>
          <w:tcPr>
            <w:tcW w:w="8220" w:type="dxa"/>
            <w:vAlign w:val="bottom"/>
          </w:tcPr>
          <w:p>
            <w:pPr>
              <w:ind w:left="360"/>
              <w:spacing w:after="0"/>
              <w:rPr>
                <w:sz w:val="20"/>
                <w:szCs w:val="20"/>
                <w:color w:val="auto"/>
              </w:rPr>
            </w:pPr>
            <w:r>
              <w:rPr>
                <w:rFonts w:ascii="Arial" w:cs="Arial" w:eastAsia="Arial" w:hAnsi="Arial"/>
                <w:sz w:val="20"/>
                <w:szCs w:val="20"/>
                <w:color w:val="auto"/>
              </w:rPr>
              <w:t>Amendments, Etc</w:t>
            </w:r>
          </w:p>
        </w:tc>
        <w:tc>
          <w:tcPr>
            <w:tcW w:w="23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10.02</w:t>
            </w:r>
          </w:p>
        </w:tc>
        <w:tc>
          <w:tcPr>
            <w:tcW w:w="8220" w:type="dxa"/>
            <w:vAlign w:val="bottom"/>
          </w:tcPr>
          <w:p>
            <w:pPr>
              <w:ind w:left="360"/>
              <w:spacing w:after="0"/>
              <w:rPr>
                <w:sz w:val="20"/>
                <w:szCs w:val="20"/>
                <w:color w:val="auto"/>
              </w:rPr>
            </w:pPr>
            <w:r>
              <w:rPr>
                <w:rFonts w:ascii="Arial" w:cs="Arial" w:eastAsia="Arial" w:hAnsi="Arial"/>
                <w:sz w:val="20"/>
                <w:szCs w:val="20"/>
                <w:color w:val="auto"/>
              </w:rPr>
              <w:t>Notices; Effectiveness; Electronic Communication</w:t>
            </w:r>
          </w:p>
        </w:tc>
        <w:tc>
          <w:tcPr>
            <w:tcW w:w="23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10.03</w:t>
            </w:r>
          </w:p>
        </w:tc>
        <w:tc>
          <w:tcPr>
            <w:tcW w:w="8220" w:type="dxa"/>
            <w:vAlign w:val="bottom"/>
          </w:tcPr>
          <w:p>
            <w:pPr>
              <w:ind w:left="360"/>
              <w:spacing w:after="0"/>
              <w:rPr>
                <w:sz w:val="20"/>
                <w:szCs w:val="20"/>
                <w:color w:val="auto"/>
              </w:rPr>
            </w:pPr>
            <w:r>
              <w:rPr>
                <w:rFonts w:ascii="Arial" w:cs="Arial" w:eastAsia="Arial" w:hAnsi="Arial"/>
                <w:sz w:val="20"/>
                <w:szCs w:val="20"/>
                <w:color w:val="auto"/>
              </w:rPr>
              <w:t>No Waiver; Cumulative Remedies; Enforcement</w:t>
            </w:r>
          </w:p>
        </w:tc>
        <w:tc>
          <w:tcPr>
            <w:tcW w:w="23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10.04</w:t>
            </w:r>
          </w:p>
        </w:tc>
        <w:tc>
          <w:tcPr>
            <w:tcW w:w="8220" w:type="dxa"/>
            <w:vAlign w:val="bottom"/>
          </w:tcPr>
          <w:p>
            <w:pPr>
              <w:ind w:left="360"/>
              <w:spacing w:after="0"/>
              <w:rPr>
                <w:sz w:val="20"/>
                <w:szCs w:val="20"/>
                <w:color w:val="auto"/>
              </w:rPr>
            </w:pPr>
            <w:r>
              <w:rPr>
                <w:rFonts w:ascii="Arial" w:cs="Arial" w:eastAsia="Arial" w:hAnsi="Arial"/>
                <w:sz w:val="20"/>
                <w:szCs w:val="20"/>
                <w:color w:val="auto"/>
              </w:rPr>
              <w:t>Expenses; Indemnity; Damage Waiver</w:t>
            </w:r>
          </w:p>
        </w:tc>
        <w:tc>
          <w:tcPr>
            <w:tcW w:w="23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10.05</w:t>
            </w:r>
          </w:p>
        </w:tc>
        <w:tc>
          <w:tcPr>
            <w:tcW w:w="8220" w:type="dxa"/>
            <w:vAlign w:val="bottom"/>
          </w:tcPr>
          <w:p>
            <w:pPr>
              <w:ind w:left="360"/>
              <w:spacing w:after="0"/>
              <w:rPr>
                <w:sz w:val="20"/>
                <w:szCs w:val="20"/>
                <w:color w:val="auto"/>
              </w:rPr>
            </w:pPr>
            <w:r>
              <w:rPr>
                <w:rFonts w:ascii="Arial" w:cs="Arial" w:eastAsia="Arial" w:hAnsi="Arial"/>
                <w:sz w:val="20"/>
                <w:szCs w:val="20"/>
                <w:color w:val="auto"/>
              </w:rPr>
              <w:t>Payments Set Aside</w:t>
            </w:r>
          </w:p>
        </w:tc>
        <w:tc>
          <w:tcPr>
            <w:tcW w:w="23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10.06</w:t>
            </w:r>
          </w:p>
        </w:tc>
        <w:tc>
          <w:tcPr>
            <w:tcW w:w="8220" w:type="dxa"/>
            <w:vAlign w:val="bottom"/>
          </w:tcPr>
          <w:p>
            <w:pPr>
              <w:ind w:left="360"/>
              <w:spacing w:after="0"/>
              <w:rPr>
                <w:sz w:val="20"/>
                <w:szCs w:val="20"/>
                <w:color w:val="auto"/>
              </w:rPr>
            </w:pPr>
            <w:r>
              <w:rPr>
                <w:rFonts w:ascii="Arial" w:cs="Arial" w:eastAsia="Arial" w:hAnsi="Arial"/>
                <w:sz w:val="20"/>
                <w:szCs w:val="20"/>
                <w:color w:val="auto"/>
              </w:rPr>
              <w:t>Successors and Assigns</w:t>
            </w:r>
          </w:p>
        </w:tc>
        <w:tc>
          <w:tcPr>
            <w:tcW w:w="23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10.07</w:t>
            </w:r>
          </w:p>
        </w:tc>
        <w:tc>
          <w:tcPr>
            <w:tcW w:w="8220" w:type="dxa"/>
            <w:vAlign w:val="bottom"/>
          </w:tcPr>
          <w:p>
            <w:pPr>
              <w:ind w:left="360"/>
              <w:spacing w:after="0"/>
              <w:rPr>
                <w:sz w:val="20"/>
                <w:szCs w:val="20"/>
                <w:color w:val="auto"/>
              </w:rPr>
            </w:pPr>
            <w:r>
              <w:rPr>
                <w:rFonts w:ascii="Arial" w:cs="Arial" w:eastAsia="Arial" w:hAnsi="Arial"/>
                <w:sz w:val="20"/>
                <w:szCs w:val="20"/>
                <w:color w:val="auto"/>
              </w:rPr>
              <w:t>Treatment of Certain Information; Confidentiality</w:t>
            </w:r>
          </w:p>
        </w:tc>
        <w:tc>
          <w:tcPr>
            <w:tcW w:w="23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10.08</w:t>
            </w:r>
          </w:p>
        </w:tc>
        <w:tc>
          <w:tcPr>
            <w:tcW w:w="8220" w:type="dxa"/>
            <w:vAlign w:val="bottom"/>
          </w:tcPr>
          <w:p>
            <w:pPr>
              <w:ind w:left="360"/>
              <w:spacing w:after="0"/>
              <w:rPr>
                <w:sz w:val="20"/>
                <w:szCs w:val="20"/>
                <w:color w:val="auto"/>
              </w:rPr>
            </w:pPr>
            <w:r>
              <w:rPr>
                <w:rFonts w:ascii="Arial" w:cs="Arial" w:eastAsia="Arial" w:hAnsi="Arial"/>
                <w:sz w:val="20"/>
                <w:szCs w:val="20"/>
                <w:color w:val="auto"/>
              </w:rPr>
              <w:t>Right of Setoff</w:t>
            </w:r>
          </w:p>
        </w:tc>
        <w:tc>
          <w:tcPr>
            <w:tcW w:w="23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10.09</w:t>
            </w:r>
          </w:p>
        </w:tc>
        <w:tc>
          <w:tcPr>
            <w:tcW w:w="8220" w:type="dxa"/>
            <w:vAlign w:val="bottom"/>
          </w:tcPr>
          <w:p>
            <w:pPr>
              <w:ind w:left="360"/>
              <w:spacing w:after="0"/>
              <w:rPr>
                <w:sz w:val="20"/>
                <w:szCs w:val="20"/>
                <w:color w:val="auto"/>
              </w:rPr>
            </w:pPr>
            <w:r>
              <w:rPr>
                <w:rFonts w:ascii="Arial" w:cs="Arial" w:eastAsia="Arial" w:hAnsi="Arial"/>
                <w:sz w:val="20"/>
                <w:szCs w:val="20"/>
                <w:color w:val="auto"/>
              </w:rPr>
              <w:t>Interest Rate Limitation</w:t>
            </w:r>
          </w:p>
        </w:tc>
        <w:tc>
          <w:tcPr>
            <w:tcW w:w="23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10.10</w:t>
            </w:r>
          </w:p>
        </w:tc>
        <w:tc>
          <w:tcPr>
            <w:tcW w:w="8220" w:type="dxa"/>
            <w:vAlign w:val="bottom"/>
          </w:tcPr>
          <w:p>
            <w:pPr>
              <w:ind w:left="360"/>
              <w:spacing w:after="0"/>
              <w:rPr>
                <w:sz w:val="20"/>
                <w:szCs w:val="20"/>
                <w:color w:val="auto"/>
              </w:rPr>
            </w:pPr>
            <w:r>
              <w:rPr>
                <w:rFonts w:ascii="Arial" w:cs="Arial" w:eastAsia="Arial" w:hAnsi="Arial"/>
                <w:sz w:val="20"/>
                <w:szCs w:val="20"/>
                <w:color w:val="auto"/>
              </w:rPr>
              <w:t>Counterparts; Integration; Effectiveness</w:t>
            </w:r>
          </w:p>
        </w:tc>
        <w:tc>
          <w:tcPr>
            <w:tcW w:w="23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10.11</w:t>
            </w:r>
          </w:p>
        </w:tc>
        <w:tc>
          <w:tcPr>
            <w:tcW w:w="8220" w:type="dxa"/>
            <w:vAlign w:val="bottom"/>
          </w:tcPr>
          <w:p>
            <w:pPr>
              <w:ind w:left="360"/>
              <w:spacing w:after="0"/>
              <w:rPr>
                <w:sz w:val="20"/>
                <w:szCs w:val="20"/>
                <w:color w:val="auto"/>
              </w:rPr>
            </w:pPr>
            <w:r>
              <w:rPr>
                <w:rFonts w:ascii="Arial" w:cs="Arial" w:eastAsia="Arial" w:hAnsi="Arial"/>
                <w:sz w:val="20"/>
                <w:szCs w:val="20"/>
                <w:color w:val="auto"/>
              </w:rPr>
              <w:t>Survival of Representations and Warranties</w:t>
            </w:r>
          </w:p>
        </w:tc>
        <w:tc>
          <w:tcPr>
            <w:tcW w:w="23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10.12</w:t>
            </w:r>
          </w:p>
        </w:tc>
        <w:tc>
          <w:tcPr>
            <w:tcW w:w="8220" w:type="dxa"/>
            <w:vAlign w:val="bottom"/>
          </w:tcPr>
          <w:p>
            <w:pPr>
              <w:ind w:left="360"/>
              <w:spacing w:after="0"/>
              <w:rPr>
                <w:sz w:val="20"/>
                <w:szCs w:val="20"/>
                <w:color w:val="auto"/>
              </w:rPr>
            </w:pPr>
            <w:r>
              <w:rPr>
                <w:rFonts w:ascii="Arial" w:cs="Arial" w:eastAsia="Arial" w:hAnsi="Arial"/>
                <w:sz w:val="20"/>
                <w:szCs w:val="20"/>
                <w:color w:val="auto"/>
              </w:rPr>
              <w:t>Severability</w:t>
            </w:r>
          </w:p>
        </w:tc>
        <w:tc>
          <w:tcPr>
            <w:tcW w:w="23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10.13</w:t>
            </w:r>
          </w:p>
        </w:tc>
        <w:tc>
          <w:tcPr>
            <w:tcW w:w="8220" w:type="dxa"/>
            <w:vAlign w:val="bottom"/>
          </w:tcPr>
          <w:p>
            <w:pPr>
              <w:ind w:left="360"/>
              <w:spacing w:after="0"/>
              <w:rPr>
                <w:sz w:val="20"/>
                <w:szCs w:val="20"/>
                <w:color w:val="auto"/>
              </w:rPr>
            </w:pPr>
            <w:r>
              <w:rPr>
                <w:rFonts w:ascii="Arial" w:cs="Arial" w:eastAsia="Arial" w:hAnsi="Arial"/>
                <w:sz w:val="20"/>
                <w:szCs w:val="20"/>
                <w:color w:val="auto"/>
              </w:rPr>
              <w:t>Replacement of Lenders</w:t>
            </w:r>
          </w:p>
        </w:tc>
        <w:tc>
          <w:tcPr>
            <w:tcW w:w="23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10.14</w:t>
            </w:r>
          </w:p>
        </w:tc>
        <w:tc>
          <w:tcPr>
            <w:tcW w:w="8220" w:type="dxa"/>
            <w:vAlign w:val="bottom"/>
          </w:tcPr>
          <w:p>
            <w:pPr>
              <w:ind w:left="360"/>
              <w:spacing w:after="0"/>
              <w:rPr>
                <w:sz w:val="20"/>
                <w:szCs w:val="20"/>
                <w:color w:val="auto"/>
              </w:rPr>
            </w:pPr>
            <w:r>
              <w:rPr>
                <w:rFonts w:ascii="Arial" w:cs="Arial" w:eastAsia="Arial" w:hAnsi="Arial"/>
                <w:sz w:val="20"/>
                <w:szCs w:val="20"/>
                <w:color w:val="auto"/>
              </w:rPr>
              <w:t>Governing Law; Jurisdiction; Etc</w:t>
            </w:r>
          </w:p>
        </w:tc>
        <w:tc>
          <w:tcPr>
            <w:tcW w:w="23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10.15</w:t>
            </w:r>
          </w:p>
        </w:tc>
        <w:tc>
          <w:tcPr>
            <w:tcW w:w="8220" w:type="dxa"/>
            <w:vAlign w:val="bottom"/>
          </w:tcPr>
          <w:p>
            <w:pPr>
              <w:ind w:left="360"/>
              <w:spacing w:after="0"/>
              <w:rPr>
                <w:sz w:val="20"/>
                <w:szCs w:val="20"/>
                <w:color w:val="auto"/>
              </w:rPr>
            </w:pPr>
            <w:r>
              <w:rPr>
                <w:rFonts w:ascii="Arial" w:cs="Arial" w:eastAsia="Arial" w:hAnsi="Arial"/>
                <w:sz w:val="20"/>
                <w:szCs w:val="20"/>
                <w:color w:val="auto"/>
              </w:rPr>
              <w:t>Waiver of Jury Trial</w:t>
            </w:r>
          </w:p>
        </w:tc>
        <w:tc>
          <w:tcPr>
            <w:tcW w:w="23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10.16</w:t>
            </w:r>
          </w:p>
        </w:tc>
        <w:tc>
          <w:tcPr>
            <w:tcW w:w="8220" w:type="dxa"/>
            <w:vAlign w:val="bottom"/>
          </w:tcPr>
          <w:p>
            <w:pPr>
              <w:ind w:left="360"/>
              <w:spacing w:after="0"/>
              <w:rPr>
                <w:sz w:val="20"/>
                <w:szCs w:val="20"/>
                <w:color w:val="auto"/>
              </w:rPr>
            </w:pPr>
            <w:r>
              <w:rPr>
                <w:rFonts w:ascii="Arial" w:cs="Arial" w:eastAsia="Arial" w:hAnsi="Arial"/>
                <w:sz w:val="20"/>
                <w:szCs w:val="20"/>
                <w:color w:val="auto"/>
              </w:rPr>
              <w:t>USA PATRIOT Act Notice</w:t>
            </w:r>
          </w:p>
        </w:tc>
        <w:tc>
          <w:tcPr>
            <w:tcW w:w="23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10.17</w:t>
            </w:r>
          </w:p>
        </w:tc>
        <w:tc>
          <w:tcPr>
            <w:tcW w:w="8220" w:type="dxa"/>
            <w:vAlign w:val="bottom"/>
          </w:tcPr>
          <w:p>
            <w:pPr>
              <w:ind w:left="360"/>
              <w:spacing w:after="0"/>
              <w:rPr>
                <w:sz w:val="20"/>
                <w:szCs w:val="20"/>
                <w:color w:val="auto"/>
              </w:rPr>
            </w:pPr>
            <w:r>
              <w:rPr>
                <w:rFonts w:ascii="Arial" w:cs="Arial" w:eastAsia="Arial" w:hAnsi="Arial"/>
                <w:sz w:val="20"/>
                <w:szCs w:val="20"/>
                <w:color w:val="auto"/>
              </w:rPr>
              <w:t>Automatic Debits of Principal, Interest, Fees</w:t>
            </w:r>
          </w:p>
        </w:tc>
        <w:tc>
          <w:tcPr>
            <w:tcW w:w="23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10.18</w:t>
            </w:r>
          </w:p>
        </w:tc>
        <w:tc>
          <w:tcPr>
            <w:tcW w:w="8220" w:type="dxa"/>
            <w:vAlign w:val="bottom"/>
          </w:tcPr>
          <w:p>
            <w:pPr>
              <w:ind w:left="360"/>
              <w:spacing w:after="0"/>
              <w:rPr>
                <w:sz w:val="20"/>
                <w:szCs w:val="20"/>
                <w:color w:val="auto"/>
              </w:rPr>
            </w:pPr>
            <w:r>
              <w:rPr>
                <w:rFonts w:ascii="Arial" w:cs="Arial" w:eastAsia="Arial" w:hAnsi="Arial"/>
                <w:sz w:val="20"/>
                <w:szCs w:val="20"/>
                <w:color w:val="auto"/>
              </w:rPr>
              <w:t>No Advisory or Fiduciary Responsibility</w:t>
            </w:r>
          </w:p>
        </w:tc>
        <w:tc>
          <w:tcPr>
            <w:tcW w:w="23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10.19</w:t>
            </w:r>
          </w:p>
        </w:tc>
        <w:tc>
          <w:tcPr>
            <w:tcW w:w="8220" w:type="dxa"/>
            <w:vAlign w:val="bottom"/>
          </w:tcPr>
          <w:p>
            <w:pPr>
              <w:ind w:left="360"/>
              <w:spacing w:after="0"/>
              <w:rPr>
                <w:sz w:val="20"/>
                <w:szCs w:val="20"/>
                <w:color w:val="auto"/>
              </w:rPr>
            </w:pPr>
            <w:r>
              <w:rPr>
                <w:rFonts w:ascii="Arial" w:cs="Arial" w:eastAsia="Arial" w:hAnsi="Arial"/>
                <w:sz w:val="20"/>
                <w:szCs w:val="20"/>
                <w:color w:val="auto"/>
              </w:rPr>
              <w:t>Electronic Execution of Assignments and Certain Other Documents</w:t>
            </w:r>
          </w:p>
        </w:tc>
        <w:tc>
          <w:tcPr>
            <w:tcW w:w="230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10.20</w:t>
            </w:r>
          </w:p>
        </w:tc>
        <w:tc>
          <w:tcPr>
            <w:tcW w:w="8220" w:type="dxa"/>
            <w:vAlign w:val="bottom"/>
          </w:tcPr>
          <w:p>
            <w:pPr>
              <w:ind w:left="360"/>
              <w:spacing w:after="0"/>
              <w:rPr>
                <w:sz w:val="20"/>
                <w:szCs w:val="20"/>
                <w:color w:val="auto"/>
              </w:rPr>
            </w:pPr>
            <w:r>
              <w:rPr>
                <w:rFonts w:ascii="Arial" w:cs="Arial" w:eastAsia="Arial" w:hAnsi="Arial"/>
                <w:sz w:val="20"/>
                <w:szCs w:val="20"/>
                <w:color w:val="auto"/>
              </w:rPr>
              <w:t>ENTIRE AGREEMENT</w:t>
            </w:r>
          </w:p>
        </w:tc>
        <w:tc>
          <w:tcPr>
            <w:tcW w:w="230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10.21</w:t>
            </w:r>
          </w:p>
        </w:tc>
        <w:tc>
          <w:tcPr>
            <w:tcW w:w="8220" w:type="dxa"/>
            <w:vAlign w:val="bottom"/>
          </w:tcPr>
          <w:p>
            <w:pPr>
              <w:ind w:left="36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230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689"/>
        </w:trPr>
        <w:tc>
          <w:tcPr>
            <w:tcW w:w="9020" w:type="dxa"/>
            <w:vAlign w:val="bottom"/>
            <w:gridSpan w:val="2"/>
          </w:tcPr>
          <w:p>
            <w:pPr>
              <w:spacing w:after="0"/>
              <w:rPr>
                <w:sz w:val="20"/>
                <w:szCs w:val="20"/>
                <w:color w:val="auto"/>
              </w:rPr>
            </w:pPr>
            <w:r>
              <w:rPr>
                <w:rFonts w:ascii="Arial" w:cs="Arial" w:eastAsia="Arial" w:hAnsi="Arial"/>
                <w:sz w:val="20"/>
                <w:szCs w:val="20"/>
                <w:color w:val="auto"/>
              </w:rPr>
              <w:t>SIGNATURES</w:t>
            </w:r>
          </w:p>
        </w:tc>
        <w:tc>
          <w:tcPr>
            <w:tcW w:w="2300" w:type="dxa"/>
            <w:vAlign w:val="bottom"/>
          </w:tcPr>
          <w:p>
            <w:pPr>
              <w:jc w:val="right"/>
              <w:spacing w:after="0"/>
              <w:rPr>
                <w:sz w:val="20"/>
                <w:szCs w:val="20"/>
                <w:color w:val="auto"/>
              </w:rPr>
            </w:pPr>
            <w:r>
              <w:rPr>
                <w:rFonts w:ascii="Arial" w:cs="Arial" w:eastAsia="Arial" w:hAnsi="Arial"/>
                <w:sz w:val="20"/>
                <w:szCs w:val="20"/>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80" w:top="474"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6"/>
        </w:trPr>
        <w:tc>
          <w:tcPr>
            <w:tcW w:w="1480" w:type="dxa"/>
            <w:vAlign w:val="bottom"/>
          </w:tcPr>
          <w:p>
            <w:pPr>
              <w:spacing w:after="0"/>
              <w:rPr>
                <w:sz w:val="20"/>
                <w:szCs w:val="20"/>
                <w:color w:val="auto"/>
              </w:rPr>
            </w:pPr>
            <w:r>
              <w:rPr>
                <w:rFonts w:ascii="Arial" w:cs="Arial" w:eastAsia="Arial" w:hAnsi="Arial"/>
                <w:sz w:val="20"/>
                <w:szCs w:val="20"/>
                <w:b w:val="1"/>
                <w:bCs w:val="1"/>
                <w:color w:val="auto"/>
              </w:rPr>
              <w:t>ANNEXES</w:t>
            </w:r>
          </w:p>
        </w:tc>
        <w:tc>
          <w:tcPr>
            <w:tcW w:w="6440" w:type="dxa"/>
            <w:vAlign w:val="bottom"/>
          </w:tcPr>
          <w:p>
            <w:pPr>
              <w:spacing w:after="0"/>
              <w:rPr>
                <w:sz w:val="22"/>
                <w:szCs w:val="22"/>
                <w:color w:val="auto"/>
              </w:rPr>
            </w:pPr>
          </w:p>
        </w:tc>
      </w:tr>
      <w:tr>
        <w:trPr>
          <w:trHeight w:val="459"/>
        </w:trPr>
        <w:tc>
          <w:tcPr>
            <w:tcW w:w="1480" w:type="dxa"/>
            <w:vAlign w:val="bottom"/>
          </w:tcPr>
          <w:p>
            <w:pPr>
              <w:ind w:left="880"/>
              <w:spacing w:after="0"/>
              <w:rPr>
                <w:sz w:val="20"/>
                <w:szCs w:val="20"/>
                <w:color w:val="auto"/>
              </w:rPr>
            </w:pPr>
            <w:r>
              <w:rPr>
                <w:rFonts w:ascii="Arial" w:cs="Arial" w:eastAsia="Arial" w:hAnsi="Arial"/>
                <w:sz w:val="20"/>
                <w:szCs w:val="20"/>
                <w:color w:val="auto"/>
              </w:rPr>
              <w:t>I</w:t>
            </w:r>
          </w:p>
        </w:tc>
        <w:tc>
          <w:tcPr>
            <w:tcW w:w="6440" w:type="dxa"/>
            <w:vAlign w:val="bottom"/>
          </w:tcPr>
          <w:p>
            <w:pPr>
              <w:ind w:left="160"/>
              <w:spacing w:after="0"/>
              <w:rPr>
                <w:sz w:val="20"/>
                <w:szCs w:val="20"/>
                <w:color w:val="auto"/>
              </w:rPr>
            </w:pPr>
            <w:r>
              <w:rPr>
                <w:rFonts w:ascii="Arial" w:cs="Arial" w:eastAsia="Arial" w:hAnsi="Arial"/>
                <w:sz w:val="20"/>
                <w:szCs w:val="20"/>
                <w:color w:val="auto"/>
              </w:rPr>
              <w:t>Commitments and Applicable Percentages</w:t>
            </w:r>
          </w:p>
        </w:tc>
      </w:tr>
      <w:tr>
        <w:trPr>
          <w:trHeight w:val="675"/>
        </w:trPr>
        <w:tc>
          <w:tcPr>
            <w:tcW w:w="148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6440" w:type="dxa"/>
            <w:vAlign w:val="bottom"/>
          </w:tcPr>
          <w:p>
            <w:pPr>
              <w:spacing w:after="0"/>
              <w:rPr>
                <w:sz w:val="24"/>
                <w:szCs w:val="24"/>
                <w:color w:val="auto"/>
              </w:rPr>
            </w:pPr>
          </w:p>
        </w:tc>
      </w:tr>
      <w:tr>
        <w:trPr>
          <w:trHeight w:val="425"/>
        </w:trPr>
        <w:tc>
          <w:tcPr>
            <w:tcW w:w="1480" w:type="dxa"/>
            <w:vAlign w:val="bottom"/>
          </w:tcPr>
          <w:p>
            <w:pPr>
              <w:ind w:left="880"/>
              <w:spacing w:after="0"/>
              <w:rPr>
                <w:sz w:val="20"/>
                <w:szCs w:val="20"/>
                <w:color w:val="auto"/>
              </w:rPr>
            </w:pPr>
            <w:r>
              <w:rPr>
                <w:rFonts w:ascii="Arial" w:cs="Arial" w:eastAsia="Arial" w:hAnsi="Arial"/>
                <w:sz w:val="20"/>
                <w:szCs w:val="20"/>
                <w:color w:val="auto"/>
              </w:rPr>
              <w:t>5.06</w:t>
            </w:r>
          </w:p>
        </w:tc>
        <w:tc>
          <w:tcPr>
            <w:tcW w:w="6440" w:type="dxa"/>
            <w:vAlign w:val="bottom"/>
          </w:tcPr>
          <w:p>
            <w:pPr>
              <w:ind w:left="400"/>
              <w:spacing w:after="0"/>
              <w:rPr>
                <w:sz w:val="20"/>
                <w:szCs w:val="20"/>
                <w:color w:val="auto"/>
              </w:rPr>
            </w:pPr>
            <w:r>
              <w:rPr>
                <w:rFonts w:ascii="Arial" w:cs="Arial" w:eastAsia="Arial" w:hAnsi="Arial"/>
                <w:sz w:val="20"/>
                <w:szCs w:val="20"/>
                <w:color w:val="auto"/>
              </w:rPr>
              <w:t>Litigation</w:t>
            </w:r>
          </w:p>
        </w:tc>
      </w:tr>
      <w:tr>
        <w:trPr>
          <w:trHeight w:val="230"/>
        </w:trPr>
        <w:tc>
          <w:tcPr>
            <w:tcW w:w="1480" w:type="dxa"/>
            <w:vAlign w:val="bottom"/>
          </w:tcPr>
          <w:p>
            <w:pPr>
              <w:ind w:left="880"/>
              <w:spacing w:after="0"/>
              <w:rPr>
                <w:sz w:val="20"/>
                <w:szCs w:val="20"/>
                <w:color w:val="auto"/>
              </w:rPr>
            </w:pPr>
            <w:r>
              <w:rPr>
                <w:rFonts w:ascii="Arial" w:cs="Arial" w:eastAsia="Arial" w:hAnsi="Arial"/>
                <w:sz w:val="20"/>
                <w:szCs w:val="20"/>
                <w:color w:val="auto"/>
              </w:rPr>
              <w:t>5.09</w:t>
            </w:r>
          </w:p>
        </w:tc>
        <w:tc>
          <w:tcPr>
            <w:tcW w:w="6440" w:type="dxa"/>
            <w:vAlign w:val="bottom"/>
          </w:tcPr>
          <w:p>
            <w:pPr>
              <w:ind w:left="400"/>
              <w:spacing w:after="0"/>
              <w:rPr>
                <w:sz w:val="20"/>
                <w:szCs w:val="20"/>
                <w:color w:val="auto"/>
              </w:rPr>
            </w:pPr>
            <w:r>
              <w:rPr>
                <w:rFonts w:ascii="Arial" w:cs="Arial" w:eastAsia="Arial" w:hAnsi="Arial"/>
                <w:sz w:val="20"/>
                <w:szCs w:val="20"/>
                <w:color w:val="auto"/>
              </w:rPr>
              <w:t>Environmental Matters</w:t>
            </w:r>
          </w:p>
        </w:tc>
      </w:tr>
      <w:tr>
        <w:trPr>
          <w:trHeight w:val="230"/>
        </w:trPr>
        <w:tc>
          <w:tcPr>
            <w:tcW w:w="1480" w:type="dxa"/>
            <w:vAlign w:val="bottom"/>
          </w:tcPr>
          <w:p>
            <w:pPr>
              <w:ind w:left="880"/>
              <w:spacing w:after="0"/>
              <w:rPr>
                <w:sz w:val="20"/>
                <w:szCs w:val="20"/>
                <w:color w:val="auto"/>
              </w:rPr>
            </w:pPr>
            <w:r>
              <w:rPr>
                <w:rFonts w:ascii="Arial" w:cs="Arial" w:eastAsia="Arial" w:hAnsi="Arial"/>
                <w:sz w:val="20"/>
                <w:szCs w:val="20"/>
                <w:color w:val="auto"/>
              </w:rPr>
              <w:t>5.10</w:t>
            </w:r>
          </w:p>
        </w:tc>
        <w:tc>
          <w:tcPr>
            <w:tcW w:w="6440" w:type="dxa"/>
            <w:vAlign w:val="bottom"/>
          </w:tcPr>
          <w:p>
            <w:pPr>
              <w:ind w:left="400"/>
              <w:spacing w:after="0"/>
              <w:rPr>
                <w:sz w:val="20"/>
                <w:szCs w:val="20"/>
                <w:color w:val="auto"/>
              </w:rPr>
            </w:pPr>
            <w:r>
              <w:rPr>
                <w:rFonts w:ascii="Arial" w:cs="Arial" w:eastAsia="Arial" w:hAnsi="Arial"/>
                <w:sz w:val="20"/>
                <w:szCs w:val="20"/>
                <w:color w:val="auto"/>
              </w:rPr>
              <w:t>Insurance Matters</w:t>
            </w:r>
          </w:p>
        </w:tc>
      </w:tr>
      <w:tr>
        <w:trPr>
          <w:trHeight w:val="230"/>
        </w:trPr>
        <w:tc>
          <w:tcPr>
            <w:tcW w:w="1480" w:type="dxa"/>
            <w:vAlign w:val="bottom"/>
          </w:tcPr>
          <w:p>
            <w:pPr>
              <w:ind w:left="880"/>
              <w:spacing w:after="0"/>
              <w:rPr>
                <w:sz w:val="20"/>
                <w:szCs w:val="20"/>
                <w:color w:val="auto"/>
              </w:rPr>
            </w:pPr>
            <w:r>
              <w:rPr>
                <w:rFonts w:ascii="Arial" w:cs="Arial" w:eastAsia="Arial" w:hAnsi="Arial"/>
                <w:sz w:val="20"/>
                <w:szCs w:val="20"/>
                <w:color w:val="auto"/>
              </w:rPr>
              <w:t>5.13</w:t>
            </w:r>
          </w:p>
        </w:tc>
        <w:tc>
          <w:tcPr>
            <w:tcW w:w="6440" w:type="dxa"/>
            <w:vAlign w:val="bottom"/>
          </w:tcPr>
          <w:p>
            <w:pPr>
              <w:ind w:left="400"/>
              <w:spacing w:after="0"/>
              <w:rPr>
                <w:sz w:val="20"/>
                <w:szCs w:val="20"/>
                <w:color w:val="auto"/>
              </w:rPr>
            </w:pPr>
            <w:r>
              <w:rPr>
                <w:rFonts w:ascii="Arial" w:cs="Arial" w:eastAsia="Arial" w:hAnsi="Arial"/>
                <w:sz w:val="20"/>
                <w:szCs w:val="20"/>
                <w:color w:val="auto"/>
                <w:w w:val="90"/>
              </w:rPr>
              <w:t>Subsidiaries and Other Equity Investments; Equity Interests in the Borrower</w:t>
            </w:r>
          </w:p>
        </w:tc>
      </w:tr>
      <w:tr>
        <w:trPr>
          <w:trHeight w:val="230"/>
        </w:trPr>
        <w:tc>
          <w:tcPr>
            <w:tcW w:w="1480" w:type="dxa"/>
            <w:vAlign w:val="bottom"/>
          </w:tcPr>
          <w:p>
            <w:pPr>
              <w:ind w:left="880"/>
              <w:spacing w:after="0"/>
              <w:rPr>
                <w:sz w:val="20"/>
                <w:szCs w:val="20"/>
                <w:color w:val="auto"/>
              </w:rPr>
            </w:pPr>
            <w:r>
              <w:rPr>
                <w:rFonts w:ascii="Arial" w:cs="Arial" w:eastAsia="Arial" w:hAnsi="Arial"/>
                <w:sz w:val="20"/>
                <w:szCs w:val="20"/>
                <w:color w:val="auto"/>
              </w:rPr>
              <w:t>7.01</w:t>
            </w:r>
          </w:p>
        </w:tc>
        <w:tc>
          <w:tcPr>
            <w:tcW w:w="6440" w:type="dxa"/>
            <w:vAlign w:val="bottom"/>
          </w:tcPr>
          <w:p>
            <w:pPr>
              <w:ind w:left="400"/>
              <w:spacing w:after="0"/>
              <w:rPr>
                <w:sz w:val="20"/>
                <w:szCs w:val="20"/>
                <w:color w:val="auto"/>
              </w:rPr>
            </w:pPr>
            <w:r>
              <w:rPr>
                <w:rFonts w:ascii="Arial" w:cs="Arial" w:eastAsia="Arial" w:hAnsi="Arial"/>
                <w:sz w:val="20"/>
                <w:szCs w:val="20"/>
                <w:color w:val="auto"/>
              </w:rPr>
              <w:t>Existing Liens</w:t>
            </w:r>
          </w:p>
        </w:tc>
      </w:tr>
      <w:tr>
        <w:trPr>
          <w:trHeight w:val="250"/>
        </w:trPr>
        <w:tc>
          <w:tcPr>
            <w:tcW w:w="1480" w:type="dxa"/>
            <w:vAlign w:val="bottom"/>
          </w:tcPr>
          <w:p>
            <w:pPr>
              <w:ind w:left="880"/>
              <w:spacing w:after="0"/>
              <w:rPr>
                <w:sz w:val="20"/>
                <w:szCs w:val="20"/>
                <w:color w:val="auto"/>
              </w:rPr>
            </w:pPr>
            <w:r>
              <w:rPr>
                <w:rFonts w:ascii="Arial" w:cs="Arial" w:eastAsia="Arial" w:hAnsi="Arial"/>
                <w:sz w:val="20"/>
                <w:szCs w:val="20"/>
                <w:color w:val="auto"/>
              </w:rPr>
              <w:t>10.02</w:t>
            </w:r>
          </w:p>
        </w:tc>
        <w:tc>
          <w:tcPr>
            <w:tcW w:w="6440" w:type="dxa"/>
            <w:vAlign w:val="bottom"/>
          </w:tcPr>
          <w:p>
            <w:pPr>
              <w:ind w:left="500"/>
              <w:spacing w:after="0"/>
              <w:rPr>
                <w:sz w:val="20"/>
                <w:szCs w:val="20"/>
                <w:color w:val="auto"/>
              </w:rPr>
            </w:pPr>
            <w:r>
              <w:rPr>
                <w:rFonts w:ascii="Arial" w:cs="Arial" w:eastAsia="Arial" w:hAnsi="Arial"/>
                <w:sz w:val="20"/>
                <w:szCs w:val="20"/>
                <w:color w:val="auto"/>
              </w:rPr>
              <w:t>Administrative Agent’s Office; Certain Addresses for Notices</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b w:val="1"/>
          <w:bCs w:val="1"/>
          <w:i w:val="1"/>
          <w:iCs w:val="1"/>
          <w:color w:val="auto"/>
        </w:rPr>
        <w:t>Form of</w:t>
      </w:r>
    </w:p>
    <w:p>
      <w:pPr>
        <w:spacing w:after="0" w:line="216" w:lineRule="exact"/>
        <w:rPr>
          <w:sz w:val="20"/>
          <w:szCs w:val="20"/>
          <w:color w:val="auto"/>
        </w:rPr>
      </w:pPr>
    </w:p>
    <w:p>
      <w:pPr>
        <w:ind w:left="1680" w:hanging="795"/>
        <w:spacing w:after="0"/>
        <w:tabs>
          <w:tab w:leader="none" w:pos="1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Loan Notice</w:t>
      </w:r>
    </w:p>
    <w:p>
      <w:pPr>
        <w:spacing w:after="0" w:line="200" w:lineRule="exact"/>
        <w:rPr>
          <w:sz w:val="20"/>
          <w:szCs w:val="20"/>
          <w:color w:val="auto"/>
        </w:rPr>
      </w:pPr>
    </w:p>
    <w:p>
      <w:pPr>
        <w:spacing w:after="0" w:line="259" w:lineRule="exact"/>
        <w:rPr>
          <w:sz w:val="20"/>
          <w:szCs w:val="20"/>
          <w:color w:val="auto"/>
        </w:rPr>
      </w:pPr>
    </w:p>
    <w:p>
      <w:pPr>
        <w:ind w:left="1660" w:hanging="775"/>
        <w:spacing w:after="0"/>
        <w:tabs>
          <w:tab w:leader="none" w:pos="1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Compliance Certificate</w:t>
      </w:r>
    </w:p>
    <w:p>
      <w:pPr>
        <w:spacing w:after="0" w:line="15" w:lineRule="exact"/>
        <w:rPr>
          <w:sz w:val="20"/>
          <w:szCs w:val="20"/>
          <w:color w:val="auto"/>
        </w:rPr>
      </w:pPr>
    </w:p>
    <w:p>
      <w:pPr>
        <w:ind w:left="1680" w:hanging="795"/>
        <w:spacing w:after="0"/>
        <w:tabs>
          <w:tab w:leader="none" w:pos="1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Assignment and Assumption</w:t>
      </w:r>
    </w:p>
    <w:p>
      <w:pPr>
        <w:ind w:left="1660" w:hanging="775"/>
        <w:spacing w:after="0"/>
        <w:tabs>
          <w:tab w:leader="none" w:pos="1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Solvency Certificate</w:t>
      </w:r>
    </w:p>
    <w:p>
      <w:pPr>
        <w:ind w:left="1640" w:hanging="755"/>
        <w:spacing w:after="0"/>
        <w:tabs>
          <w:tab w:leader="none" w:pos="1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TERM LOAN CREDIT AGREEMENT</w:t>
      </w:r>
    </w:p>
    <w:p>
      <w:pPr>
        <w:spacing w:after="0" w:line="21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TERM LOAN CREDIT AGREEMENT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entered into as of March 19, 2019, among </w:t>
      </w:r>
      <w:r>
        <w:rPr>
          <w:rFonts w:ascii="Arial" w:cs="Arial" w:eastAsia="Arial" w:hAnsi="Arial"/>
          <w:sz w:val="20"/>
          <w:szCs w:val="20"/>
          <w:b w:val="1"/>
          <w:bCs w:val="1"/>
          <w:color w:val="auto"/>
        </w:rPr>
        <w:t>THE TORO</w:t>
      </w:r>
      <w:r>
        <w:rPr>
          <w:rFonts w:ascii="Arial" w:cs="Arial" w:eastAsia="Arial" w:hAnsi="Arial"/>
          <w:sz w:val="20"/>
          <w:szCs w:val="20"/>
          <w:color w:val="auto"/>
        </w:rPr>
        <w:t xml:space="preserve"> </w:t>
      </w:r>
      <w:r>
        <w:rPr>
          <w:rFonts w:ascii="Arial" w:cs="Arial" w:eastAsia="Arial" w:hAnsi="Arial"/>
          <w:sz w:val="20"/>
          <w:szCs w:val="20"/>
          <w:b w:val="1"/>
          <w:bCs w:val="1"/>
          <w:color w:val="auto"/>
        </w:rPr>
        <w:t>COMPANY</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and </w:t>
      </w:r>
      <w:r>
        <w:rPr>
          <w:rFonts w:ascii="Arial" w:cs="Arial" w:eastAsia="Arial" w:hAnsi="Arial"/>
          <w:sz w:val="20"/>
          <w:szCs w:val="20"/>
          <w:b w:val="1"/>
          <w:bCs w:val="1"/>
          <w:color w:val="auto"/>
        </w:rPr>
        <w:t>BANK OF AMERICA, N.A.,</w:t>
      </w:r>
      <w:r>
        <w:rPr>
          <w:rFonts w:ascii="Arial" w:cs="Arial" w:eastAsia="Arial" w:hAnsi="Arial"/>
          <w:sz w:val="20"/>
          <w:szCs w:val="20"/>
          <w:color w:val="auto"/>
        </w:rPr>
        <w:t xml:space="preserve"> as Administrative Agent.</w:t>
      </w:r>
    </w:p>
    <w:p>
      <w:pPr>
        <w:spacing w:after="0" w:line="184"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Borrower has requested that the Lenders provide a $200,000,000 three-year term loan credit facility and a $300,000,000 five-year term loan credit facility to the Borrower, and the Lenders are willing to do so on the terms and conditions set forth herein.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9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 xml:space="preserve">Defined Terms. </w:t>
      </w:r>
      <w:r>
        <w:rPr>
          <w:rFonts w:ascii="Arial" w:cs="Arial" w:eastAsia="Arial" w:hAnsi="Arial"/>
          <w:sz w:val="18"/>
          <w:szCs w:val="18"/>
          <w:color w:val="auto"/>
        </w:rPr>
        <w:t>As used in this Agreement, the following terms shall have the meanings set forth below:</w:t>
      </w:r>
    </w:p>
    <w:p>
      <w:pPr>
        <w:spacing w:after="0" w:line="181"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 before and after giving pro forma effect to any such Acquisition, the Borrower is in compliance with financial covenant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(ii) such Acquisition is undertaken in accordance with all applicable Laws, and</w:t>
      </w:r>
    </w:p>
    <w:p>
      <w:pPr>
        <w:spacing w:after="0" w:line="2" w:lineRule="exact"/>
        <w:rPr>
          <w:sz w:val="20"/>
          <w:szCs w:val="20"/>
          <w:color w:val="auto"/>
        </w:rPr>
      </w:pPr>
    </w:p>
    <w:p>
      <w:pPr>
        <w:ind w:firstLine="8"/>
        <w:spacing w:after="0" w:line="244" w:lineRule="auto"/>
        <w:tabs>
          <w:tab w:leader="none" w:pos="3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prior, effective written consent or approval to such Acquisition of the board of directors or equivalent governing body of the acquiree is obtained.</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USA PATRIOT Act (Title III of Pub. L. 107-56 (signed into law October 26, 2001)).</w:t>
      </w:r>
    </w:p>
    <w:p>
      <w:pPr>
        <w:spacing w:after="0" w:line="216" w:lineRule="exact"/>
        <w:rPr>
          <w:sz w:val="20"/>
          <w:szCs w:val="20"/>
          <w:color w:val="auto"/>
        </w:rPr>
      </w:pPr>
    </w:p>
    <w:p>
      <w:pPr>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103" w:lineRule="exact"/>
        <w:rPr>
          <w:sz w:val="20"/>
          <w:szCs w:val="20"/>
          <w:color w:val="auto"/>
        </w:rPr>
      </w:pPr>
    </w:p>
    <w:p>
      <w:pPr>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or such other address or account as the Administrative Agent may from time to time notify the Borrower and the Lenders.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approved by the Administrative Agent.</w:t>
      </w:r>
    </w:p>
    <w:p>
      <w:pPr>
        <w:spacing w:after="0" w:line="175"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Term Loan 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 w:name="page13"/>
    <w:bookmarkEnd w:id="12"/>
    <w:p>
      <w:pPr>
        <w:jc w:val="both"/>
        <w:ind w:firstLine="87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 in respect of the Three-Year Term Loan Facility, with respect to any Lender at any time, the percentage (carried out to the ninth decimal place) of the sum of the aggregate unused Three-Year Commitments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Three-Year Term Loans represented by the sum of such Lender’s unused Three-Year Commitment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outstanding Three-Year Term Loan at such time and (b) in respect of the Five-Year Term Loan Facility, with respect to any Lender at any time, the percentage (carried out to the ninth decimal place) of the sum of the aggregate unused Five-Year Commitments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Five-Year Term Loans represented by the sum of such Lender’s unused Five-Year Commitment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outstanding Five-Year Term Loan at such time. If the commitment of each Lender to make Loans has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or in the Assignment and Assumption pursuant to which such Lender becomes a party hereto, as applicable.</w:t>
      </w:r>
    </w:p>
    <w:p>
      <w:pPr>
        <w:spacing w:after="0" w:line="184"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from time to time, the following percentages per annum, based upon (i) the Leverage Ratio for such period, and (ii) the Debt Rating as set forth below:</w:t>
      </w:r>
    </w:p>
    <w:p>
      <w:pPr>
        <w:spacing w:after="0" w:line="187" w:lineRule="exact"/>
        <w:rPr>
          <w:sz w:val="20"/>
          <w:szCs w:val="20"/>
          <w:color w:val="auto"/>
        </w:rPr>
      </w:pPr>
    </w:p>
    <w:tbl>
      <w:tblPr>
        <w:tblLayout w:type="fixed"/>
        <w:tblInd w:w="1170" w:type="dxa"/>
        <w:tblCellMar>
          <w:top w:w="0" w:type="dxa"/>
          <w:left w:w="0" w:type="dxa"/>
          <w:bottom w:w="0" w:type="dxa"/>
          <w:right w:w="0" w:type="dxa"/>
        </w:tblCellMar>
      </w:tblPr>
      <w:tr>
        <w:trPr>
          <w:trHeight w:val="342"/>
        </w:trPr>
        <w:tc>
          <w:tcPr>
            <w:tcW w:w="104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460" w:type="dxa"/>
            <w:vAlign w:val="bottom"/>
            <w:tcBorders>
              <w:top w:val="single" w:sz="8" w:color="auto"/>
              <w:right w:val="single" w:sz="8" w:color="auto"/>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960" w:type="dxa"/>
            <w:vAlign w:val="bottom"/>
            <w:tcBorders>
              <w:top w:val="single" w:sz="8" w:color="auto"/>
              <w:right w:val="single" w:sz="8" w:color="auto"/>
            </w:tcBorders>
            <w:shd w:val="clear" w:color="auto" w:fill="D9D9D9"/>
          </w:tcPr>
          <w:p>
            <w:pPr>
              <w:spacing w:after="0"/>
              <w:rPr>
                <w:sz w:val="24"/>
                <w:szCs w:val="24"/>
                <w:color w:val="auto"/>
              </w:rPr>
            </w:pPr>
          </w:p>
        </w:tc>
        <w:tc>
          <w:tcPr>
            <w:tcW w:w="224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Three-Year Term Loan</w:t>
            </w:r>
          </w:p>
        </w:tc>
        <w:tc>
          <w:tcPr>
            <w:tcW w:w="228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Five-Year Term Loan</w:t>
            </w:r>
          </w:p>
        </w:tc>
        <w:tc>
          <w:tcPr>
            <w:tcW w:w="0" w:type="dxa"/>
            <w:vAlign w:val="bottom"/>
          </w:tcPr>
          <w:p>
            <w:pPr>
              <w:spacing w:after="0"/>
              <w:rPr>
                <w:sz w:val="1"/>
                <w:szCs w:val="1"/>
                <w:color w:val="auto"/>
              </w:rPr>
            </w:pPr>
          </w:p>
        </w:tc>
      </w:tr>
      <w:tr>
        <w:trPr>
          <w:trHeight w:val="256"/>
        </w:trPr>
        <w:tc>
          <w:tcPr>
            <w:tcW w:w="10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24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Leverage Ratio</w:t>
            </w:r>
          </w:p>
        </w:tc>
        <w:tc>
          <w:tcPr>
            <w:tcW w:w="108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Debt Rating</w:t>
            </w:r>
          </w:p>
        </w:tc>
        <w:tc>
          <w:tcPr>
            <w:tcW w:w="22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Facility</w:t>
            </w:r>
          </w:p>
        </w:tc>
        <w:tc>
          <w:tcPr>
            <w:tcW w:w="228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Facility</w:t>
            </w: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D9D9D9"/>
              <w:right w:val="single" w:sz="8" w:color="auto"/>
            </w:tcBorders>
            <w:vMerge w:val="continue"/>
            <w:shd w:val="clear" w:color="auto" w:fill="D9D9D9"/>
          </w:tcPr>
          <w:p>
            <w:pPr>
              <w:spacing w:after="0"/>
              <w:rPr>
                <w:sz w:val="9"/>
                <w:szCs w:val="9"/>
                <w:color w:val="auto"/>
              </w:rPr>
            </w:pPr>
          </w:p>
        </w:tc>
        <w:tc>
          <w:tcPr>
            <w:tcW w:w="246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1080" w:type="dxa"/>
            <w:vAlign w:val="bottom"/>
            <w:tcBorders>
              <w:bottom w:val="single" w:sz="8" w:color="D9D9D9"/>
              <w:right w:val="single" w:sz="8" w:color="auto"/>
            </w:tcBorders>
            <w:gridSpan w:val="2"/>
            <w:vMerge w:val="continue"/>
            <w:shd w:val="clear" w:color="auto" w:fill="D9D9D9"/>
          </w:tcPr>
          <w:p>
            <w:pPr>
              <w:spacing w:after="0"/>
              <w:rPr>
                <w:sz w:val="9"/>
                <w:szCs w:val="9"/>
                <w:color w:val="auto"/>
              </w:rPr>
            </w:pPr>
          </w:p>
        </w:tc>
        <w:tc>
          <w:tcPr>
            <w:tcW w:w="1280" w:type="dxa"/>
            <w:vAlign w:val="bottom"/>
            <w:tcBorders>
              <w:bottom w:val="single" w:sz="8" w:color="auto"/>
              <w:right w:val="single" w:sz="8" w:color="D9D9D9"/>
            </w:tcBorders>
            <w:shd w:val="clear" w:color="auto" w:fill="D9D9D9"/>
          </w:tcPr>
          <w:p>
            <w:pPr>
              <w:spacing w:after="0"/>
              <w:rPr>
                <w:sz w:val="9"/>
                <w:szCs w:val="9"/>
                <w:color w:val="auto"/>
              </w:rPr>
            </w:pPr>
          </w:p>
        </w:tc>
        <w:tc>
          <w:tcPr>
            <w:tcW w:w="960" w:type="dxa"/>
            <w:vAlign w:val="bottom"/>
            <w:tcBorders>
              <w:bottom w:val="single" w:sz="8" w:color="auto"/>
              <w:right w:val="single" w:sz="8" w:color="auto"/>
            </w:tcBorders>
            <w:shd w:val="clear" w:color="auto" w:fill="D9D9D9"/>
          </w:tcPr>
          <w:p>
            <w:pPr>
              <w:spacing w:after="0"/>
              <w:rPr>
                <w:sz w:val="9"/>
                <w:szCs w:val="9"/>
                <w:color w:val="auto"/>
              </w:rPr>
            </w:pPr>
          </w:p>
        </w:tc>
        <w:tc>
          <w:tcPr>
            <w:tcW w:w="1300" w:type="dxa"/>
            <w:vAlign w:val="bottom"/>
            <w:tcBorders>
              <w:bottom w:val="single" w:sz="8" w:color="auto"/>
              <w:right w:val="single" w:sz="8" w:color="D9D9D9"/>
            </w:tcBorders>
            <w:shd w:val="clear" w:color="auto" w:fill="D9D9D9"/>
          </w:tcPr>
          <w:p>
            <w:pPr>
              <w:spacing w:after="0"/>
              <w:rPr>
                <w:sz w:val="9"/>
                <w:szCs w:val="9"/>
                <w:color w:val="auto"/>
              </w:rPr>
            </w:pPr>
          </w:p>
        </w:tc>
        <w:tc>
          <w:tcPr>
            <w:tcW w:w="9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0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Level</w:t>
            </w:r>
          </w:p>
        </w:tc>
        <w:tc>
          <w:tcPr>
            <w:tcW w:w="2460" w:type="dxa"/>
            <w:vAlign w:val="bottom"/>
            <w:tcBorders>
              <w:right w:val="single" w:sz="8" w:color="auto"/>
            </w:tcBorders>
            <w:vMerge w:val="continue"/>
            <w:shd w:val="clear" w:color="auto" w:fill="D9D9D9"/>
          </w:tcPr>
          <w:p>
            <w:pPr>
              <w:spacing w:after="0"/>
              <w:rPr>
                <w:sz w:val="8"/>
                <w:szCs w:val="8"/>
                <w:color w:val="auto"/>
              </w:rPr>
            </w:pPr>
          </w:p>
        </w:tc>
        <w:tc>
          <w:tcPr>
            <w:tcW w:w="1080" w:type="dxa"/>
            <w:vAlign w:val="bottom"/>
            <w:tcBorders>
              <w:right w:val="single" w:sz="8" w:color="auto"/>
            </w:tcBorders>
            <w:gridSpan w:val="2"/>
            <w:vMerge w:val="continue"/>
            <w:shd w:val="clear" w:color="auto" w:fill="D9D9D9"/>
          </w:tcPr>
          <w:p>
            <w:pPr>
              <w:spacing w:after="0"/>
              <w:rPr>
                <w:sz w:val="8"/>
                <w:szCs w:val="8"/>
                <w:color w:val="auto"/>
              </w:rPr>
            </w:pP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Eurodollar</w:t>
            </w:r>
          </w:p>
        </w:tc>
        <w:tc>
          <w:tcPr>
            <w:tcW w:w="9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Eurodollar</w:t>
            </w:r>
          </w:p>
        </w:tc>
        <w:tc>
          <w:tcPr>
            <w:tcW w:w="9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0" w:type="dxa"/>
            <w:vAlign w:val="bottom"/>
          </w:tcPr>
          <w:p>
            <w:pPr>
              <w:spacing w:after="0"/>
              <w:rPr>
                <w:sz w:val="1"/>
                <w:szCs w:val="1"/>
                <w:color w:val="auto"/>
              </w:rPr>
            </w:pPr>
          </w:p>
        </w:tc>
      </w:tr>
      <w:tr>
        <w:trPr>
          <w:trHeight w:val="131"/>
        </w:trPr>
        <w:tc>
          <w:tcPr>
            <w:tcW w:w="10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460" w:type="dxa"/>
            <w:vAlign w:val="bottom"/>
            <w:tcBorders>
              <w:right w:val="single" w:sz="8" w:color="auto"/>
            </w:tcBorders>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960" w:type="dxa"/>
            <w:vAlign w:val="bottom"/>
            <w:tcBorders>
              <w:right w:val="single" w:sz="8" w:color="auto"/>
            </w:tcBorders>
            <w:shd w:val="clear" w:color="auto" w:fill="D9D9D9"/>
          </w:tcPr>
          <w:p>
            <w:pPr>
              <w:spacing w:after="0"/>
              <w:rPr>
                <w:sz w:val="11"/>
                <w:szCs w:val="11"/>
                <w:color w:val="auto"/>
              </w:rPr>
            </w:pPr>
          </w:p>
        </w:tc>
        <w:tc>
          <w:tcPr>
            <w:tcW w:w="1280" w:type="dxa"/>
            <w:vAlign w:val="bottom"/>
            <w:tcBorders>
              <w:right w:val="single" w:sz="8" w:color="auto"/>
            </w:tcBorders>
            <w:vMerge w:val="continue"/>
            <w:shd w:val="clear" w:color="auto" w:fill="D9D9D9"/>
          </w:tcPr>
          <w:p>
            <w:pPr>
              <w:spacing w:after="0"/>
              <w:rPr>
                <w:sz w:val="11"/>
                <w:szCs w:val="11"/>
                <w:color w:val="auto"/>
              </w:rPr>
            </w:pPr>
          </w:p>
        </w:tc>
        <w:tc>
          <w:tcPr>
            <w:tcW w:w="960" w:type="dxa"/>
            <w:vAlign w:val="bottom"/>
            <w:tcBorders>
              <w:right w:val="single" w:sz="8" w:color="auto"/>
            </w:tcBorders>
            <w:vMerge w:val="continue"/>
            <w:shd w:val="clear" w:color="auto" w:fill="D9D9D9"/>
          </w:tcPr>
          <w:p>
            <w:pPr>
              <w:spacing w:after="0"/>
              <w:rPr>
                <w:sz w:val="11"/>
                <w:szCs w:val="11"/>
                <w:color w:val="auto"/>
              </w:rPr>
            </w:pPr>
          </w:p>
        </w:tc>
        <w:tc>
          <w:tcPr>
            <w:tcW w:w="1300" w:type="dxa"/>
            <w:vAlign w:val="bottom"/>
            <w:tcBorders>
              <w:right w:val="single" w:sz="8" w:color="auto"/>
            </w:tcBorders>
            <w:vMerge w:val="continue"/>
            <w:shd w:val="clear" w:color="auto" w:fill="D9D9D9"/>
          </w:tcPr>
          <w:p>
            <w:pPr>
              <w:spacing w:after="0"/>
              <w:rPr>
                <w:sz w:val="11"/>
                <w:szCs w:val="11"/>
                <w:color w:val="auto"/>
              </w:rPr>
            </w:pPr>
          </w:p>
        </w:tc>
        <w:tc>
          <w:tcPr>
            <w:tcW w:w="98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40" w:type="dxa"/>
            <w:vAlign w:val="bottom"/>
            <w:tcBorders>
              <w:left w:val="single" w:sz="8" w:color="auto"/>
              <w:right w:val="single" w:sz="8" w:color="auto"/>
            </w:tcBorders>
            <w:shd w:val="clear" w:color="auto" w:fill="D9D9D9"/>
          </w:tcPr>
          <w:p>
            <w:pPr>
              <w:spacing w:after="0"/>
              <w:rPr>
                <w:sz w:val="7"/>
                <w:szCs w:val="7"/>
                <w:color w:val="auto"/>
              </w:rPr>
            </w:pPr>
          </w:p>
        </w:tc>
        <w:tc>
          <w:tcPr>
            <w:tcW w:w="2460" w:type="dxa"/>
            <w:vAlign w:val="bottom"/>
            <w:tcBorders>
              <w:right w:val="single" w:sz="8" w:color="auto"/>
            </w:tcBorders>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960" w:type="dxa"/>
            <w:vAlign w:val="bottom"/>
            <w:tcBorders>
              <w:right w:val="single" w:sz="8" w:color="auto"/>
            </w:tcBorders>
            <w:shd w:val="clear" w:color="auto" w:fill="D9D9D9"/>
          </w:tcPr>
          <w:p>
            <w:pPr>
              <w:spacing w:after="0"/>
              <w:rPr>
                <w:sz w:val="7"/>
                <w:szCs w:val="7"/>
                <w:color w:val="auto"/>
              </w:rPr>
            </w:pPr>
          </w:p>
        </w:tc>
        <w:tc>
          <w:tcPr>
            <w:tcW w:w="1280" w:type="dxa"/>
            <w:vAlign w:val="bottom"/>
            <w:tcBorders>
              <w:right w:val="single" w:sz="8" w:color="auto"/>
            </w:tcBorders>
            <w:vMerge w:val="continue"/>
            <w:shd w:val="clear" w:color="auto" w:fill="D9D9D9"/>
          </w:tcPr>
          <w:p>
            <w:pPr>
              <w:spacing w:after="0"/>
              <w:rPr>
                <w:sz w:val="7"/>
                <w:szCs w:val="7"/>
                <w:color w:val="auto"/>
              </w:rPr>
            </w:pPr>
          </w:p>
        </w:tc>
        <w:tc>
          <w:tcPr>
            <w:tcW w:w="960" w:type="dxa"/>
            <w:vAlign w:val="bottom"/>
            <w:tcBorders>
              <w:right w:val="single" w:sz="8" w:color="auto"/>
            </w:tcBorders>
            <w:vMerge w:val="continue"/>
            <w:shd w:val="clear" w:color="auto" w:fill="D9D9D9"/>
          </w:tcPr>
          <w:p>
            <w:pPr>
              <w:spacing w:after="0"/>
              <w:rPr>
                <w:sz w:val="7"/>
                <w:szCs w:val="7"/>
                <w:color w:val="auto"/>
              </w:rPr>
            </w:pPr>
          </w:p>
        </w:tc>
        <w:tc>
          <w:tcPr>
            <w:tcW w:w="1300" w:type="dxa"/>
            <w:vAlign w:val="bottom"/>
            <w:tcBorders>
              <w:right w:val="single" w:sz="8" w:color="auto"/>
            </w:tcBorders>
            <w:vMerge w:val="continue"/>
            <w:shd w:val="clear" w:color="auto" w:fill="D9D9D9"/>
          </w:tcPr>
          <w:p>
            <w:pPr>
              <w:spacing w:after="0"/>
              <w:rPr>
                <w:sz w:val="7"/>
                <w:szCs w:val="7"/>
                <w:color w:val="auto"/>
              </w:rPr>
            </w:pPr>
          </w:p>
        </w:tc>
        <w:tc>
          <w:tcPr>
            <w:tcW w:w="98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40" w:type="dxa"/>
            <w:vAlign w:val="bottom"/>
            <w:tcBorders>
              <w:left w:val="single" w:sz="8" w:color="auto"/>
              <w:right w:val="single" w:sz="8" w:color="auto"/>
            </w:tcBorders>
            <w:shd w:val="clear" w:color="auto" w:fill="D9D9D9"/>
          </w:tcPr>
          <w:p>
            <w:pPr>
              <w:spacing w:after="0"/>
              <w:rPr>
                <w:sz w:val="22"/>
                <w:szCs w:val="22"/>
                <w:color w:val="auto"/>
              </w:rPr>
            </w:pPr>
          </w:p>
        </w:tc>
        <w:tc>
          <w:tcPr>
            <w:tcW w:w="2460" w:type="dxa"/>
            <w:vAlign w:val="bottom"/>
            <w:tcBorders>
              <w:right w:val="single" w:sz="8" w:color="auto"/>
            </w:tcBorders>
            <w:shd w:val="clear" w:color="auto" w:fill="D9D9D9"/>
          </w:tcPr>
          <w:p>
            <w:pPr>
              <w:spacing w:after="0"/>
              <w:rPr>
                <w:sz w:val="22"/>
                <w:szCs w:val="22"/>
                <w:color w:val="auto"/>
              </w:rPr>
            </w:pPr>
          </w:p>
        </w:tc>
        <w:tc>
          <w:tcPr>
            <w:tcW w:w="120" w:type="dxa"/>
            <w:vAlign w:val="bottom"/>
            <w:shd w:val="clear" w:color="auto" w:fill="D9D9D9"/>
          </w:tcPr>
          <w:p>
            <w:pPr>
              <w:spacing w:after="0"/>
              <w:rPr>
                <w:sz w:val="22"/>
                <w:szCs w:val="22"/>
                <w:color w:val="auto"/>
              </w:rPr>
            </w:pPr>
          </w:p>
        </w:tc>
        <w:tc>
          <w:tcPr>
            <w:tcW w:w="960" w:type="dxa"/>
            <w:vAlign w:val="bottom"/>
            <w:tcBorders>
              <w:right w:val="single" w:sz="8" w:color="auto"/>
            </w:tcBorders>
            <w:shd w:val="clear" w:color="auto" w:fill="D9D9D9"/>
          </w:tcPr>
          <w:p>
            <w:pPr>
              <w:spacing w:after="0"/>
              <w:rPr>
                <w:sz w:val="22"/>
                <w:szCs w:val="22"/>
                <w:color w:val="auto"/>
              </w:rPr>
            </w:pPr>
          </w:p>
        </w:tc>
        <w:tc>
          <w:tcPr>
            <w:tcW w:w="12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Rate Margin</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Margin</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Rate Margin</w:t>
            </w:r>
          </w:p>
        </w:tc>
        <w:tc>
          <w:tcPr>
            <w:tcW w:w="9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Margin</w:t>
            </w: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460" w:type="dxa"/>
            <w:vAlign w:val="bottom"/>
            <w:tcBorders>
              <w:bottom w:val="single" w:sz="8" w:color="auto"/>
              <w:right w:val="single" w:sz="8" w:color="auto"/>
            </w:tcBorders>
            <w:shd w:val="clear" w:color="auto" w:fill="D9D9D9"/>
          </w:tcPr>
          <w:p>
            <w:pPr>
              <w:spacing w:after="0"/>
              <w:rPr>
                <w:sz w:val="9"/>
                <w:szCs w:val="9"/>
                <w:color w:val="auto"/>
              </w:rPr>
            </w:pPr>
          </w:p>
        </w:tc>
        <w:tc>
          <w:tcPr>
            <w:tcW w:w="120" w:type="dxa"/>
            <w:vAlign w:val="bottom"/>
            <w:tcBorders>
              <w:bottom w:val="single" w:sz="8" w:color="auto"/>
            </w:tcBorders>
            <w:shd w:val="clear" w:color="auto" w:fill="D9D9D9"/>
          </w:tcPr>
          <w:p>
            <w:pPr>
              <w:spacing w:after="0"/>
              <w:rPr>
                <w:sz w:val="9"/>
                <w:szCs w:val="9"/>
                <w:color w:val="auto"/>
              </w:rPr>
            </w:pPr>
          </w:p>
        </w:tc>
        <w:tc>
          <w:tcPr>
            <w:tcW w:w="960" w:type="dxa"/>
            <w:vAlign w:val="bottom"/>
            <w:tcBorders>
              <w:bottom w:val="single" w:sz="8" w:color="auto"/>
              <w:right w:val="single" w:sz="8" w:color="auto"/>
            </w:tcBorders>
            <w:shd w:val="clear" w:color="auto" w:fill="D9D9D9"/>
          </w:tcPr>
          <w:p>
            <w:pPr>
              <w:spacing w:after="0"/>
              <w:rPr>
                <w:sz w:val="9"/>
                <w:szCs w:val="9"/>
                <w:color w:val="auto"/>
              </w:rPr>
            </w:pPr>
          </w:p>
        </w:tc>
        <w:tc>
          <w:tcPr>
            <w:tcW w:w="1280" w:type="dxa"/>
            <w:vAlign w:val="bottom"/>
            <w:tcBorders>
              <w:bottom w:val="single" w:sz="8" w:color="auto"/>
              <w:right w:val="single" w:sz="8" w:color="auto"/>
            </w:tcBorders>
            <w:shd w:val="clear" w:color="auto" w:fill="D9D9D9"/>
          </w:tcPr>
          <w:p>
            <w:pPr>
              <w:spacing w:after="0"/>
              <w:rPr>
                <w:sz w:val="9"/>
                <w:szCs w:val="9"/>
                <w:color w:val="auto"/>
              </w:rPr>
            </w:pPr>
          </w:p>
        </w:tc>
        <w:tc>
          <w:tcPr>
            <w:tcW w:w="960" w:type="dxa"/>
            <w:vAlign w:val="bottom"/>
            <w:tcBorders>
              <w:bottom w:val="single" w:sz="8" w:color="auto"/>
              <w:right w:val="single" w:sz="8" w:color="auto"/>
            </w:tcBorders>
            <w:shd w:val="clear" w:color="auto" w:fill="D9D9D9"/>
          </w:tcPr>
          <w:p>
            <w:pPr>
              <w:spacing w:after="0"/>
              <w:rPr>
                <w:sz w:val="9"/>
                <w:szCs w:val="9"/>
                <w:color w:val="auto"/>
              </w:rPr>
            </w:pPr>
          </w:p>
        </w:tc>
        <w:tc>
          <w:tcPr>
            <w:tcW w:w="1300" w:type="dxa"/>
            <w:vAlign w:val="bottom"/>
            <w:tcBorders>
              <w:bottom w:val="single" w:sz="8" w:color="auto"/>
              <w:right w:val="single" w:sz="8" w:color="auto"/>
            </w:tcBorders>
            <w:shd w:val="clear" w:color="auto" w:fill="D9D9D9"/>
          </w:tcPr>
          <w:p>
            <w:pPr>
              <w:spacing w:after="0"/>
              <w:rPr>
                <w:sz w:val="9"/>
                <w:szCs w:val="9"/>
                <w:color w:val="auto"/>
              </w:rPr>
            </w:pPr>
          </w:p>
        </w:tc>
        <w:tc>
          <w:tcPr>
            <w:tcW w:w="9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42"/>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Less than or equal to 0.25x</w:t>
            </w:r>
          </w:p>
        </w:tc>
        <w:tc>
          <w:tcPr>
            <w:tcW w:w="120" w:type="dxa"/>
            <w:vAlign w:val="bottom"/>
          </w:tcPr>
          <w:p>
            <w:pPr>
              <w:spacing w:after="0"/>
              <w:rPr>
                <w:sz w:val="24"/>
                <w:szCs w:val="24"/>
                <w:color w:val="auto"/>
              </w:rPr>
            </w:pPr>
          </w:p>
        </w:tc>
        <w:tc>
          <w:tcPr>
            <w:tcW w:w="960" w:type="dxa"/>
            <w:vAlign w:val="bottom"/>
            <w:tcBorders>
              <w:right w:val="single" w:sz="8" w:color="auto"/>
            </w:tcBorders>
          </w:tcPr>
          <w:p>
            <w:pPr>
              <w:jc w:val="center"/>
              <w:ind w:right="81"/>
              <w:spacing w:after="0"/>
              <w:rPr>
                <w:sz w:val="20"/>
                <w:szCs w:val="20"/>
                <w:color w:val="auto"/>
              </w:rPr>
            </w:pPr>
            <w:r>
              <w:rPr>
                <w:rFonts w:ascii="Arial" w:cs="Arial" w:eastAsia="Arial" w:hAnsi="Arial"/>
                <w:sz w:val="20"/>
                <w:szCs w:val="20"/>
                <w:color w:val="auto"/>
                <w:w w:val="95"/>
              </w:rPr>
              <w:t>≥ A- / A3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Less than or equal to 0.50x</w:t>
            </w:r>
          </w:p>
        </w:tc>
        <w:tc>
          <w:tcPr>
            <w:tcW w:w="120" w:type="dxa"/>
            <w:vAlign w:val="bottom"/>
          </w:tcPr>
          <w:p>
            <w:pPr>
              <w:spacing w:after="0"/>
              <w:rPr>
                <w:sz w:val="24"/>
                <w:szCs w:val="24"/>
                <w:color w:val="auto"/>
              </w:rPr>
            </w:pPr>
          </w:p>
        </w:tc>
        <w:tc>
          <w:tcPr>
            <w:tcW w:w="960" w:type="dxa"/>
            <w:vAlign w:val="bottom"/>
            <w:tcBorders>
              <w:right w:val="single" w:sz="8" w:color="auto"/>
            </w:tcBorders>
          </w:tcPr>
          <w:p>
            <w:pPr>
              <w:jc w:val="center"/>
              <w:ind w:right="81"/>
              <w:spacing w:after="0"/>
              <w:rPr>
                <w:sz w:val="20"/>
                <w:szCs w:val="20"/>
                <w:color w:val="auto"/>
              </w:rPr>
            </w:pPr>
            <w:r>
              <w:rPr>
                <w:rFonts w:ascii="Arial" w:cs="Arial" w:eastAsia="Arial" w:hAnsi="Arial"/>
                <w:sz w:val="20"/>
                <w:szCs w:val="20"/>
                <w:color w:val="auto"/>
                <w:w w:val="98"/>
              </w:rPr>
              <w:t>BBB+ /</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0.90%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1.00%</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29"/>
        </w:trPr>
        <w:tc>
          <w:tcPr>
            <w:tcW w:w="1040" w:type="dxa"/>
            <w:vAlign w:val="bottom"/>
            <w:tcBorders>
              <w:left w:val="single" w:sz="8" w:color="auto"/>
              <w:right w:val="single" w:sz="8" w:color="auto"/>
            </w:tcBorders>
            <w:vMerge w:val="continue"/>
          </w:tcPr>
          <w:p>
            <w:pPr>
              <w:spacing w:after="0"/>
              <w:rPr>
                <w:sz w:val="11"/>
                <w:szCs w:val="11"/>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but greater than 0.25x</w:t>
            </w:r>
          </w:p>
        </w:tc>
        <w:tc>
          <w:tcPr>
            <w:tcW w:w="120" w:type="dxa"/>
            <w:vAlign w:val="bottom"/>
          </w:tcPr>
          <w:p>
            <w:pPr>
              <w:spacing w:after="0"/>
              <w:rPr>
                <w:sz w:val="11"/>
                <w:szCs w:val="11"/>
                <w:color w:val="auto"/>
              </w:rPr>
            </w:pPr>
          </w:p>
        </w:tc>
        <w:tc>
          <w:tcPr>
            <w:tcW w:w="960" w:type="dxa"/>
            <w:vAlign w:val="bottom"/>
            <w:tcBorders>
              <w:right w:val="single" w:sz="8" w:color="auto"/>
            </w:tcBorders>
            <w:vMerge w:val="restart"/>
          </w:tcPr>
          <w:p>
            <w:pPr>
              <w:jc w:val="center"/>
              <w:ind w:right="61"/>
              <w:spacing w:after="0"/>
              <w:rPr>
                <w:sz w:val="20"/>
                <w:szCs w:val="20"/>
                <w:color w:val="auto"/>
              </w:rPr>
            </w:pPr>
            <w:r>
              <w:rPr>
                <w:rFonts w:ascii="Arial" w:cs="Arial" w:eastAsia="Arial" w:hAnsi="Arial"/>
                <w:sz w:val="20"/>
                <w:szCs w:val="20"/>
                <w:color w:val="auto"/>
                <w:w w:val="85"/>
              </w:rPr>
              <w:t>Baa1</w:t>
            </w:r>
          </w:p>
        </w:tc>
        <w:tc>
          <w:tcPr>
            <w:tcW w:w="12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Less than or equal to 1.50x</w:t>
            </w:r>
          </w:p>
        </w:tc>
        <w:tc>
          <w:tcPr>
            <w:tcW w:w="10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2"/>
              </w:rPr>
              <w:t>BBB / Baa2</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1.05%</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0.05%</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1.15%</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0.15%</w:t>
            </w:r>
          </w:p>
        </w:tc>
        <w:tc>
          <w:tcPr>
            <w:tcW w:w="0" w:type="dxa"/>
            <w:vAlign w:val="bottom"/>
          </w:tcPr>
          <w:p>
            <w:pPr>
              <w:spacing w:after="0"/>
              <w:rPr>
                <w:sz w:val="1"/>
                <w:szCs w:val="1"/>
                <w:color w:val="auto"/>
              </w:rPr>
            </w:pPr>
          </w:p>
        </w:tc>
      </w:tr>
      <w:tr>
        <w:trPr>
          <w:trHeight w:val="129"/>
        </w:trPr>
        <w:tc>
          <w:tcPr>
            <w:tcW w:w="1040" w:type="dxa"/>
            <w:vAlign w:val="bottom"/>
            <w:tcBorders>
              <w:left w:val="single" w:sz="8" w:color="auto"/>
              <w:right w:val="single" w:sz="8" w:color="auto"/>
            </w:tcBorders>
            <w:vMerge w:val="continue"/>
          </w:tcPr>
          <w:p>
            <w:pPr>
              <w:spacing w:after="0"/>
              <w:rPr>
                <w:sz w:val="11"/>
                <w:szCs w:val="11"/>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but greater than 0.50x</w:t>
            </w:r>
          </w:p>
        </w:tc>
        <w:tc>
          <w:tcPr>
            <w:tcW w:w="1080" w:type="dxa"/>
            <w:vAlign w:val="bottom"/>
            <w:tcBorders>
              <w:right w:val="single" w:sz="8" w:color="auto"/>
            </w:tcBorders>
            <w:gridSpan w:val="2"/>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Less than or equal to 2.00x</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2"/>
              </w:rPr>
              <w:t>BBB- / Baa3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0.35%</w:t>
            </w:r>
          </w:p>
        </w:tc>
        <w:tc>
          <w:tcPr>
            <w:tcW w:w="0" w:type="dxa"/>
            <w:vAlign w:val="bottom"/>
          </w:tcPr>
          <w:p>
            <w:pPr>
              <w:spacing w:after="0"/>
              <w:rPr>
                <w:sz w:val="1"/>
                <w:szCs w:val="1"/>
                <w:color w:val="auto"/>
              </w:rPr>
            </w:pPr>
          </w:p>
        </w:tc>
      </w:tr>
      <w:tr>
        <w:trPr>
          <w:trHeight w:val="284"/>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but greater than 1.50x</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2.00x</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4"/>
              </w:rPr>
              <w:t>&lt; BB+ / Ba1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0.55%</w:t>
            </w:r>
          </w:p>
        </w:tc>
        <w:tc>
          <w:tcPr>
            <w:tcW w:w="0" w:type="dxa"/>
            <w:vAlign w:val="bottom"/>
          </w:tcPr>
          <w:p>
            <w:pPr>
              <w:spacing w:after="0"/>
              <w:rPr>
                <w:sz w:val="1"/>
                <w:szCs w:val="1"/>
                <w:color w:val="auto"/>
              </w:rPr>
            </w:pPr>
          </w:p>
        </w:tc>
      </w:tr>
      <w:tr>
        <w:trPr>
          <w:trHeight w:val="136"/>
        </w:trPr>
        <w:tc>
          <w:tcPr>
            <w:tcW w:w="104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920" w:firstLine="76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Rating</w:t>
      </w:r>
      <w:r>
        <w:rPr>
          <w:rFonts w:ascii="Arial" w:cs="Arial" w:eastAsia="Arial" w:hAnsi="Arial"/>
          <w:sz w:val="19"/>
          <w:szCs w:val="19"/>
          <w:color w:val="auto"/>
        </w:rPr>
        <w:t>” means, as of any date of determination, the rating as determined by either S&amp;P or Moody’s (collectively, the “</w:t>
      </w:r>
      <w:r>
        <w:rPr>
          <w:rFonts w:ascii="Arial" w:cs="Arial" w:eastAsia="Arial" w:hAnsi="Arial"/>
          <w:sz w:val="19"/>
          <w:szCs w:val="19"/>
          <w:u w:val="single" w:color="auto"/>
          <w:color w:val="auto"/>
        </w:rPr>
        <w:t>Debt Ratings</w:t>
      </w:r>
      <w:r>
        <w:rPr>
          <w:rFonts w:ascii="Arial" w:cs="Arial" w:eastAsia="Arial" w:hAnsi="Arial"/>
          <w:sz w:val="19"/>
          <w:szCs w:val="19"/>
          <w:color w:val="auto"/>
        </w:rPr>
        <w:t xml:space="preserve">”) of the Borrower’s non-credit-enhanced, senior unsecured long-term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 w:name="page14"/>
    <w:bookmarkEnd w:id="13"/>
    <w:p>
      <w:pPr>
        <w:ind w:left="920" w:right="20"/>
        <w:spacing w:after="0" w:line="260" w:lineRule="auto"/>
        <w:rPr>
          <w:sz w:val="20"/>
          <w:szCs w:val="20"/>
          <w:color w:val="auto"/>
        </w:rPr>
      </w:pPr>
      <w:r>
        <w:rPr>
          <w:rFonts w:ascii="Arial" w:cs="Arial" w:eastAsia="Arial" w:hAnsi="Arial"/>
          <w:sz w:val="20"/>
          <w:szCs w:val="20"/>
          <w:color w:val="auto"/>
        </w:rPr>
        <w:t>the lowest), unless there is a split in Debt Ratings of more than one level, in which case the Pricing Level that is one level higher than the Pricing Level of the lower Debt Rating shall apply.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If (a) on the Closing Date, the Leverage Ratio specified in the certificate delivered pursuant to </w:t>
      </w:r>
      <w:r>
        <w:rPr>
          <w:rFonts w:ascii="Arial" w:cs="Arial" w:eastAsia="Arial" w:hAnsi="Arial"/>
          <w:sz w:val="19"/>
          <w:szCs w:val="19"/>
          <w:u w:val="single" w:color="auto"/>
          <w:color w:val="auto"/>
        </w:rPr>
        <w:t>Section 4.02(a)(i)</w:t>
      </w:r>
      <w:r>
        <w:rPr>
          <w:rFonts w:ascii="Arial" w:cs="Arial" w:eastAsia="Arial" w:hAnsi="Arial"/>
          <w:sz w:val="19"/>
          <w:szCs w:val="19"/>
          <w:color w:val="auto"/>
        </w:rPr>
        <w:t xml:space="preserve"> corresponds to a Pricing Level different than that Pricing Level corresponding to the Debt Rating specified in such certificate or (b) as of any date of determination, the Leverage Ratio for such period corresponds to a Pricing Level different than that Pricing Level corresponding to the Debt Rating issued at the time of calculation of such ratio, then, in each case,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Leverage Ratio for such period as of such date of determination shall apply. In the event that only one Debt Rating has been issued as of any date of determination, that Debt Rating shall apply.</w:t>
      </w:r>
    </w:p>
    <w:p>
      <w:pPr>
        <w:spacing w:after="0" w:line="20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MLPFS, JPMorgan Chase Bank, N.A. and Wells Fargo Securities, LLC, in their capacities as joint lead arrangers and joint bookrunners.</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Attorney Costs</w:t>
      </w:r>
      <w:r>
        <w:rPr>
          <w:rFonts w:ascii="Arial" w:cs="Arial" w:eastAsia="Arial" w:hAnsi="Arial"/>
          <w:sz w:val="20"/>
          <w:szCs w:val="20"/>
          <w:color w:val="auto"/>
        </w:rPr>
        <w:t>” means and includes all reasonable fees and disbursements of any law firm or other external counsel.</w:t>
      </w:r>
    </w:p>
    <w:p>
      <w:pPr>
        <w:spacing w:after="0" w:line="216"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Borrower and its Subsidiaries for the fiscal year ended October 31, 2018, and the related consolidated statements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income or operations, shareholders’ equity and cash flows for such fiscal year of the Borrower and its Subsidiaries, including the notes thereto.</w:t>
      </w:r>
    </w:p>
    <w:p>
      <w:pPr>
        <w:spacing w:after="0" w:line="239"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877"/>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(b) the rate of interest in effect for such day as publicly announced from time to time by Bank of America as its “prime rate,” and (c) the Eurodollar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hereof, then the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Three-Year Borrowing or a Five-Year Borrowing, as the context may require.</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6" w:lineRule="exact"/>
        <w:rPr>
          <w:sz w:val="20"/>
          <w:szCs w:val="20"/>
          <w:color w:val="auto"/>
        </w:rPr>
      </w:pPr>
    </w:p>
    <w:p>
      <w:pPr>
        <w:jc w:val="both"/>
        <w:ind w:right="20"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9"/>
          <w:szCs w:val="19"/>
          <w:color w:val="auto"/>
        </w:rPr>
        <w:t xml:space="preserve">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9" w:lineRule="exact"/>
        <w:rPr>
          <w:sz w:val="20"/>
          <w:szCs w:val="20"/>
          <w:color w:val="auto"/>
        </w:rPr>
      </w:pPr>
    </w:p>
    <w:p>
      <w:pPr>
        <w:jc w:val="both"/>
        <w:ind w:firstLine="877"/>
        <w:spacing w:after="0" w:line="231"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 (i) any Person or group within the meaning of Section 13(d)(3) of the Exchange Act and the rules and regulations promulgated thereunder, shall, after the Effective Date, acquire beneficial ownership (within the meaning of Rule 13d</w:t>
      </w:r>
      <w:r>
        <w:rPr>
          <w:rFonts w:ascii="MS PGothic" w:cs="MS PGothic" w:eastAsia="MS PGothic" w:hAnsi="MS PGothic"/>
          <w:sz w:val="18"/>
          <w:szCs w:val="18"/>
          <w:color w:val="auto"/>
        </w:rPr>
        <w:t>‑</w:t>
      </w:r>
      <w:r>
        <w:rPr>
          <w:rFonts w:ascii="Arial" w:cs="Arial" w:eastAsia="Arial" w:hAnsi="Arial"/>
          <w:sz w:val="18"/>
          <w:szCs w:val="18"/>
          <w:color w:val="auto"/>
        </w:rPr>
        <w:t>3 of the Exchange Act), directly or indirectly, of securities of the Borrower (or other securities convertible into such securities) representing thirty percent (30%) of the combined voting power of all securities of the Borrower entitled to vote in the election of directors, other than securities having such power only by reason of the happening of a contingency (hereinafter called a “</w:t>
      </w:r>
      <w:r>
        <w:rPr>
          <w:rFonts w:ascii="Arial" w:cs="Arial" w:eastAsia="Arial" w:hAnsi="Arial"/>
          <w:sz w:val="18"/>
          <w:szCs w:val="18"/>
          <w:u w:val="single" w:color="auto"/>
          <w:color w:val="auto"/>
        </w:rPr>
        <w:t>Controlling Person</w:t>
      </w:r>
      <w:r>
        <w:rPr>
          <w:rFonts w:ascii="Arial" w:cs="Arial" w:eastAsia="Arial" w:hAnsi="Arial"/>
          <w:sz w:val="18"/>
          <w:szCs w:val="18"/>
          <w:color w:val="auto"/>
        </w:rPr>
        <w:t xml:space="preserve">”); or (ii) a majority of the Board of Directors of the Borrower shall cease for any reason to consist of (A) individuals who on the Effective Date were serving as directors of the Borrower and (B) individuals who subsequently become members of the Board if such individuals’ nomination for election or election to the Board is recommended or approved by a majority of the Board of Directors of the Borrower; or (iv) a default or the happening of any event shall occur under any charter, indenture, agreement or other instrument in connection with which any preferred stock of the Borrower may be issued, and as a result of such default or event the holders of such preferred stock shall designate or elect members of the Board of Directors of the Borrower. For purposes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 Person or group shall not be a Controlling Person if such Person or group holds voting power in good faith and not for the purpose of circumventing </w:t>
      </w:r>
      <w:r>
        <w:rPr>
          <w:rFonts w:ascii="Arial" w:cs="Arial" w:eastAsia="Arial" w:hAnsi="Arial"/>
          <w:sz w:val="18"/>
          <w:szCs w:val="18"/>
          <w:u w:val="single" w:color="auto"/>
          <w:color w:val="auto"/>
        </w:rPr>
        <w:t>Section 8.01(l)</w:t>
      </w:r>
      <w:r>
        <w:rPr>
          <w:rFonts w:ascii="Arial" w:cs="Arial" w:eastAsia="Arial" w:hAnsi="Arial"/>
          <w:sz w:val="18"/>
          <w:szCs w:val="18"/>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Arial" w:cs="Arial" w:eastAsia="Arial" w:hAnsi="Arial"/>
          <w:sz w:val="18"/>
          <w:szCs w:val="18"/>
          <w:u w:val="single" w:color="auto"/>
          <w:color w:val="auto"/>
        </w:rPr>
        <w:t>clause (i)</w:t>
      </w:r>
      <w:r>
        <w:rPr>
          <w:rFonts w:ascii="Arial" w:cs="Arial" w:eastAsia="Arial" w:hAnsi="Arial"/>
          <w:sz w:val="18"/>
          <w:szCs w:val="18"/>
          <w:color w:val="auto"/>
        </w:rPr>
        <w:t>.</w:t>
      </w:r>
    </w:p>
    <w:p>
      <w:pPr>
        <w:spacing w:after="0" w:line="207"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first date after the Effective Date that all the conditions precedent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the Loans are funded.</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w:t>
      </w:r>
      <w:r>
        <w:rPr>
          <w:rFonts w:ascii="Arial" w:cs="Arial" w:eastAsia="Arial" w:hAnsi="Arial"/>
          <w:sz w:val="20"/>
          <w:szCs w:val="20"/>
          <w:color w:val="auto"/>
        </w:rPr>
        <w:t>” means the Acquisition of the Target pursuant to, and in accordance with, the Closing Date Acquisition Agreement.</w:t>
      </w:r>
    </w:p>
    <w:p>
      <w:pPr>
        <w:spacing w:after="0" w:line="177"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Acquisition Agreement</w:t>
      </w:r>
      <w:r>
        <w:rPr>
          <w:rFonts w:ascii="Arial" w:cs="Arial" w:eastAsia="Arial" w:hAnsi="Arial"/>
          <w:sz w:val="19"/>
          <w:szCs w:val="19"/>
          <w:color w:val="auto"/>
        </w:rPr>
        <w:t>” means that certain Agreement and Plan of Merger, dated as of February 14, 2019, by and among the Borrower, the Target, Agent 186 LLC, as shareholders’ agent, and Helix Company, Inc., an Oklahoma corporation.</w:t>
      </w:r>
    </w:p>
    <w:p>
      <w:pPr>
        <w:spacing w:after="0" w:line="15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 means, collectively, the Closing Date Acquisition, the funding of the Loans under the Loan Documents on the Closing Date and the consummation of any other debt or equity financings occurring on the Closing Date.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Three-Year Commitment or a Five-Year Commitment, as the context may require.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change, event, effect, circumstance, state of facts, development or occurrence that</w:t>
      </w:r>
    </w:p>
    <w:p>
      <w:pPr>
        <w:spacing w:after="0" w:line="39" w:lineRule="exact"/>
        <w:rPr>
          <w:sz w:val="20"/>
          <w:szCs w:val="20"/>
          <w:color w:val="auto"/>
        </w:rPr>
      </w:pPr>
    </w:p>
    <w:p>
      <w:pPr>
        <w:ind w:firstLine="8"/>
        <w:spacing w:after="0" w:line="244" w:lineRule="auto"/>
        <w:tabs>
          <w:tab w:leader="none" w:pos="271" w:val="left"/>
        </w:tabs>
        <w:numPr>
          <w:ilvl w:val="0"/>
          <w:numId w:val="9"/>
        </w:numPr>
        <w:rPr>
          <w:rFonts w:ascii="Arial" w:cs="Arial" w:eastAsia="Arial" w:hAnsi="Arial"/>
          <w:sz w:val="20"/>
          <w:szCs w:val="20"/>
          <w:color w:val="auto"/>
        </w:rPr>
      </w:pPr>
      <w:r>
        <w:rPr>
          <w:rFonts w:ascii="Arial" w:cs="Arial" w:eastAsia="Arial" w:hAnsi="Arial"/>
          <w:sz w:val="20"/>
          <w:szCs w:val="20"/>
          <w:color w:val="auto"/>
        </w:rPr>
        <w:t>has had or could reasonably be expected to have a material adverse effect on the Company Group, taken as a whole, or the assets, liabilities, properties, condition (financial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8"/>
          <w:szCs w:val="18"/>
          <w:color w:val="auto"/>
        </w:rPr>
        <w:t xml:space="preserve">otherwise), results of operations, or prospects of the Company Group, taken as a whole, or (b) prevents or materially delays the Merger or related transactions described hereby or the ability of the Company to perform its obligations hereunder in any material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change or effect to the extent resulting from any of the following shall, either alone or in combination, be deemed to constitute, and none of the following shall, either alone or in combination, be taken into account in determining whether there has been or will be, a Company Material Adverse Effect with respect to clause (a) above: (i) conditions generally affecting (A) any of the industries in which the Company Group operates or participates, (B) the U.S. economy or financial or capital markets (including interest rates) or political conditions in the U.S. or (C) any foreign economy or financial markets in any location where the Company Group operates or the political conditions in any such markets; (ii) the taking of any action by Parent or Merger Sub, or the taking of any action by the Company Group expressly requested or consented to in writing by Parent or as required by this Agreement; (iii) any change in GAAP or any change in Applicable Laws; (iv) acts of war, hostilities or terrorism or any escalation or material worsening of any such acts of war, hostilities or terrorism, or the occurrence or escalation of any other calamity or crisis; (v) the announcement of the identity of Parent as the acquiring entity in the Merger; or (vi) failure to obtain any approvals under Antitrust Laws, except, for purposes of clauses (i), (iii), and (iv), to the extent that such conditions have a materially disproportionate adverse impact on the Company Group as compared to other Persons engaged in the industries in which the Company Group operates. For the purposes of this definition of “Company Material Adverse Effect” only, any defined term used herein shall have the meaning assigned thereto in the Closing Date Acquisition Agreement, references in this definition to “this Agreement” and “hereunder” or words of similar effect shall refer to the Closing Date Acquisition Agreement.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w:t>
      </w:r>
      <w:r>
        <w:rPr>
          <w:rFonts w:ascii="Arial" w:cs="Arial" w:eastAsia="Arial" w:hAnsi="Arial"/>
          <w:sz w:val="20"/>
          <w:szCs w:val="20"/>
          <w:color w:val="auto"/>
        </w:rPr>
        <w:t xml:space="preserve">” means, for any period, for the Borrower and its Subsidiaries on a consolidated basis, an amount equal to 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following to the extent deducted in calculating such Consolidated Net Income: (i) Consolidated Interest Charges for such period, (ii) the provision for Federal, state, local and foreign income taxes payable by the Borrower and its Subsidiaries for such period, and (iii) one-time, non-recurring cash fees and expenses, not to exceed $15,000,000 in the aggregate, (x) related to restructurings, or (y) related to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193"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means, for any period, for the Borrower and its Subsidiaries on a consolidated basis, the sum of (a) all interest, discounts, premium payments, commissions, fees (other than fees incurred hereunder or in connection herewith), charges and related expenses of the Borrower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the Borrower and its Subsidiaries with respect to such period under capital leases that is treated as interest in accordance with GAAP.</w:t>
      </w:r>
    </w:p>
    <w:p>
      <w:pPr>
        <w:spacing w:after="0" w:line="179"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as of any date of determination, the ratio of (a) Consolidated EBIT for the period of the four prior fiscal quarters ending on such date to (b) Consolidated Interest Charges for such period.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 w:name="page18"/>
    <w:bookmarkEnd w:id="17"/>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for any period, for the Borrower and its Subsidiaries on a consolidated basis, the net income of the Borrower and its Subsidiaries for that period.</w:t>
      </w:r>
    </w:p>
    <w:p>
      <w:pPr>
        <w:spacing w:after="0" w:line="177"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8"/>
          <w:szCs w:val="18"/>
          <w:u w:val="single" w:color="auto"/>
          <w:color w:val="auto"/>
        </w:rPr>
        <w:t>Guaranty Obligation</w:t>
      </w:r>
      <w:r>
        <w:rPr>
          <w:rFonts w:ascii="Arial" w:cs="Arial" w:eastAsia="Arial" w:hAnsi="Arial"/>
          <w:sz w:val="18"/>
          <w:szCs w:val="18"/>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7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Controlling Person</w:t>
      </w:r>
      <w:r>
        <w:rPr>
          <w:rFonts w:ascii="Arial" w:cs="Arial" w:eastAsia="Arial" w:hAnsi="Arial"/>
          <w:sz w:val="20"/>
          <w:szCs w:val="20"/>
          <w:color w:val="auto"/>
        </w:rPr>
        <w:t>” has the meaning set forth in the definition of Change of Control.</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has the meaning specified in the definition of “Applicable Rate.”</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an interest rate equal to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Applicable Rate, if any, applicable to Base Rate Loans under the Five-Year Term Loan Facility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 Eurodollar Rate Loan, the Default Rate shall be an interest 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 xml:space="preserve">equal to the interest rate (including any Applicable Rate) otherwise applicable to such Loan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w:t>
      </w:r>
    </w:p>
    <w:p>
      <w:pPr>
        <w:spacing w:after="0" w:line="7" w:lineRule="exact"/>
        <w:rPr>
          <w:sz w:val="20"/>
          <w:szCs w:val="20"/>
          <w:color w:val="auto"/>
        </w:rPr>
      </w:pPr>
    </w:p>
    <w:p>
      <w:pPr>
        <w:jc w:val="both"/>
        <w:ind w:firstLine="8"/>
        <w:spacing w:after="0" w:line="269" w:lineRule="auto"/>
        <w:tabs>
          <w:tab w:leader="none" w:pos="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Delaware Divided LLC</w:t>
      </w:r>
      <w:r>
        <w:rPr>
          <w:rFonts w:ascii="Arial" w:cs="Arial" w:eastAsia="Arial" w:hAnsi="Arial"/>
          <w:sz w:val="19"/>
          <w:szCs w:val="19"/>
          <w:color w:val="auto"/>
        </w:rPr>
        <w:t>” means any Delaware LLC which has been formed upon consummation of a Delaware LLC Division.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w:t>
      </w:r>
      <w:r>
        <w:rPr>
          <w:rFonts w:ascii="Arial" w:cs="Arial" w:eastAsia="Arial" w:hAnsi="Arial"/>
          <w:sz w:val="20"/>
          <w:szCs w:val="20"/>
          <w:color w:val="auto"/>
        </w:rPr>
        <w:t>” means any limited liability company organized or formed under the laws of the State of Delaware.</w:t>
      </w:r>
    </w:p>
    <w:p>
      <w:pPr>
        <w:spacing w:after="0" w:line="216"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 Division</w:t>
      </w:r>
      <w:r>
        <w:rPr>
          <w:rFonts w:ascii="Arial" w:cs="Arial" w:eastAsia="Arial" w:hAnsi="Arial"/>
          <w:sz w:val="20"/>
          <w:szCs w:val="20"/>
          <w:color w:val="auto"/>
        </w:rPr>
        <w:t>” means the statutory division of any Delaware LLC into two or more Delaware LLCs pursuant to Section 18-217 of the Delaware Limited Liability Company Act.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Jurisdiction</w:t>
      </w:r>
      <w:r>
        <w:rPr>
          <w:rFonts w:ascii="Arial" w:cs="Arial" w:eastAsia="Arial" w:hAnsi="Arial"/>
          <w:sz w:val="19"/>
          <w:szCs w:val="19"/>
          <w:color w:val="auto"/>
        </w:rPr>
        <w:t>” means any country or territory to the extent that such country or territory itself is the subject of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Sanction.</w:t>
      </w:r>
    </w:p>
    <w:p>
      <w:pPr>
        <w:spacing w:after="0" w:line="200"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Person, including any sale, assignment, transfer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20"/>
          <w:szCs w:val="20"/>
          <w:color w:val="auto"/>
        </w:rPr>
        <w:t>or other disposal, with or without recourse, of any notes or accounts receivable or any rights and claims associated therewith and including any disposition of property to a Delaware Divided LLC.</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(c) any financial institution established in an EEA Member Country which is a subsidiary of an institution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10.01</w:t>
      </w:r>
      <w:r>
        <w:rPr>
          <w:rFonts w:ascii="Arial" w:cs="Arial" w:eastAsia="Arial" w:hAnsi="Arial"/>
          <w:sz w:val="20"/>
          <w:szCs w:val="20"/>
          <w:color w:val="auto"/>
        </w:rPr>
        <w:t>.</w:t>
      </w:r>
    </w:p>
    <w:p>
      <w:pPr>
        <w:spacing w:after="0" w:line="20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End-User Financing Arrangements</w:t>
      </w:r>
      <w:r>
        <w:rPr>
          <w:rFonts w:ascii="Arial" w:cs="Arial" w:eastAsia="Arial" w:hAnsi="Arial"/>
          <w:sz w:val="20"/>
          <w:szCs w:val="20"/>
          <w:color w:val="auto"/>
        </w:rPr>
        <w:t>” has the meaning specified in the definition of “Indebtedness”.</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0" w:name="page21"/>
    <w:bookmarkEnd w:id="20"/>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Affiliate” means any trade or business (whether or not incorporated) under common control with the Borrower within the meaning of Section 414(b) or (c) of the Code (and Sections 414(m</w:t>
      </w:r>
      <w:r>
        <w:rPr>
          <w:rFonts w:ascii="Arial" w:cs="Arial" w:eastAsia="Arial" w:hAnsi="Arial"/>
          <w:sz w:val="20"/>
          <w:szCs w:val="20"/>
          <w:u w:val="single" w:color="auto"/>
          <w:color w:val="auto"/>
        </w:rPr>
        <w:t>)</w:t>
      </w:r>
      <w:r>
        <w:rPr>
          <w:rFonts w:ascii="Arial" w:cs="Arial" w:eastAsia="Arial" w:hAnsi="Arial"/>
          <w:sz w:val="20"/>
          <w:szCs w:val="20"/>
          <w:color w:val="auto"/>
        </w:rPr>
        <w:t xml:space="preserve"> and (o) of the Code for purposes of provisions relating to Section 412 of the Code).</w:t>
      </w:r>
    </w:p>
    <w:p>
      <w:pPr>
        <w:spacing w:after="0" w:line="186"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receipt by the Borrower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the Borrower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the Borrower or any of its ERISA Affiliates in an aggregate amount exceeding $2,500,000.</w:t>
      </w:r>
    </w:p>
    <w:p>
      <w:pPr>
        <w:spacing w:after="0" w:line="19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29" w:lineRule="exact"/>
        <w:rPr>
          <w:sz w:val="20"/>
          <w:szCs w:val="20"/>
          <w:color w:val="auto"/>
        </w:rPr>
      </w:pPr>
    </w:p>
    <w:p>
      <w:pPr>
        <w:jc w:val="both"/>
        <w:ind w:left="880" w:firstLine="816"/>
        <w:spacing w:after="0" w:line="276" w:lineRule="auto"/>
        <w:tabs>
          <w:tab w:leader="none" w:pos="25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as administered by ICE Benchmark Administration (or any other Person that takes over the administration of such rate for Dollars for a period equal in length to such Interest Period)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78" w:lineRule="exact"/>
        <w:rPr>
          <w:rFonts w:ascii="Arial" w:cs="Arial" w:eastAsia="Arial" w:hAnsi="Arial"/>
          <w:sz w:val="18"/>
          <w:szCs w:val="18"/>
          <w:color w:val="auto"/>
        </w:rPr>
      </w:pPr>
    </w:p>
    <w:p>
      <w:pPr>
        <w:jc w:val="both"/>
        <w:ind w:left="880" w:firstLine="816"/>
        <w:spacing w:after="0" w:line="250" w:lineRule="auto"/>
        <w:tabs>
          <w:tab w:leader="none" w:pos="2569"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any rate calculation with respect to a Base Rate Loan on any date, the rate per annum equal to LIBOR, at or about 11:00 a.m., London time determined two (2) Business Days prior to such date for Dollar deposits with a term of one (1) month commencing that day; and</w:t>
      </w:r>
    </w:p>
    <w:p>
      <w:pPr>
        <w:spacing w:after="0" w:line="199" w:lineRule="exact"/>
        <w:rPr>
          <w:rFonts w:ascii="Arial" w:cs="Arial" w:eastAsia="Arial" w:hAnsi="Arial"/>
          <w:sz w:val="20"/>
          <w:szCs w:val="20"/>
          <w:color w:val="auto"/>
        </w:rPr>
      </w:pPr>
    </w:p>
    <w:p>
      <w:pPr>
        <w:ind w:left="2560" w:hanging="864"/>
        <w:spacing w:after="0"/>
        <w:tabs>
          <w:tab w:leader="none" w:pos="2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Eurodollar Rate shall be less than zero, such rate shall be deemed zero for purposes of this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1" w:name="page22"/>
    <w:bookmarkEnd w:id="21"/>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 Loan</w:t>
      </w:r>
      <w:r>
        <w:rPr>
          <w:rFonts w:ascii="Arial" w:cs="Arial" w:eastAsia="Arial" w:hAnsi="Arial"/>
          <w:sz w:val="19"/>
          <w:szCs w:val="19"/>
          <w:color w:val="auto"/>
        </w:rPr>
        <w:t xml:space="preserve">” means a Loan that bears interest at a rate based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“Eurodollar Rate.”</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and regulations promulgated thereunder.</w:t>
      </w:r>
    </w:p>
    <w:p>
      <w:pPr>
        <w:spacing w:after="0" w:line="216"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3.01(a)(ii)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(d) any U.S. federal withholding Taxes imposed pursuant to FATCA.</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the Three-Year Term Loan Facility or the Five-Year Term Loan Facility, as the context may require.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6" w:lineRule="exact"/>
        <w:rPr>
          <w:sz w:val="20"/>
          <w:szCs w:val="20"/>
          <w:color w:val="auto"/>
        </w:rPr>
      </w:pPr>
    </w:p>
    <w:p>
      <w:pPr>
        <w:jc w:val="both"/>
        <w:ind w:firstLine="877"/>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Notwithstanding the foregoing, if the Federal Funds Rate shall be less than zero, such rate shall be deemed zero for purposes of this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that certain fee letter dated as of February 22, 2019 among the Borrower, Bank of America and MLPFS.</w:t>
      </w:r>
    </w:p>
    <w:p>
      <w:pPr>
        <w:spacing w:after="0" w:line="227"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Five-Year Borrowing</w:t>
      </w:r>
      <w:r>
        <w:rPr>
          <w:rFonts w:ascii="Arial" w:cs="Arial" w:eastAsia="Arial" w:hAnsi="Arial"/>
          <w:sz w:val="19"/>
          <w:szCs w:val="19"/>
          <w:color w:val="auto"/>
        </w:rPr>
        <w:t xml:space="preserve">” means a borrowing consisting of simultaneous Five-Year Term Loans of the same Type and, in the case of Eurodollar Rate Loans, having the same Interest Period made by each of the Five-Year Lenders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2" w:name="page23"/>
    <w:bookmarkEnd w:id="22"/>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Five-Year Commitment</w:t>
      </w:r>
      <w:r>
        <w:rPr>
          <w:rFonts w:ascii="Arial" w:cs="Arial" w:eastAsia="Arial" w:hAnsi="Arial"/>
          <w:sz w:val="20"/>
          <w:szCs w:val="20"/>
          <w:color w:val="auto"/>
        </w:rPr>
        <w:t xml:space="preserve">” means, as to each Five-Year Lender, its obligation to make a single Five-Year Term Loan to the Borrower on the Closing Date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in a principal amount not to exceed the amount set forth opposite such Five-Year Lender’s name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under the caption “Five-Year Commitment” or opposite such caption in the Assignment and Assumption pursuant to which such Five-Year Lender becomes a party hereto, as applicable, as such amount may be adjusted from time to time in accordance with this Agreement.</w:t>
      </w:r>
    </w:p>
    <w:p>
      <w:pPr>
        <w:spacing w:after="0" w:line="19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Five-Year Lender</w:t>
      </w:r>
      <w:r>
        <w:rPr>
          <w:rFonts w:ascii="Arial" w:cs="Arial" w:eastAsia="Arial" w:hAnsi="Arial"/>
          <w:sz w:val="20"/>
          <w:szCs w:val="20"/>
          <w:color w:val="auto"/>
        </w:rPr>
        <w:t>” means, at any time, any Lender that has a Five-Year Commitment, all or a portion of which is unused, or an outstanding Five-Year Term Loan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Five-Year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Five-Year Term Loan Facility</w:t>
      </w:r>
      <w:r>
        <w:rPr>
          <w:rFonts w:ascii="Arial" w:cs="Arial" w:eastAsia="Arial" w:hAnsi="Arial"/>
          <w:sz w:val="20"/>
          <w:szCs w:val="20"/>
          <w:color w:val="auto"/>
        </w:rPr>
        <w:t xml:space="preserve">” means the term loan facility established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which shall be in an amount, at any time, equal to the aggregate unused amount of the Five-Year Commitments at such time (if any) and the aggregate principal amount of the Five-Year Term Loans outstanding at such time.</w:t>
      </w:r>
    </w:p>
    <w:p>
      <w:pPr>
        <w:spacing w:after="0" w:line="186"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Five-Year Term Loan Note</w:t>
      </w:r>
      <w:r>
        <w:rPr>
          <w:rFonts w:ascii="Arial" w:cs="Arial" w:eastAsia="Arial" w:hAnsi="Arial"/>
          <w:sz w:val="20"/>
          <w:szCs w:val="20"/>
          <w:color w:val="auto"/>
        </w:rPr>
        <w:t xml:space="preserve">” means a promissory note made by the Borrower in favor of a Five-Year Lender evidencing Five-Year Term Loans made by such Five-Year Lender, substantially in the form of </w:t>
      </w:r>
      <w:r>
        <w:rPr>
          <w:rFonts w:ascii="Arial" w:cs="Arial" w:eastAsia="Arial" w:hAnsi="Arial"/>
          <w:sz w:val="20"/>
          <w:szCs w:val="20"/>
          <w:u w:val="single" w:color="auto"/>
          <w:color w:val="auto"/>
        </w:rPr>
        <w:t>Exhibit B-2</w:t>
      </w:r>
      <w:r>
        <w:rPr>
          <w:rFonts w:ascii="Arial" w:cs="Arial" w:eastAsia="Arial" w:hAnsi="Arial"/>
          <w:sz w:val="20"/>
          <w:szCs w:val="20"/>
          <w:color w:val="auto"/>
        </w:rPr>
        <w:t>.</w:t>
      </w:r>
    </w:p>
    <w:p>
      <w:pPr>
        <w:spacing w:after="0" w:line="17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9"/>
          <w:szCs w:val="19"/>
          <w:color w:val="auto"/>
        </w:rPr>
        <w:t>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1"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1.03(d)</w:t>
      </w:r>
      <w:r>
        <w:rPr>
          <w:rFonts w:ascii="Arial" w:cs="Arial" w:eastAsia="Arial" w:hAnsi="Arial"/>
          <w:sz w:val="20"/>
          <w:szCs w:val="20"/>
          <w:color w:val="auto"/>
        </w:rPr>
        <w:t>.</w:t>
      </w:r>
    </w:p>
    <w:p>
      <w:pPr>
        <w:spacing w:after="0" w:line="216"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left="880" w:firstLine="816"/>
        <w:spacing w:after="0" w:line="260" w:lineRule="auto"/>
        <w:tabs>
          <w:tab w:leader="none" w:pos="255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jc w:val="both"/>
        <w:ind w:left="880" w:firstLine="816"/>
        <w:spacing w:after="0" w:line="244" w:lineRule="auto"/>
        <w:tabs>
          <w:tab w:leader="none" w:pos="2569"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194" w:lineRule="exact"/>
        <w:rPr>
          <w:rFonts w:ascii="Arial" w:cs="Arial" w:eastAsia="Arial" w:hAnsi="Arial"/>
          <w:sz w:val="20"/>
          <w:szCs w:val="20"/>
          <w:color w:val="auto"/>
        </w:rPr>
      </w:pPr>
    </w:p>
    <w:p>
      <w:pPr>
        <w:ind w:left="880" w:firstLine="816"/>
        <w:spacing w:after="0" w:line="260" w:lineRule="auto"/>
        <w:tabs>
          <w:tab w:leader="none" w:pos="255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176" w:lineRule="exact"/>
        <w:rPr>
          <w:rFonts w:ascii="Arial" w:cs="Arial" w:eastAsia="Arial" w:hAnsi="Arial"/>
          <w:sz w:val="20"/>
          <w:szCs w:val="20"/>
          <w:color w:val="auto"/>
        </w:rPr>
      </w:pPr>
    </w:p>
    <w:p>
      <w:pPr>
        <w:jc w:val="both"/>
        <w:ind w:left="880" w:firstLine="816"/>
        <w:spacing w:after="0" w:line="250" w:lineRule="auto"/>
        <w:tabs>
          <w:tab w:leader="none" w:pos="2569"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6" w:lineRule="exact"/>
        <w:rPr>
          <w:rFonts w:ascii="Arial" w:cs="Arial" w:eastAsia="Arial" w:hAnsi="Arial"/>
          <w:sz w:val="20"/>
          <w:szCs w:val="20"/>
          <w:color w:val="auto"/>
        </w:rPr>
      </w:pPr>
    </w:p>
    <w:p>
      <w:pPr>
        <w:ind w:left="2560" w:hanging="864"/>
        <w:spacing w:after="0"/>
        <w:tabs>
          <w:tab w:leader="none" w:pos="2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215" w:lineRule="exact"/>
        <w:rPr>
          <w:rFonts w:ascii="Arial" w:cs="Arial" w:eastAsia="Arial" w:hAnsi="Arial"/>
          <w:sz w:val="20"/>
          <w:szCs w:val="20"/>
          <w:color w:val="auto"/>
        </w:rPr>
      </w:pPr>
    </w:p>
    <w:p>
      <w:pPr>
        <w:jc w:val="both"/>
        <w:ind w:left="880" w:firstLine="816"/>
        <w:spacing w:after="0" w:line="291" w:lineRule="auto"/>
        <w:tabs>
          <w:tab w:leader="none" w:pos="25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(other than obligations of the Borrower or its Subsidiaries to Red Iron under the terms of the Red Iron LLC Agreement (as in effect on the Effective Date)), valued, in the case of a redeemable preferred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4" w:name="page25"/>
    <w:bookmarkEnd w:id="24"/>
    <w:p>
      <w:pPr>
        <w:ind w:left="880"/>
        <w:spacing w:after="0"/>
        <w:rPr>
          <w:sz w:val="20"/>
          <w:szCs w:val="20"/>
          <w:color w:val="auto"/>
        </w:rPr>
      </w:pPr>
      <w:r>
        <w:rPr>
          <w:rFonts w:ascii="Arial" w:cs="Arial" w:eastAsia="Arial" w:hAnsi="Arial"/>
          <w:sz w:val="20"/>
          <w:szCs w:val="20"/>
          <w:color w:val="auto"/>
        </w:rPr>
        <w:t>interest, at the greater of its voluntary or involuntary liquidation preference plus accrued and unpaid dividends;</w:t>
      </w:r>
    </w:p>
    <w:p>
      <w:pPr>
        <w:spacing w:after="0" w:line="216" w:lineRule="exact"/>
        <w:rPr>
          <w:sz w:val="20"/>
          <w:szCs w:val="20"/>
          <w:color w:val="auto"/>
        </w:rPr>
      </w:pPr>
    </w:p>
    <w:p>
      <w:pPr>
        <w:jc w:val="both"/>
        <w:ind w:left="880" w:firstLine="816"/>
        <w:spacing w:after="0" w:line="246" w:lineRule="auto"/>
        <w:tabs>
          <w:tab w:leader="none" w:pos="2569"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clause (h), at any time outstanding not to exceed $75,000,000; and</w:t>
      </w:r>
    </w:p>
    <w:p>
      <w:pPr>
        <w:spacing w:after="0" w:line="191" w:lineRule="exact"/>
        <w:rPr>
          <w:rFonts w:ascii="Arial" w:cs="Arial" w:eastAsia="Arial" w:hAnsi="Arial"/>
          <w:sz w:val="20"/>
          <w:szCs w:val="20"/>
          <w:color w:val="auto"/>
        </w:rPr>
      </w:pPr>
    </w:p>
    <w:p>
      <w:pPr>
        <w:jc w:val="both"/>
        <w:ind w:left="880" w:firstLine="816"/>
        <w:spacing w:after="0" w:line="257" w:lineRule="auto"/>
        <w:tabs>
          <w:tab w:leader="none" w:pos="2569" w:val="left"/>
        </w:tabs>
        <w:numPr>
          <w:ilvl w:val="0"/>
          <w:numId w:val="13"/>
        </w:numPr>
        <w:rPr>
          <w:rFonts w:ascii="Arial" w:cs="Arial" w:eastAsia="Arial" w:hAnsi="Arial"/>
          <w:sz w:val="19"/>
          <w:szCs w:val="19"/>
          <w:color w:val="auto"/>
        </w:rPr>
      </w:pPr>
      <w:r>
        <w:rPr>
          <w:rFonts w:ascii="Arial" w:cs="Arial" w:eastAsia="Arial" w:hAnsi="Arial"/>
          <w:sz w:val="19"/>
          <w:szCs w:val="19"/>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Arial" w:cs="Arial" w:eastAsia="Arial" w:hAnsi="Arial"/>
          <w:sz w:val="19"/>
          <w:szCs w:val="19"/>
          <w:u w:val="single" w:color="auto"/>
          <w:color w:val="auto"/>
        </w:rPr>
        <w:t>End-User Financing Arrangements</w:t>
      </w:r>
      <w:r>
        <w:rPr>
          <w:rFonts w:ascii="Arial" w:cs="Arial" w:eastAsia="Arial" w:hAnsi="Arial"/>
          <w:sz w:val="19"/>
          <w:szCs w:val="19"/>
          <w:color w:val="auto"/>
        </w:rPr>
        <w:t>”);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Arial" w:cs="Arial" w:eastAsia="Arial" w:hAnsi="Arial"/>
          <w:sz w:val="19"/>
          <w:szCs w:val="19"/>
          <w:u w:val="single" w:color="auto"/>
          <w:color w:val="auto"/>
        </w:rPr>
        <w:t>Red Iron/TCF Repurchase Obligations</w:t>
      </w:r>
      <w:r>
        <w:rPr>
          <w:rFonts w:ascii="Arial" w:cs="Arial" w:eastAsia="Arial" w:hAnsi="Arial"/>
          <w:sz w:val="19"/>
          <w:szCs w:val="19"/>
          <w:color w:val="auto"/>
        </w:rPr>
        <w:t>”), in an aggregate stated or principal amount, when taken together with amounts subject to the exception set forth in the preceding clause (g), at any time outstanding not to exceed $75,000,000.</w:t>
      </w:r>
    </w:p>
    <w:p>
      <w:pPr>
        <w:spacing w:after="0" w:line="181"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90"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the Borrower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195"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Loan other than a Base Rate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Eurodollar Rate Loan exceeds three (3) months, the respective dates that fall every three (3)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9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means, as to each Eurodollar Rate Loan, the period commencing on the date such Eurodollar Rate Loan is disbursed or converted to or continued as a Eurodollar Rate Loan and ending 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the date one (1) week or, one (1), two (2), three (3) or six (6) months thereafter (in each case, subject to availability), as selected by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0" w:lineRule="exact"/>
        <w:rPr>
          <w:sz w:val="20"/>
          <w:szCs w:val="20"/>
          <w:color w:val="auto"/>
        </w:rPr>
      </w:pPr>
    </w:p>
    <w:p>
      <w:pPr>
        <w:jc w:val="both"/>
        <w:ind w:left="880" w:firstLine="816"/>
        <w:spacing w:after="0" w:line="250" w:lineRule="auto"/>
        <w:tabs>
          <w:tab w:leader="none" w:pos="2525"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left="880" w:firstLine="816"/>
        <w:spacing w:after="0" w:line="250" w:lineRule="auto"/>
        <w:tabs>
          <w:tab w:leader="none" w:pos="25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880" w:firstLine="816"/>
        <w:spacing w:after="0" w:line="260" w:lineRule="auto"/>
        <w:tabs>
          <w:tab w:leader="none" w:pos="2635"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 with respect to the Facility under which such Eurodollar Rate Loan was made.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w:t>
      </w:r>
      <w:r>
        <w:rPr>
          <w:rFonts w:ascii="Arial" w:cs="Arial" w:eastAsia="Arial" w:hAnsi="Arial"/>
          <w:sz w:val="19"/>
          <w:szCs w:val="19"/>
          <w:color w:val="auto"/>
        </w:rPr>
        <w:t>” means a corporation, partnership, limited liability company, joint venture or other similar legal arrangement (whether created by contract or conducted through a separate legal entity) now or hereafter formed or entered into by the Borrower or any of its Subsidiaries with another Person or in which the Borrower or any of its Subsidiaries may invest in order to conduct or further a common venture or enterprise with such Person, the investment in which does not constitute an Acquisition.</w:t>
      </w:r>
    </w:p>
    <w:p>
      <w:pPr>
        <w:spacing w:after="0" w:line="177"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216" w:lineRule="exact"/>
        <w:rPr>
          <w:sz w:val="20"/>
          <w:szCs w:val="20"/>
          <w:color w:val="auto"/>
        </w:rPr>
      </w:pPr>
    </w:p>
    <w:p>
      <w:pPr>
        <w:jc w:val="both"/>
        <w:ind w:right="20"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means, with respect to any proposed LIBOR Successor Rate, any conforming changes to the definition of Base Rate, Interest Period, timing and frequency of determining rates and making payments of interest and other administrative matters as may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20"/>
          <w:szCs w:val="20"/>
          <w:color w:val="auto"/>
        </w:rPr>
        <w:t>be appropriate, in the discretion of the Administrative Agent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95"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 Three-Year Term Loan or a Five-Year Term Loan.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each Note and the Fee Letter.</w:t>
      </w:r>
    </w:p>
    <w:p>
      <w:pPr>
        <w:spacing w:after="0" w:line="216"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Borrowing, (b) a conversion of Loans from one Type to the other, or (c) a continuation of Eurocurrecy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impairment of the ability of the Borrower to perform its obligations under any Loan Document to which it is a party, (b) a material adverse effect upon the legality, validity, binding effect or enforceability against the Borrower of any Loan Document to which it is a party, or (c) solely with respect to the applicable provisions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the representations and warranties to be made on the Effective Date in connection with </w:t>
      </w:r>
      <w:r>
        <w:rPr>
          <w:rFonts w:ascii="Arial" w:cs="Arial" w:eastAsia="Arial" w:hAnsi="Arial"/>
          <w:sz w:val="18"/>
          <w:szCs w:val="18"/>
          <w:u w:val="single" w:color="auto"/>
          <w:color w:val="auto"/>
        </w:rPr>
        <w:t>Section 4.01</w:t>
      </w:r>
      <w:r>
        <w:rPr>
          <w:rFonts w:ascii="Arial" w:cs="Arial" w:eastAsia="Arial" w:hAnsi="Arial"/>
          <w:sz w:val="18"/>
          <w:szCs w:val="18"/>
          <w:color w:val="auto"/>
        </w:rPr>
        <w:t>, a material adverse change in, or a material adverse effect on, the operations, business, assets, or condition (financial or otherwise) of the Borrower or the Borrower and its Subsidiaries, taken as a whole.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at any time of determination, any Subsidiary having at such time either (i) 10% or more of the net book value of the consolidated total assets of the Borrower and its Subsidiaries as of the last day of the preceding fiscal quarter or (ii) 5% or more of the consolidated total (gross) revenues of the Borrower and its Subsidiaries for the preceding four fiscal quarter period, in each case, based upon the Borrower’s most recent annual or quarterly financial statements delivered to the Lenders under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w:t>
      </w:r>
      <w:r>
        <w:rPr>
          <w:rFonts w:ascii="Arial" w:cs="Arial" w:eastAsia="Arial" w:hAnsi="Arial"/>
          <w:sz w:val="20"/>
          <w:szCs w:val="20"/>
          <w:color w:val="auto"/>
        </w:rPr>
        <w:t>, as the case may be.</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in the case of the Three-Year Term Loan Facility, the date that is three years after the Closing Date and</w:t>
      </w:r>
    </w:p>
    <w:p>
      <w:pPr>
        <w:spacing w:after="0" w:line="39" w:lineRule="exact"/>
        <w:rPr>
          <w:sz w:val="20"/>
          <w:szCs w:val="20"/>
          <w:color w:val="auto"/>
        </w:rPr>
      </w:pPr>
    </w:p>
    <w:p>
      <w:pPr>
        <w:ind w:firstLine="8"/>
        <w:spacing w:after="0" w:line="244" w:lineRule="auto"/>
        <w:tabs>
          <w:tab w:leader="none" w:pos="29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in the case of the Five-Year Term Loan Facility, the date that is five years after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each case, if such date is not a Business Day, the Maturity Date shall be the next preceding Business Day.</w:t>
      </w:r>
    </w:p>
    <w:p>
      <w:pPr>
        <w:spacing w:after="0" w:line="192"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MLPFS</w:t>
      </w:r>
      <w:r>
        <w:rPr>
          <w:rFonts w:ascii="Arial" w:cs="Arial" w:eastAsia="Arial" w:hAnsi="Arial"/>
          <w:sz w:val="20"/>
          <w:szCs w:val="20"/>
          <w:color w:val="auto"/>
        </w:rPr>
        <w:t>” means Merrill Lynch, Pierce, Fenner &amp; Smith Incorporated (or any other registered broker-dealer wholly-owned by Bank of America Corporation to which all or substantially all of Bank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7" w:name="page28"/>
    <w:bookmarkEnd w:id="27"/>
    <w:p>
      <w:pPr>
        <w:jc w:val="both"/>
        <w:spacing w:after="0" w:line="260" w:lineRule="auto"/>
        <w:rPr>
          <w:sz w:val="20"/>
          <w:szCs w:val="20"/>
          <w:color w:val="auto"/>
        </w:rPr>
      </w:pPr>
      <w:r>
        <w:rPr>
          <w:rFonts w:ascii="Arial" w:cs="Arial" w:eastAsia="Arial" w:hAnsi="Arial"/>
          <w:sz w:val="20"/>
          <w:szCs w:val="20"/>
          <w:color w:val="auto"/>
        </w:rPr>
        <w:t>America Corporation’s or any of its subsidiaries’ investment banking, commercial lending services or related businesses may be transferred following the date of this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Three-Year Term Loan Note or a Five-Year Term Loan Note, as the context may require.</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advances to, and debts, liabilities, obligations, covenants and duties of, the Borrower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Originators</w:t>
      </w:r>
      <w:r>
        <w:rPr>
          <w:rFonts w:ascii="Arial" w:cs="Arial" w:eastAsia="Arial" w:hAnsi="Arial"/>
          <w:sz w:val="20"/>
          <w:szCs w:val="20"/>
          <w:color w:val="auto"/>
        </w:rPr>
        <w:t>” means the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6"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8" w:name="page29"/>
    <w:bookmarkEnd w:id="28"/>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Closing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4.02(h)</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9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or any ERISA Affiliate and is either covered by Title IV of ERISA or is subject to the minimum funding standards under Section 412 of the Code.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Transfer</w:t>
      </w:r>
      <w:r>
        <w:rPr>
          <w:rFonts w:ascii="Arial" w:cs="Arial" w:eastAsia="Arial" w:hAnsi="Arial"/>
          <w:sz w:val="18"/>
          <w:szCs w:val="18"/>
          <w:color w:val="auto"/>
        </w:rPr>
        <w:t xml:space="preserve">” means (i) a sale or other transfer by an Originator to an SPV of Receivables for fair market value and without recourse (except for limited recourse typical of such structured finance transactions), and/or (ii)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pursuant to and in accordance with the terms of the documents related to any Receivables Purchase Facility.</w:t>
      </w:r>
    </w:p>
    <w:p>
      <w:pPr>
        <w:spacing w:after="0" w:line="16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Swap Obligation</w:t>
      </w:r>
      <w:r>
        <w:rPr>
          <w:rFonts w:ascii="Arial" w:cs="Arial" w:eastAsia="Arial" w:hAnsi="Arial"/>
          <w:sz w:val="20"/>
          <w:szCs w:val="20"/>
          <w:color w:val="auto"/>
        </w:rPr>
        <w:t>” means all obligations (contingent or otherwise) of the Borrower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9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9" w:name="page30"/>
    <w:bookmarkEnd w:id="29"/>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98"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Facility</w:t>
      </w:r>
      <w:r>
        <w:rPr>
          <w:rFonts w:ascii="Arial" w:cs="Arial" w:eastAsia="Arial" w:hAnsi="Arial"/>
          <w:sz w:val="18"/>
          <w:szCs w:val="18"/>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65"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or any other recipient of any payment to be made by or on account of any obligation of the Borrower hereunder.</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w:t>
      </w:r>
      <w:r>
        <w:rPr>
          <w:rFonts w:ascii="Arial" w:cs="Arial" w:eastAsia="Arial" w:hAnsi="Arial"/>
          <w:sz w:val="20"/>
          <w:szCs w:val="20"/>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77"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w:t>
      </w:r>
      <w:r>
        <w:rPr>
          <w:rFonts w:ascii="Arial" w:cs="Arial" w:eastAsia="Arial" w:hAnsi="Arial"/>
          <w:sz w:val="20"/>
          <w:szCs w:val="20"/>
          <w:color w:val="auto"/>
        </w:rPr>
        <w:t>” means Red Iron Acceptance, LLC, a Delaware limited liability company. For avoidance of doubt, for so long as Red Iron is governed by the Red Iron LLC Agreement as in effect on the Effective Date, except for amendments that do not change the ownership interests of its members or materially change the overall management structure of Red Iron in a manner that would cause Red Iron to be considered a Subsidiary of the Borrower, any obligations of Red Iron shall not be considered an obligation of the Borrower or Red Iron Holding Corporation, a Delaware corporation.</w:t>
      </w:r>
    </w:p>
    <w:p>
      <w:pPr>
        <w:spacing w:after="0" w:line="19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 LLC Agreement</w:t>
      </w:r>
      <w:r>
        <w:rPr>
          <w:rFonts w:ascii="Arial" w:cs="Arial" w:eastAsia="Arial" w:hAnsi="Arial"/>
          <w:sz w:val="18"/>
          <w:szCs w:val="18"/>
          <w:color w:val="auto"/>
        </w:rPr>
        <w:t>” means that certain limited liability company agreement of Red Iron Acceptance, LLC, dated as of August 12, 2009 and as amended as of May 31, 2011, as of June 6, 2012 and as of November 29, 2016, by and among Red Iron Holding Corporation, a Delaware corporation and a Subsidiary of the Borrower, and TCFIF Joint Venture I, LLC, a Minnesota limited liability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0" w:name="page31"/>
    <w:bookmarkEnd w:id="30"/>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Iron/TCF Repurchase Obligations</w:t>
      </w:r>
      <w:r>
        <w:rPr>
          <w:rFonts w:ascii="Arial" w:cs="Arial" w:eastAsia="Arial" w:hAnsi="Arial"/>
          <w:sz w:val="20"/>
          <w:szCs w:val="20"/>
          <w:color w:val="auto"/>
        </w:rPr>
        <w:t>” has the meaning specified in the definition of “Indebtedness”.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as of any date of determination, Lenders having Total Credit Exposures representing more than 50% of the Total Credit Exposures of all Lenders. The Total Credit Exposure of any Defaulting Lender which is a Lender shall be disregarded in determining Required Lenders at any time.</w:t>
      </w:r>
    </w:p>
    <w:p>
      <w:pPr>
        <w:spacing w:after="0" w:line="18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 the secretary, treasurer or assistant treasurer of the Borrower, or any other officer having substantially the same authority and responsibility; (b) with respect to compliance with financial covenants, the chief financial officer, corporate controller, the treasurer or assistant treasurer of the Borrower, or any other officer having substantially the same authority and responsibility; or</w:t>
      </w:r>
    </w:p>
    <w:p>
      <w:pPr>
        <w:spacing w:after="0" w:line="1" w:lineRule="exact"/>
        <w:rPr>
          <w:sz w:val="20"/>
          <w:szCs w:val="20"/>
          <w:color w:val="auto"/>
        </w:rPr>
      </w:pPr>
    </w:p>
    <w:p>
      <w:pPr>
        <w:jc w:val="both"/>
        <w:ind w:firstLine="8"/>
        <w:spacing w:after="0" w:line="274"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the assistant treasurer or any other officer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means the representations and warranties made by or on behalf of the Target or its subsidiaries or affiliates or with respect to the Target, its subsidiaries or their respective businesses and assets in the Closing Date Acquisition Agreement as are material to the interests of the Lenders (in their capacities as such), but only to the extent that the Borrower or its Subsidiaries or Affiliates have the right to terminate its obligations under the Closing Date Acquisition Agreement, or otherwise decline to close the Closing Date Acquisition, as a result of a breach of any such representations and warranties or any such representations and warranties not being accurate (in each case, determined without regard to any notice requirement).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1" w:name="page32"/>
    <w:bookmarkEnd w:id="31"/>
    <w:p>
      <w:pPr>
        <w:jc w:val="both"/>
        <w:ind w:firstLine="87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xml:space="preserve">” means the representations and warranties, solely with respect to the Borrower, set forth in (a)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5.01(a)</w:t>
      </w:r>
      <w:r>
        <w:rPr>
          <w:rFonts w:ascii="Arial" w:cs="Arial" w:eastAsia="Arial" w:hAnsi="Arial"/>
          <w:sz w:val="19"/>
          <w:szCs w:val="19"/>
          <w:color w:val="auto"/>
        </w:rPr>
        <w:t xml:space="preserve"> and (b)(ii) and last sentence of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(b) </w:t>
      </w:r>
      <w:r>
        <w:rPr>
          <w:rFonts w:ascii="Arial" w:cs="Arial" w:eastAsia="Arial" w:hAnsi="Arial"/>
          <w:sz w:val="19"/>
          <w:szCs w:val="19"/>
          <w:u w:val="single" w:color="auto"/>
          <w:color w:val="auto"/>
        </w:rPr>
        <w:t>Sections 5.02(a)–(c)</w:t>
      </w:r>
      <w:r>
        <w:rPr>
          <w:rFonts w:ascii="Arial" w:cs="Arial" w:eastAsia="Arial" w:hAnsi="Arial"/>
          <w:sz w:val="19"/>
          <w:szCs w:val="19"/>
          <w:color w:val="auto"/>
        </w:rPr>
        <w:t xml:space="preserve"> (limited in the case of </w:t>
      </w:r>
      <w:r>
        <w:rPr>
          <w:rFonts w:ascii="Arial" w:cs="Arial" w:eastAsia="Arial" w:hAnsi="Arial"/>
          <w:sz w:val="19"/>
          <w:szCs w:val="19"/>
          <w:u w:val="single" w:color="auto"/>
          <w:color w:val="auto"/>
        </w:rPr>
        <w:t>5.02(b)(i)</w:t>
      </w:r>
      <w:r>
        <w:rPr>
          <w:rFonts w:ascii="Arial" w:cs="Arial" w:eastAsia="Arial" w:hAnsi="Arial"/>
          <w:sz w:val="19"/>
          <w:szCs w:val="19"/>
          <w:color w:val="auto"/>
        </w:rPr>
        <w:t xml:space="preserve"> to Contractual Obligations in respect of any Indebtedness or Contingent Obligation, having an aggregate principal amount (including undrawn committed or available amounts and including amounts owing to all creditors under any combined or syndicated credit arrangement) of more than $75,000,000), but not the last sentence of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(c)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(d) the last sentence of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(but solely as it relates to a Default resulting from non-compliance with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7.09</w:t>
      </w:r>
      <w:r>
        <w:rPr>
          <w:rFonts w:ascii="Arial" w:cs="Arial" w:eastAsia="Arial" w:hAnsi="Arial"/>
          <w:sz w:val="19"/>
          <w:szCs w:val="19"/>
          <w:color w:val="auto"/>
        </w:rPr>
        <w:t xml:space="preserve">), (e)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(f)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and (g) </w:t>
      </w:r>
      <w:r>
        <w:rPr>
          <w:rFonts w:ascii="Arial" w:cs="Arial" w:eastAsia="Arial" w:hAnsi="Arial"/>
          <w:sz w:val="19"/>
          <w:szCs w:val="19"/>
          <w:u w:val="single" w:color="auto"/>
          <w:color w:val="auto"/>
        </w:rPr>
        <w:t>Section 5.22</w:t>
      </w:r>
    </w:p>
    <w:p>
      <w:pPr>
        <w:spacing w:after="0" w:line="179"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SPV</w:t>
      </w:r>
      <w:r>
        <w:rPr>
          <w:rFonts w:ascii="Arial" w:cs="Arial" w:eastAsia="Arial" w:hAnsi="Arial"/>
          <w:sz w:val="20"/>
          <w:szCs w:val="20"/>
          <w:color w:val="auto"/>
        </w:rPr>
        <w:t>” means any special purpose entity established for the purpose of purchasing receivables in connection with a Receivables Purchase Facility.</w:t>
      </w:r>
    </w:p>
    <w:p>
      <w:pPr>
        <w:spacing w:after="0" w:line="177"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65" w:lineRule="exact"/>
        <w:rPr>
          <w:sz w:val="20"/>
          <w:szCs w:val="20"/>
          <w:color w:val="auto"/>
        </w:rPr>
      </w:pPr>
    </w:p>
    <w:p>
      <w:pPr>
        <w:jc w:val="both"/>
        <w:ind w:right="20"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 Instruments</w:t>
      </w:r>
      <w:r>
        <w:rPr>
          <w:rFonts w:ascii="Arial" w:cs="Arial" w:eastAsia="Arial" w:hAnsi="Arial"/>
          <w:sz w:val="19"/>
          <w:szCs w:val="19"/>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5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8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9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or bankruptcy of such Person, would be characterized as the indebtedness of such Person (without regard to accounting treatment).</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means The Charles Machine Works, Inc. and its Subsidiaries.</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TCF Canada</w:t>
      </w:r>
      <w:r>
        <w:rPr>
          <w:rFonts w:ascii="Arial" w:cs="Arial" w:eastAsia="Arial" w:hAnsi="Arial"/>
          <w:sz w:val="20"/>
          <w:szCs w:val="20"/>
          <w:color w:val="auto"/>
        </w:rPr>
        <w:t>” means TCF Commercial Finance Canada, Inc., a Canada corporation.</w:t>
      </w:r>
    </w:p>
    <w:p>
      <w:pPr>
        <w:spacing w:after="0" w:line="216"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Three-Year Borrowing</w:t>
      </w:r>
      <w:r>
        <w:rPr>
          <w:rFonts w:ascii="Arial" w:cs="Arial" w:eastAsia="Arial" w:hAnsi="Arial"/>
          <w:sz w:val="19"/>
          <w:szCs w:val="19"/>
          <w:color w:val="auto"/>
        </w:rPr>
        <w:t xml:space="preserve">” means a borrowing consisting of simultaneous Three-Year Term Loans of the same Type and, in the case of Eurodollar Rate Loans, having the same Interest Period made by each of the Three-Year Lenders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153"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Three-Year Commitment</w:t>
      </w:r>
      <w:r>
        <w:rPr>
          <w:rFonts w:ascii="Arial" w:cs="Arial" w:eastAsia="Arial" w:hAnsi="Arial"/>
          <w:sz w:val="20"/>
          <w:szCs w:val="20"/>
          <w:color w:val="auto"/>
        </w:rPr>
        <w:t xml:space="preserve">” means, as to each Three-Year Lender, its obligation to make a single Three-Year Term Loan to the Borrower on the Closing Date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in a principal amount not to exceed the amount set forth opposite such Three-Year Lender’s name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under the caption “Three-Year Commitment” or opposite such caption in the Assignment and Assumption pursuant to which such Three-Year Lender becomes a party hereto, as applicable, as such amount may be adjusted from time to time in accordance with this Agreement.</w:t>
      </w:r>
    </w:p>
    <w:p>
      <w:pPr>
        <w:spacing w:after="0" w:line="195"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Three-Year Lender</w:t>
      </w:r>
      <w:r>
        <w:rPr>
          <w:rFonts w:ascii="Arial" w:cs="Arial" w:eastAsia="Arial" w:hAnsi="Arial"/>
          <w:sz w:val="20"/>
          <w:szCs w:val="20"/>
          <w:color w:val="auto"/>
        </w:rPr>
        <w:t>” means, at any time, any Lender that has a Three-Year Commitment, all or a portion of which is unused, or an outstanding Three-Year Term Loan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Three-Year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Three-Year Term Loan Facility</w:t>
      </w:r>
      <w:r>
        <w:rPr>
          <w:rFonts w:ascii="Arial" w:cs="Arial" w:eastAsia="Arial" w:hAnsi="Arial"/>
          <w:sz w:val="20"/>
          <w:szCs w:val="20"/>
          <w:color w:val="auto"/>
        </w:rPr>
        <w:t xml:space="preserve">” means the term loan facility established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which shall be in an amount, at any time, equal to the aggregate unused amount of the Three-Year Commitments at such time (if any) and the aggregate principal amount of the Three-Year Term Loans outstanding at such time.</w:t>
      </w:r>
    </w:p>
    <w:p>
      <w:pPr>
        <w:spacing w:after="0" w:line="18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Three-Year Term Loan Note</w:t>
      </w:r>
      <w:r>
        <w:rPr>
          <w:rFonts w:ascii="Arial" w:cs="Arial" w:eastAsia="Arial" w:hAnsi="Arial"/>
          <w:sz w:val="20"/>
          <w:szCs w:val="20"/>
          <w:color w:val="auto"/>
        </w:rPr>
        <w:t xml:space="preserve">” means a promissory note made by the Borrower in favor of a Three-Year Lender evidencing Three-Year Term Loans made by such Three-Year Lender,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(if any) of, and the aggregate outstanding principal amount of Loans held by, such Lender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3" w:name="page34"/>
    <w:bookmarkEnd w:id="33"/>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means any corporation, limited liability company, partnership or other business association or entity organized under the laws of the United States or other country in which the Borrower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the Borrower or one or more Wholly-Owned Subsidiaries, or both, and (ii) directly or indirectly by the Borrower.</w:t>
      </w:r>
    </w:p>
    <w:p>
      <w:pPr>
        <w:spacing w:after="0" w:line="19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0"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b w:val="1"/>
          <w:bCs w:val="1"/>
          <w:color w:val="auto"/>
        </w:rPr>
        <w:t xml:space="preserve">1.02 Other Interpretive Provisions. </w:t>
      </w:r>
      <w:r>
        <w:rPr>
          <w:rFonts w:ascii="Arial" w:cs="Arial" w:eastAsia="Arial" w:hAnsi="Arial"/>
          <w:sz w:val="20"/>
          <w:szCs w:val="20"/>
          <w:color w:val="auto"/>
        </w:rPr>
        <w:t>With reference to this Agreement and each other Loan Document,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herein or in such other Loan Document:</w:t>
      </w:r>
    </w:p>
    <w:p>
      <w:pPr>
        <w:spacing w:after="0" w:line="170" w:lineRule="exact"/>
        <w:rPr>
          <w:sz w:val="20"/>
          <w:szCs w:val="20"/>
          <w:color w:val="auto"/>
        </w:rPr>
      </w:pPr>
    </w:p>
    <w:p>
      <w:pPr>
        <w:jc w:val="both"/>
        <w:ind w:left="880" w:firstLine="816"/>
        <w:spacing w:after="0" w:line="269" w:lineRule="auto"/>
        <w:tabs>
          <w:tab w:leader="none" w:pos="25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Annexes, Exhibits and Schedules shall be construed to refer to Articles and Sections of, and Annexes,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77" w:lineRule="exact"/>
        <w:rPr>
          <w:rFonts w:ascii="Arial" w:cs="Arial" w:eastAsia="Arial" w:hAnsi="Arial"/>
          <w:sz w:val="18"/>
          <w:szCs w:val="18"/>
          <w:color w:val="auto"/>
        </w:rPr>
      </w:pPr>
    </w:p>
    <w:p>
      <w:pPr>
        <w:ind w:left="880" w:firstLine="816"/>
        <w:spacing w:after="0" w:line="316" w:lineRule="auto"/>
        <w:tabs>
          <w:tab w:leader="none" w:pos="2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firstLine="816"/>
        <w:spacing w:after="0" w:line="260" w:lineRule="auto"/>
        <w:tabs>
          <w:tab w:leader="none" w:pos="2558"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4" w:name="page35"/>
    <w:bookmarkEnd w:id="34"/>
    <w:p>
      <w:pPr>
        <w:jc w:val="both"/>
        <w:ind w:left="880" w:firstLine="816"/>
        <w:spacing w:after="0" w:line="276" w:lineRule="auto"/>
        <w:tabs>
          <w:tab w:leader="none" w:pos="25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b w:val="1"/>
          <w:bCs w:val="1"/>
          <w:color w:val="auto"/>
        </w:rPr>
        <w:t xml:space="preserve">1.03 Accounting Terms.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on financial liabilities shall be disregarded.</w:t>
      </w:r>
    </w:p>
    <w:p>
      <w:pPr>
        <w:spacing w:after="0" w:line="179" w:lineRule="exact"/>
        <w:rPr>
          <w:sz w:val="20"/>
          <w:szCs w:val="20"/>
          <w:color w:val="auto"/>
        </w:rPr>
      </w:pPr>
    </w:p>
    <w:p>
      <w:pPr>
        <w:jc w:val="both"/>
        <w:ind w:firstLine="885"/>
        <w:spacing w:after="0" w:line="255" w:lineRule="auto"/>
        <w:tabs>
          <w:tab w:leader="none" w:pos="175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and effectiveness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187" w:lineRule="exact"/>
        <w:rPr>
          <w:rFonts w:ascii="Arial" w:cs="Arial" w:eastAsia="Arial" w:hAnsi="Arial"/>
          <w:sz w:val="19"/>
          <w:szCs w:val="19"/>
          <w:color w:val="auto"/>
        </w:rPr>
      </w:pPr>
    </w:p>
    <w:p>
      <w:pPr>
        <w:ind w:left="1760" w:hanging="875"/>
        <w:spacing w:after="0"/>
        <w:tabs>
          <w:tab w:leader="none" w:pos="17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References herein to “fiscal year” and “fiscal quarter” refer to such fiscal periods of the Borrower.</w:t>
      </w:r>
    </w:p>
    <w:p>
      <w:pPr>
        <w:spacing w:after="0" w:line="215" w:lineRule="exact"/>
        <w:rPr>
          <w:rFonts w:ascii="Arial" w:cs="Arial" w:eastAsia="Arial" w:hAnsi="Arial"/>
          <w:sz w:val="20"/>
          <w:szCs w:val="20"/>
          <w:color w:val="auto"/>
        </w:rPr>
      </w:pPr>
    </w:p>
    <w:p>
      <w:pPr>
        <w:ind w:left="1760" w:hanging="875"/>
        <w:spacing w:after="0"/>
        <w:tabs>
          <w:tab w:leader="none" w:pos="17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With respect to any Acquisition consummated on or after the Effective Date, the following shall apply:</w:t>
      </w:r>
    </w:p>
    <w:p>
      <w:pPr>
        <w:spacing w:after="0" w:line="215" w:lineRule="exact"/>
        <w:rPr>
          <w:rFonts w:ascii="Arial" w:cs="Arial" w:eastAsia="Arial" w:hAnsi="Arial"/>
          <w:sz w:val="20"/>
          <w:szCs w:val="20"/>
          <w:color w:val="auto"/>
        </w:rPr>
      </w:pPr>
    </w:p>
    <w:p>
      <w:pPr>
        <w:jc w:val="both"/>
        <w:ind w:left="880" w:firstLine="816"/>
        <w:spacing w:after="0" w:line="282" w:lineRule="auto"/>
        <w:tabs>
          <w:tab w:leader="none" w:pos="25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each period of four fiscal quarters of the Borrower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161" w:lineRule="exact"/>
        <w:rPr>
          <w:rFonts w:ascii="Arial" w:cs="Arial" w:eastAsia="Arial" w:hAnsi="Arial"/>
          <w:sz w:val="18"/>
          <w:szCs w:val="18"/>
          <w:color w:val="auto"/>
        </w:rPr>
      </w:pPr>
    </w:p>
    <w:p>
      <w:pPr>
        <w:jc w:val="both"/>
        <w:ind w:left="880" w:firstLine="816"/>
        <w:spacing w:after="0" w:line="246" w:lineRule="auto"/>
        <w:tabs>
          <w:tab w:leader="none" w:pos="25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For each period of four fiscal quarters of the Borrower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5" w:name="page36"/>
    <w:bookmarkEnd w:id="35"/>
    <w:p>
      <w:pPr>
        <w:jc w:val="both"/>
        <w:ind w:left="880"/>
        <w:spacing w:after="0" w:line="257" w:lineRule="auto"/>
        <w:rPr>
          <w:sz w:val="20"/>
          <w:szCs w:val="20"/>
          <w:color w:val="auto"/>
        </w:rPr>
      </w:pPr>
      <w:r>
        <w:rPr>
          <w:rFonts w:ascii="Arial" w:cs="Arial" w:eastAsia="Arial" w:hAnsi="Arial"/>
          <w:sz w:val="19"/>
          <w:szCs w:val="19"/>
          <w:color w:val="auto"/>
        </w:rPr>
        <w:t>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Arial" w:cs="Arial" w:eastAsia="Arial" w:hAnsi="Arial"/>
          <w:sz w:val="19"/>
          <w:szCs w:val="19"/>
          <w:u w:val="single" w:color="auto"/>
          <w:color w:val="auto"/>
        </w:rPr>
        <w:t>Incremental Debt</w:t>
      </w:r>
      <w:r>
        <w:rPr>
          <w:rFonts w:ascii="Arial" w:cs="Arial" w:eastAsia="Arial" w:hAnsi="Arial"/>
          <w:sz w:val="19"/>
          <w:szCs w:val="19"/>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81" w:lineRule="exact"/>
        <w:rPr>
          <w:sz w:val="20"/>
          <w:szCs w:val="20"/>
          <w:color w:val="auto"/>
        </w:rPr>
      </w:pPr>
    </w:p>
    <w:p>
      <w:pPr>
        <w:ind w:left="1760" w:hanging="875"/>
        <w:spacing w:after="0"/>
        <w:tabs>
          <w:tab w:leader="none" w:pos="1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 respect to any Material Disposition consummated on or after the Effective Date:</w:t>
      </w:r>
    </w:p>
    <w:p>
      <w:pPr>
        <w:spacing w:after="0" w:line="215" w:lineRule="exact"/>
        <w:rPr>
          <w:rFonts w:ascii="Arial" w:cs="Arial" w:eastAsia="Arial" w:hAnsi="Arial"/>
          <w:sz w:val="20"/>
          <w:szCs w:val="20"/>
          <w:color w:val="auto"/>
        </w:rPr>
      </w:pPr>
    </w:p>
    <w:p>
      <w:pPr>
        <w:jc w:val="both"/>
        <w:ind w:left="880" w:firstLine="816"/>
        <w:spacing w:after="0" w:line="263" w:lineRule="auto"/>
        <w:tabs>
          <w:tab w:leader="none" w:pos="2525" w:val="left"/>
        </w:tabs>
        <w:numPr>
          <w:ilvl w:val="1"/>
          <w:numId w:val="20"/>
        </w:numPr>
        <w:rPr>
          <w:rFonts w:ascii="Arial" w:cs="Arial" w:eastAsia="Arial" w:hAnsi="Arial"/>
          <w:sz w:val="19"/>
          <w:szCs w:val="19"/>
          <w:color w:val="auto"/>
        </w:rPr>
      </w:pPr>
      <w:r>
        <w:rPr>
          <w:rFonts w:ascii="Arial" w:cs="Arial" w:eastAsia="Arial" w:hAnsi="Arial"/>
          <w:sz w:val="19"/>
          <w:szCs w:val="19"/>
          <w:color w:val="auto"/>
        </w:rPr>
        <w:t>For each period of four fiscal quarters of the Borrower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76" w:lineRule="exact"/>
        <w:rPr>
          <w:rFonts w:ascii="Arial" w:cs="Arial" w:eastAsia="Arial" w:hAnsi="Arial"/>
          <w:sz w:val="19"/>
          <w:szCs w:val="19"/>
          <w:color w:val="auto"/>
        </w:rPr>
      </w:pPr>
    </w:p>
    <w:p>
      <w:pPr>
        <w:jc w:val="both"/>
        <w:ind w:left="880" w:firstLine="816"/>
        <w:spacing w:after="0" w:line="260" w:lineRule="auto"/>
        <w:tabs>
          <w:tab w:leader="none" w:pos="25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For each period of four fiscal quarters of the Borrower and its Subsidiaries ending next following the date of such Material Disposition, Consolidated Interest Charges shall be reduced by an amount equal to the Consolidated Interest Charges incurred by the Borrower or Subsidiary in connection with Indebtedness which is either (x) repaid with the proceeds received by the Borrower or Subsidiary in connection with such Material Disposition or (y) assigned or transferred to, and assumed by, the Person to whom the Material Disposition is made by the Borrower or Subsidiary.</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purposes of this paragraph, “</w:t>
      </w:r>
      <w:r>
        <w:rPr>
          <w:rFonts w:ascii="Arial" w:cs="Arial" w:eastAsia="Arial" w:hAnsi="Arial"/>
          <w:sz w:val="19"/>
          <w:szCs w:val="19"/>
          <w:u w:val="single" w:color="auto"/>
          <w:color w:val="auto"/>
        </w:rPr>
        <w:t>Material Disposition</w:t>
      </w:r>
      <w:r>
        <w:rPr>
          <w:rFonts w:ascii="Arial" w:cs="Arial" w:eastAsia="Arial" w:hAnsi="Arial"/>
          <w:sz w:val="19"/>
          <w:szCs w:val="19"/>
          <w:color w:val="auto"/>
        </w:rPr>
        <w:t>” means any Disposition, or series of related Dispositions, by the Borrower and its Subsidiaries of real or personal property that has a gross book value, as determined in accordance with GAAP, equal to or greater than 10% of consolidated total assets of the Borrower and its Subsidiaries determined as of the last day of the immediately preceding fiscal quarter of the Borrower, and “Disposition” means the sale, transfer, license or other disposition (including any sale and leaseback transaction) of any property by any Person, other than pursuant to or in connection with a Receivables Purchase Facility.</w:t>
      </w:r>
    </w:p>
    <w:p>
      <w:pPr>
        <w:spacing w:after="0" w:line="181" w:lineRule="exact"/>
        <w:rPr>
          <w:sz w:val="20"/>
          <w:szCs w:val="20"/>
          <w:color w:val="auto"/>
        </w:rPr>
      </w:pPr>
    </w:p>
    <w:p>
      <w:pPr>
        <w:jc w:val="both"/>
        <w:ind w:firstLine="885"/>
        <w:spacing w:after="0" w:line="246" w:lineRule="auto"/>
        <w:tabs>
          <w:tab w:leader="none" w:pos="1723"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or a Subsidiary is required to consolidate pursuant to FASB ASC 810 as if such variable interest entity were a Subsidiary as defined herein.</w:t>
      </w:r>
    </w:p>
    <w:p>
      <w:pPr>
        <w:spacing w:after="0" w:line="18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 xml:space="preserve">1.04 Times of Day. </w:t>
      </w:r>
      <w:r>
        <w:rPr>
          <w:rFonts w:ascii="Arial" w:cs="Arial" w:eastAsia="Arial" w:hAnsi="Arial"/>
          <w:sz w:val="20"/>
          <w:szCs w:val="20"/>
          <w:color w:val="auto"/>
        </w:rPr>
        <w:t>Unless otherwise specified, all references herein to times of day shall be references to Central time</w:t>
      </w:r>
      <w:r>
        <w:rPr>
          <w:rFonts w:ascii="Arial" w:cs="Arial" w:eastAsia="Arial" w:hAnsi="Arial"/>
          <w:sz w:val="20"/>
          <w:szCs w:val="20"/>
          <w:b w:val="1"/>
          <w:bCs w:val="1"/>
          <w:color w:val="auto"/>
        </w:rPr>
        <w:t xml:space="preserve"> </w:t>
      </w:r>
      <w:r>
        <w:rPr>
          <w:rFonts w:ascii="Arial" w:cs="Arial" w:eastAsia="Arial" w:hAnsi="Arial"/>
          <w:sz w:val="20"/>
          <w:szCs w:val="20"/>
          <w:color w:val="auto"/>
        </w:rPr>
        <w:t>(daylight or standard, as applicable).</w:t>
      </w:r>
    </w:p>
    <w:p>
      <w:pPr>
        <w:spacing w:after="0" w:line="16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 xml:space="preserve">1.05 Rounding. </w:t>
      </w:r>
      <w:r>
        <w:rPr>
          <w:rFonts w:ascii="Arial" w:cs="Arial" w:eastAsia="Arial" w:hAnsi="Arial"/>
          <w:sz w:val="20"/>
          <w:szCs w:val="20"/>
          <w:color w:val="auto"/>
        </w:rPr>
        <w:t>Any financial ratios required to be maintained by the Borrower pursuant to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6" w:name="page37"/>
    <w:bookmarkEnd w:id="36"/>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1.06 Interest Rates. </w:t>
      </w:r>
      <w:r>
        <w:rPr>
          <w:rFonts w:ascii="Arial" w:cs="Arial" w:eastAsia="Arial" w:hAnsi="Arial"/>
          <w:sz w:val="20"/>
          <w:szCs w:val="20"/>
          <w:color w:val="auto"/>
        </w:rPr>
        <w:t>The Administrative Agent does not warrant, nor accept responsibility, nor shall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have any liability with respect to the administration, submission or any other matter related to the rates in the definition of “Eurodollar Rate” or with respect to any comparable or successor rate thereto.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COMMITMENTS AND LOANS</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6"/>
          <w:szCs w:val="16"/>
          <w:b w:val="1"/>
          <w:bCs w:val="1"/>
          <w:color w:val="auto"/>
        </w:rPr>
        <w:t>Loans.</w:t>
      </w:r>
    </w:p>
    <w:p>
      <w:pPr>
        <w:spacing w:after="0" w:line="222" w:lineRule="exact"/>
        <w:rPr>
          <w:sz w:val="20"/>
          <w:szCs w:val="20"/>
          <w:color w:val="auto"/>
        </w:rPr>
      </w:pPr>
    </w:p>
    <w:p>
      <w:pPr>
        <w:jc w:val="both"/>
        <w:ind w:firstLine="885"/>
        <w:spacing w:after="0" w:line="243" w:lineRule="auto"/>
        <w:tabs>
          <w:tab w:leader="none" w:pos="1745"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Three-Year Term Loans</w:t>
      </w:r>
      <w:r>
        <w:rPr>
          <w:rFonts w:ascii="Arial" w:cs="Arial" w:eastAsia="Arial" w:hAnsi="Arial"/>
          <w:sz w:val="20"/>
          <w:szCs w:val="20"/>
          <w:color w:val="auto"/>
        </w:rPr>
        <w:t>. Subject to the terms and conditions set forth herein, each Three-Year Lender severally agrees to make a single loan (each such loan, a “</w:t>
      </w:r>
      <w:r>
        <w:rPr>
          <w:rFonts w:ascii="Arial" w:cs="Arial" w:eastAsia="Arial" w:hAnsi="Arial"/>
          <w:sz w:val="20"/>
          <w:szCs w:val="20"/>
          <w:u w:val="single" w:color="auto"/>
          <w:color w:val="auto"/>
        </w:rPr>
        <w:t>Three-Year Term Loan</w:t>
      </w:r>
      <w:r>
        <w:rPr>
          <w:rFonts w:ascii="Arial" w:cs="Arial" w:eastAsia="Arial" w:hAnsi="Arial"/>
          <w:sz w:val="20"/>
          <w:szCs w:val="20"/>
          <w:color w:val="auto"/>
        </w:rPr>
        <w:t xml:space="preserve">”) to the Borrower in Dollars on the Closing Date in an amount not to exceed </w:t>
      </w:r>
      <w:r>
        <w:rPr>
          <w:rFonts w:ascii="Arial" w:cs="Arial" w:eastAsia="Arial" w:hAnsi="Arial"/>
          <w:sz w:val="20"/>
          <w:szCs w:val="20"/>
          <w:color w:val="191919"/>
        </w:rPr>
        <w:t xml:space="preserve">such Three-Year </w:t>
      </w:r>
      <w:r>
        <w:rPr>
          <w:rFonts w:ascii="Arial" w:cs="Arial" w:eastAsia="Arial" w:hAnsi="Arial"/>
          <w:sz w:val="20"/>
          <w:szCs w:val="20"/>
          <w:color w:val="000000"/>
        </w:rPr>
        <w:t>Lender’s Three-Year Commitment. The Three-Year Borrowing shall consist of Three-Year Term Loans made simultaneously</w:t>
      </w:r>
      <w:r>
        <w:rPr>
          <w:rFonts w:ascii="Arial" w:cs="Arial" w:eastAsia="Arial" w:hAnsi="Arial"/>
          <w:sz w:val="20"/>
          <w:szCs w:val="20"/>
          <w:color w:val="191919"/>
        </w:rPr>
        <w:t xml:space="preserve"> </w:t>
      </w:r>
      <w:r>
        <w:rPr>
          <w:rFonts w:ascii="Arial" w:cs="Arial" w:eastAsia="Arial" w:hAnsi="Arial"/>
          <w:sz w:val="20"/>
          <w:szCs w:val="20"/>
          <w:color w:val="000000"/>
        </w:rPr>
        <w:t xml:space="preserve">by the Three-Year Lenders in accordance with their respective Applicable Percentage of the Three-Year Term Loan Facility. Amounts borrowed under this </w:t>
      </w:r>
      <w:r>
        <w:rPr>
          <w:rFonts w:ascii="Arial" w:cs="Arial" w:eastAsia="Arial" w:hAnsi="Arial"/>
          <w:sz w:val="20"/>
          <w:szCs w:val="20"/>
          <w:u w:val="single" w:color="auto"/>
          <w:color w:val="000000"/>
        </w:rPr>
        <w:t>Section 2.01(a)</w:t>
      </w:r>
      <w:r>
        <w:rPr>
          <w:rFonts w:ascii="Arial" w:cs="Arial" w:eastAsia="Arial" w:hAnsi="Arial"/>
          <w:sz w:val="20"/>
          <w:szCs w:val="20"/>
          <w:color w:val="000000"/>
        </w:rPr>
        <w:t xml:space="preserve"> and repaid or prepaid may not be reborrowed. Three-Year Term Loans may be Base Rate Loans or Eurodollar Rate Loans, as further provided herein.</w:t>
      </w:r>
    </w:p>
    <w:p>
      <w:pPr>
        <w:spacing w:after="0" w:line="196" w:lineRule="exact"/>
        <w:rPr>
          <w:rFonts w:ascii="Arial" w:cs="Arial" w:eastAsia="Arial" w:hAnsi="Arial"/>
          <w:sz w:val="20"/>
          <w:szCs w:val="20"/>
          <w:color w:val="auto"/>
        </w:rPr>
      </w:pPr>
    </w:p>
    <w:p>
      <w:pPr>
        <w:jc w:val="both"/>
        <w:ind w:firstLine="885"/>
        <w:spacing w:after="0" w:line="243" w:lineRule="auto"/>
        <w:tabs>
          <w:tab w:leader="none" w:pos="1756"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Five-Year Term Loans</w:t>
      </w:r>
      <w:r>
        <w:rPr>
          <w:rFonts w:ascii="Arial" w:cs="Arial" w:eastAsia="Arial" w:hAnsi="Arial"/>
          <w:sz w:val="20"/>
          <w:szCs w:val="20"/>
          <w:color w:val="auto"/>
        </w:rPr>
        <w:t>. Subject to the terms and conditions set forth herein, each Five-Year Lender severally agrees to make a single loan (each such loan, a “</w:t>
      </w:r>
      <w:r>
        <w:rPr>
          <w:rFonts w:ascii="Arial" w:cs="Arial" w:eastAsia="Arial" w:hAnsi="Arial"/>
          <w:sz w:val="20"/>
          <w:szCs w:val="20"/>
          <w:u w:val="single" w:color="auto"/>
          <w:color w:val="auto"/>
        </w:rPr>
        <w:t>Five-Year Term Loan</w:t>
      </w:r>
      <w:r>
        <w:rPr>
          <w:rFonts w:ascii="Arial" w:cs="Arial" w:eastAsia="Arial" w:hAnsi="Arial"/>
          <w:sz w:val="20"/>
          <w:szCs w:val="20"/>
          <w:color w:val="auto"/>
        </w:rPr>
        <w:t xml:space="preserve">”) to the Borrower in Dollars on the Closing Date in an amount not to exceed </w:t>
      </w:r>
      <w:r>
        <w:rPr>
          <w:rFonts w:ascii="Arial" w:cs="Arial" w:eastAsia="Arial" w:hAnsi="Arial"/>
          <w:sz w:val="20"/>
          <w:szCs w:val="20"/>
          <w:color w:val="191919"/>
        </w:rPr>
        <w:t>such</w:t>
      </w:r>
      <w:r>
        <w:rPr>
          <w:rFonts w:ascii="Arial" w:cs="Arial" w:eastAsia="Arial" w:hAnsi="Arial"/>
          <w:sz w:val="20"/>
          <w:szCs w:val="20"/>
          <w:color w:val="auto"/>
        </w:rPr>
        <w:t xml:space="preserve"> </w:t>
      </w:r>
      <w:r>
        <w:rPr>
          <w:rFonts w:ascii="Arial" w:cs="Arial" w:eastAsia="Arial" w:hAnsi="Arial"/>
          <w:sz w:val="20"/>
          <w:szCs w:val="20"/>
          <w:color w:val="191919"/>
        </w:rPr>
        <w:t xml:space="preserve">Five-Year </w:t>
      </w:r>
      <w:r>
        <w:rPr>
          <w:rFonts w:ascii="Arial" w:cs="Arial" w:eastAsia="Arial" w:hAnsi="Arial"/>
          <w:sz w:val="20"/>
          <w:szCs w:val="20"/>
          <w:color w:val="000000"/>
        </w:rPr>
        <w:t xml:space="preserve">Lender’s Five-Year Commitment. The Five-Year Borrowing shall consist of Five-Year Term Loans made simultaneously by the Five-Year Lenders in accordance with their respective Applicable Percentage of the Five-Year Term Loan Facility. Amounts borrowed under this </w:t>
      </w:r>
      <w:r>
        <w:rPr>
          <w:rFonts w:ascii="Arial" w:cs="Arial" w:eastAsia="Arial" w:hAnsi="Arial"/>
          <w:sz w:val="20"/>
          <w:szCs w:val="20"/>
          <w:u w:val="single" w:color="auto"/>
          <w:color w:val="000000"/>
        </w:rPr>
        <w:t>Section 2.01(b)</w:t>
      </w:r>
      <w:r>
        <w:rPr>
          <w:rFonts w:ascii="Arial" w:cs="Arial" w:eastAsia="Arial" w:hAnsi="Arial"/>
          <w:sz w:val="20"/>
          <w:szCs w:val="20"/>
          <w:color w:val="000000"/>
        </w:rPr>
        <w:t xml:space="preserve"> and repaid or prepaid may not be reborrowed. Five-Year Term Loans may be Base Rate Loans or Eurodollar Rate Loans, as further provided herein.</w:t>
      </w:r>
    </w:p>
    <w:p>
      <w:pPr>
        <w:spacing w:after="0" w:line="19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Loans.</w:t>
      </w:r>
    </w:p>
    <w:p>
      <w:pPr>
        <w:spacing w:after="0" w:line="222" w:lineRule="exact"/>
        <w:rPr>
          <w:sz w:val="20"/>
          <w:szCs w:val="20"/>
          <w:color w:val="auto"/>
        </w:rPr>
      </w:pPr>
    </w:p>
    <w:p>
      <w:pPr>
        <w:jc w:val="both"/>
        <w:ind w:firstLine="885"/>
        <w:spacing w:after="0" w:line="269" w:lineRule="auto"/>
        <w:tabs>
          <w:tab w:leader="none" w:pos="17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Eurodollar Rate Loans shall be made upon the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12:00 noon (i) three (3) Business Days prior to the requested date of any Borrowing of, conversion to or continuation of Eurodollar Rate Loans or of any conversion of Eurodollar Rate Loans to Base Rate Loans, and</w:t>
      </w:r>
    </w:p>
    <w:p>
      <w:pPr>
        <w:spacing w:after="0" w:line="3" w:lineRule="exact"/>
        <w:rPr>
          <w:rFonts w:ascii="Arial" w:cs="Arial" w:eastAsia="Arial" w:hAnsi="Arial"/>
          <w:sz w:val="18"/>
          <w:szCs w:val="18"/>
          <w:color w:val="auto"/>
        </w:rPr>
      </w:pPr>
    </w:p>
    <w:p>
      <w:pPr>
        <w:jc w:val="both"/>
        <w:ind w:firstLine="8"/>
        <w:spacing w:after="0" w:line="266" w:lineRule="auto"/>
        <w:tabs>
          <w:tab w:leader="none" w:pos="3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requested date of any Borrowing of Base Rate Loans. Each Borrowing of, conversion to or continuation of Eurodollar Rate Loans shall be in a principal amount of $5,000,000 or a whole multiple of $1,000,000 in excess thereof. Each Borrowing of or conversion to Base Rate Loans shall be in a principal amount of $500,000 or a whole multiple of $100,000 in excess thereof. Each Loan Notice shall specify</w:t>
      </w:r>
    </w:p>
    <w:p>
      <w:pPr>
        <w:jc w:val="both"/>
        <w:ind w:firstLine="8"/>
        <w:spacing w:after="0" w:line="254" w:lineRule="auto"/>
        <w:tabs>
          <w:tab w:leader="none" w:pos="238" w:val="left"/>
        </w:tabs>
        <w:numPr>
          <w:ilvl w:val="0"/>
          <w:numId w:val="25"/>
        </w:numPr>
        <w:rPr>
          <w:rFonts w:ascii="Arial" w:cs="Arial" w:eastAsia="Arial" w:hAnsi="Arial"/>
          <w:sz w:val="19"/>
          <w:szCs w:val="19"/>
          <w:color w:val="auto"/>
        </w:rPr>
      </w:pPr>
      <w:r>
        <w:rPr>
          <w:rFonts w:ascii="Arial" w:cs="Arial" w:eastAsia="Arial" w:hAnsi="Arial"/>
          <w:sz w:val="19"/>
          <w:szCs w:val="19"/>
          <w:color w:val="auto"/>
        </w:rPr>
        <w:t>whether the Borrower is requesting a Three-Year Borrowing or a Five-Year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both"/>
        <w:ind w:firstLine="885"/>
        <w:spacing w:after="0" w:line="272" w:lineRule="auto"/>
        <w:tabs>
          <w:tab w:leader="none" w:pos="17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Lender of the amount of its Applicable Percentage under the applicable Facility of the applicable Three-Year Term Loans or Five-Year Term Loans, and if no timely notice of a conversion or continuation is provided by the Borrower, the Administrative Agent shall notify each Lender of the details of any automatic conversion to Base Rate Loans as described in the preceding subsection.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71" w:lineRule="exact"/>
        <w:rPr>
          <w:rFonts w:ascii="Arial" w:cs="Arial" w:eastAsia="Arial" w:hAnsi="Arial"/>
          <w:sz w:val="18"/>
          <w:szCs w:val="18"/>
          <w:color w:val="auto"/>
        </w:rPr>
      </w:pPr>
    </w:p>
    <w:p>
      <w:pPr>
        <w:jc w:val="both"/>
        <w:ind w:firstLine="885"/>
        <w:spacing w:after="0" w:line="250" w:lineRule="auto"/>
        <w:tabs>
          <w:tab w:leader="none" w:pos="17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6" w:lineRule="exact"/>
        <w:rPr>
          <w:rFonts w:ascii="Arial" w:cs="Arial" w:eastAsia="Arial" w:hAnsi="Arial"/>
          <w:sz w:val="20"/>
          <w:szCs w:val="20"/>
          <w:color w:val="auto"/>
        </w:rPr>
      </w:pPr>
    </w:p>
    <w:p>
      <w:pPr>
        <w:jc w:val="both"/>
        <w:ind w:firstLine="885"/>
        <w:spacing w:after="0" w:line="246" w:lineRule="auto"/>
        <w:tabs>
          <w:tab w:leader="none" w:pos="175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jc w:val="both"/>
        <w:ind w:firstLine="885"/>
        <w:spacing w:after="0" w:line="244" w:lineRule="auto"/>
        <w:tabs>
          <w:tab w:leader="none" w:pos="17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After giving effect to the Three-Year Borrowings, all conversions of Three-Year Term Loans from one Type to the other, and all continuations of Three-Year Term Loans as the same Type, there shall not be more than 4 Interest Periods in effect with respect to Three-Year Term Loans. After giving effect to the Five-Year Borrowings, all conversions of Five-Year Term Loans from one Type to the other, and all continuations of Five-Year Term Loans as the same Type, there shall not be more than 4 Interest Periods in effect with respect to Five-Year Term Loans.</w:t>
      </w:r>
    </w:p>
    <w:p>
      <w:pPr>
        <w:spacing w:after="0" w:line="189"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b w:val="1"/>
          <w:bCs w:val="1"/>
          <w:color w:val="auto"/>
        </w:rPr>
        <w:t xml:space="preserve">2.03 Prepayments. </w:t>
      </w:r>
      <w:r>
        <w:rPr>
          <w:rFonts w:ascii="Arial" w:cs="Arial" w:eastAsia="Arial" w:hAnsi="Arial"/>
          <w:sz w:val="18"/>
          <w:szCs w:val="18"/>
          <w:color w:val="auto"/>
        </w:rPr>
        <w:t>The Borrower may, upon notice from the Borrower to the Administrative Agent, at any time or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to time 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in a form reasonably acceptable to the Administrative Agent and be received by the Administrative Agent not later than 12:00 noon (A) three (3) Business Days prior to any date of prepayment of Eurodollar Rate Loans and (B) on the date of prepayment of Base Rate Loans; (ii) any prepayment of Eurodollar Rate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the Facility to which such prepayment shall be applied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Once such notice is given,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the outstanding Loans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w:t>
      </w:r>
      <w:r>
        <w:rPr>
          <w:rFonts w:ascii="Arial" w:cs="Arial" w:eastAsia="Arial" w:hAnsi="Arial"/>
          <w:sz w:val="18"/>
          <w:szCs w:val="18"/>
          <w:color w:val="auto"/>
        </w:rPr>
        <w:t xml:space="preserve"> shall be applied to the principal installments thereof as directed by the Borrower.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each such prepayment shall be applied to the Loans of the Lenders in accordance with their respective Applicable Percentage in respect of each of the relevant Facilities.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8" w:name="page39"/>
    <w:bookmarkEnd w:id="38"/>
    <w:p>
      <w:pPr>
        <w:ind w:left="880"/>
        <w:spacing w:after="0"/>
        <w:tabs>
          <w:tab w:leader="none" w:pos="186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6"/>
          <w:szCs w:val="16"/>
          <w:b w:val="1"/>
          <w:bCs w:val="1"/>
          <w:color w:val="auto"/>
        </w:rPr>
        <w:t>Reduction of Commitments.</w:t>
      </w:r>
    </w:p>
    <w:p>
      <w:pPr>
        <w:spacing w:after="0" w:line="222" w:lineRule="exact"/>
        <w:rPr>
          <w:sz w:val="20"/>
          <w:szCs w:val="20"/>
          <w:color w:val="auto"/>
        </w:rPr>
      </w:pPr>
    </w:p>
    <w:p>
      <w:pPr>
        <w:jc w:val="both"/>
        <w:ind w:firstLine="885"/>
        <w:spacing w:after="0" w:line="242" w:lineRule="auto"/>
        <w:tabs>
          <w:tab w:leader="none" w:pos="1745"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 xml:space="preserve">. The Borrower may, upon notice to the Administrative Agent, from time to time terminate (in whole or in part) the unused portion of the aggregate Three-Year Commitments and/or the aggregate Five-Year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notice shall be received by the Administrative Agent not later than 12:00 noon five Business Days prior to the date of termination or reduction. The Administrative Agent will promptly notify the Lenders of any termination or reduction of the unused portion of the aggregate Three-Year Commitments and/or the aggregate Five-Year Commitments under this </w:t>
      </w:r>
      <w:r>
        <w:rPr>
          <w:rFonts w:ascii="Arial" w:cs="Arial" w:eastAsia="Arial" w:hAnsi="Arial"/>
          <w:sz w:val="20"/>
          <w:szCs w:val="20"/>
          <w:u w:val="single" w:color="auto"/>
          <w:color w:val="auto"/>
        </w:rPr>
        <w:t>Section 2.04</w:t>
      </w:r>
      <w:r>
        <w:rPr>
          <w:rFonts w:ascii="Arial" w:cs="Arial" w:eastAsia="Arial" w:hAnsi="Arial"/>
          <w:sz w:val="20"/>
          <w:szCs w:val="20"/>
          <w:color w:val="auto"/>
        </w:rPr>
        <w:t>. Any reduction of the aggregate Commitments in respect of any Facility shall be applied to the Commitment of each Lender in respect of such Facility according to its Applicable Percentage in respect of such Facility. All fees in respect of any Facility accrued until the effective date of any termination of such Facility shall be paid on the effective date of such termination.</w:t>
      </w:r>
    </w:p>
    <w:p>
      <w:pPr>
        <w:spacing w:after="0" w:line="197" w:lineRule="exact"/>
        <w:rPr>
          <w:rFonts w:ascii="Arial" w:cs="Arial" w:eastAsia="Arial" w:hAnsi="Arial"/>
          <w:sz w:val="20"/>
          <w:szCs w:val="20"/>
          <w:color w:val="auto"/>
        </w:rPr>
      </w:pPr>
    </w:p>
    <w:p>
      <w:pPr>
        <w:jc w:val="both"/>
        <w:ind w:firstLine="885"/>
        <w:spacing w:after="0" w:line="282" w:lineRule="auto"/>
        <w:tabs>
          <w:tab w:leader="none" w:pos="175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Any unused portion of the Three-Year Commitments shall be automatically terminated upon the earlier to occur of (i) the funding of the Three-Year Term Loans on the Closing Date and (ii) the Outside Closing Date, unless the Closing Date occurs on such date. Any unused portion of the Five-Year Commitments shall be automatically terminated upon the earlier to occur of (i) the funding of the Five-Year Term Loans on the Closing Date and (ii) the Outside Closing Date, unless the Closing Date occurs on such date.</w:t>
      </w:r>
    </w:p>
    <w:p>
      <w:pPr>
        <w:spacing w:after="0" w:line="156" w:lineRule="exact"/>
        <w:rPr>
          <w:sz w:val="20"/>
          <w:szCs w:val="20"/>
          <w:color w:val="auto"/>
        </w:rPr>
      </w:pPr>
    </w:p>
    <w:p>
      <w:pPr>
        <w:ind w:firstLine="877"/>
        <w:spacing w:after="0" w:line="323" w:lineRule="auto"/>
        <w:rPr>
          <w:sz w:val="20"/>
          <w:szCs w:val="20"/>
          <w:color w:val="auto"/>
        </w:rPr>
      </w:pPr>
      <w:r>
        <w:rPr>
          <w:rFonts w:ascii="Arial" w:cs="Arial" w:eastAsia="Arial" w:hAnsi="Arial"/>
          <w:sz w:val="18"/>
          <w:szCs w:val="18"/>
          <w:b w:val="1"/>
          <w:bCs w:val="1"/>
          <w:color w:val="auto"/>
        </w:rPr>
        <w:t xml:space="preserve">2.05 Repayment of Loans.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Three-Year Term Loan Facility</w:t>
      </w:r>
      <w:r>
        <w:rPr>
          <w:rFonts w:ascii="Arial" w:cs="Arial" w:eastAsia="Arial" w:hAnsi="Arial"/>
          <w:sz w:val="18"/>
          <w:szCs w:val="18"/>
          <w:color w:val="auto"/>
        </w:rPr>
        <w:t>. The Borrower shall repay to the Three-Year Lenders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principal amount of all Three-Year Term Loans outstanding on the Maturity Date with respect to the Three-Year Term Loan Facility.</w:t>
      </w:r>
    </w:p>
    <w:p>
      <w:pPr>
        <w:spacing w:after="0" w:line="124" w:lineRule="exact"/>
        <w:rPr>
          <w:sz w:val="20"/>
          <w:szCs w:val="20"/>
          <w:color w:val="auto"/>
        </w:rPr>
      </w:pPr>
    </w:p>
    <w:p>
      <w:pPr>
        <w:jc w:val="both"/>
        <w:ind w:firstLine="885"/>
        <w:spacing w:after="0" w:line="258" w:lineRule="auto"/>
        <w:tabs>
          <w:tab w:leader="none" w:pos="175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Five-Year Term Loan Facility</w:t>
      </w:r>
      <w:r>
        <w:rPr>
          <w:rFonts w:ascii="Arial" w:cs="Arial" w:eastAsia="Arial" w:hAnsi="Arial"/>
          <w:sz w:val="19"/>
          <w:szCs w:val="19"/>
          <w:color w:val="auto"/>
        </w:rPr>
        <w:t xml:space="preserve">. The Borrower shall repay to the Five-Year Lenders on the last Business Day of each March, June, September and December of each year (commencing on the last Business Day of the thirteenth (13th) calendar quarter ending after the Closing Date), an aggregate principal amount equal to 2.50% of the aggregate principal amount of all Five-Year Term Loans outstanding on the Closing Date (which amounts shall be reduced as a result of the application of prepayments in accordance with the order of priority set forth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final principal repayment installment of the Five-Year Term Loans shall be repaid on the Maturity Date with respect to the Five-Year Term Loan Facility and in any event shall be in an amount equal to the aggregate principal amount of all Five-Year Term Loans outstanding on such date.</w:t>
      </w:r>
    </w:p>
    <w:p>
      <w:pPr>
        <w:spacing w:after="0" w:line="173"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8"/>
          <w:szCs w:val="18"/>
          <w:b w:val="1"/>
          <w:bCs w:val="1"/>
          <w:color w:val="auto"/>
        </w:rPr>
        <w:t xml:space="preserve">2.06 Interest. </w:t>
      </w:r>
      <w:r>
        <w:rPr>
          <w:rFonts w:ascii="Arial" w:cs="Arial" w:eastAsia="Arial" w:hAnsi="Arial"/>
          <w:sz w:val="18"/>
          <w:szCs w:val="18"/>
          <w:color w:val="auto"/>
        </w:rPr>
        <w:t>(a) Subject to the provisions of subsection (b) below, (i) each Eurodollar Rate Loan under a Facility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on the outstanding principal amount thereof for each Interest Period at a rate per annum equal to the Eurodollar Rate for such Interest Period plus the Applicable Rate for such Facility; and (ii) each Base Rate Loan under a Facility shall bear interest on the outstanding principal amount thereof from the applicable borrowing date at a rate per annum equal to the Base Rate plus the Applicable Rate for such Facility.</w:t>
      </w:r>
    </w:p>
    <w:p>
      <w:pPr>
        <w:spacing w:after="0" w:line="157" w:lineRule="exact"/>
        <w:rPr>
          <w:sz w:val="20"/>
          <w:szCs w:val="20"/>
          <w:color w:val="auto"/>
        </w:rPr>
      </w:pPr>
    </w:p>
    <w:p>
      <w:pPr>
        <w:jc w:val="both"/>
        <w:ind w:left="880" w:firstLine="93"/>
        <w:spacing w:after="0" w:line="269" w:lineRule="auto"/>
        <w:tabs>
          <w:tab w:leader="none" w:pos="1846" w:val="left"/>
        </w:tabs>
        <w:numPr>
          <w:ilvl w:val="0"/>
          <w:numId w:val="29"/>
        </w:numPr>
        <w:rPr>
          <w:rFonts w:ascii="Arial" w:cs="Arial" w:eastAsia="Arial" w:hAnsi="Arial"/>
          <w:sz w:val="19"/>
          <w:szCs w:val="19"/>
          <w:color w:val="auto"/>
        </w:rPr>
      </w:pPr>
      <w:r>
        <w:rPr>
          <w:rFonts w:ascii="Arial" w:cs="Arial" w:eastAsia="Arial" w:hAnsi="Arial"/>
          <w:sz w:val="19"/>
          <w:szCs w:val="19"/>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0" w:lineRule="exact"/>
        <w:rPr>
          <w:rFonts w:ascii="Arial" w:cs="Arial" w:eastAsia="Arial" w:hAnsi="Arial"/>
          <w:sz w:val="19"/>
          <w:szCs w:val="19"/>
          <w:color w:val="auto"/>
        </w:rPr>
      </w:pPr>
    </w:p>
    <w:p>
      <w:pPr>
        <w:jc w:val="both"/>
        <w:ind w:left="880" w:firstLine="816"/>
        <w:spacing w:after="0" w:line="246" w:lineRule="auto"/>
        <w:tabs>
          <w:tab w:leader="none" w:pos="25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jc w:val="both"/>
        <w:ind w:left="880" w:firstLine="816"/>
        <w:spacing w:after="0" w:line="269" w:lineRule="auto"/>
        <w:tabs>
          <w:tab w:leader="none" w:pos="2635"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Upon the request of the Required Lenders, while any Event of Default exists (other than as set forth in </w:t>
      </w:r>
      <w:r>
        <w:rPr>
          <w:rFonts w:ascii="Arial" w:cs="Arial" w:eastAsia="Arial" w:hAnsi="Arial"/>
          <w:sz w:val="19"/>
          <w:szCs w:val="19"/>
          <w:u w:val="single" w:color="auto"/>
          <w:color w:val="auto"/>
        </w:rPr>
        <w:t>clauses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above), the Borrower shall pay interest on the principal amount of all outstanding Obligations at a fluctuating interest rate per annum at all times equal to the Default Rate to the fullest extent permitted by applicable Laws.</w:t>
      </w:r>
    </w:p>
    <w:p>
      <w:pPr>
        <w:spacing w:after="0" w:line="170" w:lineRule="exact"/>
        <w:rPr>
          <w:rFonts w:ascii="Arial" w:cs="Arial" w:eastAsia="Arial" w:hAnsi="Arial"/>
          <w:sz w:val="19"/>
          <w:szCs w:val="19"/>
          <w:color w:val="auto"/>
        </w:rPr>
      </w:pPr>
    </w:p>
    <w:p>
      <w:pPr>
        <w:ind w:left="880" w:firstLine="816"/>
        <w:spacing w:after="0" w:line="260" w:lineRule="auto"/>
        <w:tabs>
          <w:tab w:leader="none" w:pos="262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7" w:lineRule="exact"/>
        <w:rPr>
          <w:sz w:val="20"/>
          <w:szCs w:val="20"/>
          <w:color w:val="auto"/>
        </w:rPr>
      </w:pPr>
    </w:p>
    <w:p>
      <w:pPr>
        <w:jc w:val="both"/>
        <w:ind w:firstLine="885"/>
        <w:spacing w:after="0" w:line="250" w:lineRule="auto"/>
        <w:tabs>
          <w:tab w:leader="none" w:pos="1745"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color w:val="auto"/>
        </w:rPr>
        <w:t>Fees.</w:t>
      </w:r>
    </w:p>
    <w:p>
      <w:pPr>
        <w:spacing w:after="0" w:line="222" w:lineRule="exact"/>
        <w:rPr>
          <w:sz w:val="20"/>
          <w:szCs w:val="20"/>
          <w:color w:val="auto"/>
        </w:rPr>
      </w:pPr>
    </w:p>
    <w:p>
      <w:pPr>
        <w:jc w:val="both"/>
        <w:ind w:firstLine="885"/>
        <w:spacing w:after="0" w:line="278" w:lineRule="auto"/>
        <w:tabs>
          <w:tab w:leader="none" w:pos="174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Ticking Fee</w:t>
      </w:r>
      <w:r>
        <w:rPr>
          <w:rFonts w:ascii="Arial" w:cs="Arial" w:eastAsia="Arial" w:hAnsi="Arial"/>
          <w:sz w:val="18"/>
          <w:szCs w:val="18"/>
          <w:color w:val="auto"/>
        </w:rPr>
        <w:t>. The Borrower shall pay to the Administrative Agent for the account of the Lenders a ticking fee in Dollars equal to 0.125% per annum of the daily average of the aggregate undrawn Commitments. Such fee shall accrue from and including the date which is 90 days after the Effective Date and shall be due and payable on the earlier to occur of (i) the Closing Date and (ii) the termination or expiration of the Commitments. Such fee shall be paid ratably to the Lenders in accordance with their respective Applicable Percentages in respect of the Facilities. Such fee shall be fully earned when paid and shall not be refundable for any reason whatsoever.</w:t>
      </w:r>
    </w:p>
    <w:p>
      <w:pPr>
        <w:spacing w:after="0" w:line="165" w:lineRule="exact"/>
        <w:rPr>
          <w:rFonts w:ascii="Arial" w:cs="Arial" w:eastAsia="Arial" w:hAnsi="Arial"/>
          <w:sz w:val="18"/>
          <w:szCs w:val="18"/>
          <w:color w:val="auto"/>
        </w:rPr>
      </w:pPr>
    </w:p>
    <w:p>
      <w:pPr>
        <w:jc w:val="both"/>
        <w:ind w:firstLine="885"/>
        <w:spacing w:after="0" w:line="250" w:lineRule="auto"/>
        <w:tabs>
          <w:tab w:leader="none" w:pos="1756"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The Borrower shall pay to the Arrangers and the Administrative Agent for their own respective accounts, in Dollars, fees in the amounts and at the times specified in the Fee Letter. Such fees shall be fully earned when paid and shall not be refundable for any reason whatsoever.</w:t>
      </w:r>
    </w:p>
    <w:p>
      <w:pPr>
        <w:spacing w:after="0" w:line="186" w:lineRule="exact"/>
        <w:rPr>
          <w:sz w:val="20"/>
          <w:szCs w:val="20"/>
          <w:color w:val="auto"/>
        </w:rPr>
      </w:pPr>
    </w:p>
    <w:p>
      <w:pPr>
        <w:jc w:val="both"/>
        <w:ind w:left="880" w:hanging="797"/>
        <w:spacing w:after="0" w:line="250" w:lineRule="auto"/>
        <w:tabs>
          <w:tab w:leader="none" w:pos="8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b w:val="1"/>
          <w:bCs w:val="1"/>
          <w:color w:val="auto"/>
        </w:rPr>
        <w:t xml:space="preserve">2.08 Computation of Interest and Fees; Retroactive Adjustments of Applicable Rate. </w:t>
      </w:r>
      <w:r>
        <w:rPr>
          <w:rFonts w:ascii="Arial" w:cs="Arial" w:eastAsia="Arial" w:hAnsi="Arial"/>
          <w:sz w:val="19"/>
          <w:szCs w:val="19"/>
          <w:color w:val="auto"/>
        </w:rPr>
        <w:t>(a) All computations of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 2.10(a)</w:t>
      </w:r>
      <w:r>
        <w:rPr>
          <w:rFonts w:ascii="Arial" w:cs="Arial" w:eastAsia="Arial" w:hAnsi="Arial"/>
          <w:sz w:val="19"/>
          <w:szCs w:val="19"/>
          <w:color w:val="auto"/>
        </w:rPr>
        <w:t>, bear interest for one day. Each determination by the Administrative Agent of an interest rate or fee hereunder shall be conclusive and binding for all purposes, absent manifest error.</w:t>
      </w:r>
    </w:p>
    <w:p>
      <w:pPr>
        <w:spacing w:after="0" w:line="180" w:lineRule="exact"/>
        <w:rPr>
          <w:sz w:val="20"/>
          <w:szCs w:val="20"/>
          <w:color w:val="auto"/>
        </w:rPr>
      </w:pPr>
    </w:p>
    <w:p>
      <w:pPr>
        <w:jc w:val="both"/>
        <w:ind w:firstLine="885"/>
        <w:spacing w:after="0" w:line="274" w:lineRule="auto"/>
        <w:tabs>
          <w:tab w:leader="none" w:pos="17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as a result of any restatement of or other adjustment to the financial statements of the Borrower or for any other reason, the Borrower or the Lenders determine that (i) the Leverage Ratio as calculated by the Borrower as of any applicable date was inaccurate and (ii) a proper calculation of the Leverage Ratio would have resulted in higher pricing for such period, the Borrower shall immediately and retroactively be obligated to pay to the Administrative Agent for the account of the applicable Lenders,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an amount equal to the excess of the amount of interest and fees that should have been paid for such period over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0" w:name="page41"/>
    <w:bookmarkEnd w:id="40"/>
    <w:p>
      <w:pPr>
        <w:jc w:val="both"/>
        <w:spacing w:after="0" w:line="250" w:lineRule="auto"/>
        <w:rPr>
          <w:sz w:val="20"/>
          <w:szCs w:val="20"/>
          <w:color w:val="auto"/>
        </w:rPr>
      </w:pPr>
      <w:r>
        <w:rPr>
          <w:rFonts w:ascii="Arial" w:cs="Arial" w:eastAsia="Arial" w:hAnsi="Arial"/>
          <w:sz w:val="20"/>
          <w:szCs w:val="20"/>
          <w:color w:val="auto"/>
        </w:rPr>
        <w:t xml:space="preserve">amount of interest and fees actually paid for such period. This paragraph shall not limit the rights of the Administrative Agent or any Lender, as the case may be, under </w:t>
      </w:r>
      <w:r>
        <w:rPr>
          <w:rFonts w:ascii="Arial" w:cs="Arial" w:eastAsia="Arial" w:hAnsi="Arial"/>
          <w:sz w:val="20"/>
          <w:szCs w:val="20"/>
          <w:u w:val="single" w:color="auto"/>
          <w:color w:val="auto"/>
        </w:rPr>
        <w:t>Section 2.06(b)</w:t>
      </w:r>
      <w:r>
        <w:rPr>
          <w:rFonts w:ascii="Arial" w:cs="Arial" w:eastAsia="Arial" w:hAnsi="Arial"/>
          <w:sz w:val="20"/>
          <w:szCs w:val="20"/>
          <w:color w:val="auto"/>
        </w:rPr>
        <w:t xml:space="preserve"> or under </w:t>
      </w:r>
      <w:r>
        <w:rPr>
          <w:rFonts w:ascii="Arial" w:cs="Arial" w:eastAsia="Arial" w:hAnsi="Arial"/>
          <w:sz w:val="20"/>
          <w:szCs w:val="20"/>
          <w:u w:val="single" w:color="auto"/>
          <w:color w:val="auto"/>
        </w:rPr>
        <w:t>Article VIII</w:t>
      </w:r>
      <w:r>
        <w:rPr>
          <w:rFonts w:ascii="Arial" w:cs="Arial" w:eastAsia="Arial" w:hAnsi="Arial"/>
          <w:sz w:val="20"/>
          <w:szCs w:val="20"/>
          <w:color w:val="auto"/>
        </w:rPr>
        <w:t>. The Borrower’s obligations under this paragraph shall survive the termination of the Aggregate Commitments and the repayment of all other Obligations hereunder.</w:t>
      </w:r>
    </w:p>
    <w:p>
      <w:pPr>
        <w:spacing w:after="0" w:line="180"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b w:val="1"/>
          <w:bCs w:val="1"/>
          <w:color w:val="auto"/>
        </w:rPr>
        <w:t xml:space="preserve">2.09 Evidence of Debt. </w:t>
      </w:r>
      <w:r>
        <w:rPr>
          <w:rFonts w:ascii="Arial" w:cs="Arial" w:eastAsia="Arial" w:hAnsi="Arial"/>
          <w:sz w:val="18"/>
          <w:szCs w:val="18"/>
          <w:color w:val="auto"/>
        </w:rPr>
        <w:t>The Loans made by each Lender shall be evidenced by one or more accounts or records maintained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w:t>
      </w:r>
    </w:p>
    <w:p>
      <w:pPr>
        <w:spacing w:after="0" w:line="16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b w:val="1"/>
          <w:bCs w:val="1"/>
          <w:color w:val="auto"/>
        </w:rPr>
        <w:t>2.10 Payments Generally; Administrative Agent’s Clawback</w:t>
      </w:r>
      <w:r>
        <w:rPr>
          <w:rFonts w:ascii="Arial" w:cs="Arial" w:eastAsia="Arial" w:hAnsi="Arial"/>
          <w:sz w:val="20"/>
          <w:szCs w:val="20"/>
          <w:color w:val="auto"/>
        </w:rPr>
        <w:t>. (a) All payments to be made by the Borrower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3:00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 shall be deemed received on the next succeeding Business Day and any applicable interest or fee shall continue to accrue.</w:t>
      </w:r>
    </w:p>
    <w:p>
      <w:pPr>
        <w:spacing w:after="0" w:line="196"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53" w:lineRule="exact"/>
        <w:rPr>
          <w:sz w:val="20"/>
          <w:szCs w:val="20"/>
          <w:color w:val="auto"/>
        </w:rPr>
      </w:pPr>
    </w:p>
    <w:p>
      <w:pPr>
        <w:jc w:val="both"/>
        <w:ind w:firstLine="885"/>
        <w:spacing w:after="0" w:line="270" w:lineRule="auto"/>
        <w:tabs>
          <w:tab w:leader="none" w:pos="175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(i) Unless the Administrative Agent shall have received notice from a Lender prior to the proposed date of any Borrowing of Eurodollar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1" w:name="page42"/>
    <w:bookmarkEnd w:id="41"/>
    <w:p>
      <w:pPr>
        <w:jc w:val="both"/>
        <w:spacing w:after="0" w:line="244" w:lineRule="auto"/>
        <w:rPr>
          <w:sz w:val="20"/>
          <w:szCs w:val="20"/>
          <w:color w:val="auto"/>
        </w:rPr>
      </w:pPr>
      <w:r>
        <w:rPr>
          <w:rFonts w:ascii="Arial" w:cs="Arial" w:eastAsia="Arial" w:hAnsi="Arial"/>
          <w:sz w:val="20"/>
          <w:szCs w:val="20"/>
          <w:color w:val="auto"/>
        </w:rPr>
        <w:t>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5" w:lineRule="exact"/>
        <w:rPr>
          <w:sz w:val="20"/>
          <w:szCs w:val="20"/>
          <w:color w:val="auto"/>
        </w:rPr>
      </w:pPr>
    </w:p>
    <w:p>
      <w:pPr>
        <w:jc w:val="both"/>
        <w:ind w:left="880" w:firstLine="1626"/>
        <w:spacing w:after="0" w:line="272" w:lineRule="auto"/>
        <w:tabs>
          <w:tab w:leader="none" w:pos="339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A notice of the Administrative Agent to any Lender or the Borrower with respect to any amount owing under this </w:t>
      </w:r>
      <w:r>
        <w:rPr>
          <w:rFonts w:ascii="Arial" w:cs="Arial" w:eastAsia="Arial" w:hAnsi="Arial"/>
          <w:sz w:val="19"/>
          <w:szCs w:val="19"/>
          <w:u w:val="single" w:color="auto"/>
          <w:color w:val="auto"/>
        </w:rPr>
        <w:t>subsection</w:t>
      </w:r>
    </w:p>
    <w:p>
      <w:pPr>
        <w:spacing w:after="0" w:line="27"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20"/>
          <w:szCs w:val="20"/>
          <w:u w:val="single" w:color="auto"/>
          <w:color w:val="auto"/>
        </w:rPr>
      </w:pPr>
      <w:r>
        <w:rPr>
          <w:rFonts w:ascii="Arial" w:cs="Arial" w:eastAsia="Arial" w:hAnsi="Arial"/>
          <w:sz w:val="20"/>
          <w:szCs w:val="20"/>
          <w:color w:val="auto"/>
        </w:rPr>
        <w:t>shall be conclusive, absent manifest error.</w:t>
      </w:r>
    </w:p>
    <w:p>
      <w:pPr>
        <w:spacing w:after="0" w:line="199" w:lineRule="exact"/>
        <w:rPr>
          <w:rFonts w:ascii="Arial" w:cs="Arial" w:eastAsia="Arial" w:hAnsi="Arial"/>
          <w:sz w:val="20"/>
          <w:szCs w:val="20"/>
          <w:u w:val="single" w:color="auto"/>
          <w:color w:val="auto"/>
        </w:rPr>
      </w:pPr>
    </w:p>
    <w:p>
      <w:pPr>
        <w:jc w:val="both"/>
        <w:ind w:firstLine="885"/>
        <w:spacing w:after="0" w:line="244" w:lineRule="auto"/>
        <w:tabs>
          <w:tab w:leader="none" w:pos="1745"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to the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Borrowing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885"/>
        <w:spacing w:after="0" w:line="282" w:lineRule="auto"/>
        <w:tabs>
          <w:tab w:leader="none" w:pos="175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payments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885"/>
        <w:spacing w:after="0" w:line="250" w:lineRule="auto"/>
        <w:tabs>
          <w:tab w:leader="none" w:pos="1745"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0"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b w:val="1"/>
          <w:bCs w:val="1"/>
          <w:color w:val="auto"/>
        </w:rPr>
        <w:t xml:space="preserve">2.11 Sharing of Payments by Lenders. </w:t>
      </w:r>
      <w:r>
        <w:rPr>
          <w:rFonts w:ascii="Arial" w:cs="Arial" w:eastAsia="Arial" w:hAnsi="Arial"/>
          <w:sz w:val="19"/>
          <w:szCs w:val="19"/>
          <w:color w:val="auto"/>
        </w:rPr>
        <w:t>If any Lender shall, by exercising any right of setoff or counterclaim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8"/>
          <w:szCs w:val="18"/>
          <w:color w:val="auto"/>
        </w:rPr>
        <w:t xml:space="preserve">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5" w:lineRule="exact"/>
        <w:rPr>
          <w:sz w:val="20"/>
          <w:szCs w:val="20"/>
          <w:color w:val="auto"/>
        </w:rPr>
      </w:pPr>
    </w:p>
    <w:p>
      <w:pPr>
        <w:ind w:left="880" w:firstLine="816"/>
        <w:spacing w:after="0" w:line="316" w:lineRule="auto"/>
        <w:tabs>
          <w:tab w:leader="none" w:pos="25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30" w:lineRule="exact"/>
        <w:rPr>
          <w:rFonts w:ascii="Arial" w:cs="Arial" w:eastAsia="Arial" w:hAnsi="Arial"/>
          <w:sz w:val="18"/>
          <w:szCs w:val="18"/>
          <w:color w:val="auto"/>
        </w:rPr>
      </w:pPr>
    </w:p>
    <w:p>
      <w:pPr>
        <w:jc w:val="both"/>
        <w:ind w:left="880" w:firstLine="816"/>
        <w:spacing w:after="0" w:line="244" w:lineRule="auto"/>
        <w:tabs>
          <w:tab w:leader="none" w:pos="2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to the Borrower or any Subsidiary (as to which the provisions of this Section shall apply).</w:t>
      </w:r>
    </w:p>
    <w:p>
      <w:pPr>
        <w:spacing w:after="0" w:line="19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2.12 Defaulting Lenders</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w:t>
      </w:r>
      <w:r>
        <w:rPr>
          <w:rFonts w:ascii="Arial" w:cs="Arial" w:eastAsia="Arial" w:hAnsi="Arial"/>
          <w:sz w:val="20"/>
          <w:szCs w:val="20"/>
          <w:b w:val="1"/>
          <w:bCs w:val="1"/>
          <w:color w:val="auto"/>
        </w:rPr>
        <w:t xml:space="preserve"> </w:t>
      </w:r>
      <w:r>
        <w:rPr>
          <w:rFonts w:ascii="Arial" w:cs="Arial" w:eastAsia="Arial" w:hAnsi="Arial"/>
          <w:sz w:val="20"/>
          <w:szCs w:val="20"/>
          <w:color w:val="auto"/>
        </w:rPr>
        <w:t>Lender becomes a Defaulting Lender, then, until such time as that Lender is no longer a Defaulting Lender, to the extent permitted by applicable Law:</w:t>
      </w:r>
    </w:p>
    <w:p>
      <w:pPr>
        <w:spacing w:after="0" w:line="184" w:lineRule="exact"/>
        <w:rPr>
          <w:sz w:val="20"/>
          <w:szCs w:val="20"/>
          <w:color w:val="auto"/>
        </w:rPr>
      </w:pPr>
    </w:p>
    <w:p>
      <w:pPr>
        <w:ind w:left="880" w:firstLine="816"/>
        <w:spacing w:after="0" w:line="316" w:lineRule="auto"/>
        <w:tabs>
          <w:tab w:leader="none" w:pos="252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Lenders”.</w:t>
      </w:r>
    </w:p>
    <w:p>
      <w:pPr>
        <w:spacing w:after="0" w:line="130" w:lineRule="exact"/>
        <w:rPr>
          <w:rFonts w:ascii="Arial" w:cs="Arial" w:eastAsia="Arial" w:hAnsi="Arial"/>
          <w:sz w:val="18"/>
          <w:szCs w:val="18"/>
          <w:color w:val="auto"/>
        </w:rPr>
      </w:pPr>
    </w:p>
    <w:p>
      <w:pPr>
        <w:jc w:val="both"/>
        <w:ind w:left="880" w:firstLine="816"/>
        <w:spacing w:after="0" w:line="270" w:lineRule="auto"/>
        <w:tabs>
          <w:tab w:leader="none" w:pos="25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to such Defaulting Lender or as otherwise directed by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3" w:name="page44"/>
    <w:bookmarkEnd w:id="43"/>
    <w:p>
      <w:pPr>
        <w:jc w:val="both"/>
        <w:ind w:left="880"/>
        <w:spacing w:after="0" w:line="273" w:lineRule="auto"/>
        <w:rPr>
          <w:sz w:val="20"/>
          <w:szCs w:val="20"/>
          <w:color w:val="auto"/>
        </w:rPr>
      </w:pPr>
      <w:r>
        <w:rPr>
          <w:rFonts w:ascii="Arial" w:cs="Arial" w:eastAsia="Arial" w:hAnsi="Arial"/>
          <w:sz w:val="18"/>
          <w:szCs w:val="18"/>
          <w:color w:val="auto"/>
        </w:rPr>
        <w:t xml:space="preserve">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were satisfied or waived, such payment shall be applied solely to pay the Loans of all Non-Defaulting Lenders on a pro rata basis (and ratably among all applicable Facilities computed in accordance with the Defaulting Lenders’ respective funding deficiencies)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-524510</wp:posOffset>
            </wp:positionV>
            <wp:extent cx="311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49" w:lineRule="exact"/>
        <w:rPr>
          <w:sz w:val="20"/>
          <w:szCs w:val="20"/>
          <w:color w:val="auto"/>
        </w:rPr>
      </w:pPr>
    </w:p>
    <w:p>
      <w:pPr>
        <w:jc w:val="both"/>
        <w:ind w:firstLine="885"/>
        <w:spacing w:after="0" w:line="272" w:lineRule="auto"/>
        <w:tabs>
          <w:tab w:leader="none" w:pos="175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19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p>
    <w:p>
      <w:pPr>
        <w:spacing w:after="0" w:line="222" w:lineRule="exact"/>
        <w:rPr>
          <w:sz w:val="20"/>
          <w:szCs w:val="20"/>
          <w:color w:val="auto"/>
        </w:rPr>
      </w:pPr>
    </w:p>
    <w:p>
      <w:pPr>
        <w:ind w:left="1760" w:hanging="875"/>
        <w:spacing w:after="0"/>
        <w:tabs>
          <w:tab w:leader="none" w:pos="17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816"/>
        <w:spacing w:after="0" w:line="243" w:lineRule="auto"/>
        <w:tabs>
          <w:tab w:leader="none" w:pos="2525"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the Borrower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w:t>
      </w:r>
    </w:p>
    <w:p>
      <w:pPr>
        <w:spacing w:after="0" w:line="196" w:lineRule="exact"/>
        <w:rPr>
          <w:rFonts w:ascii="Arial" w:cs="Arial" w:eastAsia="Arial" w:hAnsi="Arial"/>
          <w:sz w:val="20"/>
          <w:szCs w:val="20"/>
          <w:color w:val="auto"/>
        </w:rPr>
      </w:pPr>
    </w:p>
    <w:p>
      <w:pPr>
        <w:jc w:val="both"/>
        <w:ind w:left="880" w:firstLine="816"/>
        <w:spacing w:after="0" w:line="257" w:lineRule="auto"/>
        <w:tabs>
          <w:tab w:leader="none" w:pos="2580"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so withheld or deducted by it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4" w:name="page45"/>
    <w:bookmarkEnd w:id="44"/>
    <w:p>
      <w:pPr>
        <w:ind w:left="880" w:right="20"/>
        <w:spacing w:after="0" w:line="260" w:lineRule="auto"/>
        <w:rPr>
          <w:sz w:val="20"/>
          <w:szCs w:val="20"/>
          <w:color w:val="auto"/>
        </w:rPr>
      </w:pPr>
      <w:r>
        <w:rPr>
          <w:rFonts w:ascii="Arial" w:cs="Arial" w:eastAsia="Arial" w:hAnsi="Arial"/>
          <w:sz w:val="20"/>
          <w:szCs w:val="20"/>
          <w:color w:val="auto"/>
        </w:rPr>
        <w:t>the applicable Recipient receives an amount equal to the sum it would have received had no such withholding or deduction been made.</w:t>
      </w:r>
    </w:p>
    <w:p>
      <w:pPr>
        <w:spacing w:after="0" w:line="177" w:lineRule="exact"/>
        <w:rPr>
          <w:sz w:val="20"/>
          <w:szCs w:val="20"/>
          <w:color w:val="auto"/>
        </w:rPr>
      </w:pPr>
    </w:p>
    <w:p>
      <w:pPr>
        <w:jc w:val="both"/>
        <w:ind w:left="880" w:firstLine="816"/>
        <w:spacing w:after="0" w:line="272" w:lineRule="auto"/>
        <w:tabs>
          <w:tab w:leader="none" w:pos="26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the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1" w:lineRule="exact"/>
        <w:rPr>
          <w:rFonts w:ascii="Arial" w:cs="Arial" w:eastAsia="Arial" w:hAnsi="Arial"/>
          <w:sz w:val="18"/>
          <w:szCs w:val="18"/>
          <w:color w:val="auto"/>
        </w:rPr>
      </w:pPr>
    </w:p>
    <w:p>
      <w:pPr>
        <w:jc w:val="both"/>
        <w:ind w:firstLine="885"/>
        <w:spacing w:after="0" w:line="250" w:lineRule="auto"/>
        <w:tabs>
          <w:tab w:leader="none" w:pos="175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186" w:lineRule="exact"/>
        <w:rPr>
          <w:rFonts w:ascii="Arial" w:cs="Arial" w:eastAsia="Arial" w:hAnsi="Arial"/>
          <w:sz w:val="20"/>
          <w:szCs w:val="20"/>
          <w:color w:val="auto"/>
        </w:rPr>
      </w:pPr>
    </w:p>
    <w:p>
      <w:pPr>
        <w:ind w:left="1760" w:hanging="875"/>
        <w:spacing w:after="0"/>
        <w:tabs>
          <w:tab w:leader="none" w:pos="17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816"/>
        <w:spacing w:after="0" w:line="271" w:lineRule="auto"/>
        <w:tabs>
          <w:tab w:leader="none" w:pos="2525"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The Borrower shall, and does hereby, indemnify the Administrative Agent, and shall make payment in respect thereof within 30 days after demand therefor, for any amount which a Lender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5" w:lineRule="exact"/>
        <w:rPr>
          <w:sz w:val="20"/>
          <w:szCs w:val="20"/>
          <w:color w:val="auto"/>
        </w:rPr>
      </w:pPr>
    </w:p>
    <w:p>
      <w:pPr>
        <w:jc w:val="both"/>
        <w:ind w:left="880" w:firstLine="816"/>
        <w:spacing w:after="0" w:line="271" w:lineRule="auto"/>
        <w:tabs>
          <w:tab w:leader="none" w:pos="2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each Lender shall, and does hereby, severally indemnify, and shall make payment in respect thereof within 30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5" w:name="page46"/>
    <w:bookmarkEnd w:id="45"/>
    <w:p>
      <w:pPr>
        <w:jc w:val="both"/>
        <w:ind w:left="880"/>
        <w:spacing w:after="0" w:line="250" w:lineRule="auto"/>
        <w:rPr>
          <w:sz w:val="20"/>
          <w:szCs w:val="20"/>
          <w:color w:val="auto"/>
        </w:rPr>
      </w:pPr>
      <w:r>
        <w:rPr>
          <w:rFonts w:ascii="Arial" w:cs="Arial" w:eastAsia="Arial" w:hAnsi="Arial"/>
          <w:sz w:val="20"/>
          <w:szCs w:val="20"/>
          <w:color w:val="auto"/>
        </w:rPr>
        <w:t xml:space="preserve">Administrative Agent shall be conclusive absent manifest error. Each Lender hereby authorizes the Administrative Agent to set off and apply any and all amounts at any time owing to such Lender, as the case may be, under this Agreement or any other Loan Document against any amount due to the Administrative Agent under this </w:t>
      </w:r>
      <w:r>
        <w:rPr>
          <w:rFonts w:ascii="Arial" w:cs="Arial" w:eastAsia="Arial" w:hAnsi="Arial"/>
          <w:sz w:val="20"/>
          <w:szCs w:val="20"/>
          <w:u w:val="single" w:color="auto"/>
          <w:color w:val="auto"/>
        </w:rPr>
        <w:t>clause (ii)</w:t>
      </w:r>
      <w:r>
        <w:rPr>
          <w:rFonts w:ascii="Arial" w:cs="Arial" w:eastAsia="Arial" w:hAnsi="Arial"/>
          <w:sz w:val="20"/>
          <w:szCs w:val="20"/>
          <w:color w:val="auto"/>
        </w:rPr>
        <w:t>.</w:t>
      </w:r>
    </w:p>
    <w:p>
      <w:pPr>
        <w:spacing w:after="0" w:line="186" w:lineRule="exact"/>
        <w:rPr>
          <w:sz w:val="20"/>
          <w:szCs w:val="20"/>
          <w:color w:val="auto"/>
        </w:rPr>
      </w:pPr>
    </w:p>
    <w:p>
      <w:pPr>
        <w:jc w:val="both"/>
        <w:ind w:firstLine="885"/>
        <w:spacing w:after="0" w:line="260" w:lineRule="auto"/>
        <w:tabs>
          <w:tab w:leader="none" w:pos="175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0" w:lineRule="exact"/>
        <w:rPr>
          <w:rFonts w:ascii="Arial" w:cs="Arial" w:eastAsia="Arial" w:hAnsi="Arial"/>
          <w:sz w:val="19"/>
          <w:szCs w:val="19"/>
          <w:color w:val="auto"/>
        </w:rPr>
      </w:pPr>
    </w:p>
    <w:p>
      <w:pPr>
        <w:ind w:left="1760" w:hanging="875"/>
        <w:spacing w:after="0"/>
        <w:tabs>
          <w:tab w:leader="none" w:pos="17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816"/>
        <w:spacing w:after="0" w:line="271" w:lineRule="auto"/>
        <w:tabs>
          <w:tab w:leader="none" w:pos="25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to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0" w:lineRule="exact"/>
        <w:rPr>
          <w:rFonts w:ascii="Arial" w:cs="Arial" w:eastAsia="Arial" w:hAnsi="Arial"/>
          <w:sz w:val="18"/>
          <w:szCs w:val="18"/>
          <w:color w:val="auto"/>
        </w:rPr>
      </w:pPr>
    </w:p>
    <w:p>
      <w:pPr>
        <w:ind w:left="2580" w:hanging="884"/>
        <w:spacing w:after="0"/>
        <w:tabs>
          <w:tab w:leader="none" w:pos="25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29" w:lineRule="exact"/>
        <w:rPr>
          <w:rFonts w:ascii="Arial" w:cs="Arial" w:eastAsia="Arial" w:hAnsi="Arial"/>
          <w:sz w:val="20"/>
          <w:szCs w:val="20"/>
          <w:color w:val="auto"/>
        </w:rPr>
      </w:pPr>
    </w:p>
    <w:p>
      <w:pPr>
        <w:jc w:val="both"/>
        <w:ind w:left="1760" w:firstLine="746"/>
        <w:spacing w:after="0" w:line="239" w:lineRule="auto"/>
        <w:tabs>
          <w:tab w:leader="none" w:pos="3451" w:val="left"/>
        </w:tabs>
        <w:numPr>
          <w:ilvl w:val="2"/>
          <w:numId w:val="44"/>
        </w:numPr>
        <w:rPr>
          <w:rFonts w:ascii="Arial" w:cs="Arial" w:eastAsia="Arial" w:hAnsi="Arial"/>
          <w:sz w:val="22"/>
          <w:szCs w:val="22"/>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08" w:lineRule="exact"/>
        <w:rPr>
          <w:rFonts w:ascii="Arial" w:cs="Arial" w:eastAsia="Arial" w:hAnsi="Arial"/>
          <w:sz w:val="22"/>
          <w:szCs w:val="22"/>
          <w:color w:val="auto"/>
        </w:rPr>
      </w:pPr>
    </w:p>
    <w:p>
      <w:pPr>
        <w:jc w:val="both"/>
        <w:ind w:left="1760" w:firstLine="746"/>
        <w:spacing w:after="0" w:line="254" w:lineRule="auto"/>
        <w:tabs>
          <w:tab w:leader="none" w:pos="3439" w:val="left"/>
        </w:tabs>
        <w:numPr>
          <w:ilvl w:val="2"/>
          <w:numId w:val="44"/>
        </w:numPr>
        <w:rPr>
          <w:rFonts w:ascii="Arial" w:cs="Arial" w:eastAsia="Arial" w:hAnsi="Arial"/>
          <w:sz w:val="21"/>
          <w:szCs w:val="21"/>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5" w:lineRule="exact"/>
        <w:rPr>
          <w:rFonts w:ascii="Arial" w:cs="Arial" w:eastAsia="Arial" w:hAnsi="Arial"/>
          <w:sz w:val="21"/>
          <w:szCs w:val="21"/>
          <w:color w:val="auto"/>
        </w:rPr>
      </w:pPr>
    </w:p>
    <w:p>
      <w:pPr>
        <w:jc w:val="both"/>
        <w:ind w:left="2640" w:firstLine="703"/>
        <w:spacing w:after="0" w:line="263" w:lineRule="auto"/>
        <w:tabs>
          <w:tab w:leader="none" w:pos="4181" w:val="left"/>
        </w:tabs>
        <w:numPr>
          <w:ilvl w:val="3"/>
          <w:numId w:val="44"/>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6" w:name="page47"/>
    <w:bookmarkEnd w:id="46"/>
    <w:p>
      <w:pPr>
        <w:jc w:val="both"/>
        <w:ind w:left="1440"/>
        <w:spacing w:after="0" w:line="250" w:lineRule="auto"/>
        <w:rPr>
          <w:sz w:val="20"/>
          <w:szCs w:val="20"/>
          <w:color w:val="auto"/>
        </w:rPr>
      </w:pPr>
      <w:r>
        <w:rPr>
          <w:rFonts w:ascii="Arial" w:cs="Arial" w:eastAsia="Arial" w:hAnsi="Arial"/>
          <w:sz w:val="20"/>
          <w:szCs w:val="20"/>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3020" w:hanging="903"/>
        <w:spacing w:after="0"/>
        <w:tabs>
          <w:tab w:leader="none" w:pos="30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6" w:lineRule="exact"/>
        <w:rPr>
          <w:sz w:val="20"/>
          <w:szCs w:val="20"/>
          <w:color w:val="auto"/>
        </w:rPr>
      </w:pPr>
    </w:p>
    <w:p>
      <w:pPr>
        <w:ind w:left="3100" w:hanging="983"/>
        <w:spacing w:after="0"/>
        <w:tabs>
          <w:tab w:leader="none" w:pos="3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executed originals of IRS Form W-8IMY and all required supporting documentation,</w:t>
      </w:r>
    </w:p>
    <w:p>
      <w:pPr>
        <w:spacing w:after="0" w:line="227" w:lineRule="exact"/>
        <w:rPr>
          <w:sz w:val="20"/>
          <w:szCs w:val="20"/>
          <w:color w:val="auto"/>
        </w:rPr>
      </w:pPr>
    </w:p>
    <w:p>
      <w:pPr>
        <w:jc w:val="both"/>
        <w:ind w:left="1440" w:firstLine="675"/>
        <w:spacing w:after="0" w:line="269" w:lineRule="auto"/>
        <w:rPr>
          <w:sz w:val="20"/>
          <w:szCs w:val="20"/>
          <w:color w:val="auto"/>
        </w:rPr>
      </w:pPr>
      <w:r>
        <w:rPr>
          <w:rFonts w:ascii="Arial" w:cs="Arial" w:eastAsia="Arial" w:hAnsi="Arial"/>
          <w:sz w:val="18"/>
          <w:szCs w:val="18"/>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w:t>
      </w:r>
    </w:p>
    <w:p>
      <w:pPr>
        <w:spacing w:after="0" w:line="4" w:lineRule="exact"/>
        <w:rPr>
          <w:sz w:val="20"/>
          <w:szCs w:val="20"/>
          <w:color w:val="auto"/>
        </w:rPr>
      </w:pPr>
    </w:p>
    <w:p>
      <w:pPr>
        <w:ind w:left="1720" w:hanging="278"/>
        <w:spacing w:after="0"/>
        <w:tabs>
          <w:tab w:leader="none" w:pos="172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executed originals of IRS Form W-8BEN or W-8BEN-E, as applicable, or</w:t>
      </w:r>
    </w:p>
    <w:p>
      <w:pPr>
        <w:spacing w:after="0" w:line="199" w:lineRule="exact"/>
        <w:rPr>
          <w:rFonts w:ascii="Arial" w:cs="Arial" w:eastAsia="Arial" w:hAnsi="Arial"/>
          <w:sz w:val="20"/>
          <w:szCs w:val="20"/>
          <w:color w:val="auto"/>
        </w:rPr>
      </w:pPr>
    </w:p>
    <w:p>
      <w:pPr>
        <w:jc w:val="both"/>
        <w:ind w:left="1440" w:firstLine="677"/>
        <w:spacing w:after="0" w:line="258" w:lineRule="auto"/>
        <w:tabs>
          <w:tab w:leader="none" w:pos="3038" w:val="left"/>
        </w:tabs>
        <w:numPr>
          <w:ilvl w:val="2"/>
          <w:numId w:val="47"/>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F-3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F-4</w:t>
      </w:r>
      <w:r>
        <w:rPr>
          <w:rFonts w:ascii="Arial" w:cs="Arial" w:eastAsia="Arial" w:hAnsi="Arial"/>
          <w:sz w:val="19"/>
          <w:szCs w:val="19"/>
          <w:color w:val="auto"/>
        </w:rPr>
        <w:t xml:space="preserve"> on behalf of each such direct and indirect partner.</w:t>
      </w:r>
    </w:p>
    <w:p>
      <w:pPr>
        <w:spacing w:after="0" w:line="192" w:lineRule="exact"/>
        <w:rPr>
          <w:rFonts w:ascii="Arial" w:cs="Arial" w:eastAsia="Arial" w:hAnsi="Arial"/>
          <w:sz w:val="19"/>
          <w:szCs w:val="19"/>
          <w:color w:val="auto"/>
        </w:rPr>
      </w:pPr>
    </w:p>
    <w:p>
      <w:pPr>
        <w:jc w:val="both"/>
        <w:ind w:left="560" w:firstLine="746"/>
        <w:spacing w:after="0" w:line="272" w:lineRule="auto"/>
        <w:tabs>
          <w:tab w:leader="none" w:pos="2239" w:val="left"/>
        </w:tabs>
        <w:numPr>
          <w:ilvl w:val="0"/>
          <w:numId w:val="48"/>
        </w:numPr>
        <w:rPr>
          <w:rFonts w:ascii="Arial" w:cs="Arial" w:eastAsia="Arial" w:hAnsi="Arial"/>
          <w:sz w:val="19"/>
          <w:szCs w:val="19"/>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1" w:lineRule="exact"/>
        <w:rPr>
          <w:rFonts w:ascii="Arial" w:cs="Arial" w:eastAsia="Arial" w:hAnsi="Arial"/>
          <w:sz w:val="19"/>
          <w:szCs w:val="19"/>
          <w:color w:val="auto"/>
        </w:rPr>
      </w:pPr>
    </w:p>
    <w:p>
      <w:pPr>
        <w:jc w:val="both"/>
        <w:ind w:left="560" w:firstLine="746"/>
        <w:spacing w:after="0" w:line="253" w:lineRule="auto"/>
        <w:tabs>
          <w:tab w:leader="none" w:pos="2251" w:val="left"/>
        </w:tabs>
        <w:numPr>
          <w:ilvl w:val="0"/>
          <w:numId w:val="48"/>
        </w:numPr>
        <w:rPr>
          <w:rFonts w:ascii="Arial" w:cs="Arial" w:eastAsia="Arial" w:hAnsi="Arial"/>
          <w:sz w:val="21"/>
          <w:szCs w:val="21"/>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157480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47" w:name="page48"/>
    <w:bookmarkEnd w:id="47"/>
    <w:p>
      <w:pPr>
        <w:ind w:left="1760"/>
        <w:spacing w:after="0" w:line="260" w:lineRule="auto"/>
        <w:rPr>
          <w:sz w:val="20"/>
          <w:szCs w:val="20"/>
          <w:color w:val="auto"/>
        </w:rPr>
      </w:pPr>
      <w:r>
        <w:rPr>
          <w:rFonts w:ascii="Arial" w:cs="Arial" w:eastAsia="Arial" w:hAnsi="Arial"/>
          <w:sz w:val="20"/>
          <w:szCs w:val="20"/>
          <w:color w:val="auto"/>
        </w:rPr>
        <w:t xml:space="preserve">the amount to deduct and withhold from such payment. Solely for purposes of this </w:t>
      </w:r>
      <w:r>
        <w:rPr>
          <w:rFonts w:ascii="Arial" w:cs="Arial" w:eastAsia="Arial" w:hAnsi="Arial"/>
          <w:sz w:val="20"/>
          <w:szCs w:val="20"/>
          <w:u w:val="single" w:color="auto"/>
          <w:color w:val="auto"/>
        </w:rPr>
        <w:t>clause (D)</w:t>
      </w:r>
      <w:r>
        <w:rPr>
          <w:rFonts w:ascii="Arial" w:cs="Arial" w:eastAsia="Arial" w:hAnsi="Arial"/>
          <w:sz w:val="20"/>
          <w:szCs w:val="20"/>
          <w:color w:val="auto"/>
        </w:rPr>
        <w:t>, “FATCA” shall include any amendments made to FATCA after the date of this Agreement.</w:t>
      </w:r>
    </w:p>
    <w:p>
      <w:pPr>
        <w:spacing w:after="0" w:line="177" w:lineRule="exact"/>
        <w:rPr>
          <w:sz w:val="20"/>
          <w:szCs w:val="20"/>
          <w:color w:val="auto"/>
        </w:rPr>
      </w:pPr>
    </w:p>
    <w:p>
      <w:pPr>
        <w:jc w:val="both"/>
        <w:ind w:left="880" w:firstLine="816"/>
        <w:spacing w:after="0" w:line="250" w:lineRule="auto"/>
        <w:tabs>
          <w:tab w:leader="none" w:pos="2635"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6" w:lineRule="exact"/>
        <w:rPr>
          <w:rFonts w:ascii="Arial" w:cs="Arial" w:eastAsia="Arial" w:hAnsi="Arial"/>
          <w:sz w:val="20"/>
          <w:szCs w:val="20"/>
          <w:color w:val="auto"/>
        </w:rPr>
      </w:pPr>
    </w:p>
    <w:p>
      <w:pPr>
        <w:jc w:val="both"/>
        <w:ind w:firstLine="885"/>
        <w:spacing w:after="0" w:line="270" w:lineRule="auto"/>
        <w:tabs>
          <w:tab w:leader="none" w:pos="17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3" w:lineRule="exact"/>
        <w:rPr>
          <w:rFonts w:ascii="Arial" w:cs="Arial" w:eastAsia="Arial" w:hAnsi="Arial"/>
          <w:sz w:val="18"/>
          <w:szCs w:val="18"/>
          <w:color w:val="auto"/>
        </w:rPr>
      </w:pPr>
    </w:p>
    <w:p>
      <w:pPr>
        <w:jc w:val="both"/>
        <w:ind w:firstLine="885"/>
        <w:spacing w:after="0" w:line="250" w:lineRule="auto"/>
        <w:tabs>
          <w:tab w:leader="none" w:pos="175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0"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b w:val="1"/>
          <w:bCs w:val="1"/>
          <w:color w:val="auto"/>
        </w:rPr>
        <w:t xml:space="preserve">3.02 Illegality. </w:t>
      </w:r>
      <w:r>
        <w:rPr>
          <w:rFonts w:ascii="Arial" w:cs="Arial" w:eastAsia="Arial" w:hAnsi="Arial"/>
          <w:sz w:val="19"/>
          <w:szCs w:val="19"/>
          <w:color w:val="auto"/>
        </w:rPr>
        <w:t>If any Lender determines that any Law has made it unlawful, or that any Governmental Authority has</w:t>
      </w:r>
      <w:r>
        <w:rPr>
          <w:rFonts w:ascii="Arial" w:cs="Arial" w:eastAsia="Arial" w:hAnsi="Arial"/>
          <w:sz w:val="19"/>
          <w:szCs w:val="19"/>
          <w:b w:val="1"/>
          <w:bCs w:val="1"/>
          <w:color w:val="auto"/>
        </w:rPr>
        <w:t xml:space="preserve"> </w:t>
      </w:r>
      <w:r>
        <w:rPr>
          <w:rFonts w:ascii="Arial" w:cs="Arial" w:eastAsia="Arial" w:hAnsi="Arial"/>
          <w:sz w:val="19"/>
          <w:szCs w:val="19"/>
          <w:color w:val="auto"/>
        </w:rPr>
        <w:t>asserted that it is unlawful, for any Lender or its applicable Lending Office to make, maintain or fund Loans whose interest is determined by reference to the Eurodollar Rate, or to determine or charge interest rates based upon the Eurodollar Rate (including in regards to the Base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20"/>
          <w:szCs w:val="20"/>
          <w:color w:val="auto"/>
        </w:rPr>
        <w:t>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9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color w:val="auto"/>
        </w:rPr>
        <w:t>Inability to Determine Rates.</w:t>
      </w:r>
    </w:p>
    <w:p>
      <w:pPr>
        <w:spacing w:after="0" w:line="222" w:lineRule="exact"/>
        <w:rPr>
          <w:sz w:val="20"/>
          <w:szCs w:val="20"/>
          <w:color w:val="auto"/>
        </w:rPr>
      </w:pPr>
    </w:p>
    <w:p>
      <w:pPr>
        <w:ind w:left="1760" w:hanging="875"/>
        <w:spacing w:after="0"/>
        <w:tabs>
          <w:tab w:leader="none" w:pos="176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Temporary Inability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816"/>
        <w:spacing w:after="0" w:line="269" w:lineRule="auto"/>
        <w:tabs>
          <w:tab w:leader="none" w:pos="25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Except in the case of circumstances described in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if in connection with any request for a Eurodollar Rate Loan or a conversion to or continuation thereof, (A) the Administrative Agent determines that (1) Dollar deposits are not being offered to banks in the London interbank Eurodollar market for the applicable amount and Interest Period of such Eurodollar Rate Loan, or (2) adequate and reasonable means do not exist for determining the Eurodollar Rate for any requested Interest Period with respect to a proposed Eurodollar Rate Loan or in connection with an existing or proposed Base Rate Loan (in each case with respect to this </w:t>
      </w:r>
      <w:r>
        <w:rPr>
          <w:rFonts w:ascii="Arial" w:cs="Arial" w:eastAsia="Arial" w:hAnsi="Arial"/>
          <w:sz w:val="18"/>
          <w:szCs w:val="18"/>
          <w:u w:val="single" w:color="auto"/>
          <w:color w:val="auto"/>
        </w:rPr>
        <w:t>clause (a)(i)(A)</w:t>
      </w:r>
      <w:r>
        <w:rPr>
          <w:rFonts w:ascii="Arial" w:cs="Arial" w:eastAsia="Arial" w:hAnsi="Arial"/>
          <w:sz w:val="18"/>
          <w:szCs w:val="18"/>
          <w:color w:val="auto"/>
        </w:rPr>
        <w:t>, “</w:t>
      </w:r>
      <w:r>
        <w:rPr>
          <w:rFonts w:ascii="Arial" w:cs="Arial" w:eastAsia="Arial" w:hAnsi="Arial"/>
          <w:sz w:val="18"/>
          <w:szCs w:val="18"/>
          <w:u w:val="single" w:color="auto"/>
          <w:color w:val="auto"/>
        </w:rPr>
        <w:t>Impacted Loans</w:t>
      </w:r>
      <w:r>
        <w:rPr>
          <w:rFonts w:ascii="Arial" w:cs="Arial" w:eastAsia="Arial" w:hAnsi="Arial"/>
          <w:sz w:val="18"/>
          <w:szCs w:val="18"/>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in the amount specified therein.</w:t>
      </w:r>
    </w:p>
    <w:p>
      <w:pPr>
        <w:spacing w:after="0" w:line="177" w:lineRule="exact"/>
        <w:rPr>
          <w:rFonts w:ascii="Arial" w:cs="Arial" w:eastAsia="Arial" w:hAnsi="Arial"/>
          <w:sz w:val="18"/>
          <w:szCs w:val="18"/>
          <w:color w:val="auto"/>
        </w:rPr>
      </w:pPr>
    </w:p>
    <w:p>
      <w:pPr>
        <w:jc w:val="both"/>
        <w:ind w:left="880" w:firstLine="816"/>
        <w:spacing w:after="0" w:line="271" w:lineRule="auto"/>
        <w:tabs>
          <w:tab w:leader="none" w:pos="2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Administrative Agent has made the determination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(i)(A)</w:t>
      </w:r>
      <w:r>
        <w:rPr>
          <w:rFonts w:ascii="Arial" w:cs="Arial" w:eastAsia="Arial" w:hAnsi="Arial"/>
          <w:sz w:val="18"/>
          <w:szCs w:val="18"/>
          <w:color w:val="auto"/>
        </w:rPr>
        <w:t xml:space="preserve"> of this Section, the Administrative Agent, in consultation with the Borrower and the Required Lenders, may establish an alternative interest rate for the Impacted Loans, in which case, such alternative rate of interest shall apply with respect to the Impacted Loans until (A) the Administrative Agent revokes the notice delivered with respect to the Impacted Loans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(i)(A)</w:t>
      </w:r>
      <w:r>
        <w:rPr>
          <w:rFonts w:ascii="Arial" w:cs="Arial" w:eastAsia="Arial" w:hAnsi="Arial"/>
          <w:sz w:val="18"/>
          <w:szCs w:val="18"/>
          <w:color w:val="auto"/>
        </w:rPr>
        <w:t xml:space="preserve"> of this Section, (B) the Required Lenders notify the Administrative Agent and the Borrower that such alternative interest rate does not adequately and fairly reflect the cost to such Lenders of funding the Impacted Loans, or (C)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74" w:lineRule="exact"/>
        <w:rPr>
          <w:rFonts w:ascii="Arial" w:cs="Arial" w:eastAsia="Arial" w:hAnsi="Arial"/>
          <w:sz w:val="18"/>
          <w:szCs w:val="18"/>
          <w:color w:val="auto"/>
        </w:rPr>
      </w:pPr>
    </w:p>
    <w:p>
      <w:pPr>
        <w:ind w:left="1760" w:hanging="875"/>
        <w:spacing w:after="0"/>
        <w:tabs>
          <w:tab w:leader="none" w:pos="176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Non-Temporary Inability</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9" w:name="page50"/>
    <w:bookmarkEnd w:id="49"/>
    <w:p>
      <w:pPr>
        <w:jc w:val="both"/>
        <w:ind w:left="880" w:firstLine="816"/>
        <w:spacing w:after="0" w:line="246" w:lineRule="auto"/>
        <w:tabs>
          <w:tab w:leader="none" w:pos="2525"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or any other Loan Documents, including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3.03(a)</w:t>
      </w:r>
      <w:r>
        <w:rPr>
          <w:rFonts w:ascii="Arial" w:cs="Arial" w:eastAsia="Arial" w:hAnsi="Arial"/>
          <w:sz w:val="20"/>
          <w:szCs w:val="20"/>
          <w:color w:val="auto"/>
        </w:rPr>
        <w:t xml:space="preserve"> above,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05" w:lineRule="exact"/>
        <w:rPr>
          <w:rFonts w:ascii="Arial" w:cs="Arial" w:eastAsia="Arial" w:hAnsi="Arial"/>
          <w:sz w:val="20"/>
          <w:szCs w:val="20"/>
          <w:color w:val="auto"/>
        </w:rPr>
      </w:pPr>
    </w:p>
    <w:p>
      <w:pPr>
        <w:jc w:val="both"/>
        <w:ind w:left="1760" w:firstLine="746"/>
        <w:spacing w:after="0" w:line="238" w:lineRule="auto"/>
        <w:tabs>
          <w:tab w:leader="none" w:pos="3451" w:val="left"/>
        </w:tabs>
        <w:numPr>
          <w:ilvl w:val="1"/>
          <w:numId w:val="52"/>
        </w:numPr>
        <w:rPr>
          <w:rFonts w:ascii="Arial" w:cs="Arial" w:eastAsia="Arial" w:hAnsi="Arial"/>
          <w:sz w:val="22"/>
          <w:szCs w:val="22"/>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211" w:lineRule="exact"/>
        <w:rPr>
          <w:rFonts w:ascii="Arial" w:cs="Arial" w:eastAsia="Arial" w:hAnsi="Arial"/>
          <w:sz w:val="22"/>
          <w:szCs w:val="22"/>
          <w:color w:val="auto"/>
        </w:rPr>
      </w:pPr>
    </w:p>
    <w:p>
      <w:pPr>
        <w:jc w:val="both"/>
        <w:ind w:left="1760" w:firstLine="746"/>
        <w:spacing w:after="0" w:line="239" w:lineRule="auto"/>
        <w:tabs>
          <w:tab w:leader="none" w:pos="3439" w:val="left"/>
        </w:tabs>
        <w:numPr>
          <w:ilvl w:val="1"/>
          <w:numId w:val="52"/>
        </w:numPr>
        <w:rPr>
          <w:rFonts w:ascii="Arial" w:cs="Arial" w:eastAsia="Arial" w:hAnsi="Arial"/>
          <w:sz w:val="22"/>
          <w:szCs w:val="22"/>
          <w:color w:val="auto"/>
        </w:rPr>
      </w:pPr>
      <w:r>
        <w:rPr>
          <w:rFonts w:ascii="Arial" w:cs="Arial" w:eastAsia="Arial" w:hAnsi="Arial"/>
          <w:sz w:val="20"/>
          <w:szCs w:val="20"/>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or</w:t>
      </w:r>
    </w:p>
    <w:p>
      <w:pPr>
        <w:spacing w:after="0" w:line="208" w:lineRule="exact"/>
        <w:rPr>
          <w:rFonts w:ascii="Arial" w:cs="Arial" w:eastAsia="Arial" w:hAnsi="Arial"/>
          <w:sz w:val="22"/>
          <w:szCs w:val="22"/>
          <w:color w:val="auto"/>
        </w:rPr>
      </w:pPr>
    </w:p>
    <w:p>
      <w:pPr>
        <w:jc w:val="both"/>
        <w:ind w:left="1760" w:firstLine="746"/>
        <w:spacing w:after="0" w:line="238" w:lineRule="auto"/>
        <w:tabs>
          <w:tab w:leader="none" w:pos="3439" w:val="left"/>
        </w:tabs>
        <w:numPr>
          <w:ilvl w:val="1"/>
          <w:numId w:val="52"/>
        </w:numPr>
        <w:rPr>
          <w:rFonts w:ascii="Arial" w:cs="Arial" w:eastAsia="Arial" w:hAnsi="Arial"/>
          <w:sz w:val="22"/>
          <w:szCs w:val="22"/>
          <w:color w:val="auto"/>
        </w:rPr>
      </w:pPr>
      <w:r>
        <w:rPr>
          <w:rFonts w:ascii="Arial" w:cs="Arial" w:eastAsia="Arial" w:hAnsi="Arial"/>
          <w:sz w:val="20"/>
          <w:szCs w:val="20"/>
          <w:color w:val="auto"/>
        </w:rPr>
        <w:t>syndicated loans currently being executed, or that include language similar to that contained in this Section, are being executed or amended (as applicable) on a general basis to incorporate or adopt a new benchmark interest rate to replace LIBOR;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together with any proposed LIBOR Successor Rate Conforming Changes and any such amendment shall become effective at 5:00 p.m. (New York time)on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81" w:lineRule="exact"/>
        <w:rPr>
          <w:sz w:val="20"/>
          <w:szCs w:val="20"/>
          <w:color w:val="auto"/>
        </w:rPr>
      </w:pPr>
    </w:p>
    <w:p>
      <w:pPr>
        <w:jc w:val="both"/>
        <w:ind w:left="880" w:firstLine="816"/>
        <w:spacing w:after="0" w:line="257" w:lineRule="auto"/>
        <w:tabs>
          <w:tab w:leader="none" w:pos="25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If no LIBOR Successor Rate has been determined and the circumstances under </w:t>
      </w:r>
      <w:r>
        <w:rPr>
          <w:rFonts w:ascii="Arial" w:cs="Arial" w:eastAsia="Arial" w:hAnsi="Arial"/>
          <w:sz w:val="19"/>
          <w:szCs w:val="19"/>
          <w:u w:val="single" w:color="auto"/>
          <w:color w:val="auto"/>
        </w:rPr>
        <w:t>clause (b)(i)(A)</w:t>
      </w:r>
      <w:r>
        <w:rPr>
          <w:rFonts w:ascii="Arial" w:cs="Arial" w:eastAsia="Arial" w:hAnsi="Arial"/>
          <w:sz w:val="19"/>
          <w:szCs w:val="19"/>
          <w:color w:val="auto"/>
        </w:rPr>
        <w:t xml:space="preserve">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(subject to the foregoing clause (y)) in the amount specified therein.</w:t>
      </w:r>
    </w:p>
    <w:p>
      <w:pPr>
        <w:spacing w:after="0" w:line="181" w:lineRule="exact"/>
        <w:rPr>
          <w:rFonts w:ascii="Arial" w:cs="Arial" w:eastAsia="Arial" w:hAnsi="Arial"/>
          <w:sz w:val="19"/>
          <w:szCs w:val="19"/>
          <w:color w:val="auto"/>
        </w:rPr>
      </w:pPr>
    </w:p>
    <w:p>
      <w:pPr>
        <w:ind w:left="880" w:firstLine="816"/>
        <w:spacing w:after="0" w:line="260" w:lineRule="auto"/>
        <w:tabs>
          <w:tab w:leader="none" w:pos="2635"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0" w:name="page51"/>
    <w:bookmarkEnd w:id="50"/>
    <w:p>
      <w:pPr>
        <w:ind w:left="880"/>
        <w:spacing w:after="0"/>
        <w:tabs>
          <w:tab w:leader="none" w:pos="186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6"/>
          <w:szCs w:val="16"/>
          <w:b w:val="1"/>
          <w:bCs w:val="1"/>
          <w:color w:val="auto"/>
        </w:rPr>
        <w:t>Increased Costs; Reserves on Eurodollar Rate Loans.</w:t>
      </w:r>
    </w:p>
    <w:p>
      <w:pPr>
        <w:spacing w:after="0" w:line="222" w:lineRule="exact"/>
        <w:rPr>
          <w:sz w:val="20"/>
          <w:szCs w:val="20"/>
          <w:color w:val="auto"/>
        </w:rPr>
      </w:pPr>
    </w:p>
    <w:p>
      <w:pPr>
        <w:ind w:left="1760" w:hanging="875"/>
        <w:spacing w:after="0"/>
        <w:tabs>
          <w:tab w:leader="none" w:pos="176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880" w:firstLine="816"/>
        <w:spacing w:after="0" w:line="250" w:lineRule="auto"/>
        <w:tabs>
          <w:tab w:leader="none" w:pos="2525"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880" w:firstLine="816"/>
        <w:spacing w:after="0" w:line="269" w:lineRule="auto"/>
        <w:tabs>
          <w:tab w:leader="none" w:pos="2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(A) Indemnified Taxes, (B)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0" w:lineRule="exact"/>
        <w:rPr>
          <w:rFonts w:ascii="Arial" w:cs="Arial" w:eastAsia="Arial" w:hAnsi="Arial"/>
          <w:sz w:val="19"/>
          <w:szCs w:val="19"/>
          <w:color w:val="auto"/>
        </w:rPr>
      </w:pPr>
    </w:p>
    <w:p>
      <w:pPr>
        <w:ind w:left="880" w:firstLine="816"/>
        <w:spacing w:after="0" w:line="260" w:lineRule="auto"/>
        <w:tabs>
          <w:tab w:leader="none" w:pos="2635" w:val="left"/>
        </w:tabs>
        <w:numPr>
          <w:ilvl w:val="1"/>
          <w:numId w:val="54"/>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Eurodollar Rate Loans made by such Lender or participation therein;</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95" w:lineRule="exact"/>
        <w:rPr>
          <w:sz w:val="20"/>
          <w:szCs w:val="20"/>
          <w:color w:val="auto"/>
        </w:rPr>
      </w:pPr>
    </w:p>
    <w:p>
      <w:pPr>
        <w:jc w:val="both"/>
        <w:ind w:firstLine="885"/>
        <w:spacing w:after="0" w:line="274" w:lineRule="auto"/>
        <w:tabs>
          <w:tab w:leader="none" w:pos="175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169" w:lineRule="exact"/>
        <w:rPr>
          <w:rFonts w:ascii="Arial" w:cs="Arial" w:eastAsia="Arial" w:hAnsi="Arial"/>
          <w:sz w:val="18"/>
          <w:szCs w:val="18"/>
          <w:color w:val="auto"/>
        </w:rPr>
      </w:pPr>
    </w:p>
    <w:p>
      <w:pPr>
        <w:jc w:val="both"/>
        <w:ind w:firstLine="885"/>
        <w:spacing w:after="0" w:line="246" w:lineRule="auto"/>
        <w:tabs>
          <w:tab w:leader="none" w:pos="1745"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xml:space="preserve">. A certificate of a Lender setting forth the amount or amounts necessary to compensate such Lender or its holding company as the case may be, and setting forth the basis for the determination thereof, as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and delivered to the Borrower shall be conclusive absent manifest error. The Borrower shall pay such Lender the amount shown as due on any such certificate within 30 days after receipt thereof.</w:t>
      </w:r>
    </w:p>
    <w:p>
      <w:pPr>
        <w:spacing w:after="0" w:line="191" w:lineRule="exact"/>
        <w:rPr>
          <w:rFonts w:ascii="Arial" w:cs="Arial" w:eastAsia="Arial" w:hAnsi="Arial"/>
          <w:sz w:val="20"/>
          <w:szCs w:val="20"/>
          <w:color w:val="auto"/>
        </w:rPr>
      </w:pPr>
    </w:p>
    <w:p>
      <w:pPr>
        <w:jc w:val="both"/>
        <w:ind w:firstLine="885"/>
        <w:spacing w:after="0" w:line="243" w:lineRule="auto"/>
        <w:tabs>
          <w:tab w:leader="none" w:pos="175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to demand compensation pursuant to the foregoing provisions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shall not constitute a waiver of such Lender’s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jc w:val="both"/>
        <w:ind w:firstLine="885"/>
        <w:spacing w:after="0" w:line="255" w:lineRule="auto"/>
        <w:tabs>
          <w:tab w:leader="none" w:pos="174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Additional Reserve Requirements</w:t>
      </w:r>
      <w:r>
        <w:rPr>
          <w:rFonts w:ascii="Arial" w:cs="Arial" w:eastAsia="Arial" w:hAnsi="Arial"/>
          <w:sz w:val="19"/>
          <w:szCs w:val="19"/>
          <w:color w:val="auto"/>
        </w:rPr>
        <w:t xml:space="preserve">. The Borrower shall pay to each Lender, (i) as long as such Lender shall be required to maintain reserves with respect to liabilities or assets consisting of or including Eurodollar funds or deposits (currently known as “Eurodollar liabilities”), additional interest on the unpaid principal amount of each Eurodollar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Eurodollar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85" w:lineRule="exact"/>
        <w:rPr>
          <w:rFonts w:ascii="Arial" w:cs="Arial" w:eastAsia="Arial" w:hAnsi="Arial"/>
          <w:sz w:val="19"/>
          <w:szCs w:val="19"/>
          <w:color w:val="auto"/>
        </w:rPr>
      </w:pPr>
    </w:p>
    <w:p>
      <w:pPr>
        <w:jc w:val="both"/>
        <w:ind w:firstLine="885"/>
        <w:spacing w:after="0" w:line="246" w:lineRule="auto"/>
        <w:tabs>
          <w:tab w:leader="none" w:pos="1723"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Consistent Treatment</w:t>
      </w:r>
      <w:r>
        <w:rPr>
          <w:rFonts w:ascii="Arial" w:cs="Arial" w:eastAsia="Arial" w:hAnsi="Arial"/>
          <w:sz w:val="20"/>
          <w:szCs w:val="20"/>
          <w:color w:val="auto"/>
        </w:rPr>
        <w:t xml:space="preserve">. Notwithstanding anything in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to the contrary, no Lender shall receive compensation pursuant to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Arial" w:cs="Arial" w:eastAsia="Arial" w:hAnsi="Arial"/>
          <w:sz w:val="20"/>
          <w:szCs w:val="20"/>
          <w:u w:val="single" w:color="auto"/>
          <w:color w:val="auto"/>
        </w:rPr>
        <w:t>Section 3.04</w:t>
      </w:r>
      <w:r>
        <w:rPr>
          <w:rFonts w:ascii="Arial" w:cs="Arial" w:eastAsia="Arial" w:hAnsi="Arial"/>
          <w:sz w:val="20"/>
          <w:szCs w:val="20"/>
          <w:color w:val="auto"/>
        </w:rPr>
        <w:t>.</w:t>
      </w:r>
    </w:p>
    <w:p>
      <w:pPr>
        <w:spacing w:after="0" w:line="18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3.05 Compensation for Losses. </w:t>
      </w:r>
      <w:r>
        <w:rPr>
          <w:rFonts w:ascii="Arial" w:cs="Arial" w:eastAsia="Arial" w:hAnsi="Arial"/>
          <w:sz w:val="20"/>
          <w:szCs w:val="20"/>
          <w:color w:val="auto"/>
        </w:rPr>
        <w:t>Upon demand of any Lender (with a copy to the Administrative Agent)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shall promptly compensate such Lender for and hold such Lender harmless from any loss, cost or expense incurred by it as a result of:</w:t>
      </w:r>
    </w:p>
    <w:p>
      <w:pPr>
        <w:spacing w:after="0" w:line="184" w:lineRule="exact"/>
        <w:rPr>
          <w:sz w:val="20"/>
          <w:szCs w:val="20"/>
          <w:color w:val="auto"/>
        </w:rPr>
      </w:pPr>
    </w:p>
    <w:p>
      <w:pPr>
        <w:ind w:firstLine="885"/>
        <w:spacing w:after="0" w:line="316" w:lineRule="auto"/>
        <w:tabs>
          <w:tab w:leader="none" w:pos="17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0" w:lineRule="exact"/>
        <w:rPr>
          <w:rFonts w:ascii="Arial" w:cs="Arial" w:eastAsia="Arial" w:hAnsi="Arial"/>
          <w:sz w:val="18"/>
          <w:szCs w:val="18"/>
          <w:color w:val="auto"/>
        </w:rPr>
      </w:pPr>
    </w:p>
    <w:p>
      <w:pPr>
        <w:ind w:firstLine="885"/>
        <w:spacing w:after="0" w:line="260" w:lineRule="auto"/>
        <w:tabs>
          <w:tab w:leader="none" w:pos="17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6" w:lineRule="exact"/>
        <w:rPr>
          <w:rFonts w:ascii="Arial" w:cs="Arial" w:eastAsia="Arial" w:hAnsi="Arial"/>
          <w:sz w:val="20"/>
          <w:szCs w:val="20"/>
          <w:color w:val="auto"/>
        </w:rPr>
      </w:pPr>
    </w:p>
    <w:p>
      <w:pPr>
        <w:ind w:firstLine="885"/>
        <w:spacing w:after="0" w:line="260" w:lineRule="auto"/>
        <w:tabs>
          <w:tab w:leader="none" w:pos="1745"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2" w:name="page53"/>
    <w:bookmarkEnd w:id="52"/>
    <w:p>
      <w:pPr>
        <w:ind w:left="880"/>
        <w:spacing w:after="0"/>
        <w:tabs>
          <w:tab w:leader="none" w:pos="186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222" w:lineRule="exact"/>
        <w:rPr>
          <w:sz w:val="20"/>
          <w:szCs w:val="20"/>
          <w:color w:val="auto"/>
        </w:rPr>
      </w:pPr>
    </w:p>
    <w:p>
      <w:pPr>
        <w:jc w:val="both"/>
        <w:ind w:firstLine="885"/>
        <w:spacing w:after="0" w:line="255" w:lineRule="auto"/>
        <w:tabs>
          <w:tab w:leader="none" w:pos="174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Each Lender may make any Loan to the Borrower through any Lending Office,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exercise of this option shall not affect the obligation of the Borrower to repay the Loan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Borrower is required to pay any Indemnified Taxes or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7" w:lineRule="exact"/>
        <w:rPr>
          <w:rFonts w:ascii="Arial" w:cs="Arial" w:eastAsia="Arial" w:hAnsi="Arial"/>
          <w:sz w:val="19"/>
          <w:szCs w:val="19"/>
          <w:color w:val="auto"/>
        </w:rPr>
      </w:pPr>
    </w:p>
    <w:p>
      <w:pPr>
        <w:jc w:val="both"/>
        <w:ind w:firstLine="885"/>
        <w:spacing w:after="0" w:line="246" w:lineRule="auto"/>
        <w:tabs>
          <w:tab w:leader="none" w:pos="175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Indemnified Taxes or additional amount to any Lender or any Governmental Authority for the account of any Lender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86"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 xml:space="preserve">3.07 Survival. </w:t>
      </w:r>
      <w:r>
        <w:rPr>
          <w:rFonts w:ascii="Arial" w:cs="Arial" w:eastAsia="Arial" w:hAnsi="Arial"/>
          <w:sz w:val="20"/>
          <w:szCs w:val="20"/>
          <w:color w:val="auto"/>
        </w:rPr>
        <w:t>All of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repayment of all other Obligations hereunder and resignation of the Administrative Agent.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9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8"/>
          <w:szCs w:val="18"/>
          <w:b w:val="1"/>
          <w:bCs w:val="1"/>
          <w:color w:val="auto"/>
        </w:rPr>
        <w:t xml:space="preserve">Conditions to Effective Date. </w:t>
      </w:r>
      <w:r>
        <w:rPr>
          <w:rFonts w:ascii="Arial" w:cs="Arial" w:eastAsia="Arial" w:hAnsi="Arial"/>
          <w:sz w:val="18"/>
          <w:szCs w:val="18"/>
          <w:color w:val="auto"/>
        </w:rPr>
        <w:t>The effectiveness of this Agreement is subject to satisfaction of the following conditions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precedent:</w:t>
      </w:r>
    </w:p>
    <w:p>
      <w:pPr>
        <w:spacing w:after="0" w:line="200" w:lineRule="exact"/>
        <w:rPr>
          <w:sz w:val="20"/>
          <w:szCs w:val="20"/>
          <w:color w:val="auto"/>
        </w:rPr>
      </w:pPr>
    </w:p>
    <w:p>
      <w:pPr>
        <w:jc w:val="both"/>
        <w:ind w:firstLine="885"/>
        <w:spacing w:after="0" w:line="282" w:lineRule="auto"/>
        <w:tabs>
          <w:tab w:leader="none" w:pos="174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The Administrative Agent’s receipt of the following, each of which shall be originals, telecopies or copies sent by electronic transmission (followed promptly by originals) unless otherwise specified, each properly executed by a Responsible Officer of the Borrower (where applicable), each dated the Effective Date (or, in the case of certificates of governmental officials, a recent date before the Effective Date) and each in form and substance satisfactory to the Administrative Agent and each of the Lenders:</w:t>
      </w:r>
    </w:p>
    <w:p>
      <w:pPr>
        <w:spacing w:after="0" w:line="161" w:lineRule="exact"/>
        <w:rPr>
          <w:rFonts w:ascii="Arial" w:cs="Arial" w:eastAsia="Arial" w:hAnsi="Arial"/>
          <w:sz w:val="18"/>
          <w:szCs w:val="18"/>
          <w:color w:val="auto"/>
        </w:rPr>
      </w:pPr>
    </w:p>
    <w:p>
      <w:pPr>
        <w:ind w:left="2540" w:hanging="844"/>
        <w:spacing w:after="0"/>
        <w:tabs>
          <w:tab w:leader="none" w:pos="254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executed counterparts of this Agreement;</w:t>
      </w:r>
    </w:p>
    <w:p>
      <w:pPr>
        <w:spacing w:after="0" w:line="215" w:lineRule="exact"/>
        <w:rPr>
          <w:rFonts w:ascii="Arial" w:cs="Arial" w:eastAsia="Arial" w:hAnsi="Arial"/>
          <w:sz w:val="20"/>
          <w:szCs w:val="20"/>
          <w:color w:val="auto"/>
        </w:rPr>
      </w:pPr>
    </w:p>
    <w:p>
      <w:pPr>
        <w:ind w:left="2580" w:hanging="884"/>
        <w:spacing w:after="0"/>
        <w:tabs>
          <w:tab w:leader="none" w:pos="25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Notes executed by the Borrower in favor of each Lender requesting Notes;</w:t>
      </w:r>
    </w:p>
    <w:p>
      <w:pPr>
        <w:spacing w:after="0" w:line="215" w:lineRule="exact"/>
        <w:rPr>
          <w:rFonts w:ascii="Arial" w:cs="Arial" w:eastAsia="Arial" w:hAnsi="Arial"/>
          <w:sz w:val="20"/>
          <w:szCs w:val="20"/>
          <w:color w:val="auto"/>
        </w:rPr>
      </w:pPr>
    </w:p>
    <w:p>
      <w:pPr>
        <w:jc w:val="both"/>
        <w:ind w:left="880" w:firstLine="816"/>
        <w:spacing w:after="0" w:line="246" w:lineRule="auto"/>
        <w:tabs>
          <w:tab w:leader="none" w:pos="2635" w:val="left"/>
        </w:tabs>
        <w:numPr>
          <w:ilvl w:val="1"/>
          <w:numId w:val="59"/>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w:t>
      </w:r>
    </w:p>
    <w:p>
      <w:pPr>
        <w:spacing w:after="0" w:line="191" w:lineRule="exact"/>
        <w:rPr>
          <w:rFonts w:ascii="Arial" w:cs="Arial" w:eastAsia="Arial" w:hAnsi="Arial"/>
          <w:sz w:val="20"/>
          <w:szCs w:val="20"/>
          <w:color w:val="auto"/>
        </w:rPr>
      </w:pPr>
    </w:p>
    <w:p>
      <w:pPr>
        <w:ind w:left="880" w:firstLine="816"/>
        <w:spacing w:after="0" w:line="260" w:lineRule="auto"/>
        <w:tabs>
          <w:tab w:leader="none" w:pos="2624" w:val="left"/>
        </w:tabs>
        <w:numPr>
          <w:ilvl w:val="1"/>
          <w:numId w:val="59"/>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the Borrower is duly organized or formed, and that the Borrower is validly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3" w:name="page54"/>
    <w:bookmarkEnd w:id="53"/>
    <w:p>
      <w:pPr>
        <w:jc w:val="both"/>
        <w:ind w:left="880"/>
        <w:spacing w:after="0" w:line="250" w:lineRule="auto"/>
        <w:rPr>
          <w:sz w:val="20"/>
          <w:szCs w:val="20"/>
          <w:color w:val="auto"/>
        </w:rPr>
      </w:pPr>
      <w:r>
        <w:rPr>
          <w:rFonts w:ascii="Arial" w:cs="Arial" w:eastAsia="Arial" w:hAnsi="Arial"/>
          <w:sz w:val="20"/>
          <w:szCs w:val="20"/>
          <w:color w:val="auto"/>
        </w:rPr>
        <w:t>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6" w:lineRule="exact"/>
        <w:rPr>
          <w:sz w:val="20"/>
          <w:szCs w:val="20"/>
          <w:color w:val="auto"/>
        </w:rPr>
      </w:pPr>
    </w:p>
    <w:p>
      <w:pPr>
        <w:ind w:left="1700"/>
        <w:spacing w:after="0"/>
        <w:tabs>
          <w:tab w:leader="none" w:pos="2560" w:val="left"/>
        </w:tabs>
        <w:rPr>
          <w:sz w:val="20"/>
          <w:szCs w:val="20"/>
          <w:color w:val="auto"/>
        </w:rPr>
      </w:pPr>
      <w:r>
        <w:rPr>
          <w:rFonts w:ascii="Arial" w:cs="Arial" w:eastAsia="Arial" w:hAnsi="Arial"/>
          <w:sz w:val="19"/>
          <w:szCs w:val="19"/>
          <w:color w:val="auto"/>
        </w:rPr>
        <w:t>(v)</w:t>
      </w:r>
      <w:r>
        <w:rPr>
          <w:sz w:val="20"/>
          <w:szCs w:val="20"/>
          <w:color w:val="auto"/>
        </w:rPr>
        <w:tab/>
      </w:r>
      <w:r>
        <w:rPr>
          <w:rFonts w:ascii="Arial" w:cs="Arial" w:eastAsia="Arial" w:hAnsi="Arial"/>
          <w:sz w:val="19"/>
          <w:szCs w:val="19"/>
          <w:color w:val="auto"/>
        </w:rPr>
        <w:t>such financial information relating to the Borrower and its Subsidiaries as the Administrative Agent may</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request;</w:t>
      </w:r>
    </w:p>
    <w:p>
      <w:pPr>
        <w:spacing w:after="0" w:line="200" w:lineRule="exact"/>
        <w:rPr>
          <w:sz w:val="20"/>
          <w:szCs w:val="20"/>
          <w:color w:val="auto"/>
        </w:rPr>
      </w:pPr>
    </w:p>
    <w:p>
      <w:pPr>
        <w:ind w:left="2620" w:hanging="924"/>
        <w:spacing w:after="0"/>
        <w:tabs>
          <w:tab w:leader="none" w:pos="26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 favorable opinion of counsel to the Borrower, addressed to the Administrative Agent and each Lender;</w:t>
      </w:r>
    </w:p>
    <w:p>
      <w:pPr>
        <w:spacing w:after="0" w:line="227" w:lineRule="exact"/>
        <w:rPr>
          <w:rFonts w:ascii="Arial" w:cs="Arial" w:eastAsia="Arial" w:hAnsi="Arial"/>
          <w:sz w:val="19"/>
          <w:szCs w:val="19"/>
          <w:color w:val="auto"/>
        </w:rPr>
      </w:pPr>
    </w:p>
    <w:p>
      <w:pPr>
        <w:jc w:val="both"/>
        <w:ind w:left="880" w:firstLine="816"/>
        <w:spacing w:after="0" w:line="272" w:lineRule="auto"/>
        <w:tabs>
          <w:tab w:leader="none" w:pos="267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certificate of a Responsible Officer of the Borrower either (A) attaching copies of all consents, licenses and approvals required in connection with the execution, delivery and performance by the Borrower and the validity against the Borrower of the Loan Documents to which it is a party, and such consents, licenses and approvals shall be in full force and effect, or</w:t>
      </w:r>
    </w:p>
    <w:p>
      <w:pPr>
        <w:spacing w:after="0" w:line="1" w:lineRule="exact"/>
        <w:rPr>
          <w:rFonts w:ascii="Arial" w:cs="Arial" w:eastAsia="Arial" w:hAnsi="Arial"/>
          <w:sz w:val="18"/>
          <w:szCs w:val="18"/>
          <w:color w:val="auto"/>
        </w:rPr>
      </w:pPr>
    </w:p>
    <w:p>
      <w:pPr>
        <w:ind w:left="1200" w:hanging="315"/>
        <w:spacing w:after="0"/>
        <w:tabs>
          <w:tab w:leader="none" w:pos="12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stating that no such consents, licenses or approvals are so required;</w:t>
      </w:r>
    </w:p>
    <w:p>
      <w:pPr>
        <w:spacing w:after="0" w:line="199" w:lineRule="exact"/>
        <w:rPr>
          <w:rFonts w:ascii="Arial" w:cs="Arial" w:eastAsia="Arial" w:hAnsi="Arial"/>
          <w:sz w:val="20"/>
          <w:szCs w:val="20"/>
          <w:color w:val="auto"/>
        </w:rPr>
      </w:pPr>
    </w:p>
    <w:p>
      <w:pPr>
        <w:jc w:val="both"/>
        <w:ind w:left="880" w:firstLine="816"/>
        <w:spacing w:after="0" w:line="302" w:lineRule="auto"/>
        <w:tabs>
          <w:tab w:leader="none" w:pos="2734"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certifying (A) that the representations and warranties of the Borrower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5.22</w:t>
      </w:r>
      <w:r>
        <w:rPr>
          <w:rFonts w:ascii="Arial" w:cs="Arial" w:eastAsia="Arial" w:hAnsi="Arial"/>
          <w:sz w:val="16"/>
          <w:szCs w:val="16"/>
          <w:color w:val="auto"/>
        </w:rPr>
        <w:t>) and contained in each other Loan Document are true and correct in all material respects (or, to the extent any such representation and warranty is modified by materiality or Material Adverse Effect, in all respects) on and as of the Effective Date, (B) that no Default exists as of the Effective Date or would result from the effectiveness of this Agreement; (C) that there has been no event or circumstance since the date of the Audited Financial Statements that has resulted or could reasonably be expected to result in, either individually or in the aggregate, a Material Adverse Effect;</w:t>
      </w:r>
    </w:p>
    <w:p>
      <w:pPr>
        <w:spacing w:after="0" w:line="4" w:lineRule="exact"/>
        <w:rPr>
          <w:rFonts w:ascii="Arial" w:cs="Arial" w:eastAsia="Arial" w:hAnsi="Arial"/>
          <w:sz w:val="16"/>
          <w:szCs w:val="16"/>
          <w:color w:val="auto"/>
        </w:rPr>
      </w:pPr>
    </w:p>
    <w:p>
      <w:pPr>
        <w:jc w:val="both"/>
        <w:ind w:left="880" w:firstLine="5"/>
        <w:spacing w:after="0" w:line="272" w:lineRule="auto"/>
        <w:tabs>
          <w:tab w:leader="none" w:pos="12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does not exist any pending or threatened action, suit, investigation or proceeding in any court or before any arbitrator or Governmental Authority that (x) except as disclosed in this Agreement, either individually or in the aggregate, if adversely determined, could reasonably be expected to have a Material Adverse Effect or (y) purports to affect any transaction contemplated under this Agreement or any Loan Document (including, without limitation, the Closing Date Transactions) or the ability of the Borrower to perform its obligations under this Agreement or any Loan Document; and (E) as to a true, correct and complete copy of the Closing Date Acquisition Agreement (including all schedules and exhibits thereto) in effect as of the Effective Date; and</w:t>
      </w:r>
    </w:p>
    <w:p>
      <w:pPr>
        <w:spacing w:after="0" w:line="170" w:lineRule="exact"/>
        <w:rPr>
          <w:rFonts w:ascii="Arial" w:cs="Arial" w:eastAsia="Arial" w:hAnsi="Arial"/>
          <w:sz w:val="18"/>
          <w:szCs w:val="18"/>
          <w:color w:val="auto"/>
        </w:rPr>
      </w:pPr>
    </w:p>
    <w:p>
      <w:pPr>
        <w:ind w:left="880" w:firstLine="816"/>
        <w:spacing w:after="0" w:line="260" w:lineRule="auto"/>
        <w:tabs>
          <w:tab w:leader="none" w:pos="2624" w:val="left"/>
        </w:tabs>
        <w:numPr>
          <w:ilvl w:val="1"/>
          <w:numId w:val="62"/>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or the Required Lenders reasonably may require.</w:t>
      </w:r>
    </w:p>
    <w:p>
      <w:pPr>
        <w:spacing w:after="0" w:line="177" w:lineRule="exact"/>
        <w:rPr>
          <w:sz w:val="20"/>
          <w:szCs w:val="20"/>
          <w:color w:val="auto"/>
        </w:rPr>
      </w:pPr>
    </w:p>
    <w:p>
      <w:pPr>
        <w:jc w:val="both"/>
        <w:ind w:firstLine="885"/>
        <w:spacing w:after="0" w:line="291" w:lineRule="auto"/>
        <w:tabs>
          <w:tab w:leader="none" w:pos="175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Accuracy of all Representations and Warranties</w:t>
      </w:r>
      <w:r>
        <w:rPr>
          <w:rFonts w:ascii="Arial" w:cs="Arial" w:eastAsia="Arial" w:hAnsi="Arial"/>
          <w:sz w:val="18"/>
          <w:szCs w:val="18"/>
          <w:color w:val="auto"/>
        </w:rPr>
        <w:t xml:space="preserve">. The representations and warranties of the Borrower contained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5.22</w:t>
      </w:r>
      <w:r>
        <w:rPr>
          <w:rFonts w:ascii="Arial" w:cs="Arial" w:eastAsia="Arial" w:hAnsi="Arial"/>
          <w:sz w:val="18"/>
          <w:szCs w:val="18"/>
          <w:color w:val="auto"/>
        </w:rPr>
        <w:t>) and contained in each other Loan Document are true and correct in all material respects (or, to the extent any such representation and warranty is modified by materiality or Material Adverse Effect, in all respects) on and as of the Effective Date.</w:t>
      </w:r>
    </w:p>
    <w:p>
      <w:pPr>
        <w:spacing w:after="0" w:line="151" w:lineRule="exact"/>
        <w:rPr>
          <w:rFonts w:ascii="Arial" w:cs="Arial" w:eastAsia="Arial" w:hAnsi="Arial"/>
          <w:sz w:val="18"/>
          <w:szCs w:val="18"/>
          <w:color w:val="auto"/>
        </w:rPr>
      </w:pPr>
    </w:p>
    <w:p>
      <w:pPr>
        <w:ind w:left="1760" w:hanging="875"/>
        <w:spacing w:after="0"/>
        <w:tabs>
          <w:tab w:leader="none" w:pos="176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shall exist, or would result from the effectiveness of this Agreement.</w:t>
      </w:r>
    </w:p>
    <w:p>
      <w:pPr>
        <w:spacing w:after="0" w:line="215" w:lineRule="exact"/>
        <w:rPr>
          <w:rFonts w:ascii="Arial" w:cs="Arial" w:eastAsia="Arial" w:hAnsi="Arial"/>
          <w:sz w:val="20"/>
          <w:szCs w:val="20"/>
          <w:color w:val="auto"/>
        </w:rPr>
      </w:pPr>
    </w:p>
    <w:p>
      <w:pPr>
        <w:jc w:val="both"/>
        <w:ind w:firstLine="885"/>
        <w:spacing w:after="0" w:line="263" w:lineRule="auto"/>
        <w:tabs>
          <w:tab w:leader="none" w:pos="175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PATRIOT Act / KYC Information</w:t>
      </w:r>
      <w:r>
        <w:rPr>
          <w:rFonts w:ascii="Arial" w:cs="Arial" w:eastAsia="Arial" w:hAnsi="Arial"/>
          <w:sz w:val="19"/>
          <w:szCs w:val="19"/>
          <w:color w:val="auto"/>
        </w:rPr>
        <w:t>. Upon the reasonable request of any Lender made at least ten days prior to the Effective Date, the Borrower shall have provided to such Lender the documentation and other information so requested in connection with applicable “know your customer” and anti-money-laundering rules and regulations, including the Act, in each case at least five days prior to the Effective Date. Upon the request of any Lender made at least five days prior to the Effective Date, if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4" w:name="page55"/>
    <w:bookmarkEnd w:id="54"/>
    <w:p>
      <w:pPr>
        <w:ind w:right="20"/>
        <w:spacing w:after="0" w:line="260" w:lineRule="auto"/>
        <w:rPr>
          <w:sz w:val="20"/>
          <w:szCs w:val="20"/>
          <w:color w:val="auto"/>
        </w:rPr>
      </w:pPr>
      <w:r>
        <w:rPr>
          <w:rFonts w:ascii="Arial" w:cs="Arial" w:eastAsia="Arial" w:hAnsi="Arial"/>
          <w:sz w:val="20"/>
          <w:szCs w:val="20"/>
          <w:color w:val="auto"/>
        </w:rPr>
        <w:t>the Borrower qualifies as a “legal entity customer” under the Beneficial Ownership Regulation, it shall deliver a Beneficial Ownership Certification in relation to the Borrower.</w:t>
      </w:r>
    </w:p>
    <w:p>
      <w:pPr>
        <w:spacing w:after="0" w:line="177" w:lineRule="exact"/>
        <w:rPr>
          <w:sz w:val="20"/>
          <w:szCs w:val="20"/>
          <w:color w:val="auto"/>
        </w:rPr>
      </w:pPr>
    </w:p>
    <w:p>
      <w:pPr>
        <w:ind w:left="1760" w:hanging="875"/>
        <w:spacing w:after="0"/>
        <w:tabs>
          <w:tab w:leader="none" w:pos="17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Payment of Fees</w:t>
      </w:r>
      <w:r>
        <w:rPr>
          <w:rFonts w:ascii="Arial" w:cs="Arial" w:eastAsia="Arial" w:hAnsi="Arial"/>
          <w:sz w:val="20"/>
          <w:szCs w:val="20"/>
          <w:color w:val="auto"/>
        </w:rPr>
        <w:t>. Any fees required to be paid on or before the Effective Date shall have been paid.</w:t>
      </w:r>
    </w:p>
    <w:p>
      <w:pPr>
        <w:spacing w:after="0" w:line="215" w:lineRule="exact"/>
        <w:rPr>
          <w:rFonts w:ascii="Arial" w:cs="Arial" w:eastAsia="Arial" w:hAnsi="Arial"/>
          <w:sz w:val="20"/>
          <w:szCs w:val="20"/>
          <w:color w:val="auto"/>
        </w:rPr>
      </w:pPr>
    </w:p>
    <w:p>
      <w:pPr>
        <w:jc w:val="both"/>
        <w:ind w:firstLine="885"/>
        <w:spacing w:after="0" w:line="278" w:lineRule="auto"/>
        <w:tabs>
          <w:tab w:leader="none" w:pos="172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Unless waived by the Administrative Agent, the Borrower shall have paid all fees, charges and disbursements of counsel (directly to such counsel if requested by the Administrative Agent) to the Administrative Agent to the extent invoiced prior to or on the Effective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65"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89"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9"/>
          <w:szCs w:val="19"/>
          <w:b w:val="1"/>
          <w:bCs w:val="1"/>
          <w:color w:val="auto"/>
        </w:rPr>
        <w:t xml:space="preserve">4.02 Conditions of Closing Date. </w:t>
      </w:r>
      <w:r>
        <w:rPr>
          <w:rFonts w:ascii="Arial" w:cs="Arial" w:eastAsia="Arial" w:hAnsi="Arial"/>
          <w:sz w:val="19"/>
          <w:szCs w:val="19"/>
          <w:color w:val="auto"/>
        </w:rPr>
        <w:t>The occurrence of the Closing Date and the obligation of each Lender to make any Loan</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are each subject to the occurrence of the Effective Date and the satisfaction of the following conditions precedent:</w:t>
      </w:r>
    </w:p>
    <w:p>
      <w:pPr>
        <w:spacing w:after="0" w:line="148" w:lineRule="exact"/>
        <w:rPr>
          <w:sz w:val="20"/>
          <w:szCs w:val="20"/>
          <w:color w:val="auto"/>
        </w:rPr>
      </w:pPr>
    </w:p>
    <w:p>
      <w:pPr>
        <w:jc w:val="both"/>
        <w:ind w:firstLine="885"/>
        <w:spacing w:after="0" w:line="246" w:lineRule="auto"/>
        <w:tabs>
          <w:tab w:leader="none" w:pos="174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Documentation</w:t>
      </w:r>
      <w:r>
        <w:rPr>
          <w:rFonts w:ascii="Arial" w:cs="Arial" w:eastAsia="Arial" w:hAnsi="Arial"/>
          <w:sz w:val="20"/>
          <w:szCs w:val="20"/>
          <w:color w:val="auto"/>
        </w:rPr>
        <w:t>. The Administrative Agent’s receipt of the following, each of which shall be originals, telecopies or copies sent by electronic transmission (followed promptly by originals) unless otherwise specified, each properly executed by a Responsible Officer of the Borrower (where applicable), each dated the Closing Date and each in form and substance satisfactory to the Administrative Agent and each of the Lenders:</w:t>
      </w:r>
    </w:p>
    <w:p>
      <w:pPr>
        <w:spacing w:after="0" w:line="191" w:lineRule="exact"/>
        <w:rPr>
          <w:rFonts w:ascii="Arial" w:cs="Arial" w:eastAsia="Arial" w:hAnsi="Arial"/>
          <w:sz w:val="20"/>
          <w:szCs w:val="20"/>
          <w:color w:val="auto"/>
        </w:rPr>
      </w:pPr>
    </w:p>
    <w:p>
      <w:pPr>
        <w:ind w:left="2540" w:hanging="844"/>
        <w:spacing w:after="0"/>
        <w:tabs>
          <w:tab w:leader="none" w:pos="2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 certificate of a Responsible Officer of the Borrower certifying (A) that the conditions specified in </w:t>
      </w:r>
      <w:r>
        <w:rPr>
          <w:rFonts w:ascii="Arial" w:cs="Arial" w:eastAsia="Arial" w:hAnsi="Arial"/>
          <w:sz w:val="18"/>
          <w:szCs w:val="18"/>
          <w:u w:val="single" w:color="auto"/>
          <w:color w:val="auto"/>
        </w:rPr>
        <w:t>subsections</w:t>
      </w:r>
    </w:p>
    <w:p>
      <w:pPr>
        <w:spacing w:after="0" w:line="38" w:lineRule="exact"/>
        <w:rPr>
          <w:rFonts w:ascii="Arial" w:cs="Arial" w:eastAsia="Arial" w:hAnsi="Arial"/>
          <w:sz w:val="18"/>
          <w:szCs w:val="18"/>
          <w:color w:val="auto"/>
        </w:rPr>
      </w:pPr>
    </w:p>
    <w:p>
      <w:pPr>
        <w:jc w:val="both"/>
        <w:ind w:left="880"/>
        <w:spacing w:after="0"/>
        <w:rPr>
          <w:rFonts w:ascii="Arial" w:cs="Arial" w:eastAsia="Arial" w:hAnsi="Arial"/>
          <w:sz w:val="18"/>
          <w:szCs w:val="18"/>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 (B) that the Specified Acquisition Agreement Representations and the Specified Representations are true and correct in all material respects (or, to the extent any such Specified Acquisition Agreement Representation or Specified Representation is modified by materiality or Material Adverse Effect, in all respects) on and as of the Closing Date and (C) as to the current Debt Rating and Leverage Ratio (after giving pro forma effect to the Closing Date Transactions);</w:t>
      </w:r>
    </w:p>
    <w:p>
      <w:pPr>
        <w:spacing w:after="0" w:line="198" w:lineRule="exact"/>
        <w:rPr>
          <w:rFonts w:ascii="Arial" w:cs="Arial" w:eastAsia="Arial" w:hAnsi="Arial"/>
          <w:sz w:val="18"/>
          <w:szCs w:val="18"/>
          <w:color w:val="auto"/>
        </w:rPr>
      </w:pPr>
    </w:p>
    <w:p>
      <w:pPr>
        <w:ind w:left="880" w:firstLine="816"/>
        <w:spacing w:after="0" w:line="260" w:lineRule="auto"/>
        <w:tabs>
          <w:tab w:leader="none" w:pos="258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a certificate of the chief financial officer of the Borrower as to the solvency of the Borrower and its Subsidiaries, after giving effect to the Closing Date Transactions, in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2640" w:hanging="944"/>
        <w:spacing w:after="0"/>
        <w:tabs>
          <w:tab w:leader="none" w:pos="264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written Loan Notice, appropriately completed and signed by a Responsible Officer of the Borrower.</w:t>
      </w:r>
    </w:p>
    <w:p>
      <w:pPr>
        <w:spacing w:after="0" w:line="227" w:lineRule="exact"/>
        <w:rPr>
          <w:rFonts w:ascii="Arial" w:cs="Arial" w:eastAsia="Arial" w:hAnsi="Arial"/>
          <w:sz w:val="19"/>
          <w:szCs w:val="19"/>
          <w:color w:val="auto"/>
        </w:rPr>
      </w:pPr>
    </w:p>
    <w:p>
      <w:pPr>
        <w:jc w:val="both"/>
        <w:ind w:firstLine="885"/>
        <w:spacing w:after="0" w:line="263" w:lineRule="auto"/>
        <w:tabs>
          <w:tab w:leader="none" w:pos="175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Closing Date Acquisition</w:t>
      </w:r>
      <w:r>
        <w:rPr>
          <w:rFonts w:ascii="Arial" w:cs="Arial" w:eastAsia="Arial" w:hAnsi="Arial"/>
          <w:sz w:val="19"/>
          <w:szCs w:val="19"/>
          <w:color w:val="auto"/>
        </w:rPr>
        <w:t>. The Closing Date Acquisition Agreement shall not have been altered, amended or otherwise changed or supplemented or any provision waived or consented to in a manner that is materially adverse to the Lenders or the Arrangers (in their capacities as such) without the prior written consent of the Arrangers; it being understood and agreed that (i) any decrease in the purchase price of less than 10% shall not be materially adverse to the interests of the Lenders or the Arrangers so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9"/>
          <w:szCs w:val="19"/>
          <w:color w:val="auto"/>
        </w:rPr>
        <w:t>long as such decrease is allocated to reduce the principal amount of the Facilities on a dollar-for-dollar basis, (ii) any increase in the purchase price of less than 10% shall not be materially adverse to the interests of the Lenders or the Arrangers, (iii) any increase in the purchase price of 10% or more (but in no event more than 20%) shall not be materially adverse to the interests of the Lenders or the Arrangers so long as such increase is funded by the issuance of common stock in the Borrower or other equity securities of the Borrower (provided the terms of such other equity securities are reasonably satisfactory to the Arrangers), (iv) any decrease in the purchase price of 10% or more shall be materially adverse to the interests of the Lenders or the Arrangers regardless of how such decrease is applied, and (v) any amendment, modification, waiver or consent that results in a change to the definition of the term “Company Material Adverse Effect” (as defined in the Closing Date Acquisition Agreement) shall be materially adverse to the interests of the Lenders or Arrangers. The Closing Date Acquisition shall have been, or concurrently with the funding of the Loans on the Closing Date shall be, consummated in accordance with the terms of the Closing Date Acquisition Agreement, as such terms may be altered, amended or otherwise changed, supplemented, waived or consented to in accordance with the immediately preceding sentence.</w:t>
      </w:r>
    </w:p>
    <w:p>
      <w:pPr>
        <w:spacing w:after="0" w:line="188" w:lineRule="exact"/>
        <w:rPr>
          <w:sz w:val="20"/>
          <w:szCs w:val="20"/>
          <w:color w:val="auto"/>
        </w:rPr>
      </w:pPr>
    </w:p>
    <w:p>
      <w:pPr>
        <w:jc w:val="both"/>
        <w:ind w:firstLine="885"/>
        <w:spacing w:after="0" w:line="269" w:lineRule="auto"/>
        <w:tabs>
          <w:tab w:leader="none" w:pos="174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Accuracy of all Specified Acquisition Agreement Representations and Specified Representations</w:t>
      </w:r>
      <w:r>
        <w:rPr>
          <w:rFonts w:ascii="Arial" w:cs="Arial" w:eastAsia="Arial" w:hAnsi="Arial"/>
          <w:sz w:val="19"/>
          <w:szCs w:val="19"/>
          <w:color w:val="auto"/>
        </w:rPr>
        <w:t>. The Specified Acquisition Agreement Representations are true and correct and the Specified Representations are true and correct in all material respects (or, to the extent any such representation and warranty is modified by materiality or Material Adverse Effect, in all respects).</w:t>
      </w:r>
    </w:p>
    <w:p>
      <w:pPr>
        <w:spacing w:after="0" w:line="170" w:lineRule="exact"/>
        <w:rPr>
          <w:rFonts w:ascii="Arial" w:cs="Arial" w:eastAsia="Arial" w:hAnsi="Arial"/>
          <w:sz w:val="19"/>
          <w:szCs w:val="19"/>
          <w:color w:val="auto"/>
        </w:rPr>
      </w:pPr>
    </w:p>
    <w:p>
      <w:pPr>
        <w:ind w:left="1760" w:hanging="875"/>
        <w:spacing w:after="0"/>
        <w:tabs>
          <w:tab w:leader="none" w:pos="17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Since February 22, 2019, no Company Material Adverse Effect shall have occurred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be continuing.</w:t>
      </w:r>
    </w:p>
    <w:p>
      <w:pPr>
        <w:spacing w:after="0" w:line="199" w:lineRule="exact"/>
        <w:rPr>
          <w:rFonts w:ascii="Arial" w:cs="Arial" w:eastAsia="Arial" w:hAnsi="Arial"/>
          <w:sz w:val="18"/>
          <w:szCs w:val="18"/>
          <w:color w:val="auto"/>
        </w:rPr>
      </w:pPr>
    </w:p>
    <w:p>
      <w:pPr>
        <w:jc w:val="both"/>
        <w:ind w:firstLine="885"/>
        <w:spacing w:after="0" w:line="270" w:lineRule="auto"/>
        <w:tabs>
          <w:tab w:leader="none" w:pos="174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xml:space="preserve">. The Arrangers shall have received: (i) audited consolidated balance sheet of the Borrower and related consolidated statements of income or operations, shareholders’ equity and cash flows, for each of the three most recently completed fiscal years ended at least 90 days before the Closing Date, including, an unqualified audit report thereon; and (ii) with respect to each fiscal quarter ended at least 45 days before the Closing Date, an unaudited consolidated balance sheet of the Borrower and related consolidated statements of income or operations, shareholders’ equity and cash flows for such fiscal quarter and for the elapsed interim period following the last completed fiscal year and for the comparable periods of the prior fiscal year, all of which financial statements shall be prepared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Borrower’s public filing of any required financial statements with the SEC shall satisfy the requirements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and (B) it is acknowledged and agreed that the financial statements described in the foregoing clause (i) for the fiscal years ended October 31, 2018, 2017 and 2016 have been received by the Arrangers prior to the Effective Date. In addition, the Arrangers shall have received the audited consolidated balance sheet and statements of operations and cash flows of the Target and its subsidiaries on a consolidated basis as of and for the fiscal years ended December 31, 2016 and December 31, 2017, together with the unaudited consolidated balance sheet and statements of operations and cash flows of the Target and its subsidiaries on a consolidated basis as of and for the twelve month period ended December 31,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acknowledged and agreed that the financial statements described in this sentence have been received by the Arrangers prior to the Effective Date.</w:t>
      </w:r>
    </w:p>
    <w:p>
      <w:pPr>
        <w:spacing w:after="0" w:line="170" w:lineRule="exact"/>
        <w:rPr>
          <w:rFonts w:ascii="Arial" w:cs="Arial" w:eastAsia="Arial" w:hAnsi="Arial"/>
          <w:sz w:val="18"/>
          <w:szCs w:val="18"/>
          <w:color w:val="auto"/>
        </w:rPr>
      </w:pPr>
    </w:p>
    <w:p>
      <w:pPr>
        <w:jc w:val="both"/>
        <w:ind w:firstLine="885"/>
        <w:spacing w:after="0" w:line="259" w:lineRule="auto"/>
        <w:tabs>
          <w:tab w:leader="none" w:pos="1723"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PATRIOT Act / KYC Information</w:t>
      </w:r>
      <w:r>
        <w:rPr>
          <w:rFonts w:ascii="Arial" w:cs="Arial" w:eastAsia="Arial" w:hAnsi="Arial"/>
          <w:sz w:val="19"/>
          <w:szCs w:val="19"/>
          <w:color w:val="auto"/>
        </w:rPr>
        <w:t>. To the extent not provided on the Effective Date, (i) upon the reasonable request of any Lender made at least ten days prior to the Closing Date, the Borrower shall have provided to such Lender the documentation and other information so requested in connection with applicable “know your customer” and anti-money-laundering rules and regulations, including the PATRIOT Act, in each case at least three business days prior to the Closing Date, and (ii) upon the request of any Lender made at least ten days prior to the Closing Date, if the Borrower qualifies as a “legal entity customer” under the Beneficial Ownership Regulation, it shall deliver a Beneficial Ownership Certification in relation to the Borrower.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6" w:name="page57"/>
    <w:bookmarkEnd w:id="56"/>
    <w:p>
      <w:pPr>
        <w:jc w:val="both"/>
        <w:ind w:firstLine="885"/>
        <w:spacing w:after="0" w:line="246" w:lineRule="auto"/>
        <w:tabs>
          <w:tab w:leader="none" w:pos="1756"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All accrued fees and expenses of the Arrangers, the Administrative Agent and the Lenders (including the fees and expenses of counsel for the Administrative Agent) due and payable on or prior to the Closing Date shall have been paid (to the extent invoiced at least three Business Days prior to the Closing Date or as otherwise set forth in a funds flow approved in writing by the Borrower).</w:t>
      </w:r>
    </w:p>
    <w:p>
      <w:pPr>
        <w:spacing w:after="0" w:line="191" w:lineRule="exact"/>
        <w:rPr>
          <w:rFonts w:ascii="Arial" w:cs="Arial" w:eastAsia="Arial" w:hAnsi="Arial"/>
          <w:sz w:val="20"/>
          <w:szCs w:val="20"/>
          <w:color w:val="auto"/>
        </w:rPr>
      </w:pPr>
    </w:p>
    <w:p>
      <w:pPr>
        <w:ind w:firstLine="885"/>
        <w:spacing w:after="0" w:line="260" w:lineRule="auto"/>
        <w:tabs>
          <w:tab w:leader="none" w:pos="1756"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Outside Closing Date</w:t>
      </w:r>
      <w:r>
        <w:rPr>
          <w:rFonts w:ascii="Arial" w:cs="Arial" w:eastAsia="Arial" w:hAnsi="Arial"/>
          <w:sz w:val="20"/>
          <w:szCs w:val="20"/>
          <w:color w:val="auto"/>
        </w:rPr>
        <w:t xml:space="preserve">. The conditions specified in this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shall have been satisfied on or prior to 11:59 p.m. October 31, 2019 (the “</w:t>
      </w:r>
      <w:r>
        <w:rPr>
          <w:rFonts w:ascii="Arial" w:cs="Arial" w:eastAsia="Arial" w:hAnsi="Arial"/>
          <w:sz w:val="20"/>
          <w:szCs w:val="20"/>
          <w:u w:val="single" w:color="auto"/>
          <w:color w:val="auto"/>
        </w:rPr>
        <w:t>Outside Closing Date</w:t>
      </w:r>
      <w:r>
        <w:rPr>
          <w:rFonts w:ascii="Arial" w:cs="Arial" w:eastAsia="Arial" w:hAnsi="Arial"/>
          <w:sz w:val="20"/>
          <w:szCs w:val="20"/>
          <w:color w:val="auto"/>
        </w:rPr>
        <w: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Borrower represents and warrants to the Administrative Agent and the Lenders that:</w:t>
      </w:r>
    </w:p>
    <w:p>
      <w:pPr>
        <w:spacing w:after="0" w:line="210"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b w:val="1"/>
          <w:bCs w:val="1"/>
          <w:color w:val="auto"/>
        </w:rPr>
        <w:t xml:space="preserve">5.01 Existence, Qualification and Power. </w:t>
      </w:r>
      <w:r>
        <w:rPr>
          <w:rFonts w:ascii="Arial" w:cs="Arial" w:eastAsia="Arial" w:hAnsi="Arial"/>
          <w:sz w:val="18"/>
          <w:szCs w:val="18"/>
          <w:color w:val="auto"/>
        </w:rPr>
        <w:t>Each of the Borrower and its Subsidiaries (a) is duly organized or formed,</w:t>
      </w:r>
      <w:r>
        <w:rPr>
          <w:rFonts w:ascii="Arial" w:cs="Arial" w:eastAsia="Arial" w:hAnsi="Arial"/>
          <w:sz w:val="18"/>
          <w:szCs w:val="18"/>
          <w:b w:val="1"/>
          <w:bCs w:val="1"/>
          <w:color w:val="auto"/>
        </w:rPr>
        <w:t xml:space="preserve"> </w:t>
      </w:r>
      <w:r>
        <w:rPr>
          <w:rFonts w:ascii="Arial" w:cs="Arial" w:eastAsia="Arial" w:hAnsi="Arial"/>
          <w:sz w:val="18"/>
          <w:szCs w:val="18"/>
          <w:color w:val="auto"/>
        </w:rPr>
        <w:t>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the Closing Date Acquisition Agreement, and</w:t>
      </w:r>
    </w:p>
    <w:p>
      <w:pPr>
        <w:spacing w:after="0" w:line="2" w:lineRule="exact"/>
        <w:rPr>
          <w:sz w:val="20"/>
          <w:szCs w:val="20"/>
          <w:color w:val="auto"/>
        </w:rPr>
      </w:pPr>
    </w:p>
    <w:p>
      <w:pPr>
        <w:jc w:val="both"/>
        <w:ind w:firstLine="8"/>
        <w:spacing w:after="0" w:line="241" w:lineRule="auto"/>
        <w:tabs>
          <w:tab w:leader="none" w:pos="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with respect to Subsidiaries other than a Material Subsidiary, and </w:t>
      </w:r>
      <w:r>
        <w:rPr>
          <w:rFonts w:ascii="Arial" w:cs="Arial" w:eastAsia="Arial" w:hAnsi="Arial"/>
          <w:sz w:val="20"/>
          <w:szCs w:val="20"/>
          <w:u w:val="single" w:color="auto"/>
          <w:color w:val="auto"/>
        </w:rPr>
        <w:t>clause (b)(i)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to the extent that failure to do so could not reasonably be expected to have a Material Adverse Effect. The Borrower is not an EEA Financial Institution.</w:t>
      </w:r>
    </w:p>
    <w:p>
      <w:pPr>
        <w:spacing w:after="0" w:line="189"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8"/>
          <w:szCs w:val="18"/>
          <w:b w:val="1"/>
          <w:bCs w:val="1"/>
          <w:color w:val="auto"/>
        </w:rPr>
        <w:t xml:space="preserve">5.02 Authorization; No Contravention. </w:t>
      </w:r>
      <w:r>
        <w:rPr>
          <w:rFonts w:ascii="Arial" w:cs="Arial" w:eastAsia="Arial" w:hAnsi="Arial"/>
          <w:sz w:val="18"/>
          <w:szCs w:val="18"/>
          <w:color w:val="auto"/>
        </w:rPr>
        <w:t>The execution, delivery and performance by the Borrower of each 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been duly authorized by all necessary corporate or other organizational action, and do not and will not (a) contravene the terms of the Borrower’s Organization Documents; (b) conflict with or result in any breach or contravention of, or the creation of any Lien under, or require any payment to be made under (i) any material Contractual Obligation to which it is a party or affecting it or the properties of the Borrower or any of its Subsidiaries or (ii) any order, injunction, writ or decree of any Governmental Authority or any arbitral award to which the Borrower or its property is subject; or (c) violate any Law. The Borrower and each Subsidiary thereof is in compliance with all Contractual Obligations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except to the extent that failure to do so could not reasonably be expected to have a Material Adverse Effect.</w:t>
      </w:r>
    </w:p>
    <w:p>
      <w:pPr>
        <w:spacing w:after="0" w:line="163"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5.03 Governmental Authorization; Other Consents. </w:t>
      </w:r>
      <w:r>
        <w:rPr>
          <w:rFonts w:ascii="Arial" w:cs="Arial" w:eastAsia="Arial" w:hAnsi="Arial"/>
          <w:sz w:val="20"/>
          <w:szCs w:val="20"/>
          <w:color w:val="auto"/>
        </w:rPr>
        <w:t>No approval, consent, exemption, authorization, or other action by,</w:t>
      </w:r>
      <w:r>
        <w:rPr>
          <w:rFonts w:ascii="Arial" w:cs="Arial" w:eastAsia="Arial" w:hAnsi="Arial"/>
          <w:sz w:val="20"/>
          <w:szCs w:val="20"/>
          <w:b w:val="1"/>
          <w:bCs w:val="1"/>
          <w:color w:val="auto"/>
        </w:rPr>
        <w:t xml:space="preserve"> </w:t>
      </w:r>
      <w:r>
        <w:rPr>
          <w:rFonts w:ascii="Arial" w:cs="Arial" w:eastAsia="Arial" w:hAnsi="Arial"/>
          <w:sz w:val="20"/>
          <w:szCs w:val="20"/>
          <w:color w:val="auto"/>
        </w:rPr>
        <w:t>or notice to, or filing with, any Governmental Authority or any other Person is necessary or required in connection with the execution, delivery or performance by, or enforcement against, the Borrower of this Agreement or any other Loan Document.</w:t>
      </w:r>
    </w:p>
    <w:p>
      <w:pPr>
        <w:spacing w:after="0" w:line="178"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 xml:space="preserve">5.04 Binding Effect. </w:t>
      </w:r>
      <w:r>
        <w:rPr>
          <w:rFonts w:ascii="Arial" w:cs="Arial" w:eastAsia="Arial" w:hAnsi="Arial"/>
          <w:sz w:val="20"/>
          <w:szCs w:val="20"/>
          <w:color w:val="auto"/>
        </w:rPr>
        <w:t>This Agreement has been, and each other Loan Document, when delivered hereunder, will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and delivered by the Borrower.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7" w:name="page58"/>
    <w:bookmarkEnd w:id="57"/>
    <w:p>
      <w:pPr>
        <w:spacing w:after="0" w:line="260" w:lineRule="auto"/>
        <w:rPr>
          <w:sz w:val="20"/>
          <w:szCs w:val="20"/>
          <w:color w:val="auto"/>
        </w:rPr>
      </w:pPr>
      <w:r>
        <w:rPr>
          <w:rFonts w:ascii="Arial" w:cs="Arial" w:eastAsia="Arial" w:hAnsi="Arial"/>
          <w:sz w:val="20"/>
          <w:szCs w:val="20"/>
          <w:color w:val="auto"/>
        </w:rPr>
        <w:t>constitutes, and each other Loan Document when so delivered will constitute, a legal, valid and binding obligation of the Borrower, enforceable against the Borrower in accordance with its terms.</w:t>
      </w:r>
    </w:p>
    <w:p>
      <w:pPr>
        <w:spacing w:after="0" w:line="17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8"/>
          <w:szCs w:val="18"/>
          <w:b w:val="1"/>
          <w:bCs w:val="1"/>
          <w:color w:val="auto"/>
        </w:rPr>
        <w:t>Financial Statements; No Material Adverse Effect.</w:t>
      </w:r>
    </w:p>
    <w:p>
      <w:pPr>
        <w:spacing w:after="0" w:line="222" w:lineRule="exact"/>
        <w:rPr>
          <w:sz w:val="20"/>
          <w:szCs w:val="20"/>
          <w:color w:val="auto"/>
        </w:rPr>
      </w:pPr>
    </w:p>
    <w:p>
      <w:pPr>
        <w:jc w:val="both"/>
        <w:ind w:firstLine="885"/>
        <w:spacing w:after="0" w:line="260" w:lineRule="auto"/>
        <w:tabs>
          <w:tab w:leader="none" w:pos="17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w:t>
      </w:r>
    </w:p>
    <w:p>
      <w:pPr>
        <w:spacing w:after="0" w:line="180" w:lineRule="exact"/>
        <w:rPr>
          <w:rFonts w:ascii="Arial" w:cs="Arial" w:eastAsia="Arial" w:hAnsi="Arial"/>
          <w:sz w:val="19"/>
          <w:szCs w:val="19"/>
          <w:color w:val="auto"/>
        </w:rPr>
      </w:pPr>
    </w:p>
    <w:p>
      <w:pPr>
        <w:jc w:val="both"/>
        <w:ind w:firstLine="885"/>
        <w:spacing w:after="0" w:line="244" w:lineRule="auto"/>
        <w:tabs>
          <w:tab w:leader="none" w:pos="175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unaudited consolidated balance sheet of the Borrower and its Subsidiaries dated February 1, 2019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w:t>
      </w:r>
    </w:p>
    <w:p>
      <w:pPr>
        <w:spacing w:after="0" w:line="194" w:lineRule="exact"/>
        <w:rPr>
          <w:rFonts w:ascii="Arial" w:cs="Arial" w:eastAsia="Arial" w:hAnsi="Arial"/>
          <w:sz w:val="20"/>
          <w:szCs w:val="20"/>
          <w:color w:val="auto"/>
        </w:rPr>
      </w:pPr>
    </w:p>
    <w:p>
      <w:pPr>
        <w:ind w:firstLine="885"/>
        <w:spacing w:after="0" w:line="260" w:lineRule="auto"/>
        <w:tabs>
          <w:tab w:leader="none" w:pos="1745" w:val="left"/>
        </w:tabs>
        <w:numPr>
          <w:ilvl w:val="0"/>
          <w:numId w:val="69"/>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71"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b w:val="1"/>
          <w:bCs w:val="1"/>
          <w:color w:val="auto"/>
        </w:rPr>
        <w:t xml:space="preserve">5.06 Litigation. </w:t>
      </w:r>
      <w:r>
        <w:rPr>
          <w:rFonts w:ascii="Arial" w:cs="Arial" w:eastAsia="Arial" w:hAnsi="Arial"/>
          <w:sz w:val="18"/>
          <w:szCs w:val="18"/>
          <w:color w:val="auto"/>
        </w:rPr>
        <w:t>There are no actions, suits, proceedings, claims or disputes pending or, to the best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after due and diligent investigation, threatened or contemplated, at law, in equity, in arbitration or before any Governmental Authority, by or against the Borrower or any of its 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either individually or in the aggregate, if determined adversely, could reasonably be expected to have a Material Adverse Effect, and there has been no adverse change in the status, or financial effect on the Borrower or any Subsidiary, of the matters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5.06</w:t>
      </w:r>
      <w:r>
        <w:rPr>
          <w:rFonts w:ascii="Arial" w:cs="Arial" w:eastAsia="Arial" w:hAnsi="Arial"/>
          <w:sz w:val="18"/>
          <w:szCs w:val="18"/>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63"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 xml:space="preserve">5.07 No Default. </w:t>
      </w:r>
      <w:r>
        <w:rPr>
          <w:rFonts w:ascii="Arial" w:cs="Arial" w:eastAsia="Arial" w:hAnsi="Arial"/>
          <w:sz w:val="20"/>
          <w:szCs w:val="20"/>
          <w:color w:val="auto"/>
        </w:rPr>
        <w:t>Neither the Borrower nor any Subsidiary is in default under or with respect to any Contractual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that could, either individually or in the aggregate, reasonably be expected to have a Material Adverse Effect. No Default has occurred and is continuing or would result from the consummation of the transactions contemplated by this Agreement or any other Loan Document (including, without limitation, the Closing Date Transactions).</w:t>
      </w:r>
    </w:p>
    <w:p>
      <w:pPr>
        <w:spacing w:after="0" w:line="18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 xml:space="preserve">5.08 Ownership of Property; Liens. </w:t>
      </w:r>
      <w:r>
        <w:rPr>
          <w:rFonts w:ascii="Arial" w:cs="Arial" w:eastAsia="Arial" w:hAnsi="Arial"/>
          <w:sz w:val="20"/>
          <w:szCs w:val="20"/>
          <w:color w:val="auto"/>
        </w:rPr>
        <w:t>The Borrower and each of its Subsidiaries has good record and marketable title in fee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8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5.09 Environmental Compliance. </w:t>
      </w:r>
      <w:r>
        <w:rPr>
          <w:rFonts w:ascii="Arial" w:cs="Arial" w:eastAsia="Arial" w:hAnsi="Arial"/>
          <w:sz w:val="20"/>
          <w:szCs w:val="20"/>
          <w:color w:val="auto"/>
        </w:rPr>
        <w:t>The Borrower and its Subsidiaries conduct in the ordinary course of business a review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 of existing Environmental Laws and claims alleging potential liability or responsibility for violation of any Environmental Law on their respective businesses,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8" w:name="page59"/>
    <w:bookmarkEnd w:id="58"/>
    <w:p>
      <w:pPr>
        <w:jc w:val="both"/>
        <w:spacing w:after="0" w:line="323" w:lineRule="auto"/>
        <w:rPr>
          <w:sz w:val="20"/>
          <w:szCs w:val="20"/>
          <w:color w:val="auto"/>
        </w:rPr>
      </w:pPr>
      <w:r>
        <w:rPr>
          <w:rFonts w:ascii="Arial" w:cs="Arial" w:eastAsia="Arial" w:hAnsi="Arial"/>
          <w:sz w:val="18"/>
          <w:szCs w:val="18"/>
          <w:color w:val="auto"/>
        </w:rPr>
        <w:t>and properties, and as a result thereof the Borrower has reasonably concluded that</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specifically disclosed in </w:t>
      </w:r>
      <w:r>
        <w:rPr>
          <w:rFonts w:ascii="Arial" w:cs="Arial" w:eastAsia="Arial" w:hAnsi="Arial"/>
          <w:sz w:val="18"/>
          <w:szCs w:val="18"/>
          <w:u w:val="single" w:color="auto"/>
          <w:color w:val="auto"/>
        </w:rPr>
        <w:t>Schedule 5.09</w:t>
      </w:r>
      <w:r>
        <w:rPr>
          <w:rFonts w:ascii="Arial" w:cs="Arial" w:eastAsia="Arial" w:hAnsi="Arial"/>
          <w:sz w:val="18"/>
          <w:szCs w:val="18"/>
          <w:color w:val="auto"/>
        </w:rPr>
        <w:t>, such Environmental Laws and claims could not, individually or in the aggregate, reasonably be expected to have a Material Adverse Effect.</w:t>
      </w:r>
    </w:p>
    <w:p>
      <w:pPr>
        <w:spacing w:after="0" w:line="11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 xml:space="preserve">5.10 Insurance. </w:t>
      </w:r>
      <w:r>
        <w:rPr>
          <w:rFonts w:ascii="Arial" w:cs="Arial" w:eastAsia="Arial" w:hAnsi="Arial"/>
          <w:sz w:val="20"/>
          <w:szCs w:val="20"/>
          <w:color w:val="auto"/>
        </w:rPr>
        <w:t>Except as specifically disclosed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5.10</w:t>
      </w:r>
      <w:r>
        <w:rPr>
          <w:rFonts w:ascii="Arial" w:cs="Arial" w:eastAsia="Arial" w:hAnsi="Arial"/>
          <w:sz w:val="20"/>
          <w:szCs w:val="20"/>
          <w:color w:val="auto"/>
        </w:rPr>
        <w:t>, the properties of the Borrower and its Subsidiaries are</w:t>
      </w:r>
      <w:r>
        <w:rPr>
          <w:rFonts w:ascii="Arial" w:cs="Arial" w:eastAsia="Arial" w:hAnsi="Arial"/>
          <w:sz w:val="20"/>
          <w:szCs w:val="20"/>
          <w:b w:val="1"/>
          <w:bCs w:val="1"/>
          <w:color w:val="auto"/>
        </w:rPr>
        <w:t xml:space="preserve"> </w:t>
      </w:r>
      <w:r>
        <w:rPr>
          <w:rFonts w:ascii="Arial" w:cs="Arial" w:eastAsia="Arial" w:hAnsi="Arial"/>
          <w:sz w:val="20"/>
          <w:szCs w:val="20"/>
          <w:color w:val="auto"/>
        </w:rPr>
        <w:t>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8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b w:val="1"/>
          <w:bCs w:val="1"/>
          <w:color w:val="auto"/>
        </w:rPr>
        <w:t xml:space="preserve">5.11 Taxes. </w:t>
      </w:r>
      <w:r>
        <w:rPr>
          <w:rFonts w:ascii="Arial" w:cs="Arial" w:eastAsia="Arial" w:hAnsi="Arial"/>
          <w:sz w:val="20"/>
          <w:szCs w:val="20"/>
          <w:color w:val="auto"/>
        </w:rPr>
        <w:t>The Borrower and its Subsidiaries have filed all Federal, state and other material tax returns and reports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thereof is party to any tax sharing agreement.</w:t>
      </w:r>
    </w:p>
    <w:p>
      <w:pPr>
        <w:spacing w:after="0" w:line="18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ERISA Compliance.</w:t>
      </w:r>
    </w:p>
    <w:p>
      <w:pPr>
        <w:spacing w:after="0" w:line="222" w:lineRule="exact"/>
        <w:rPr>
          <w:sz w:val="20"/>
          <w:szCs w:val="20"/>
          <w:color w:val="auto"/>
        </w:rPr>
      </w:pPr>
    </w:p>
    <w:p>
      <w:pPr>
        <w:jc w:val="both"/>
        <w:ind w:firstLine="885"/>
        <w:spacing w:after="0" w:line="243" w:lineRule="auto"/>
        <w:tabs>
          <w:tab w:leader="none" w:pos="1745"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 nothing has occurred that would prevent or cause the loss of such tax-qualified status.</w:t>
      </w:r>
    </w:p>
    <w:p>
      <w:pPr>
        <w:spacing w:after="0" w:line="196" w:lineRule="exact"/>
        <w:rPr>
          <w:rFonts w:ascii="Arial" w:cs="Arial" w:eastAsia="Arial" w:hAnsi="Arial"/>
          <w:sz w:val="20"/>
          <w:szCs w:val="20"/>
          <w:color w:val="auto"/>
        </w:rPr>
      </w:pPr>
    </w:p>
    <w:p>
      <w:pPr>
        <w:jc w:val="both"/>
        <w:ind w:firstLine="885"/>
        <w:spacing w:after="0" w:line="246" w:lineRule="auto"/>
        <w:tabs>
          <w:tab w:leader="none" w:pos="1756"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1" w:lineRule="exact"/>
        <w:rPr>
          <w:rFonts w:ascii="Arial" w:cs="Arial" w:eastAsia="Arial" w:hAnsi="Arial"/>
          <w:sz w:val="20"/>
          <w:szCs w:val="20"/>
          <w:color w:val="auto"/>
        </w:rPr>
      </w:pPr>
    </w:p>
    <w:p>
      <w:pPr>
        <w:jc w:val="both"/>
        <w:ind w:firstLine="885"/>
        <w:spacing w:after="0" w:line="256" w:lineRule="auto"/>
        <w:tabs>
          <w:tab w:leader="none" w:pos="1745" w:val="left"/>
        </w:tabs>
        <w:numPr>
          <w:ilvl w:val="0"/>
          <w:numId w:val="70"/>
        </w:numPr>
        <w:rPr>
          <w:rFonts w:ascii="Arial" w:cs="Arial" w:eastAsia="Arial" w:hAnsi="Arial"/>
          <w:sz w:val="19"/>
          <w:szCs w:val="19"/>
          <w:color w:val="auto"/>
        </w:rPr>
      </w:pPr>
      <w:r>
        <w:rPr>
          <w:rFonts w:ascii="Arial" w:cs="Arial" w:eastAsia="Arial" w:hAnsi="Arial"/>
          <w:sz w:val="19"/>
          <w:szCs w:val="19"/>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and (v) neither the Borrower nor any ERISA Affiliate has engaged in a transaction that could be subject to Section 4069 or Section 4212(c) of ERISA.</w:t>
      </w:r>
    </w:p>
    <w:p>
      <w:pPr>
        <w:spacing w:after="0" w:line="175"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 xml:space="preserve">5.13 Subsidiaries; Equity Interests. </w:t>
      </w:r>
      <w:r>
        <w:rPr>
          <w:rFonts w:ascii="Arial" w:cs="Arial" w:eastAsia="Arial" w:hAnsi="Arial"/>
          <w:sz w:val="20"/>
          <w:szCs w:val="20"/>
          <w:color w:val="auto"/>
        </w:rPr>
        <w:t>As of the Effective Date, the Borrower has no Subsidiaries other than those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specifically disclosed in </w:t>
      </w:r>
      <w:r>
        <w:rPr>
          <w:rFonts w:ascii="Arial" w:cs="Arial" w:eastAsia="Arial" w:hAnsi="Arial"/>
          <w:sz w:val="20"/>
          <w:szCs w:val="20"/>
          <w:u w:val="single" w:color="auto"/>
          <w:color w:val="auto"/>
        </w:rPr>
        <w:t>Part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 and all of the outstanding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0"/>
          <w:szCs w:val="20"/>
          <w:color w:val="auto"/>
        </w:rPr>
        <w:t xml:space="preserve">Equity Interests in such Material Subsidiaries have been validly issued, are fully paid and nonassessable and are owned directly or indirectly by the Borrower (other than directors’ qualifying shares required by law) in the amounts specified on Part (a)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free and clear of all Liens. As of the Effective Date, the Borrower has no equity investments in any other corporation or entity other than those specifically disclosed in </w:t>
      </w:r>
      <w:r>
        <w:rPr>
          <w:rFonts w:ascii="Arial" w:cs="Arial" w:eastAsia="Arial" w:hAnsi="Arial"/>
          <w:sz w:val="20"/>
          <w:szCs w:val="20"/>
          <w:u w:val="single" w:color="auto"/>
          <w:color w:val="auto"/>
        </w:rPr>
        <w:t>Part (b)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w:t>
      </w:r>
    </w:p>
    <w:p>
      <w:pPr>
        <w:spacing w:after="0" w:line="18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Margin Regulations; Investment Company Act.</w:t>
      </w:r>
    </w:p>
    <w:p>
      <w:pPr>
        <w:spacing w:after="0" w:line="222" w:lineRule="exact"/>
        <w:rPr>
          <w:sz w:val="20"/>
          <w:szCs w:val="20"/>
          <w:color w:val="auto"/>
        </w:rPr>
      </w:pPr>
    </w:p>
    <w:p>
      <w:pPr>
        <w:jc w:val="both"/>
        <w:ind w:firstLine="885"/>
        <w:spacing w:after="0" w:line="243" w:lineRule="auto"/>
        <w:tabs>
          <w:tab w:leader="none" w:pos="1745"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the Borrowing not more than 25% of the value of the assets (either of the Borrower only or of the Borrower and its Subsidiaries on a consolidated basis) subject to the provisions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or subject to any restriction contained in any agreement or instrument between the Borrower and any Lender or any Affiliate of any Lender relating to Indebtedness will be margin stock.</w:t>
      </w:r>
    </w:p>
    <w:p>
      <w:pPr>
        <w:spacing w:after="0" w:line="196" w:lineRule="exact"/>
        <w:rPr>
          <w:rFonts w:ascii="Arial" w:cs="Arial" w:eastAsia="Arial" w:hAnsi="Arial"/>
          <w:sz w:val="20"/>
          <w:szCs w:val="20"/>
          <w:color w:val="auto"/>
        </w:rPr>
      </w:pPr>
    </w:p>
    <w:p>
      <w:pPr>
        <w:ind w:firstLine="885"/>
        <w:spacing w:after="0" w:line="260" w:lineRule="auto"/>
        <w:tabs>
          <w:tab w:leader="none" w:pos="1756"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None of the Borrower, any Person Controlling the Borrower, or any Subsidiary is or is required to be registered as an “investment company” under the Investment Company Act of 1940.</w:t>
      </w:r>
    </w:p>
    <w:p>
      <w:pPr>
        <w:spacing w:after="0" w:line="171"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b w:val="1"/>
          <w:bCs w:val="1"/>
          <w:color w:val="auto"/>
        </w:rPr>
        <w:t xml:space="preserve">5.15 Copyrights, Patents, Trademarks and Licenses, Etc. </w:t>
      </w:r>
      <w:r>
        <w:rPr>
          <w:rFonts w:ascii="Arial" w:cs="Arial" w:eastAsia="Arial" w:hAnsi="Arial"/>
          <w:sz w:val="19"/>
          <w:szCs w:val="19"/>
          <w:color w:val="auto"/>
        </w:rPr>
        <w:t>Each of the Borrower and its Subsidiaries own or are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have the right to use all of the patents, trademarks, service marks, trade names, copyrights, contractual franchises, authorizations and other rights that are reasonably necessary in the best business judgment of the Borrower for the operation of their respective businesses, without conflict with the rights of any other Person which could reasonably be expected to have a Material Adverse Effect. To the best knowledge of the Borrower, as of the date hereof, no slogan or other advertising device, product, process, method, substance, part or other material now employed, or now contemplated to be employed, by the Borrower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 proposed, which, in any case, could reasonably be expected to have a Material Adverse Effect.</w:t>
      </w:r>
    </w:p>
    <w:p>
      <w:pPr>
        <w:spacing w:after="0" w:line="177"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b w:val="1"/>
          <w:bCs w:val="1"/>
          <w:color w:val="auto"/>
        </w:rPr>
        <w:t xml:space="preserve">5.16 Disclosure. </w:t>
      </w:r>
      <w:r>
        <w:rPr>
          <w:rFonts w:ascii="Arial" w:cs="Arial" w:eastAsia="Arial" w:hAnsi="Arial"/>
          <w:sz w:val="19"/>
          <w:szCs w:val="19"/>
          <w:color w:val="auto"/>
        </w:rPr>
        <w:t>The Borrower has disclosed to the Administrative Agent and the Lenders all agreements, instruments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the Borrower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Borrower represents only that such information was prepared in good faith based upon assumptions believed to be reasonable at the time.</w:t>
      </w:r>
    </w:p>
    <w:p>
      <w:pPr>
        <w:spacing w:after="0" w:line="177"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b w:val="1"/>
          <w:bCs w:val="1"/>
          <w:color w:val="auto"/>
        </w:rPr>
        <w:t xml:space="preserve">5.17 Compliance with Laws. </w:t>
      </w:r>
      <w:r>
        <w:rPr>
          <w:rFonts w:ascii="Arial" w:cs="Arial" w:eastAsia="Arial" w:hAnsi="Arial"/>
          <w:sz w:val="18"/>
          <w:szCs w:val="18"/>
          <w:color w:val="auto"/>
        </w:rPr>
        <w:t>Each of the Borrower and its Subsidiaries are in compliance in all material respects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Laws and all orders, writs, injunctions and decrees applicable to it or to its properties, except in such instances in which</w:t>
      </w:r>
    </w:p>
    <w:p>
      <w:pPr>
        <w:spacing w:after="0" w:line="2" w:lineRule="exact"/>
        <w:rPr>
          <w:sz w:val="20"/>
          <w:szCs w:val="20"/>
          <w:color w:val="auto"/>
        </w:rPr>
      </w:pPr>
    </w:p>
    <w:p>
      <w:pPr>
        <w:jc w:val="both"/>
        <w:ind w:firstLine="8"/>
        <w:spacing w:after="0" w:line="241" w:lineRule="auto"/>
        <w:tabs>
          <w:tab w:leader="none" w:pos="311" w:val="left"/>
        </w:tabs>
        <w:numPr>
          <w:ilvl w:val="0"/>
          <w:numId w:val="72"/>
        </w:numPr>
        <w:rPr>
          <w:rFonts w:ascii="Arial" w:cs="Arial" w:eastAsia="Arial" w:hAnsi="Arial"/>
          <w:sz w:val="20"/>
          <w:szCs w:val="20"/>
          <w:color w:val="auto"/>
        </w:rPr>
      </w:pPr>
      <w:r>
        <w:rPr>
          <w:rFonts w:ascii="Arial" w:cs="Arial" w:eastAsia="Arial" w:hAnsi="Arial"/>
          <w:sz w:val="20"/>
          <w:szCs w:val="20"/>
          <w:color w:val="auto"/>
        </w:rPr>
        <w:t>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0" w:name="page61"/>
    <w:bookmarkEnd w:id="60"/>
    <w:p>
      <w:pPr>
        <w:jc w:val="both"/>
        <w:ind w:firstLine="877"/>
        <w:spacing w:after="0" w:line="267" w:lineRule="auto"/>
        <w:rPr>
          <w:sz w:val="20"/>
          <w:szCs w:val="20"/>
          <w:color w:val="auto"/>
        </w:rPr>
      </w:pPr>
      <w:r>
        <w:rPr>
          <w:rFonts w:ascii="Arial" w:cs="Arial" w:eastAsia="Arial" w:hAnsi="Arial"/>
          <w:sz w:val="20"/>
          <w:szCs w:val="20"/>
          <w:b w:val="1"/>
          <w:bCs w:val="1"/>
          <w:color w:val="auto"/>
        </w:rPr>
        <w:t xml:space="preserve">5.18 Taxpayer Identification Number; Other Identifying Information. </w:t>
      </w:r>
      <w:r>
        <w:rPr>
          <w:rFonts w:ascii="Arial" w:cs="Arial" w:eastAsia="Arial" w:hAnsi="Arial"/>
          <w:sz w:val="20"/>
          <w:szCs w:val="20"/>
          <w:color w:val="auto"/>
        </w:rPr>
        <w:t>The true and correct U.S. taxpayer identification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number of the Borrower is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w:t>
      </w:r>
    </w:p>
    <w:p>
      <w:pPr>
        <w:spacing w:after="0" w:line="16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5.19 OFAC. </w:t>
      </w:r>
      <w:r>
        <w:rPr>
          <w:rFonts w:ascii="Arial" w:cs="Arial" w:eastAsia="Arial" w:hAnsi="Arial"/>
          <w:sz w:val="20"/>
          <w:szCs w:val="20"/>
          <w:color w:val="auto"/>
        </w:rPr>
        <w:t>Neither the Borrower, nor any of its Subsidiaries, nor, to the knowledge of the Borrower and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any director, officer, employee, agent, affiliate or representative thereof, is an individual or entity currently the subject of any Sanctions, nor is the Borrower or any Subsidiary located, organized or resident in a Designated Jurisdiction.</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5.20 Anti-Corruption Laws. </w:t>
      </w:r>
      <w:r>
        <w:rPr>
          <w:rFonts w:ascii="Arial" w:cs="Arial" w:eastAsia="Arial" w:hAnsi="Arial"/>
          <w:sz w:val="20"/>
          <w:szCs w:val="20"/>
          <w:color w:val="auto"/>
        </w:rPr>
        <w:t>The Borrower and each of its Subsidiaries, to the knowledge of the Borrower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have used reasonable efforts to conduct their businesses in compliance with applicable anti-corruption laws, and have instituted and maintained policies and procedures designed to promote and achieve compliance with such laws.</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5.21 Beneficial Ownership. </w:t>
      </w:r>
      <w:r>
        <w:rPr>
          <w:rFonts w:ascii="Arial" w:cs="Arial" w:eastAsia="Arial" w:hAnsi="Arial"/>
          <w:sz w:val="20"/>
          <w:szCs w:val="20"/>
          <w:color w:val="auto"/>
        </w:rPr>
        <w:t>The information included in the Beneficial Ownership Certification, if applicable, provided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on or prior to the Effective Date, as updated from time to time in accordance with this Agreement, is true, complete and correct in all respects as of the Effective Date and as of the date any such update is delivered.</w:t>
      </w:r>
    </w:p>
    <w:p>
      <w:pPr>
        <w:spacing w:after="0" w:line="178"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b w:val="1"/>
          <w:bCs w:val="1"/>
          <w:color w:val="auto"/>
        </w:rPr>
        <w:t xml:space="preserve">5.22 Solvency. </w:t>
      </w:r>
      <w:r>
        <w:rPr>
          <w:rFonts w:ascii="Arial" w:cs="Arial" w:eastAsia="Arial" w:hAnsi="Arial"/>
          <w:sz w:val="18"/>
          <w:szCs w:val="18"/>
          <w:color w:val="auto"/>
        </w:rPr>
        <w:t>As of the Closing Date, immediately after giving effect to the consummation of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 the fair value of the assets of the Borrower and its Subsidiaries on a consolidated basis is greater than the total amount of liabilities, including contingent liabilities, of the Borrower and its Subsidiaries on a consolidated basis, (b) the present fair salable value of the assets of the Borrower and its Subsidiaries on a consolidated basis is not less than the amount that will be required to pay the probable liability of the Borrower and its Subsidiaries on a consolidated basis on their debts as they become absolute and matured, (c) the Borrower and its Subsidiaries will be able to pay their debts and liabilities, contingent obligations and other commitments as they mature in the ordinary course of business, (d) neither the Borrower nor any of its Subsidiaries is engaged in business or a transaction, or is about to engage in business or a transaction, for which its property would constitute an unreasonably small capital and (e) the Borrower does not intend to, and the Borrower does not believe that it or any of its Subsidiaries will, incur debts or liabilities beyond its ability to pay such debts and liabilities as they mature.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0"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 xml:space="preserve">So long as any Lender shall have any Commitment hereunder or any Loan or other Obligation hereunder shall remain unpaid or unsatisfied,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Subsidiary to:</w:t>
      </w:r>
    </w:p>
    <w:p>
      <w:pPr>
        <w:spacing w:after="0" w:line="18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Deliver to the Administrative Agent and each Lender, in form and detail satisfactory to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Required Lenders:</w:t>
      </w:r>
    </w:p>
    <w:p>
      <w:pPr>
        <w:spacing w:after="0" w:line="200" w:lineRule="exact"/>
        <w:rPr>
          <w:sz w:val="20"/>
          <w:szCs w:val="20"/>
          <w:color w:val="auto"/>
        </w:rPr>
      </w:pPr>
    </w:p>
    <w:p>
      <w:pPr>
        <w:jc w:val="both"/>
        <w:ind w:firstLine="885"/>
        <w:spacing w:after="0" w:line="274" w:lineRule="auto"/>
        <w:tabs>
          <w:tab w:leader="none" w:pos="17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soon as available, but in any event within 120 days after the end of each fiscal year of the Borrower,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both"/>
        <w:ind w:firstLine="885"/>
        <w:spacing w:after="0" w:line="274" w:lineRule="auto"/>
        <w:tabs>
          <w:tab w:leader="none" w:pos="17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soon as available, but in any event within 50 days after the end of each of the first three fiscal quarters of each fiscal year of the Borrower, a consolidated balance sheet of the Borrower and its Subsidiaries as at the end of such fiscal quarter, and the related consolidated statements of income or operations, stockholders’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the Borrower as fairly presenting the financial condition, results of operations, stockholders’ equity and cash flows of the Borrower and its Subsidiaries in accordance with GAAP, subject only to normal year-end audit adjustments and the absence of footnotes.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the Borrower shall not be separately required to furnish such information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 foregoing shall not be in derogation of the obligation of the Borrower to furnish the information and materials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80"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 xml:space="preserve">6.02 Certificates; Other Information. </w:t>
      </w:r>
      <w:r>
        <w:rPr>
          <w:rFonts w:ascii="Arial" w:cs="Arial" w:eastAsia="Arial" w:hAnsi="Arial"/>
          <w:sz w:val="20"/>
          <w:szCs w:val="20"/>
          <w:color w:val="auto"/>
        </w:rPr>
        <w:t>Deliver to the Administrative Agent and each Lender, in form and detail satisfactory</w:t>
      </w:r>
      <w:r>
        <w:rPr>
          <w:rFonts w:ascii="Arial" w:cs="Arial" w:eastAsia="Arial" w:hAnsi="Arial"/>
          <w:sz w:val="20"/>
          <w:szCs w:val="20"/>
          <w:b w:val="1"/>
          <w:bCs w:val="1"/>
          <w:color w:val="auto"/>
        </w:rPr>
        <w:t xml:space="preserve"> </w:t>
      </w:r>
      <w:r>
        <w:rPr>
          <w:rFonts w:ascii="Arial" w:cs="Arial" w:eastAsia="Arial" w:hAnsi="Arial"/>
          <w:sz w:val="20"/>
          <w:szCs w:val="20"/>
          <w:color w:val="auto"/>
        </w:rPr>
        <w:t>to the Administrative Agent and the Required Lenders:</w:t>
      </w:r>
    </w:p>
    <w:p>
      <w:pPr>
        <w:spacing w:after="0" w:line="170" w:lineRule="exact"/>
        <w:rPr>
          <w:sz w:val="20"/>
          <w:szCs w:val="20"/>
          <w:color w:val="auto"/>
        </w:rPr>
      </w:pPr>
    </w:p>
    <w:p>
      <w:pPr>
        <w:ind w:right="20" w:firstLine="885"/>
        <w:spacing w:after="0" w:line="260" w:lineRule="auto"/>
        <w:tabs>
          <w:tab w:leader="none" w:pos="1745"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duly completed Compliance Certificate signed by a Responsible Officer of the Borrower;</w:t>
      </w:r>
    </w:p>
    <w:p>
      <w:pPr>
        <w:spacing w:after="0" w:line="176" w:lineRule="exact"/>
        <w:rPr>
          <w:rFonts w:ascii="Arial" w:cs="Arial" w:eastAsia="Arial" w:hAnsi="Arial"/>
          <w:sz w:val="20"/>
          <w:szCs w:val="20"/>
          <w:color w:val="auto"/>
        </w:rPr>
      </w:pPr>
    </w:p>
    <w:p>
      <w:pPr>
        <w:jc w:val="both"/>
        <w:ind w:firstLine="885"/>
        <w:spacing w:after="0" w:line="291" w:lineRule="auto"/>
        <w:tabs>
          <w:tab w:leader="none" w:pos="17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151" w:lineRule="exact"/>
        <w:rPr>
          <w:rFonts w:ascii="Arial" w:cs="Arial" w:eastAsia="Arial" w:hAnsi="Arial"/>
          <w:sz w:val="18"/>
          <w:szCs w:val="18"/>
          <w:color w:val="auto"/>
        </w:rPr>
      </w:pPr>
    </w:p>
    <w:p>
      <w:pPr>
        <w:jc w:val="both"/>
        <w:ind w:firstLine="885"/>
        <w:spacing w:after="0" w:line="246" w:lineRule="auto"/>
        <w:tabs>
          <w:tab w:leader="none" w:pos="1745"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Exchange Act, and not otherwise required to be delivered to the Administrative Agent pursuant hereto;</w:t>
      </w:r>
    </w:p>
    <w:p>
      <w:pPr>
        <w:spacing w:after="0" w:line="191" w:lineRule="exact"/>
        <w:rPr>
          <w:rFonts w:ascii="Arial" w:cs="Arial" w:eastAsia="Arial" w:hAnsi="Arial"/>
          <w:sz w:val="20"/>
          <w:szCs w:val="20"/>
          <w:color w:val="auto"/>
        </w:rPr>
      </w:pPr>
    </w:p>
    <w:p>
      <w:pPr>
        <w:ind w:firstLine="885"/>
        <w:spacing w:after="0" w:line="260" w:lineRule="auto"/>
        <w:tabs>
          <w:tab w:leader="none" w:pos="17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concurrently with the closing of a Receivables Purchase Facility, a copy of the documentation related thereto certified by a Responsible Officer as being true, correct and complete;</w:t>
      </w:r>
    </w:p>
    <w:p>
      <w:pPr>
        <w:spacing w:after="0" w:line="176" w:lineRule="exact"/>
        <w:rPr>
          <w:rFonts w:ascii="Arial" w:cs="Arial" w:eastAsia="Arial" w:hAnsi="Arial"/>
          <w:sz w:val="20"/>
          <w:szCs w:val="20"/>
          <w:color w:val="auto"/>
        </w:rPr>
      </w:pPr>
    </w:p>
    <w:p>
      <w:pPr>
        <w:jc w:val="both"/>
        <w:ind w:firstLine="885"/>
        <w:spacing w:after="0" w:line="244" w:lineRule="auto"/>
        <w:tabs>
          <w:tab w:leader="none" w:pos="1745" w:val="left"/>
        </w:tabs>
        <w:numPr>
          <w:ilvl w:val="0"/>
          <w:numId w:val="75"/>
        </w:numPr>
        <w:rPr>
          <w:rFonts w:ascii="Arial" w:cs="Arial" w:eastAsia="Arial" w:hAnsi="Arial"/>
          <w:sz w:val="20"/>
          <w:szCs w:val="20"/>
          <w:color w:val="auto"/>
        </w:rPr>
      </w:pPr>
      <w:r>
        <w:rPr>
          <w:rFonts w:ascii="Arial" w:cs="Arial" w:eastAsia="Arial" w:hAnsi="Arial"/>
          <w:sz w:val="20"/>
          <w:szCs w:val="20"/>
          <w:color w:val="auto"/>
        </w:rPr>
        <w:t>so long as it is not precluded from doing so by the rules of the SEC or other comparable agency, promptly, and in any event within five Business Days after receipt thereof by the Borrower or any Subsidiary,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the Borrower or any Subsidiary;</w:t>
      </w:r>
    </w:p>
    <w:p>
      <w:pPr>
        <w:spacing w:after="0" w:line="194" w:lineRule="exact"/>
        <w:rPr>
          <w:rFonts w:ascii="Arial" w:cs="Arial" w:eastAsia="Arial" w:hAnsi="Arial"/>
          <w:sz w:val="20"/>
          <w:szCs w:val="20"/>
          <w:color w:val="auto"/>
        </w:rPr>
      </w:pPr>
    </w:p>
    <w:p>
      <w:pPr>
        <w:jc w:val="both"/>
        <w:ind w:firstLine="885"/>
        <w:spacing w:after="0" w:line="250" w:lineRule="auto"/>
        <w:tabs>
          <w:tab w:leader="none" w:pos="1723"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w:t>
      </w:r>
    </w:p>
    <w:p>
      <w:pPr>
        <w:spacing w:after="0" w:line="186" w:lineRule="exact"/>
        <w:rPr>
          <w:rFonts w:ascii="Arial" w:cs="Arial" w:eastAsia="Arial" w:hAnsi="Arial"/>
          <w:sz w:val="20"/>
          <w:szCs w:val="20"/>
          <w:color w:val="auto"/>
        </w:rPr>
      </w:pPr>
    </w:p>
    <w:p>
      <w:pPr>
        <w:jc w:val="both"/>
        <w:ind w:firstLine="885"/>
        <w:spacing w:after="0" w:line="250" w:lineRule="auto"/>
        <w:tabs>
          <w:tab w:leader="none" w:pos="17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the Borrower or any Subsidiary, or compliance with the terms of the Loan Documents, as the Administrative Agent or any Lender may from time to time reasonably request.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2" w:name="page63"/>
    <w:bookmarkEnd w:id="62"/>
    <w:p>
      <w:pPr>
        <w:jc w:val="both"/>
        <w:ind w:firstLine="877"/>
        <w:spacing w:after="0" w:line="271"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75"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9"/>
          <w:szCs w:val="19"/>
          <w:color w:val="auto"/>
        </w:rPr>
        <w:t>The Borrower hereby acknowledges that (a) the Administrative Agent and/or the Arrangers will make available to the Lenders materials and/or information provided by or on behalf of the Borrower hereunder (collectively, “Borrower Materials”) by posting the Borrower Materials on IntraLinks, Syndtrak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10.07</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8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8"/>
          <w:szCs w:val="18"/>
          <w:b w:val="1"/>
          <w:bCs w:val="1"/>
          <w:color w:val="auto"/>
        </w:rPr>
        <w:t xml:space="preserve">Notices. </w:t>
      </w:r>
      <w:r>
        <w:rPr>
          <w:rFonts w:ascii="Arial" w:cs="Arial" w:eastAsia="Arial" w:hAnsi="Arial"/>
          <w:sz w:val="18"/>
          <w:szCs w:val="18"/>
          <w:color w:val="auto"/>
        </w:rPr>
        <w:t>Promptly notify the Administrative Agent and each Lender:</w:t>
      </w:r>
    </w:p>
    <w:p>
      <w:pPr>
        <w:spacing w:after="0" w:line="222" w:lineRule="exact"/>
        <w:rPr>
          <w:sz w:val="20"/>
          <w:szCs w:val="20"/>
          <w:color w:val="auto"/>
        </w:rPr>
      </w:pPr>
    </w:p>
    <w:p>
      <w:pPr>
        <w:ind w:firstLine="885"/>
        <w:spacing w:after="0" w:line="260" w:lineRule="auto"/>
        <w:tabs>
          <w:tab w:leader="none" w:pos="1745" w:val="left"/>
        </w:tabs>
        <w:numPr>
          <w:ilvl w:val="0"/>
          <w:numId w:val="76"/>
        </w:numPr>
        <w:rPr>
          <w:rFonts w:ascii="Arial" w:cs="Arial" w:eastAsia="Arial" w:hAnsi="Arial"/>
          <w:sz w:val="20"/>
          <w:szCs w:val="20"/>
          <w:color w:val="auto"/>
        </w:rPr>
      </w:pPr>
      <w:r>
        <w:rPr>
          <w:rFonts w:ascii="Arial" w:cs="Arial" w:eastAsia="Arial" w:hAnsi="Arial"/>
          <w:sz w:val="20"/>
          <w:szCs w:val="20"/>
          <w:color w:val="auto"/>
        </w:rPr>
        <w:t>of the occurrence of any Default or Event of Default, and of the occurrence or existence of any event or circumstance that foreseeably will become a Default or Event of Default;</w:t>
      </w:r>
    </w:p>
    <w:p>
      <w:pPr>
        <w:spacing w:after="0" w:line="176" w:lineRule="exact"/>
        <w:rPr>
          <w:rFonts w:ascii="Arial" w:cs="Arial" w:eastAsia="Arial" w:hAnsi="Arial"/>
          <w:sz w:val="20"/>
          <w:szCs w:val="20"/>
          <w:color w:val="auto"/>
        </w:rPr>
      </w:pPr>
    </w:p>
    <w:p>
      <w:pPr>
        <w:jc w:val="both"/>
        <w:ind w:firstLine="885"/>
        <w:spacing w:after="0" w:line="242" w:lineRule="auto"/>
        <w:tabs>
          <w:tab w:leader="none" w:pos="1756"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of any matter that has resulted or could reasonably be expected to result in a Material Adverse Effect, including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 in each case under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which (A) is reasonably likely to create liability to the Borrower in excess of $75,000,000 in any individual circumstance or in excess of $125,000,000 in the aggregate for all such circumstances, or (B) is otherwise reasonably likely to have a Material Adverse Effect and (iv) other matter that has resulted or is reasonably likely to result in a Material Adverse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3" w:name="page64"/>
    <w:bookmarkEnd w:id="63"/>
    <w:p>
      <w:pPr>
        <w:jc w:val="both"/>
        <w:ind w:firstLine="885"/>
        <w:spacing w:after="0" w:line="246" w:lineRule="auto"/>
        <w:tabs>
          <w:tab w:leader="none" w:pos="1745" w:val="left"/>
        </w:tabs>
        <w:numPr>
          <w:ilvl w:val="0"/>
          <w:numId w:val="77"/>
        </w:numPr>
        <w:rPr>
          <w:rFonts w:ascii="Arial" w:cs="Arial" w:eastAsia="Arial" w:hAnsi="Arial"/>
          <w:sz w:val="20"/>
          <w:szCs w:val="20"/>
          <w:color w:val="auto"/>
        </w:rPr>
      </w:pPr>
      <w:r>
        <w:rPr>
          <w:rFonts w:ascii="Arial" w:cs="Arial" w:eastAsia="Arial" w:hAnsi="Arial"/>
          <w:sz w:val="20"/>
          <w:szCs w:val="20"/>
          <w:color w:val="auto"/>
        </w:rPr>
        <w:t>of the occurrence of any of the following events affecting the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the Borrower or any ERISA Affiliate with respect to such event:</w:t>
      </w:r>
    </w:p>
    <w:p>
      <w:pPr>
        <w:spacing w:after="0" w:line="191" w:lineRule="exact"/>
        <w:rPr>
          <w:rFonts w:ascii="Arial" w:cs="Arial" w:eastAsia="Arial" w:hAnsi="Arial"/>
          <w:sz w:val="20"/>
          <w:szCs w:val="20"/>
          <w:color w:val="auto"/>
        </w:rPr>
      </w:pPr>
    </w:p>
    <w:p>
      <w:pPr>
        <w:ind w:left="2540" w:hanging="844"/>
        <w:spacing w:after="0"/>
        <w:tabs>
          <w:tab w:leader="none" w:pos="254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 ERISA Event;</w:t>
      </w:r>
    </w:p>
    <w:p>
      <w:pPr>
        <w:spacing w:after="0" w:line="215" w:lineRule="exact"/>
        <w:rPr>
          <w:rFonts w:ascii="Arial" w:cs="Arial" w:eastAsia="Arial" w:hAnsi="Arial"/>
          <w:sz w:val="20"/>
          <w:szCs w:val="20"/>
          <w:color w:val="auto"/>
        </w:rPr>
      </w:pPr>
    </w:p>
    <w:p>
      <w:pPr>
        <w:ind w:left="2580" w:hanging="884"/>
        <w:spacing w:after="0"/>
        <w:tabs>
          <w:tab w:leader="none" w:pos="258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 material increase in the Unfunded Pension Liability of any Pension Plan;</w:t>
      </w:r>
    </w:p>
    <w:p>
      <w:pPr>
        <w:spacing w:after="0" w:line="215" w:lineRule="exact"/>
        <w:rPr>
          <w:rFonts w:ascii="Arial" w:cs="Arial" w:eastAsia="Arial" w:hAnsi="Arial"/>
          <w:sz w:val="20"/>
          <w:szCs w:val="20"/>
          <w:color w:val="auto"/>
        </w:rPr>
      </w:pPr>
    </w:p>
    <w:p>
      <w:pPr>
        <w:ind w:left="880" w:firstLine="816"/>
        <w:spacing w:after="0" w:line="260" w:lineRule="auto"/>
        <w:tabs>
          <w:tab w:leader="none" w:pos="2635"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adoption of, or the commencement of contributions to, any Plan subject to Section 412 of the Code by the Borrower or any ERISA Affiliate; or</w:t>
      </w:r>
    </w:p>
    <w:p>
      <w:pPr>
        <w:spacing w:after="0" w:line="176" w:lineRule="exact"/>
        <w:rPr>
          <w:rFonts w:ascii="Arial" w:cs="Arial" w:eastAsia="Arial" w:hAnsi="Arial"/>
          <w:sz w:val="20"/>
          <w:szCs w:val="20"/>
          <w:color w:val="auto"/>
        </w:rPr>
      </w:pPr>
    </w:p>
    <w:p>
      <w:pPr>
        <w:ind w:left="880" w:right="20" w:firstLine="816"/>
        <w:spacing w:after="0" w:line="260" w:lineRule="auto"/>
        <w:tabs>
          <w:tab w:leader="none" w:pos="2624"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adoption of any amendment to a Plan subject to Section 412 of the Code, if such amendment results in a material increase in contributions or Unfunded Pension Liability;</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756"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of any material change in accounting policies or financial reporting practices by the Borrower or any of its consolidated Subsidiaries not reflected in periodic reports filed by the Borrower with the SEC, including any determination by the Borrower referred to in </w:t>
      </w:r>
      <w:r>
        <w:rPr>
          <w:rFonts w:ascii="Arial" w:cs="Arial" w:eastAsia="Arial" w:hAnsi="Arial"/>
          <w:sz w:val="20"/>
          <w:szCs w:val="20"/>
          <w:u w:val="single" w:color="auto"/>
          <w:color w:val="auto"/>
        </w:rPr>
        <w:t>Section 2.08(b)</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760" w:hanging="875"/>
        <w:spacing w:after="0"/>
        <w:tabs>
          <w:tab w:leader="none" w:pos="17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of any announcement by Moody’s or S&amp;P of any change in a Debt Rating; and</w:t>
      </w:r>
    </w:p>
    <w:p>
      <w:pPr>
        <w:spacing w:after="0" w:line="215" w:lineRule="exact"/>
        <w:rPr>
          <w:rFonts w:ascii="Arial" w:cs="Arial" w:eastAsia="Arial" w:hAnsi="Arial"/>
          <w:sz w:val="20"/>
          <w:szCs w:val="20"/>
          <w:color w:val="auto"/>
        </w:rPr>
      </w:pPr>
    </w:p>
    <w:p>
      <w:pPr>
        <w:ind w:firstLine="885"/>
        <w:spacing w:after="0" w:line="260" w:lineRule="auto"/>
        <w:tabs>
          <w:tab w:leader="none" w:pos="1723" w:val="left"/>
        </w:tabs>
        <w:numPr>
          <w:ilvl w:val="0"/>
          <w:numId w:val="77"/>
        </w:numPr>
        <w:rPr>
          <w:rFonts w:ascii="Arial" w:cs="Arial" w:eastAsia="Arial" w:hAnsi="Arial"/>
          <w:sz w:val="20"/>
          <w:szCs w:val="20"/>
          <w:color w:val="auto"/>
        </w:rPr>
      </w:pPr>
      <w:r>
        <w:rPr>
          <w:rFonts w:ascii="Arial" w:cs="Arial" w:eastAsia="Arial" w:hAnsi="Arial"/>
          <w:sz w:val="20"/>
          <w:szCs w:val="20"/>
          <w:color w:val="auto"/>
        </w:rPr>
        <w:t>of any change in the information provided in the Beneficial Ownership Certification that would result in a change to the list of beneficial owners identified in such certification.</w:t>
      </w:r>
    </w:p>
    <w:p>
      <w:pPr>
        <w:spacing w:after="0" w:line="177"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6.03(e</w:t>
      </w:r>
      <w:r>
        <w:rPr>
          <w:rFonts w:ascii="Arial" w:cs="Arial" w:eastAsia="Arial" w:hAnsi="Arial"/>
          <w:sz w:val="19"/>
          <w:szCs w:val="19"/>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particularity any and all provisions of this Agreement and any other Loan Document that have been or foreseeably will be breached or violated.</w:t>
      </w:r>
    </w:p>
    <w:p>
      <w:pPr>
        <w:spacing w:after="0" w:line="171"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 xml:space="preserve">6.04 Anti-Corruption Laws; Sanctions. </w:t>
      </w:r>
      <w:r>
        <w:rPr>
          <w:rFonts w:ascii="Arial" w:cs="Arial" w:eastAsia="Arial" w:hAnsi="Arial"/>
          <w:sz w:val="20"/>
          <w:szCs w:val="20"/>
          <w:color w:val="auto"/>
        </w:rPr>
        <w:t>Use reasonable efforts to conduct its business in compliance with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84"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8"/>
          <w:szCs w:val="18"/>
          <w:b w:val="1"/>
          <w:bCs w:val="1"/>
          <w:color w:val="auto"/>
        </w:rPr>
        <w:t xml:space="preserve">6.05 Preservation of Existence, Etc. </w:t>
      </w:r>
      <w:r>
        <w:rPr>
          <w:rFonts w:ascii="Arial" w:cs="Arial" w:eastAsia="Arial" w:hAnsi="Arial"/>
          <w:sz w:val="18"/>
          <w:szCs w:val="18"/>
          <w:color w:val="auto"/>
        </w:rPr>
        <w:t>(a) Preserve, renew and maintain in full force and effect its legal existence and good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standing under the Laws of the jurisdiction of its organization except in a transaction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 of the foregoing, the Borrower shall be permitted to liquidate any Subsidiary into the Borrower or another Subsidiary in accordance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thereafter dissolve such Subsidiary.</w:t>
      </w:r>
    </w:p>
    <w:p>
      <w:pPr>
        <w:spacing w:after="0" w:line="163"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6.06 Maintenance of Properties. </w:t>
      </w:r>
      <w:r>
        <w:rPr>
          <w:rFonts w:ascii="Arial" w:cs="Arial" w:eastAsia="Arial" w:hAnsi="Arial"/>
          <w:sz w:val="20"/>
          <w:szCs w:val="20"/>
          <w:color w:val="auto"/>
        </w:rPr>
        <w:t>Exercise its best business judgment to maintain and preserve all its property which is used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useful in its business in good working order and condition, ordinary wear and tear excepted;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6.06</w:t>
      </w:r>
      <w:r>
        <w:rPr>
          <w:rFonts w:ascii="Arial" w:cs="Arial" w:eastAsia="Arial" w:hAnsi="Arial"/>
          <w:sz w:val="20"/>
          <w:szCs w:val="20"/>
          <w:color w:val="auto"/>
        </w:rPr>
        <w:t xml:space="preserve"> shall prevent the Borrower or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20"/>
          <w:szCs w:val="20"/>
          <w:color w:val="auto"/>
        </w:rPr>
        <w:t>Subsidiary from discontinuing the operation or maintenance of any such property if such discontinuance will not result in a Material Adverse Effect.</w:t>
      </w:r>
    </w:p>
    <w:p>
      <w:pPr>
        <w:spacing w:after="0" w:line="171"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b w:val="1"/>
          <w:bCs w:val="1"/>
          <w:color w:val="auto"/>
        </w:rPr>
        <w:t xml:space="preserve">6.07 Maintenance of Insurance. </w:t>
      </w:r>
      <w:r>
        <w:rPr>
          <w:rFonts w:ascii="Arial" w:cs="Arial" w:eastAsia="Arial" w:hAnsi="Arial"/>
          <w:sz w:val="19"/>
          <w:szCs w:val="19"/>
          <w:color w:val="auto"/>
        </w:rPr>
        <w:t>Maintain with financially sound and reputable insurers, insurance with respect to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properties and business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shall be deemed to prevent the Borrower or its Subsidiaries from self-insuring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173"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b w:val="1"/>
          <w:bCs w:val="1"/>
          <w:color w:val="auto"/>
        </w:rPr>
        <w:t xml:space="preserve">6.08 Compliance with Laws and Contractual Obligations. </w:t>
      </w:r>
      <w:r>
        <w:rPr>
          <w:rFonts w:ascii="Arial" w:cs="Arial" w:eastAsia="Arial" w:hAnsi="Arial"/>
          <w:sz w:val="20"/>
          <w:szCs w:val="20"/>
          <w:color w:val="auto"/>
        </w:rPr>
        <w:t>Comply, and cause each Subsidiary to comply,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85"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6.09 Books and Records. </w:t>
      </w:r>
      <w:r>
        <w:rPr>
          <w:rFonts w:ascii="Arial" w:cs="Arial" w:eastAsia="Arial" w:hAnsi="Arial"/>
          <w:sz w:val="20"/>
          <w:szCs w:val="20"/>
          <w:color w:val="auto"/>
        </w:rPr>
        <w:t>Maintain proper books of record and account, in which full, true and correct entries in conformity</w:t>
      </w:r>
      <w:r>
        <w:rPr>
          <w:rFonts w:ascii="Arial" w:cs="Arial" w:eastAsia="Arial" w:hAnsi="Arial"/>
          <w:sz w:val="20"/>
          <w:szCs w:val="20"/>
          <w:b w:val="1"/>
          <w:bCs w:val="1"/>
          <w:color w:val="auto"/>
        </w:rPr>
        <w:t xml:space="preserve"> </w:t>
      </w:r>
      <w:r>
        <w:rPr>
          <w:rFonts w:ascii="Arial" w:cs="Arial" w:eastAsia="Arial" w:hAnsi="Arial"/>
          <w:sz w:val="20"/>
          <w:szCs w:val="20"/>
          <w:color w:val="auto"/>
        </w:rPr>
        <w:t>with GAAP consistently applied shall be made of all financial transactions and matters involving the assets and business of the Borrower or such Subsidiary, as the case may be.</w:t>
      </w:r>
    </w:p>
    <w:p>
      <w:pPr>
        <w:spacing w:after="0" w:line="178"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b w:val="1"/>
          <w:bCs w:val="1"/>
          <w:color w:val="auto"/>
        </w:rPr>
        <w:t xml:space="preserve">6.10 Inspection Rights. </w:t>
      </w:r>
      <w:r>
        <w:rPr>
          <w:rFonts w:ascii="Arial" w:cs="Arial" w:eastAsia="Arial" w:hAnsi="Arial"/>
          <w:sz w:val="19"/>
          <w:szCs w:val="19"/>
          <w:color w:val="auto"/>
        </w:rPr>
        <w:t>Permit representatives and independent contractors of the Administrative Agent and each Lender to</w:t>
      </w:r>
      <w:r>
        <w:rPr>
          <w:rFonts w:ascii="Arial" w:cs="Arial" w:eastAsia="Arial" w:hAnsi="Arial"/>
          <w:sz w:val="19"/>
          <w:szCs w:val="19"/>
          <w:b w:val="1"/>
          <w:bCs w:val="1"/>
          <w:color w:val="auto"/>
        </w:rPr>
        <w:t xml:space="preserve"> </w:t>
      </w:r>
      <w:r>
        <w:rPr>
          <w:rFonts w:ascii="Arial" w:cs="Arial" w:eastAsia="Arial" w:hAnsi="Arial"/>
          <w:sz w:val="19"/>
          <w:szCs w:val="19"/>
          <w:color w:val="auto"/>
        </w:rPr>
        <w:t>visit and 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the Borrower; provided, however,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73"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 xml:space="preserve">6.11 Use of Proceeds. </w:t>
      </w:r>
      <w:r>
        <w:rPr>
          <w:rFonts w:ascii="Arial" w:cs="Arial" w:eastAsia="Arial" w:hAnsi="Arial"/>
          <w:sz w:val="20"/>
          <w:szCs w:val="20"/>
          <w:color w:val="auto"/>
        </w:rPr>
        <w:t>The Borrower shall use the proceeds of the Loans to finance the Closing Date Acquisition,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costs, fees and expenses related to the Closing Date Transactions and for general corporate purposes.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So long as any Lender shall have any Commitment hereunder, or any Loan or other Obligation shall remain unpaid or unsatisfied, unless the Required Lenders waive compliance in writing:</w:t>
      </w:r>
    </w:p>
    <w:p>
      <w:pPr>
        <w:spacing w:after="0" w:line="18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7.01 Limitation on Liens</w:t>
      </w:r>
      <w:r>
        <w:rPr>
          <w:rFonts w:ascii="Arial" w:cs="Arial" w:eastAsia="Arial" w:hAnsi="Arial"/>
          <w:sz w:val="20"/>
          <w:szCs w:val="20"/>
          <w:color w:val="auto"/>
        </w:rPr>
        <w:t>. The Borrower shall not, nor shall it permit any Subsidiary to, directly or indirectly, make, create,</w:t>
      </w:r>
      <w:r>
        <w:rPr>
          <w:rFonts w:ascii="Arial" w:cs="Arial" w:eastAsia="Arial" w:hAnsi="Arial"/>
          <w:sz w:val="20"/>
          <w:szCs w:val="20"/>
          <w:b w:val="1"/>
          <w:bCs w:val="1"/>
          <w:color w:val="auto"/>
        </w:rPr>
        <w:t xml:space="preserve"> </w:t>
      </w:r>
      <w:r>
        <w:rPr>
          <w:rFonts w:ascii="Arial" w:cs="Arial" w:eastAsia="Arial" w:hAnsi="Arial"/>
          <w:sz w:val="20"/>
          <w:szCs w:val="20"/>
          <w:color w:val="auto"/>
        </w:rPr>
        <w:t>incur, assume or suffer to exist any Lien upon or with respect to any part of their respective property, whether now owned or hereafter acquired, other than the following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97" w:lineRule="exact"/>
        <w:rPr>
          <w:sz w:val="20"/>
          <w:szCs w:val="20"/>
          <w:color w:val="auto"/>
        </w:rPr>
      </w:pPr>
    </w:p>
    <w:p>
      <w:pPr>
        <w:ind w:firstLine="885"/>
        <w:spacing w:after="0" w:line="238" w:lineRule="auto"/>
        <w:tabs>
          <w:tab w:leader="none" w:pos="1765" w:val="left"/>
        </w:tabs>
        <w:numPr>
          <w:ilvl w:val="0"/>
          <w:numId w:val="78"/>
        </w:numPr>
        <w:rPr>
          <w:rFonts w:ascii="Arial" w:cs="Arial" w:eastAsia="Arial" w:hAnsi="Arial"/>
          <w:sz w:val="22"/>
          <w:szCs w:val="22"/>
          <w:color w:val="auto"/>
        </w:rPr>
      </w:pPr>
      <w:r>
        <w:rPr>
          <w:rFonts w:ascii="Arial" w:cs="Arial" w:eastAsia="Arial" w:hAnsi="Arial"/>
          <w:sz w:val="20"/>
          <w:szCs w:val="20"/>
          <w:color w:val="auto"/>
        </w:rPr>
        <w:t xml:space="preserve">any Lien existing on property of the Borrower or any Subsidiary on the Effective Date and set forth in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securing Indebtedness outstanding on such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5" w:name="page66"/>
    <w:bookmarkEnd w:id="65"/>
    <w:p>
      <w:pPr>
        <w:ind w:left="1780" w:hanging="895"/>
        <w:spacing w:after="0"/>
        <w:tabs>
          <w:tab w:leader="none" w:pos="1780" w:val="left"/>
        </w:tabs>
        <w:numPr>
          <w:ilvl w:val="0"/>
          <w:numId w:val="79"/>
        </w:numPr>
        <w:rPr>
          <w:rFonts w:ascii="Arial" w:cs="Arial" w:eastAsia="Arial" w:hAnsi="Arial"/>
          <w:sz w:val="22"/>
          <w:szCs w:val="22"/>
          <w:color w:val="auto"/>
        </w:rPr>
      </w:pPr>
      <w:r>
        <w:rPr>
          <w:rFonts w:ascii="Arial" w:cs="Arial" w:eastAsia="Arial" w:hAnsi="Arial"/>
          <w:sz w:val="20"/>
          <w:szCs w:val="20"/>
          <w:color w:val="auto"/>
        </w:rPr>
        <w:t>any Lien created under any Loan Document;</w:t>
      </w:r>
    </w:p>
    <w:p>
      <w:pPr>
        <w:spacing w:after="0" w:line="208" w:lineRule="exact"/>
        <w:rPr>
          <w:rFonts w:ascii="Arial" w:cs="Arial" w:eastAsia="Arial" w:hAnsi="Arial"/>
          <w:sz w:val="22"/>
          <w:szCs w:val="22"/>
          <w:color w:val="auto"/>
        </w:rPr>
      </w:pPr>
    </w:p>
    <w:p>
      <w:pPr>
        <w:ind w:firstLine="885"/>
        <w:spacing w:after="0" w:line="238" w:lineRule="auto"/>
        <w:tabs>
          <w:tab w:leader="none" w:pos="1765" w:val="left"/>
        </w:tabs>
        <w:numPr>
          <w:ilvl w:val="0"/>
          <w:numId w:val="79"/>
        </w:numPr>
        <w:rPr>
          <w:rFonts w:ascii="Arial" w:cs="Arial" w:eastAsia="Arial" w:hAnsi="Arial"/>
          <w:sz w:val="22"/>
          <w:szCs w:val="22"/>
          <w:color w:val="auto"/>
        </w:rPr>
      </w:pPr>
      <w:r>
        <w:rPr>
          <w:rFonts w:ascii="Arial" w:cs="Arial" w:eastAsia="Arial" w:hAnsi="Arial"/>
          <w:sz w:val="20"/>
          <w:szCs w:val="20"/>
          <w:color w:val="auto"/>
        </w:rPr>
        <w:t>Liens for taxes, fees, assessments or other governmental charges which are not delinquent or remain payable without penalty, provided that no notice of lien has been filed or recorded under the Code;</w:t>
      </w:r>
    </w:p>
    <w:p>
      <w:pPr>
        <w:spacing w:after="0" w:line="209" w:lineRule="exact"/>
        <w:rPr>
          <w:rFonts w:ascii="Arial" w:cs="Arial" w:eastAsia="Arial" w:hAnsi="Arial"/>
          <w:sz w:val="22"/>
          <w:szCs w:val="22"/>
          <w:color w:val="auto"/>
        </w:rPr>
      </w:pPr>
    </w:p>
    <w:p>
      <w:pPr>
        <w:jc w:val="both"/>
        <w:ind w:firstLine="885"/>
        <w:spacing w:after="0" w:line="256" w:lineRule="auto"/>
        <w:tabs>
          <w:tab w:leader="none" w:pos="1778" w:val="left"/>
        </w:tabs>
        <w:numPr>
          <w:ilvl w:val="0"/>
          <w:numId w:val="79"/>
        </w:numPr>
        <w:rPr>
          <w:rFonts w:ascii="Arial" w:cs="Arial" w:eastAsia="Arial" w:hAnsi="Arial"/>
          <w:sz w:val="21"/>
          <w:szCs w:val="21"/>
          <w:color w:val="auto"/>
        </w:rPr>
      </w:pPr>
      <w:r>
        <w:rPr>
          <w:rFonts w:ascii="Arial" w:cs="Arial" w:eastAsia="Arial" w:hAnsi="Arial"/>
          <w:sz w:val="19"/>
          <w:szCs w:val="19"/>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94" w:lineRule="exact"/>
        <w:rPr>
          <w:rFonts w:ascii="Arial" w:cs="Arial" w:eastAsia="Arial" w:hAnsi="Arial"/>
          <w:sz w:val="21"/>
          <w:szCs w:val="21"/>
          <w:color w:val="auto"/>
        </w:rPr>
      </w:pPr>
    </w:p>
    <w:p>
      <w:pPr>
        <w:ind w:firstLine="885"/>
        <w:spacing w:after="0" w:line="238" w:lineRule="auto"/>
        <w:tabs>
          <w:tab w:leader="none" w:pos="1765" w:val="left"/>
        </w:tabs>
        <w:numPr>
          <w:ilvl w:val="0"/>
          <w:numId w:val="79"/>
        </w:numPr>
        <w:rPr>
          <w:rFonts w:ascii="Arial" w:cs="Arial" w:eastAsia="Arial" w:hAnsi="Arial"/>
          <w:sz w:val="22"/>
          <w:szCs w:val="22"/>
          <w:color w:val="auto"/>
        </w:rPr>
      </w:pPr>
      <w:r>
        <w:rPr>
          <w:rFonts w:ascii="Arial" w:cs="Arial" w:eastAsia="Arial" w:hAnsi="Arial"/>
          <w:sz w:val="20"/>
          <w:szCs w:val="20"/>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209" w:lineRule="exact"/>
        <w:rPr>
          <w:rFonts w:ascii="Arial" w:cs="Arial" w:eastAsia="Arial" w:hAnsi="Arial"/>
          <w:sz w:val="22"/>
          <w:szCs w:val="22"/>
          <w:color w:val="auto"/>
        </w:rPr>
      </w:pPr>
    </w:p>
    <w:p>
      <w:pPr>
        <w:jc w:val="both"/>
        <w:ind w:firstLine="885"/>
        <w:spacing w:after="0" w:line="236" w:lineRule="exact"/>
        <w:tabs>
          <w:tab w:leader="none" w:pos="1742" w:val="left"/>
        </w:tabs>
        <w:numPr>
          <w:ilvl w:val="0"/>
          <w:numId w:val="79"/>
        </w:numPr>
        <w:rPr>
          <w:rFonts w:ascii="Arial" w:cs="Arial" w:eastAsia="Arial" w:hAnsi="Arial"/>
          <w:sz w:val="22"/>
          <w:szCs w:val="22"/>
          <w:color w:val="auto"/>
        </w:rPr>
      </w:pPr>
      <w:r>
        <w:rPr>
          <w:rFonts w:ascii="Arial" w:cs="Arial" w:eastAsia="Arial" w:hAnsi="Arial"/>
          <w:sz w:val="20"/>
          <w:szCs w:val="20"/>
          <w:color w:val="auto"/>
        </w:rPr>
        <w:t>Liens on the property of the Borrower or any of its Subsidiaries securing (i) the non-delinquent performance of bids, trade contracts (other than for borrowed money), leases, statutory obligations, (ii) contingent obligations on surety and appeal bonds, and (iii) other non</w:t>
      </w:r>
      <w:r>
        <w:rPr>
          <w:rFonts w:ascii="MS PGothic" w:cs="MS PGothic" w:eastAsia="MS PGothic" w:hAnsi="MS PGothic"/>
          <w:sz w:val="20"/>
          <w:szCs w:val="20"/>
          <w:color w:val="auto"/>
        </w:rPr>
        <w:t>‑</w:t>
      </w:r>
      <w:r>
        <w:rPr>
          <w:rFonts w:ascii="Arial" w:cs="Arial" w:eastAsia="Arial" w:hAnsi="Arial"/>
          <w:sz w:val="20"/>
          <w:szCs w:val="20"/>
          <w:color w:val="auto"/>
        </w:rPr>
        <w:t>delinquent obligations of a like nature; in each case, incurred in the ordinary course of business;</w:t>
      </w:r>
    </w:p>
    <w:p>
      <w:pPr>
        <w:spacing w:after="0" w:line="211" w:lineRule="exact"/>
        <w:rPr>
          <w:rFonts w:ascii="Arial" w:cs="Arial" w:eastAsia="Arial" w:hAnsi="Arial"/>
          <w:sz w:val="22"/>
          <w:szCs w:val="22"/>
          <w:color w:val="auto"/>
        </w:rPr>
      </w:pPr>
    </w:p>
    <w:p>
      <w:pPr>
        <w:jc w:val="both"/>
        <w:ind w:firstLine="885"/>
        <w:spacing w:after="0" w:line="236" w:lineRule="exact"/>
        <w:tabs>
          <w:tab w:leader="none" w:pos="1778" w:val="left"/>
        </w:tabs>
        <w:numPr>
          <w:ilvl w:val="0"/>
          <w:numId w:val="79"/>
        </w:numPr>
        <w:rPr>
          <w:rFonts w:ascii="Arial" w:cs="Arial" w:eastAsia="Arial" w:hAnsi="Arial"/>
          <w:sz w:val="22"/>
          <w:szCs w:val="22"/>
          <w:color w:val="auto"/>
        </w:rPr>
      </w:pPr>
      <w:r>
        <w:rPr>
          <w:rFonts w:ascii="Arial" w:cs="Arial" w:eastAsia="Arial" w:hAnsi="Arial"/>
          <w:sz w:val="20"/>
          <w:szCs w:val="20"/>
          <w:color w:val="auto"/>
        </w:rPr>
        <w:t>easements, rights</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 and its Subsidiaries;</w:t>
      </w:r>
    </w:p>
    <w:p>
      <w:pPr>
        <w:spacing w:after="0" w:line="208" w:lineRule="exact"/>
        <w:rPr>
          <w:rFonts w:ascii="Arial" w:cs="Arial" w:eastAsia="Arial" w:hAnsi="Arial"/>
          <w:sz w:val="22"/>
          <w:szCs w:val="22"/>
          <w:color w:val="auto"/>
        </w:rPr>
      </w:pPr>
    </w:p>
    <w:p>
      <w:pPr>
        <w:ind w:left="1780" w:hanging="895"/>
        <w:spacing w:after="0"/>
        <w:tabs>
          <w:tab w:leader="none" w:pos="1780" w:val="left"/>
        </w:tabs>
        <w:numPr>
          <w:ilvl w:val="0"/>
          <w:numId w:val="79"/>
        </w:numPr>
        <w:rPr>
          <w:rFonts w:ascii="Arial" w:cs="Arial" w:eastAsia="Arial" w:hAnsi="Arial"/>
          <w:sz w:val="22"/>
          <w:szCs w:val="22"/>
          <w:color w:val="auto"/>
        </w:rPr>
      </w:pPr>
      <w:r>
        <w:rPr>
          <w:rFonts w:ascii="Arial" w:cs="Arial" w:eastAsia="Arial" w:hAnsi="Arial"/>
          <w:sz w:val="20"/>
          <w:szCs w:val="20"/>
          <w:color w:val="auto"/>
        </w:rPr>
        <w:t>Liens on property of a Person subject to an Acquisition existing at the time of such Acquisition;</w:t>
      </w:r>
    </w:p>
    <w:p>
      <w:pPr>
        <w:spacing w:after="0" w:line="195" w:lineRule="exact"/>
        <w:rPr>
          <w:rFonts w:ascii="Arial" w:cs="Arial" w:eastAsia="Arial" w:hAnsi="Arial"/>
          <w:sz w:val="22"/>
          <w:szCs w:val="22"/>
          <w:color w:val="auto"/>
        </w:rPr>
      </w:pPr>
    </w:p>
    <w:p>
      <w:pPr>
        <w:ind w:left="1720" w:hanging="835"/>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existing on the Effective Date on property of one or more Subsidiaries securing Indebtedness of such Subsidiaries;</w:t>
      </w:r>
    </w:p>
    <w:p>
      <w:pPr>
        <w:spacing w:after="0" w:line="238" w:lineRule="exact"/>
        <w:rPr>
          <w:rFonts w:ascii="Arial" w:cs="Arial" w:eastAsia="Arial" w:hAnsi="Arial"/>
          <w:sz w:val="18"/>
          <w:szCs w:val="18"/>
          <w:color w:val="auto"/>
        </w:rPr>
      </w:pPr>
    </w:p>
    <w:p>
      <w:pPr>
        <w:jc w:val="both"/>
        <w:ind w:firstLine="885"/>
        <w:spacing w:after="0" w:line="250" w:lineRule="auto"/>
        <w:tabs>
          <w:tab w:leader="none" w:pos="1712"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Liens on Receivables, lease receivables and other obligations owing to the Borrower or any domestic Wholly-Owned Subsidiary to the extent such Receivables, lease receivables and other obligations have been sold under a Receivables Purchase Facility permitted under </w:t>
      </w:r>
      <w:r>
        <w:rPr>
          <w:rFonts w:ascii="Arial" w:cs="Arial" w:eastAsia="Arial" w:hAnsi="Arial"/>
          <w:sz w:val="20"/>
          <w:szCs w:val="20"/>
          <w:u w:val="single" w:color="auto"/>
          <w:color w:val="auto"/>
        </w:rPr>
        <w:t>Section 7.02(d)</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885"/>
        <w:spacing w:after="0" w:line="244" w:lineRule="auto"/>
        <w:tabs>
          <w:tab w:leader="none" w:pos="1756"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deposit account is not a dedicated cash collateral account and is not subject to restrictions against access by the Borrower in excess of those set forth by regulations promulgated by the FRB, and (ii) such deposit account is not intended by the Borrower or any Subsidiary to provide collateral to the depository institution; and</w:t>
      </w:r>
    </w:p>
    <w:p>
      <w:pPr>
        <w:spacing w:after="0" w:line="194" w:lineRule="exact"/>
        <w:rPr>
          <w:rFonts w:ascii="Arial" w:cs="Arial" w:eastAsia="Arial" w:hAnsi="Arial"/>
          <w:sz w:val="20"/>
          <w:szCs w:val="20"/>
          <w:color w:val="auto"/>
        </w:rPr>
      </w:pPr>
    </w:p>
    <w:p>
      <w:pPr>
        <w:jc w:val="both"/>
        <w:ind w:firstLine="885"/>
        <w:spacing w:after="0" w:line="263" w:lineRule="auto"/>
        <w:tabs>
          <w:tab w:leader="none" w:pos="1712"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Liens not otherwise permitted hereunder on any property securing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so secured together with Indebtedness permitted to be secured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above shall not exceed in the aggregate at any time outstanding 10% of the consolidated total tangible assets (balance sheet total assets less goodwill and intangibles) of the Borrower and its Subsidiaries determined as of the end of the most recently ended fiscal quarter of the Borrower.</w:t>
      </w:r>
    </w:p>
    <w:p>
      <w:pPr>
        <w:spacing w:after="0" w:line="171" w:lineRule="exact"/>
        <w:rPr>
          <w:sz w:val="20"/>
          <w:szCs w:val="20"/>
          <w:color w:val="auto"/>
        </w:rPr>
      </w:pPr>
    </w:p>
    <w:p>
      <w:pPr>
        <w:ind w:right="20" w:firstLine="877"/>
        <w:spacing w:after="0" w:line="267" w:lineRule="auto"/>
        <w:rPr>
          <w:sz w:val="20"/>
          <w:szCs w:val="20"/>
          <w:color w:val="auto"/>
        </w:rPr>
      </w:pPr>
      <w:r>
        <w:rPr>
          <w:rFonts w:ascii="Arial" w:cs="Arial" w:eastAsia="Arial" w:hAnsi="Arial"/>
          <w:sz w:val="20"/>
          <w:szCs w:val="20"/>
          <w:b w:val="1"/>
          <w:bCs w:val="1"/>
          <w:color w:val="auto"/>
        </w:rPr>
        <w:t>7.02 Disposition of Assets</w:t>
      </w:r>
      <w:r>
        <w:rPr>
          <w:rFonts w:ascii="Arial" w:cs="Arial" w:eastAsia="Arial" w:hAnsi="Arial"/>
          <w:sz w:val="20"/>
          <w:szCs w:val="20"/>
          <w:color w:val="auto"/>
        </w:rPr>
        <w:t>. The Borrower shall not, nor shall it suffer or permit any Subsidiary to, directly or indirectly, sell,</w:t>
      </w:r>
      <w:r>
        <w:rPr>
          <w:rFonts w:ascii="Arial" w:cs="Arial" w:eastAsia="Arial" w:hAnsi="Arial"/>
          <w:sz w:val="20"/>
          <w:szCs w:val="20"/>
          <w:b w:val="1"/>
          <w:bCs w:val="1"/>
          <w:color w:val="auto"/>
        </w:rPr>
        <w:t xml:space="preserve"> </w:t>
      </w:r>
      <w:r>
        <w:rPr>
          <w:rFonts w:ascii="Arial" w:cs="Arial" w:eastAsia="Arial" w:hAnsi="Arial"/>
          <w:sz w:val="20"/>
          <w:szCs w:val="20"/>
          <w:color w:val="auto"/>
        </w:rPr>
        <w:t>assign, lease, convey, transfer or otherwise dispose of (whether in one or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66" w:name="page67"/>
    <w:bookmarkEnd w:id="66"/>
    <w:p>
      <w:pPr>
        <w:spacing w:after="0" w:line="260" w:lineRule="auto"/>
        <w:rPr>
          <w:sz w:val="20"/>
          <w:szCs w:val="20"/>
          <w:color w:val="auto"/>
        </w:rPr>
      </w:pPr>
      <w:r>
        <w:rPr>
          <w:rFonts w:ascii="Arial" w:cs="Arial" w:eastAsia="Arial" w:hAnsi="Arial"/>
          <w:sz w:val="20"/>
          <w:szCs w:val="20"/>
          <w:color w:val="auto"/>
        </w:rPr>
        <w:t>series of transactions) any property (including accounts and notes receivable, with or without recourse) or enter into any agreement to do any of the foregoing, except:</w:t>
      </w:r>
    </w:p>
    <w:p>
      <w:pPr>
        <w:spacing w:after="0" w:line="177" w:lineRule="exact"/>
        <w:rPr>
          <w:sz w:val="20"/>
          <w:szCs w:val="20"/>
          <w:color w:val="auto"/>
        </w:rPr>
      </w:pPr>
    </w:p>
    <w:p>
      <w:pPr>
        <w:ind w:left="1760" w:hanging="875"/>
        <w:spacing w:after="0" w:line="230" w:lineRule="exact"/>
        <w:tabs>
          <w:tab w:leader="none" w:pos="176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dispositions of inventory, or used, worn</w:t>
      </w:r>
      <w:r>
        <w:rPr>
          <w:rFonts w:ascii="MS PGothic" w:cs="MS PGothic" w:eastAsia="MS PGothic" w:hAnsi="MS PGothic"/>
          <w:sz w:val="20"/>
          <w:szCs w:val="20"/>
          <w:color w:val="auto"/>
        </w:rPr>
        <w:t>‑</w:t>
      </w:r>
      <w:r>
        <w:rPr>
          <w:rFonts w:ascii="Arial" w:cs="Arial" w:eastAsia="Arial" w:hAnsi="Arial"/>
          <w:sz w:val="20"/>
          <w:szCs w:val="20"/>
          <w:color w:val="auto"/>
        </w:rPr>
        <w:t>out or surplus property, all in the ordinary course of business;</w:t>
      </w:r>
    </w:p>
    <w:p>
      <w:pPr>
        <w:spacing w:after="0" w:line="215" w:lineRule="exact"/>
        <w:rPr>
          <w:rFonts w:ascii="Arial" w:cs="Arial" w:eastAsia="Arial" w:hAnsi="Arial"/>
          <w:sz w:val="20"/>
          <w:szCs w:val="20"/>
          <w:color w:val="auto"/>
        </w:rPr>
      </w:pPr>
    </w:p>
    <w:p>
      <w:pPr>
        <w:ind w:firstLine="885"/>
        <w:spacing w:after="0" w:line="316" w:lineRule="auto"/>
        <w:tabs>
          <w:tab w:leader="none" w:pos="17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30" w:lineRule="exact"/>
        <w:rPr>
          <w:rFonts w:ascii="Arial" w:cs="Arial" w:eastAsia="Arial" w:hAnsi="Arial"/>
          <w:sz w:val="18"/>
          <w:szCs w:val="18"/>
          <w:color w:val="auto"/>
        </w:rPr>
      </w:pPr>
    </w:p>
    <w:p>
      <w:pPr>
        <w:ind w:left="1760" w:hanging="875"/>
        <w:spacing w:after="0"/>
        <w:tabs>
          <w:tab w:leader="none" w:pos="176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dispositions of Receivables of the Borrower or any Subsidiaries to Red Iron;</w:t>
      </w:r>
    </w:p>
    <w:p>
      <w:pPr>
        <w:spacing w:after="0" w:line="215" w:lineRule="exact"/>
        <w:rPr>
          <w:rFonts w:ascii="Arial" w:cs="Arial" w:eastAsia="Arial" w:hAnsi="Arial"/>
          <w:sz w:val="20"/>
          <w:szCs w:val="20"/>
          <w:color w:val="auto"/>
        </w:rPr>
      </w:pPr>
    </w:p>
    <w:p>
      <w:pPr>
        <w:jc w:val="both"/>
        <w:ind w:firstLine="885"/>
        <w:spacing w:after="0" w:line="246" w:lineRule="auto"/>
        <w:tabs>
          <w:tab w:leader="none" w:pos="1756" w:val="left"/>
        </w:tabs>
        <w:numPr>
          <w:ilvl w:val="1"/>
          <w:numId w:val="80"/>
        </w:numPr>
        <w:rPr>
          <w:rFonts w:ascii="Arial" w:cs="Arial" w:eastAsia="Arial" w:hAnsi="Arial"/>
          <w:sz w:val="20"/>
          <w:szCs w:val="20"/>
          <w:color w:val="auto"/>
        </w:rPr>
      </w:pPr>
      <w:r>
        <w:rPr>
          <w:rFonts w:ascii="Arial" w:cs="Arial" w:eastAsia="Arial" w:hAnsi="Arial"/>
          <w:sz w:val="20"/>
          <w:szCs w:val="20"/>
          <w:color w:val="auto"/>
        </w:rPr>
        <w:t>dispositions by any Originator of Receivables pursuant to Receivables Purchase Facilities or other disposition of Receivables at any time of the Borrower or its Subsidiaries, whether pursuant to a securitization facility, a factoring arrangement or other manner of monetization thereof provided that the outstanding unpaid amount of all such Receivables so sold in the aggregate shall not at any time exceed $200,000,000;</w:t>
      </w:r>
    </w:p>
    <w:p>
      <w:pPr>
        <w:spacing w:after="0" w:line="191" w:lineRule="exact"/>
        <w:rPr>
          <w:rFonts w:ascii="Arial" w:cs="Arial" w:eastAsia="Arial" w:hAnsi="Arial"/>
          <w:sz w:val="20"/>
          <w:szCs w:val="20"/>
          <w:color w:val="auto"/>
        </w:rPr>
      </w:pPr>
    </w:p>
    <w:p>
      <w:pPr>
        <w:ind w:left="1760" w:hanging="875"/>
        <w:spacing w:after="0"/>
        <w:tabs>
          <w:tab w:leader="none" w:pos="17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dispositions (i) made in accordance with the Borrower’s investment policy, (ii) made in connection with Acquisitions,</w:t>
      </w:r>
    </w:p>
    <w:p>
      <w:pPr>
        <w:spacing w:after="0" w:line="38" w:lineRule="exact"/>
        <w:rPr>
          <w:rFonts w:ascii="Arial" w:cs="Arial" w:eastAsia="Arial" w:hAnsi="Arial"/>
          <w:sz w:val="18"/>
          <w:szCs w:val="18"/>
          <w:color w:val="auto"/>
        </w:rPr>
      </w:pPr>
    </w:p>
    <w:p>
      <w:pPr>
        <w:ind w:left="360" w:hanging="35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dispositions of interests in Joint Ventures; (iv) dispositions in connections with Swap Contracts, (v) permitted dispositions of Subsidiaries,</w:t>
      </w:r>
    </w:p>
    <w:p>
      <w:pPr>
        <w:spacing w:after="0" w:line="22" w:lineRule="exact"/>
        <w:rPr>
          <w:rFonts w:ascii="Arial" w:cs="Arial" w:eastAsia="Arial" w:hAnsi="Arial"/>
          <w:sz w:val="18"/>
          <w:szCs w:val="18"/>
          <w:color w:val="auto"/>
        </w:rPr>
      </w:pPr>
    </w:p>
    <w:p>
      <w:pPr>
        <w:jc w:val="both"/>
        <w:ind w:firstLine="8"/>
        <w:spacing w:after="0" w:line="241" w:lineRule="auto"/>
        <w:tabs>
          <w:tab w:leader="none" w:pos="357"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dispositions in connection with purchases by the Borrower of shares of its capital stock and associated rights to purchase shares of the Borrower’s preferred stock pursuant to the Borrower’s shareholder rights plan to the extent permitted by </w:t>
      </w:r>
      <w:r>
        <w:rPr>
          <w:rFonts w:ascii="Arial" w:cs="Arial" w:eastAsia="Arial" w:hAnsi="Arial"/>
          <w:sz w:val="20"/>
          <w:szCs w:val="20"/>
          <w:u w:val="single" w:color="auto"/>
          <w:color w:val="auto"/>
        </w:rPr>
        <w:t>Sections 6.11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7.04(c)</w:t>
      </w:r>
      <w:r>
        <w:rPr>
          <w:rFonts w:ascii="Arial" w:cs="Arial" w:eastAsia="Arial" w:hAnsi="Arial"/>
          <w:sz w:val="20"/>
          <w:szCs w:val="20"/>
          <w:color w:val="auto"/>
        </w:rPr>
        <w:t>, and (vii) disposition of interests in Red Iron;</w:t>
      </w:r>
    </w:p>
    <w:p>
      <w:pPr>
        <w:spacing w:after="0" w:line="196" w:lineRule="exact"/>
        <w:rPr>
          <w:rFonts w:ascii="Arial" w:cs="Arial" w:eastAsia="Arial" w:hAnsi="Arial"/>
          <w:sz w:val="20"/>
          <w:szCs w:val="20"/>
          <w:color w:val="auto"/>
        </w:rPr>
      </w:pPr>
    </w:p>
    <w:p>
      <w:pPr>
        <w:jc w:val="both"/>
        <w:ind w:firstLine="885"/>
        <w:spacing w:after="0" w:line="246" w:lineRule="auto"/>
        <w:tabs>
          <w:tab w:leader="none" w:pos="1723"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dispositions not otherwise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(i) at the time of any such disposition, no Event of Default shall exist or shall result from such disposition and (ii) the aggregate value of all assets so sold by the Borrower and its Subsidiaries shall not exceed in any fiscal year 15% of the consolidated total assets of the Borrower and its Subsidiaries determined as of the end of the most recently ended fiscal quarter of the Borrower;</w:t>
      </w:r>
    </w:p>
    <w:p>
      <w:pPr>
        <w:spacing w:after="0" w:line="191" w:lineRule="exact"/>
        <w:rPr>
          <w:rFonts w:ascii="Arial" w:cs="Arial" w:eastAsia="Arial" w:hAnsi="Arial"/>
          <w:sz w:val="20"/>
          <w:szCs w:val="20"/>
          <w:color w:val="auto"/>
        </w:rPr>
      </w:pPr>
    </w:p>
    <w:p>
      <w:pPr>
        <w:jc w:val="both"/>
        <w:ind w:firstLine="885"/>
        <w:spacing w:after="0" w:line="250" w:lineRule="auto"/>
        <w:tabs>
          <w:tab w:leader="none" w:pos="1756"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Borrower or any Subsidiary may sell, assign, lease, convey, transfer or otherwise dispose of assets to the Borrower or a Wholly-Owned Subsidiary or in connection with the discontinuance of any line of business if the discontinuance of such line of business will not result in a Material Adverse Effect;</w:t>
      </w:r>
    </w:p>
    <w:p>
      <w:pPr>
        <w:spacing w:after="0" w:line="186" w:lineRule="exact"/>
        <w:rPr>
          <w:rFonts w:ascii="Arial" w:cs="Arial" w:eastAsia="Arial" w:hAnsi="Arial"/>
          <w:sz w:val="20"/>
          <w:szCs w:val="20"/>
          <w:color w:val="auto"/>
        </w:rPr>
      </w:pPr>
    </w:p>
    <w:p>
      <w:pPr>
        <w:jc w:val="both"/>
        <w:ind w:firstLine="885"/>
        <w:spacing w:after="0" w:line="273" w:lineRule="auto"/>
        <w:tabs>
          <w:tab w:leader="none" w:pos="1819"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the Borrower’s investment policy as adopted from time to time, (B) extensions of credit in the nature of accounts receivable or notes receivable arising from the sale or lease of goods or services in the ordinary course of business or extensions of credit by the Borrower to any of the Borrower’s Wholly-Owned Subsidiaries or by any of the Borrower’s Wholly-Owned Subsidiaries to the Borrower or to another of the Borrower’s Wholly-Owned Subsidiaries or extensions of credit made in the ordinary course of its business consistent with past practices to distributors or dealers of the Borrower’s and its Subsidiaries’ products, (C) investments incurred in order to consummate Acquisitions, (D) investments in Joint Ventures, (E) investments under Swap Contracts, (F) investments made in Subsidiaries, and (G) investments in Red Iron;</w:t>
      </w:r>
    </w:p>
    <w:p>
      <w:pPr>
        <w:spacing w:after="0" w:line="169" w:lineRule="exact"/>
        <w:rPr>
          <w:rFonts w:ascii="Arial" w:cs="Arial" w:eastAsia="Arial" w:hAnsi="Arial"/>
          <w:sz w:val="18"/>
          <w:szCs w:val="18"/>
          <w:color w:val="auto"/>
        </w:rPr>
      </w:pPr>
    </w:p>
    <w:p>
      <w:pPr>
        <w:ind w:left="1720" w:hanging="835"/>
        <w:spacing w:after="0"/>
        <w:tabs>
          <w:tab w:leader="none" w:pos="17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dispositions resulting from any casualty or condemnation;</w:t>
      </w:r>
    </w:p>
    <w:p>
      <w:pPr>
        <w:spacing w:after="0" w:line="215" w:lineRule="exact"/>
        <w:rPr>
          <w:rFonts w:ascii="Arial" w:cs="Arial" w:eastAsia="Arial" w:hAnsi="Arial"/>
          <w:sz w:val="20"/>
          <w:szCs w:val="20"/>
          <w:color w:val="auto"/>
        </w:rPr>
      </w:pPr>
    </w:p>
    <w:p>
      <w:pPr>
        <w:ind w:left="1720" w:hanging="835"/>
        <w:spacing w:after="0"/>
        <w:tabs>
          <w:tab w:leader="none" w:pos="17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dispositions in connection with Restricted Payments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7" w:name="page68"/>
    <w:bookmarkEnd w:id="67"/>
    <w:p>
      <w:pPr>
        <w:ind w:left="1760" w:hanging="875"/>
        <w:spacing w:after="0"/>
        <w:tabs>
          <w:tab w:leader="none" w:pos="17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dispositions in connection with the granting of Permitted Liens; and</w:t>
      </w:r>
    </w:p>
    <w:p>
      <w:pPr>
        <w:spacing w:after="0" w:line="215" w:lineRule="exact"/>
        <w:rPr>
          <w:rFonts w:ascii="Arial" w:cs="Arial" w:eastAsia="Arial" w:hAnsi="Arial"/>
          <w:sz w:val="20"/>
          <w:szCs w:val="20"/>
          <w:color w:val="auto"/>
        </w:rPr>
      </w:pPr>
    </w:p>
    <w:p>
      <w:pPr>
        <w:ind w:left="1720" w:hanging="835"/>
        <w:spacing w:after="0"/>
        <w:tabs>
          <w:tab w:leader="none" w:pos="17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dispositions in connection with the payment of Contingent Obligations or Indebtedness not otherwise prohibited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hereunder.</w:t>
      </w:r>
    </w:p>
    <w:p>
      <w:pPr>
        <w:spacing w:after="0" w:line="19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7.03 Consolidations and Mergers. </w:t>
      </w:r>
      <w:r>
        <w:rPr>
          <w:rFonts w:ascii="Arial" w:cs="Arial" w:eastAsia="Arial" w:hAnsi="Arial"/>
          <w:sz w:val="20"/>
          <w:szCs w:val="20"/>
          <w:color w:val="auto"/>
        </w:rPr>
        <w:t>The Borrower shall not, nor shall it permit any Subsidiary to, merge, consolidate with or</w:t>
      </w:r>
      <w:r>
        <w:rPr>
          <w:rFonts w:ascii="Arial" w:cs="Arial" w:eastAsia="Arial" w:hAnsi="Arial"/>
          <w:sz w:val="20"/>
          <w:szCs w:val="20"/>
          <w:b w:val="1"/>
          <w:bCs w:val="1"/>
          <w:color w:val="auto"/>
        </w:rPr>
        <w:t xml:space="preserve"> </w:t>
      </w:r>
      <w:r>
        <w:rPr>
          <w:rFonts w:ascii="Arial" w:cs="Arial" w:eastAsia="Arial" w:hAnsi="Arial"/>
          <w:sz w:val="20"/>
          <w:szCs w:val="20"/>
          <w:color w:val="auto"/>
        </w:rPr>
        <w:t>into, or convey, transfer, lease or otherwise dispose of (whether in one transaction or in a series of transactions) all or substantially all of its assets (whether now owned or hereafter acquired) to or in favor of any Person, except:</w:t>
      </w:r>
    </w:p>
    <w:p>
      <w:pPr>
        <w:spacing w:after="0" w:line="184" w:lineRule="exact"/>
        <w:rPr>
          <w:sz w:val="20"/>
          <w:szCs w:val="20"/>
          <w:color w:val="auto"/>
        </w:rPr>
      </w:pPr>
    </w:p>
    <w:p>
      <w:pPr>
        <w:ind w:firstLine="885"/>
        <w:spacing w:after="0" w:line="287" w:lineRule="auto"/>
        <w:tabs>
          <w:tab w:leader="none" w:pos="174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any Subsidiary may merge with the Borrower, or with any one or more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transaction shall be between a Subsidiary and a Wholly-Owned Subsidiary, the surviving Person shall be a Wholly-Owned Subsidiary;</w:t>
      </w:r>
    </w:p>
    <w:p>
      <w:pPr>
        <w:spacing w:after="0" w:line="152" w:lineRule="exact"/>
        <w:rPr>
          <w:rFonts w:ascii="Arial" w:cs="Arial" w:eastAsia="Arial" w:hAnsi="Arial"/>
          <w:sz w:val="19"/>
          <w:szCs w:val="19"/>
          <w:color w:val="auto"/>
        </w:rPr>
      </w:pPr>
    </w:p>
    <w:p>
      <w:pPr>
        <w:ind w:firstLine="885"/>
        <w:spacing w:after="0" w:line="260" w:lineRule="auto"/>
        <w:tabs>
          <w:tab w:leader="none" w:pos="1756"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Subsidiary may sell all or substantially all of its assets (upon voluntary liquidation or otherwise), to the Borrower or a Wholly-Owned Subsidiary; and</w:t>
      </w:r>
    </w:p>
    <w:p>
      <w:pPr>
        <w:spacing w:after="0" w:line="176" w:lineRule="exact"/>
        <w:rPr>
          <w:rFonts w:ascii="Arial" w:cs="Arial" w:eastAsia="Arial" w:hAnsi="Arial"/>
          <w:sz w:val="20"/>
          <w:szCs w:val="20"/>
          <w:color w:val="auto"/>
        </w:rPr>
      </w:pPr>
    </w:p>
    <w:p>
      <w:pPr>
        <w:ind w:left="1760" w:hanging="875"/>
        <w:spacing w:after="0"/>
        <w:tabs>
          <w:tab w:leader="none" w:pos="17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those transactions otherwise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and</w:t>
      </w:r>
    </w:p>
    <w:p>
      <w:pPr>
        <w:spacing w:after="0" w:line="229" w:lineRule="exact"/>
        <w:rPr>
          <w:rFonts w:ascii="Arial" w:cs="Arial" w:eastAsia="Arial" w:hAnsi="Arial"/>
          <w:sz w:val="20"/>
          <w:szCs w:val="20"/>
          <w:color w:val="auto"/>
        </w:rPr>
      </w:pPr>
    </w:p>
    <w:p>
      <w:pPr>
        <w:ind w:left="1820" w:hanging="935"/>
        <w:spacing w:after="0"/>
        <w:tabs>
          <w:tab w:leader="none" w:pos="18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transactions in order to consummate Acquisitions.</w:t>
      </w:r>
    </w:p>
    <w:p>
      <w:pPr>
        <w:spacing w:after="0" w:line="210"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9"/>
          <w:szCs w:val="19"/>
          <w:b w:val="1"/>
          <w:bCs w:val="1"/>
          <w:color w:val="auto"/>
        </w:rPr>
        <w:t xml:space="preserve">7.04 Restricted Payments. </w:t>
      </w:r>
      <w:r>
        <w:rPr>
          <w:rFonts w:ascii="Arial" w:cs="Arial" w:eastAsia="Arial" w:hAnsi="Arial"/>
          <w:sz w:val="19"/>
          <w:szCs w:val="19"/>
          <w:color w:val="auto"/>
        </w:rPr>
        <w:t>The Borrower shall not, nor shall it suffer or permit any Material Subsidiary to, declare or make</w:t>
      </w:r>
      <w:r>
        <w:rPr>
          <w:rFonts w:ascii="Arial" w:cs="Arial" w:eastAsia="Arial" w:hAnsi="Arial"/>
          <w:sz w:val="19"/>
          <w:szCs w:val="19"/>
          <w:b w:val="1"/>
          <w:bCs w:val="1"/>
          <w:color w:val="auto"/>
        </w:rPr>
        <w:t xml:space="preserve"> </w:t>
      </w:r>
      <w:r>
        <w:rPr>
          <w:rFonts w:ascii="Arial" w:cs="Arial" w:eastAsia="Arial" w:hAnsi="Arial"/>
          <w:sz w:val="19"/>
          <w:szCs w:val="19"/>
          <w:color w:val="auto"/>
        </w:rPr>
        <w:t>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19"/>
          <w:szCs w:val="19"/>
          <w:u w:val="single" w:color="auto"/>
          <w:color w:val="auto"/>
        </w:rPr>
        <w:t>Restricted Payment</w:t>
      </w:r>
      <w:r>
        <w:rPr>
          <w:rFonts w:ascii="Arial" w:cs="Arial" w:eastAsia="Arial" w:hAnsi="Arial"/>
          <w:sz w:val="19"/>
          <w:szCs w:val="19"/>
          <w:color w:val="auto"/>
        </w:rPr>
        <w:t>”); except that:</w:t>
      </w:r>
    </w:p>
    <w:p>
      <w:pPr>
        <w:spacing w:after="0" w:line="172" w:lineRule="exact"/>
        <w:rPr>
          <w:sz w:val="20"/>
          <w:szCs w:val="20"/>
          <w:color w:val="auto"/>
        </w:rPr>
      </w:pPr>
    </w:p>
    <w:p>
      <w:pPr>
        <w:ind w:firstLine="885"/>
        <w:spacing w:after="0" w:line="260" w:lineRule="auto"/>
        <w:tabs>
          <w:tab w:leader="none" w:pos="1745"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Borrower and any Wholly-Owned Subsidiary may declare and make dividend payments or other distributions payable solely in its common stock;</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756"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86" w:lineRule="exact"/>
        <w:rPr>
          <w:rFonts w:ascii="Arial" w:cs="Arial" w:eastAsia="Arial" w:hAnsi="Arial"/>
          <w:sz w:val="20"/>
          <w:szCs w:val="20"/>
          <w:color w:val="auto"/>
        </w:rPr>
      </w:pPr>
    </w:p>
    <w:p>
      <w:pPr>
        <w:jc w:val="both"/>
        <w:ind w:firstLine="885"/>
        <w:spacing w:after="0" w:line="244" w:lineRule="auto"/>
        <w:tabs>
          <w:tab w:leader="none" w:pos="1745"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if (both before and after giving pro forma effect to such Restricted Payment) the Leverage Ratio for such period is less than or equal to the maximum permitted Leverage Ratio then in effect pursuant to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the Borrower may declare and pay cash dividends to its stockholders and purchase, redeem or otherwise acquire shares of its capital stock or warrants, rights or options to acquire any such shares for cash without restriction; </w:t>
      </w:r>
      <w:r>
        <w:rPr>
          <w:rFonts w:ascii="Arial" w:cs="Arial" w:eastAsia="Arial" w:hAnsi="Arial"/>
          <w:sz w:val="20"/>
          <w:szCs w:val="20"/>
          <w:u w:val="single" w:color="auto"/>
          <w:color w:val="auto"/>
        </w:rPr>
        <w:t>provided</w:t>
      </w:r>
      <w:r>
        <w:rPr>
          <w:rFonts w:ascii="Arial" w:cs="Arial" w:eastAsia="Arial" w:hAnsi="Arial"/>
          <w:sz w:val="20"/>
          <w:szCs w:val="20"/>
          <w:color w:val="auto"/>
        </w:rPr>
        <w:t>, that, immediately after giving effect to any such proposed action, no Default or Event of Default would exist; and</w:t>
      </w:r>
    </w:p>
    <w:p>
      <w:pPr>
        <w:spacing w:after="0" w:line="194" w:lineRule="exact"/>
        <w:rPr>
          <w:rFonts w:ascii="Arial" w:cs="Arial" w:eastAsia="Arial" w:hAnsi="Arial"/>
          <w:sz w:val="20"/>
          <w:szCs w:val="20"/>
          <w:color w:val="auto"/>
        </w:rPr>
      </w:pPr>
    </w:p>
    <w:p>
      <w:pPr>
        <w:ind w:left="1760" w:hanging="875"/>
        <w:spacing w:after="0"/>
        <w:tabs>
          <w:tab w:leader="none" w:pos="1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Wholly-Owned Subsidiary may declare and pay dividends to its parent company.</w:t>
      </w:r>
    </w:p>
    <w:p>
      <w:pPr>
        <w:spacing w:after="0" w:line="210"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9"/>
          <w:szCs w:val="19"/>
          <w:b w:val="1"/>
          <w:bCs w:val="1"/>
          <w:color w:val="auto"/>
        </w:rPr>
        <w:t xml:space="preserve">7.05 Minimum Interest Coverage Ratio. </w:t>
      </w:r>
      <w:r>
        <w:rPr>
          <w:rFonts w:ascii="Arial" w:cs="Arial" w:eastAsia="Arial" w:hAnsi="Arial"/>
          <w:sz w:val="19"/>
          <w:szCs w:val="19"/>
          <w:color w:val="auto"/>
        </w:rPr>
        <w:t>The Borrower, on a consolidated basis, shall not permit its Consolidated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Ratio, as at the end of any fiscal quarter for the four consecutive fiscal quarters then ended, to fall below 2.00 to 1.00.</w:t>
      </w:r>
    </w:p>
    <w:p>
      <w:pPr>
        <w:spacing w:after="0" w:line="142" w:lineRule="exact"/>
        <w:rPr>
          <w:sz w:val="20"/>
          <w:szCs w:val="20"/>
          <w:color w:val="auto"/>
        </w:rPr>
      </w:pPr>
    </w:p>
    <w:p>
      <w:pPr>
        <w:jc w:val="both"/>
        <w:ind w:firstLine="877"/>
        <w:spacing w:after="0" w:line="294" w:lineRule="auto"/>
        <w:rPr>
          <w:sz w:val="20"/>
          <w:szCs w:val="20"/>
          <w:color w:val="auto"/>
        </w:rPr>
      </w:pPr>
      <w:r>
        <w:rPr>
          <w:rFonts w:ascii="Arial" w:cs="Arial" w:eastAsia="Arial" w:hAnsi="Arial"/>
          <w:sz w:val="18"/>
          <w:szCs w:val="18"/>
          <w:b w:val="1"/>
          <w:bCs w:val="1"/>
          <w:color w:val="auto"/>
        </w:rPr>
        <w:t xml:space="preserve">7.06 Maximum Leverage Ratio. </w:t>
      </w:r>
      <w:r>
        <w:rPr>
          <w:rFonts w:ascii="Arial" w:cs="Arial" w:eastAsia="Arial" w:hAnsi="Arial"/>
          <w:sz w:val="18"/>
          <w:szCs w:val="18"/>
          <w:color w:val="auto"/>
        </w:rPr>
        <w:t>The Borrower, on a consolidated basis, shall not, as of the end of any fiscal quarter, permit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consolidated ratio of (a) total Indebtedness as of such date to (b) the sum of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(the “</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for the period of four prior fiscal quarters ending on such date to be more than 3.50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8"/>
          <w:szCs w:val="18"/>
          <w:color w:val="auto"/>
        </w:rPr>
        <w:t>after the occurrence of any Acquisition (or series of related transactions for the purpose of or resulting in such Acquisition) (including, but not limited to the Closing Date Acquisition) with aggregate consideration in excess of $75,000,000, at the option of the Borrower, for each of the four consecutive fiscal quarters ending after such option exercise (a “</w:t>
      </w:r>
      <w:r>
        <w:rPr>
          <w:rFonts w:ascii="Arial" w:cs="Arial" w:eastAsia="Arial" w:hAnsi="Arial"/>
          <w:sz w:val="18"/>
          <w:szCs w:val="18"/>
          <w:u w:val="single" w:color="auto"/>
          <w:color w:val="auto"/>
        </w:rPr>
        <w:t>Covenant Holiday</w:t>
      </w:r>
      <w:r>
        <w:rPr>
          <w:rFonts w:ascii="Arial" w:cs="Arial" w:eastAsia="Arial" w:hAnsi="Arial"/>
          <w:sz w:val="18"/>
          <w:szCs w:val="18"/>
          <w:color w:val="auto"/>
        </w:rPr>
        <w:t xml:space="preserve">”), the Leverage Ratio as of the last day of such fiscal quarter shall not exceed 4.00 to 1.00;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Borrower may opt to use a maximum of two Covenant Holidays.</w:t>
      </w:r>
    </w:p>
    <w:p>
      <w:pPr>
        <w:spacing w:after="0" w:line="15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7.07 Red Iron. </w:t>
      </w:r>
      <w:r>
        <w:rPr>
          <w:rFonts w:ascii="Arial" w:cs="Arial" w:eastAsia="Arial" w:hAnsi="Arial"/>
          <w:sz w:val="20"/>
          <w:szCs w:val="20"/>
          <w:color w:val="auto"/>
        </w:rPr>
        <w:t>The Borrower shall not, nor shall it permit any Subsidiary to, agree to permit Red Iron to retain or defer</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undisputed amounts due by Red Iron to the Borrower or any Subsidiary (other than as an offset in payment of amounts due by the Borrower or such Subsidiaries to Red Iron) in an aggregate amount at any time in excess of $35,000,000.</w:t>
      </w:r>
    </w:p>
    <w:p>
      <w:pPr>
        <w:spacing w:after="0" w:line="178"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 xml:space="preserve">7.08 Sanctions. </w:t>
      </w:r>
      <w:r>
        <w:rPr>
          <w:rFonts w:ascii="Arial" w:cs="Arial" w:eastAsia="Arial" w:hAnsi="Arial"/>
          <w:sz w:val="20"/>
          <w:szCs w:val="20"/>
          <w:color w:val="auto"/>
        </w:rPr>
        <w:t>The Borrower shall not directly or indirectly use the proceeds of any Loan, or lend, contribute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w:t>
      </w:r>
    </w:p>
    <w:p>
      <w:pPr>
        <w:spacing w:after="0" w:line="185"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7.09 Anti-Corruption Laws. </w:t>
      </w:r>
      <w:r>
        <w:rPr>
          <w:rFonts w:ascii="Arial" w:cs="Arial" w:eastAsia="Arial" w:hAnsi="Arial"/>
          <w:sz w:val="20"/>
          <w:szCs w:val="20"/>
          <w:color w:val="auto"/>
        </w:rPr>
        <w:t>The Borrower shall not directly or indirectly use the proceeds of any Loan for any purpose</w:t>
      </w:r>
      <w:r>
        <w:rPr>
          <w:rFonts w:ascii="Arial" w:cs="Arial" w:eastAsia="Arial" w:hAnsi="Arial"/>
          <w:sz w:val="20"/>
          <w:szCs w:val="20"/>
          <w:b w:val="1"/>
          <w:bCs w:val="1"/>
          <w:color w:val="auto"/>
        </w:rPr>
        <w:t xml:space="preserve"> </w:t>
      </w:r>
      <w:r>
        <w:rPr>
          <w:rFonts w:ascii="Arial" w:cs="Arial" w:eastAsia="Arial" w:hAnsi="Arial"/>
          <w:sz w:val="20"/>
          <w:szCs w:val="20"/>
          <w:color w:val="auto"/>
        </w:rPr>
        <w:t>which would breach the United States Foreign Corrupt Practices Act of 1977, the UK Bribery Act 2010, or other similar legislation in other jurisdictions.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19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Any of the following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222" w:lineRule="exact"/>
        <w:rPr>
          <w:sz w:val="20"/>
          <w:szCs w:val="20"/>
          <w:color w:val="auto"/>
        </w:rPr>
      </w:pPr>
    </w:p>
    <w:p>
      <w:pPr>
        <w:jc w:val="both"/>
        <w:ind w:firstLine="885"/>
        <w:spacing w:after="0" w:line="250" w:lineRule="auto"/>
        <w:tabs>
          <w:tab w:leader="none" w:pos="174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fails to pay (i) when and as required to be paid herein, any amount of principal of any Loan, or (ii) within five (5) days after the same becomes due, any interest on any Loan, or any fee due hereunder, or (iii) within five (5) days after the same becomes due, any other amount payable hereunder or under any other Loan Document; or</w:t>
      </w:r>
    </w:p>
    <w:p>
      <w:pPr>
        <w:spacing w:after="0" w:line="186" w:lineRule="exact"/>
        <w:rPr>
          <w:rFonts w:ascii="Arial" w:cs="Arial" w:eastAsia="Arial" w:hAnsi="Arial"/>
          <w:sz w:val="20"/>
          <w:szCs w:val="20"/>
          <w:color w:val="auto"/>
        </w:rPr>
      </w:pPr>
    </w:p>
    <w:p>
      <w:pPr>
        <w:ind w:firstLine="885"/>
        <w:spacing w:after="0" w:line="260" w:lineRule="auto"/>
        <w:tabs>
          <w:tab w:leader="none" w:pos="1756"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The Borrower fails to perform or observe any term, covenant or agreement contained in any of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firstLine="885"/>
        <w:spacing w:after="0" w:line="278" w:lineRule="auto"/>
        <w:tabs>
          <w:tab w:leader="none" w:pos="174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The Borrower fails to perform or observe any other term or covenant contained in this Agreement or any other Loan Document (and such failure does not otherwise constitute an Event of Default under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such default shall continue unremedied for a period of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is diligently and in good faith attempting to cure such default, such default is curable and such default will not possibly result in a Material Adverse Effect, then the Borrower may have additional time to cure such default as specified in writing by the Required Lenders provided that such additional time shall not exceed 60 days; or</w:t>
      </w:r>
    </w:p>
    <w:p>
      <w:pPr>
        <w:spacing w:after="0" w:line="165" w:lineRule="exact"/>
        <w:rPr>
          <w:rFonts w:ascii="Arial" w:cs="Arial" w:eastAsia="Arial" w:hAnsi="Arial"/>
          <w:sz w:val="18"/>
          <w:szCs w:val="18"/>
          <w:color w:val="auto"/>
        </w:rPr>
      </w:pPr>
    </w:p>
    <w:p>
      <w:pPr>
        <w:jc w:val="both"/>
        <w:ind w:firstLine="885"/>
        <w:spacing w:after="0" w:line="263" w:lineRule="auto"/>
        <w:tabs>
          <w:tab w:leader="none" w:pos="175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or warranty by the Borrower or any Subsidiary made or deemed made herein, in any other Loan Document, or which is contained in any certificate, document or financial or other statement by the Borrower, any Subsidiary, or any Responsible Officer, furnished at any time under this Agreement, or in or under any other Loan Document, is incorrect or misleading in any material respect (except, if a qualifier relating to materiality, Material Adverse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9" w:name="page70"/>
    <w:bookmarkEnd w:id="69"/>
    <w:p>
      <w:pPr>
        <w:spacing w:after="0" w:line="260" w:lineRule="auto"/>
        <w:rPr>
          <w:sz w:val="20"/>
          <w:szCs w:val="20"/>
          <w:color w:val="auto"/>
        </w:rPr>
      </w:pPr>
      <w:r>
        <w:rPr>
          <w:rFonts w:ascii="Arial" w:cs="Arial" w:eastAsia="Arial" w:hAnsi="Arial"/>
          <w:sz w:val="20"/>
          <w:szCs w:val="20"/>
          <w:color w:val="auto"/>
        </w:rPr>
        <w:t>or a similar concept applies, such representation or warranty shall have been incorrect in any respect) on or as of the date made or deemed made; or</w:t>
      </w:r>
    </w:p>
    <w:p>
      <w:pPr>
        <w:spacing w:after="0" w:line="177" w:lineRule="exact"/>
        <w:rPr>
          <w:sz w:val="20"/>
          <w:szCs w:val="20"/>
          <w:color w:val="auto"/>
        </w:rPr>
      </w:pPr>
    </w:p>
    <w:p>
      <w:pPr>
        <w:jc w:val="both"/>
        <w:ind w:firstLine="885"/>
        <w:spacing w:after="0" w:line="268" w:lineRule="auto"/>
        <w:tabs>
          <w:tab w:leader="none" w:pos="17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The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$75,000,000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the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w:t>
      </w:r>
      <w:r>
        <w:rPr>
          <w:rFonts w:ascii="Arial" w:cs="Arial" w:eastAsia="Arial" w:hAnsi="Arial"/>
          <w:sz w:val="18"/>
          <w:szCs w:val="18"/>
          <w:u w:val="single" w:color="auto"/>
          <w:color w:val="auto"/>
        </w:rPr>
        <w:t>Receivables Purchase Facility Termination</w:t>
      </w:r>
      <w:r>
        <w:rPr>
          <w:rFonts w:ascii="Arial" w:cs="Arial" w:eastAsia="Arial" w:hAnsi="Arial"/>
          <w:sz w:val="18"/>
          <w:szCs w:val="18"/>
          <w:color w:val="auto"/>
        </w:rPr>
        <w:t>”) other than any such Receivables Purchase Facility Termination that arises solely as a result of (i) a down-grading of the credit rating of any bank or financial institution not affiliated with the Borrower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 or</w:t>
      </w:r>
    </w:p>
    <w:p>
      <w:pPr>
        <w:spacing w:after="0" w:line="177" w:lineRule="exact"/>
        <w:rPr>
          <w:rFonts w:ascii="Arial" w:cs="Arial" w:eastAsia="Arial" w:hAnsi="Arial"/>
          <w:sz w:val="18"/>
          <w:szCs w:val="18"/>
          <w:color w:val="auto"/>
        </w:rPr>
      </w:pPr>
    </w:p>
    <w:p>
      <w:pPr>
        <w:jc w:val="both"/>
        <w:ind w:firstLine="885"/>
        <w:spacing w:after="0" w:line="263" w:lineRule="auto"/>
        <w:tabs>
          <w:tab w:leader="none" w:pos="1723"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Insolvency, Voluntary Proceedings.</w:t>
      </w:r>
      <w:r>
        <w:rPr>
          <w:rFonts w:ascii="Arial" w:cs="Arial" w:eastAsia="Arial" w:hAnsi="Arial"/>
          <w:sz w:val="19"/>
          <w:szCs w:val="19"/>
          <w:color w:val="auto"/>
        </w:rPr>
        <w:t xml:space="preserve"> The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76" w:lineRule="exact"/>
        <w:rPr>
          <w:rFonts w:ascii="Arial" w:cs="Arial" w:eastAsia="Arial" w:hAnsi="Arial"/>
          <w:sz w:val="19"/>
          <w:szCs w:val="19"/>
          <w:color w:val="auto"/>
        </w:rPr>
      </w:pPr>
    </w:p>
    <w:p>
      <w:pPr>
        <w:jc w:val="both"/>
        <w:ind w:firstLine="885"/>
        <w:spacing w:after="0" w:line="276" w:lineRule="auto"/>
        <w:tabs>
          <w:tab w:leader="none" w:pos="175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Involuntary Proceedings</w:t>
      </w:r>
      <w:r>
        <w:rPr>
          <w:rFonts w:ascii="Arial" w:cs="Arial" w:eastAsia="Arial" w:hAnsi="Arial"/>
          <w:sz w:val="18"/>
          <w:szCs w:val="18"/>
          <w:color w:val="auto"/>
        </w:rPr>
        <w:t>. (i) Any involuntary Insolvency Proceeding is commenced or filed against the Borrower or any Material Subsidiary, or any writ, judgment, warrant of attachment, execution or similar process, is issued or levied against a substantial part of the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the Borrower or any Material Subsidiary admits the material allegations of a petition against it in any Insolvency Proceeding, or an order for relief (or similar order under non-U.S. law) is ordered in any Insolvency Proceeding; or (iii) the Borrower or any Material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0" w:name="page71"/>
    <w:bookmarkEnd w:id="70"/>
    <w:p>
      <w:pPr>
        <w:spacing w:after="0" w:line="260" w:lineRule="auto"/>
        <w:rPr>
          <w:sz w:val="20"/>
          <w:szCs w:val="20"/>
          <w:color w:val="auto"/>
        </w:rPr>
      </w:pPr>
      <w:r>
        <w:rPr>
          <w:rFonts w:ascii="Arial" w:cs="Arial" w:eastAsia="Arial" w:hAnsi="Arial"/>
          <w:sz w:val="20"/>
          <w:szCs w:val="20"/>
          <w:color w:val="auto"/>
        </w:rPr>
        <w:t>acquiesces in the appointment of a receiver, trustee, custodian, conservator, liquidator, mortgagee in possession (or agent therefor), or other similar Person for itself or a substantial portion of its property or business; or</w:t>
      </w:r>
    </w:p>
    <w:p>
      <w:pPr>
        <w:spacing w:after="0" w:line="177" w:lineRule="exact"/>
        <w:rPr>
          <w:sz w:val="20"/>
          <w:szCs w:val="20"/>
          <w:color w:val="auto"/>
        </w:rPr>
      </w:pPr>
    </w:p>
    <w:p>
      <w:pPr>
        <w:jc w:val="both"/>
        <w:ind w:firstLine="885"/>
        <w:spacing w:after="0" w:line="244" w:lineRule="auto"/>
        <w:tabs>
          <w:tab w:leader="none" w:pos="1756"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Monetary Judgments</w:t>
      </w:r>
      <w:r>
        <w:rPr>
          <w:rFonts w:ascii="Arial" w:cs="Arial" w:eastAsia="Arial" w:hAnsi="Arial"/>
          <w:sz w:val="20"/>
          <w:szCs w:val="20"/>
          <w:color w:val="auto"/>
        </w:rPr>
        <w:t>. One or more non-interlocutory judgments, non-interlocutory orders, decrees or arbitration awards is entered against the Borrower or any Material Subsidiary involving in the aggregate a liability (to the extent not covered by independent third-party insurance as to which the insurer does not dispute coverage) as to any single or related series of transactions, incidents or conditions, of $75,000,000 or more, and the same shall remain unsatisfied, unvacated and unstayed pending appeal for a period of 30 days after the entry thereof; or</w:t>
      </w:r>
    </w:p>
    <w:p>
      <w:pPr>
        <w:spacing w:after="0" w:line="194" w:lineRule="exact"/>
        <w:rPr>
          <w:rFonts w:ascii="Arial" w:cs="Arial" w:eastAsia="Arial" w:hAnsi="Arial"/>
          <w:sz w:val="20"/>
          <w:szCs w:val="20"/>
          <w:color w:val="auto"/>
        </w:rPr>
      </w:pPr>
    </w:p>
    <w:p>
      <w:pPr>
        <w:jc w:val="both"/>
        <w:ind w:firstLine="885"/>
        <w:spacing w:after="0" w:line="291" w:lineRule="auto"/>
        <w:tabs>
          <w:tab w:leader="none" w:pos="171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Non-Monetary Judgments.</w:t>
      </w:r>
      <w:r>
        <w:rPr>
          <w:rFonts w:ascii="Arial" w:cs="Arial" w:eastAsia="Arial" w:hAnsi="Arial"/>
          <w:sz w:val="18"/>
          <w:szCs w:val="18"/>
          <w:color w:val="auto"/>
        </w:rPr>
        <w:t xml:space="preserve"> Any non-monetary judgment, order or decree is entered against the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51" w:lineRule="exact"/>
        <w:rPr>
          <w:rFonts w:ascii="Arial" w:cs="Arial" w:eastAsia="Arial" w:hAnsi="Arial"/>
          <w:sz w:val="18"/>
          <w:szCs w:val="18"/>
          <w:color w:val="auto"/>
        </w:rPr>
      </w:pPr>
    </w:p>
    <w:p>
      <w:pPr>
        <w:jc w:val="both"/>
        <w:ind w:firstLine="885"/>
        <w:spacing w:after="0" w:line="244" w:lineRule="auto"/>
        <w:tabs>
          <w:tab w:leader="none" w:pos="171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$75,000,000, or (ii) the Borrower or any ERISA Affiliate fails to pay when due, after the expiration of any applicable grace period, any installment payment with respect to its withdrawal liability under Section 4201 of ERISA under a Multiemployer Plan in an aggregate amount in excess of $75,000,000; or</w:t>
      </w:r>
    </w:p>
    <w:p>
      <w:pPr>
        <w:spacing w:after="0" w:line="194" w:lineRule="exact"/>
        <w:rPr>
          <w:rFonts w:ascii="Arial" w:cs="Arial" w:eastAsia="Arial" w:hAnsi="Arial"/>
          <w:sz w:val="20"/>
          <w:szCs w:val="20"/>
          <w:color w:val="auto"/>
        </w:rPr>
      </w:pPr>
    </w:p>
    <w:p>
      <w:pPr>
        <w:jc w:val="both"/>
        <w:ind w:firstLine="885"/>
        <w:spacing w:after="0" w:line="243" w:lineRule="auto"/>
        <w:tabs>
          <w:tab w:leader="none" w:pos="1756"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Eurodollar Rate Loans which are subject to the application of, and the Borrower accordingly complying with the terms of, </w:t>
      </w:r>
      <w:r>
        <w:rPr>
          <w:rFonts w:ascii="Arial" w:cs="Arial" w:eastAsia="Arial" w:hAnsi="Arial"/>
          <w:sz w:val="20"/>
          <w:szCs w:val="20"/>
          <w:u w:val="single" w:color="auto"/>
          <w:color w:val="auto"/>
        </w:rPr>
        <w:t>Section 3.02</w:t>
      </w:r>
      <w:r>
        <w:rPr>
          <w:rFonts w:ascii="Arial" w:cs="Arial" w:eastAsia="Arial" w:hAnsi="Arial"/>
          <w:sz w:val="20"/>
          <w:szCs w:val="20"/>
          <w:color w:val="auto"/>
        </w:rPr>
        <w:t>) or is declared by a court of competent jurisdiction to be null and void, invalid or unenforceable in any respect; or the Borrower denies that it has any or further liability or obligation under any Loan Document, or purports to revoke, terminate or rescind any Loan Document; or</w:t>
      </w:r>
    </w:p>
    <w:p>
      <w:pPr>
        <w:spacing w:after="0" w:line="196" w:lineRule="exact"/>
        <w:rPr>
          <w:rFonts w:ascii="Arial" w:cs="Arial" w:eastAsia="Arial" w:hAnsi="Arial"/>
          <w:sz w:val="20"/>
          <w:szCs w:val="20"/>
          <w:color w:val="auto"/>
        </w:rPr>
      </w:pPr>
    </w:p>
    <w:p>
      <w:pPr>
        <w:ind w:left="1720" w:hanging="835"/>
        <w:spacing w:after="0"/>
        <w:tabs>
          <w:tab w:leader="none" w:pos="172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10"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 xml:space="preserve">8.02 Remedies Upon Event of Default. </w:t>
      </w:r>
      <w:r>
        <w:rPr>
          <w:rFonts w:ascii="Arial" w:cs="Arial" w:eastAsia="Arial" w:hAnsi="Arial"/>
          <w:sz w:val="20"/>
          <w:szCs w:val="20"/>
          <w:color w:val="auto"/>
        </w:rPr>
        <w:t>If any Event of Default occurs and is continuing, the Administrative Agent shall, at</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request of, or may, with the consent of, the Required Lenders, take any or all of the following actions:</w:t>
      </w:r>
    </w:p>
    <w:p>
      <w:pPr>
        <w:spacing w:after="0" w:line="170" w:lineRule="exact"/>
        <w:rPr>
          <w:sz w:val="20"/>
          <w:szCs w:val="20"/>
          <w:color w:val="auto"/>
        </w:rPr>
      </w:pPr>
    </w:p>
    <w:p>
      <w:pPr>
        <w:ind w:left="1760" w:hanging="875"/>
        <w:spacing w:after="0"/>
        <w:tabs>
          <w:tab w:leader="none" w:pos="1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to be terminated, whereupon such commitments and obligation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shall be terminated;</w:t>
      </w:r>
    </w:p>
    <w:p>
      <w:pPr>
        <w:spacing w:after="0" w:line="199" w:lineRule="exact"/>
        <w:rPr>
          <w:rFonts w:ascii="Arial" w:cs="Arial" w:eastAsia="Arial" w:hAnsi="Arial"/>
          <w:sz w:val="18"/>
          <w:szCs w:val="18"/>
          <w:color w:val="auto"/>
        </w:rPr>
      </w:pPr>
    </w:p>
    <w:p>
      <w:pPr>
        <w:jc w:val="both"/>
        <w:ind w:firstLine="885"/>
        <w:spacing w:after="0" w:line="250" w:lineRule="auto"/>
        <w:tabs>
          <w:tab w:leader="none" w:pos="1756" w:val="left"/>
        </w:tabs>
        <w:numPr>
          <w:ilvl w:val="0"/>
          <w:numId w:val="89"/>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6" w:lineRule="exact"/>
        <w:rPr>
          <w:rFonts w:ascii="Arial" w:cs="Arial" w:eastAsia="Arial" w:hAnsi="Arial"/>
          <w:sz w:val="20"/>
          <w:szCs w:val="20"/>
          <w:color w:val="auto"/>
        </w:rPr>
      </w:pPr>
    </w:p>
    <w:p>
      <w:pPr>
        <w:ind w:left="1760" w:hanging="875"/>
        <w:spacing w:after="0"/>
        <w:tabs>
          <w:tab w:leader="none" w:pos="17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exercise on behalf of itself and the Lenders all rights and remedies available to it and the Lenders under the Loan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Documents;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and other amounts as aforesaid shall automatically become due and payable without further act of the Administrative Agent or any Lender.</w:t>
      </w:r>
    </w:p>
    <w:p>
      <w:pPr>
        <w:spacing w:after="0" w:line="23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8.03 Application of Funds. </w:t>
      </w:r>
      <w:r>
        <w:rPr>
          <w:rFonts w:ascii="Arial" w:cs="Arial" w:eastAsia="Arial" w:hAnsi="Arial"/>
          <w:sz w:val="19"/>
          <w:szCs w:val="19"/>
          <w:color w:val="auto"/>
        </w:rPr>
        <w:t>After the exercise of remedies provided for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8.02</w:t>
      </w:r>
      <w:r>
        <w:rPr>
          <w:rFonts w:ascii="Arial" w:cs="Arial" w:eastAsia="Arial" w:hAnsi="Arial"/>
          <w:sz w:val="19"/>
          <w:szCs w:val="19"/>
          <w:b w:val="1"/>
          <w:bCs w:val="1"/>
          <w:color w:val="auto"/>
        </w:rPr>
        <w:t xml:space="preserve"> </w:t>
      </w:r>
      <w:r>
        <w:rPr>
          <w:rFonts w:ascii="Arial" w:cs="Arial" w:eastAsia="Arial" w:hAnsi="Arial"/>
          <w:sz w:val="19"/>
          <w:szCs w:val="19"/>
          <w:color w:val="auto"/>
        </w:rPr>
        <w:t>(or after the Loans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be applied by the Administrative Agent in the following order:</w:t>
      </w:r>
    </w:p>
    <w:p>
      <w:pPr>
        <w:spacing w:after="0" w:line="165"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70"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6"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ADMINISTRATIVE AGENT</w:t>
      </w:r>
    </w:p>
    <w:p>
      <w:pPr>
        <w:spacing w:after="0" w:line="194"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b w:val="1"/>
          <w:bCs w:val="1"/>
          <w:color w:val="auto"/>
        </w:rPr>
        <w:t xml:space="preserve">9.01 Appointment and Authority. </w:t>
      </w:r>
      <w:r>
        <w:rPr>
          <w:rFonts w:ascii="Arial" w:cs="Arial" w:eastAsia="Arial" w:hAnsi="Arial"/>
          <w:sz w:val="18"/>
          <w:szCs w:val="18"/>
          <w:color w:val="auto"/>
        </w:rPr>
        <w:t>Each of the Lenders hereby irrevocably appoints Bank of America to act on its behalf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any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b w:val="1"/>
          <w:bCs w:val="1"/>
          <w:color w:val="auto"/>
        </w:rPr>
        <w:t xml:space="preserve">9.02 Rights as a Lender. </w:t>
      </w:r>
      <w:r>
        <w:rPr>
          <w:rFonts w:ascii="Arial" w:cs="Arial" w:eastAsia="Arial" w:hAnsi="Arial"/>
          <w:sz w:val="20"/>
          <w:szCs w:val="20"/>
          <w:color w:val="auto"/>
        </w:rPr>
        <w:t>The Person serving as the Administrative Agent hereunder shall have the same rights and powers</w:t>
      </w:r>
      <w:r>
        <w:rPr>
          <w:rFonts w:ascii="Arial" w:cs="Arial" w:eastAsia="Arial" w:hAnsi="Arial"/>
          <w:sz w:val="20"/>
          <w:szCs w:val="20"/>
          <w:b w:val="1"/>
          <w:bCs w:val="1"/>
          <w:color w:val="auto"/>
        </w:rPr>
        <w:t xml:space="preserve"> </w:t>
      </w:r>
      <w:r>
        <w:rPr>
          <w:rFonts w:ascii="Arial" w:cs="Arial" w:eastAsia="Arial" w:hAnsi="Arial"/>
          <w:sz w:val="20"/>
          <w:szCs w:val="20"/>
          <w:color w:val="auto"/>
        </w:rPr>
        <w:t>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thereof as if such Person were not the Administrative Agent hereunder and without any duty to account therefor to the Lenders.</w:t>
      </w:r>
    </w:p>
    <w:p>
      <w:pPr>
        <w:spacing w:after="0" w:line="210"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 xml:space="preserve">9.03 Exculpatory Provisions. </w:t>
      </w:r>
      <w:r>
        <w:rPr>
          <w:rFonts w:ascii="Arial" w:cs="Arial" w:eastAsia="Arial" w:hAnsi="Arial"/>
          <w:sz w:val="20"/>
          <w:szCs w:val="20"/>
          <w:color w:val="auto"/>
        </w:rPr>
        <w:t>The Administrative Agent, in its capacity as such, shall not have any duties or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those expressly set forth herein and in the other Loan Documents, and its duties hereunder shall be administrative in nature. Without limiting the generality of the foregoing, the Administrative Agent:</w:t>
      </w:r>
    </w:p>
    <w:p>
      <w:pPr>
        <w:spacing w:after="0" w:line="184" w:lineRule="exact"/>
        <w:rPr>
          <w:sz w:val="20"/>
          <w:szCs w:val="20"/>
          <w:color w:val="auto"/>
        </w:rPr>
      </w:pPr>
    </w:p>
    <w:p>
      <w:pPr>
        <w:ind w:left="1760" w:hanging="875"/>
        <w:spacing w:after="0"/>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jc w:val="both"/>
        <w:ind w:firstLine="885"/>
        <w:spacing w:after="0" w:line="274" w:lineRule="auto"/>
        <w:tabs>
          <w:tab w:leader="none" w:pos="17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9" w:lineRule="exact"/>
        <w:rPr>
          <w:rFonts w:ascii="Arial" w:cs="Arial" w:eastAsia="Arial" w:hAnsi="Arial"/>
          <w:sz w:val="18"/>
          <w:szCs w:val="18"/>
          <w:color w:val="auto"/>
        </w:rPr>
      </w:pPr>
    </w:p>
    <w:p>
      <w:pPr>
        <w:jc w:val="both"/>
        <w:ind w:firstLine="885"/>
        <w:spacing w:after="0" w:line="250" w:lineRule="auto"/>
        <w:tabs>
          <w:tab w:leader="none" w:pos="1745" w:val="left"/>
        </w:tabs>
        <w:numPr>
          <w:ilvl w:val="0"/>
          <w:numId w:val="90"/>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Borrower or a Lender.</w:t>
      </w:r>
    </w:p>
    <w:p>
      <w:pPr>
        <w:spacing w:after="0" w:line="19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87"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b w:val="1"/>
          <w:bCs w:val="1"/>
          <w:color w:val="auto"/>
        </w:rPr>
        <w:t xml:space="preserve">9.04 Reliance by Administrative Agent. </w:t>
      </w:r>
      <w:r>
        <w:rPr>
          <w:rFonts w:ascii="Arial" w:cs="Arial" w:eastAsia="Arial" w:hAnsi="Arial"/>
          <w:sz w:val="20"/>
          <w:szCs w:val="20"/>
          <w:color w:val="auto"/>
        </w:rPr>
        <w:t>The Administrative Agent shall be entitled to rely upon, and shall not incur any</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20"/>
          <w:szCs w:val="20"/>
          <w:color w:val="auto"/>
        </w:rPr>
        <w:t>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9"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b w:val="1"/>
          <w:bCs w:val="1"/>
          <w:color w:val="auto"/>
        </w:rPr>
        <w:t xml:space="preserve">9.05 Delegation of Duties. </w:t>
      </w:r>
      <w:r>
        <w:rPr>
          <w:rFonts w:ascii="Arial" w:cs="Arial" w:eastAsia="Arial" w:hAnsi="Arial"/>
          <w:sz w:val="18"/>
          <w:szCs w:val="18"/>
          <w:color w:val="auto"/>
        </w:rPr>
        <w:t>The Administrative Agent may perform any and all of its duties and exercise its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2"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b w:val="1"/>
          <w:bCs w:val="1"/>
          <w:color w:val="auto"/>
        </w:rPr>
        <w:t xml:space="preserve">9.06 Resignation or Removal of Administrative Agent. </w:t>
      </w:r>
      <w:r>
        <w:rPr>
          <w:rFonts w:ascii="Arial" w:cs="Arial" w:eastAsia="Arial" w:hAnsi="Arial"/>
          <w:sz w:val="18"/>
          <w:szCs w:val="18"/>
          <w:color w:val="auto"/>
        </w:rPr>
        <w:t>(a) The Administrative Agent may at any time give notice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68" w:lineRule="exact"/>
        <w:rPr>
          <w:sz w:val="20"/>
          <w:szCs w:val="20"/>
          <w:color w:val="auto"/>
        </w:rPr>
      </w:pPr>
    </w:p>
    <w:p>
      <w:pPr>
        <w:jc w:val="both"/>
        <w:ind w:firstLine="885"/>
        <w:spacing w:after="0" w:line="276" w:lineRule="auto"/>
        <w:tabs>
          <w:tab w:leader="none" w:pos="17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with the consent of the Borrower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such removal shall nonetheless become effective in accordance with such notice on the Removal Effective Date.</w:t>
      </w:r>
    </w:p>
    <w:p>
      <w:pPr>
        <w:spacing w:after="0" w:line="165" w:lineRule="exact"/>
        <w:rPr>
          <w:rFonts w:ascii="Arial" w:cs="Arial" w:eastAsia="Arial" w:hAnsi="Arial"/>
          <w:sz w:val="18"/>
          <w:szCs w:val="18"/>
          <w:color w:val="auto"/>
        </w:rPr>
      </w:pPr>
    </w:p>
    <w:p>
      <w:pPr>
        <w:jc w:val="both"/>
        <w:ind w:firstLine="885"/>
        <w:spacing w:after="0" w:line="311" w:lineRule="auto"/>
        <w:tabs>
          <w:tab w:leader="none" w:pos="174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4" w:name="page75"/>
    <w:bookmarkEnd w:id="74"/>
    <w:p>
      <w:pPr>
        <w:jc w:val="both"/>
        <w:spacing w:after="0" w:line="256" w:lineRule="auto"/>
        <w:rPr>
          <w:sz w:val="20"/>
          <w:szCs w:val="20"/>
          <w:color w:val="auto"/>
        </w:rPr>
      </w:pPr>
      <w:r>
        <w:rPr>
          <w:rFonts w:ascii="Arial" w:cs="Arial" w:eastAsia="Arial" w:hAnsi="Arial"/>
          <w:sz w:val="19"/>
          <w:szCs w:val="19"/>
          <w:color w:val="auto"/>
        </w:rPr>
        <w:t xml:space="preserve">powers, privileges and duties of the retiring (or removed) Administrative Agent (other than as provided in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79"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b w:val="1"/>
          <w:bCs w:val="1"/>
          <w:color w:val="auto"/>
        </w:rPr>
        <w:t xml:space="preserve">9.07 Non-Reliance on Administrative Agent and Other Lenders. </w:t>
      </w:r>
      <w:r>
        <w:rPr>
          <w:rFonts w:ascii="Arial" w:cs="Arial" w:eastAsia="Arial" w:hAnsi="Arial"/>
          <w:sz w:val="20"/>
          <w:szCs w:val="20"/>
          <w:color w:val="auto"/>
        </w:rPr>
        <w:t>Each Lender acknowledges that it has, independently</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9.08 No Other Duties, Etc. </w:t>
      </w:r>
      <w:r>
        <w:rPr>
          <w:rFonts w:ascii="Arial" w:cs="Arial" w:eastAsia="Arial" w:hAnsi="Arial"/>
          <w:sz w:val="19"/>
          <w:szCs w:val="19"/>
          <w:color w:val="auto"/>
        </w:rPr>
        <w:t>Anything herein to the contrary notwithstanding, none of the Joint Bookrunners, the Arrangers</w:t>
      </w:r>
      <w:r>
        <w:rPr>
          <w:rFonts w:ascii="Arial" w:cs="Arial" w:eastAsia="Arial" w:hAnsi="Arial"/>
          <w:sz w:val="19"/>
          <w:szCs w:val="19"/>
          <w:b w:val="1"/>
          <w:bCs w:val="1"/>
          <w:color w:val="auto"/>
        </w:rPr>
        <w:t xml:space="preserve"> </w:t>
      </w:r>
      <w:r>
        <w:rPr>
          <w:rFonts w:ascii="Arial" w:cs="Arial" w:eastAsia="Arial" w:hAnsi="Arial"/>
          <w:sz w:val="19"/>
          <w:szCs w:val="19"/>
          <w:color w:val="auto"/>
        </w:rPr>
        <w:t>or the Syndication Agents listed on the cover page hereof shall have any powers, duties or responsibilities under this Agreement or any of the other Loan Documents, except in its capacity, as applicable, as the Administrative Agent or a Lender hereunder.</w:t>
      </w:r>
    </w:p>
    <w:p>
      <w:pPr>
        <w:spacing w:after="0" w:line="159"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 xml:space="preserve">9.09 Administrative Agent May File Proofs of Claim. </w:t>
      </w:r>
      <w:r>
        <w:rPr>
          <w:rFonts w:ascii="Arial" w:cs="Arial" w:eastAsia="Arial" w:hAnsi="Arial"/>
          <w:sz w:val="20"/>
          <w:szCs w:val="20"/>
          <w:color w:val="auto"/>
        </w:rPr>
        <w:t>In case of the pendency of any receivership, insolvency,</w:t>
      </w:r>
      <w:r>
        <w:rPr>
          <w:rFonts w:ascii="Arial" w:cs="Arial" w:eastAsia="Arial" w:hAnsi="Arial"/>
          <w:sz w:val="20"/>
          <w:szCs w:val="20"/>
          <w:b w:val="1"/>
          <w:bCs w:val="1"/>
          <w:color w:val="auto"/>
        </w:rPr>
        <w:t xml:space="preserve"> </w:t>
      </w:r>
      <w:r>
        <w:rPr>
          <w:rFonts w:ascii="Arial" w:cs="Arial" w:eastAsia="Arial" w:hAnsi="Arial"/>
          <w:sz w:val="20"/>
          <w:szCs w:val="20"/>
          <w:color w:val="auto"/>
        </w:rPr>
        <w:t>liquidation, bankruptcy, reorganization, arrangement, adjustment, composition or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1" w:lineRule="exact"/>
        <w:rPr>
          <w:sz w:val="20"/>
          <w:szCs w:val="20"/>
          <w:color w:val="auto"/>
        </w:rPr>
      </w:pPr>
    </w:p>
    <w:p>
      <w:pPr>
        <w:jc w:val="both"/>
        <w:ind w:firstLine="885"/>
        <w:spacing w:after="0" w:line="260" w:lineRule="auto"/>
        <w:tabs>
          <w:tab w:leader="none" w:pos="1745"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u w:val="single" w:color="auto"/>
          <w:color w:val="auto"/>
        </w:rPr>
        <w:t>Sections 2.07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 and</w:t>
      </w:r>
    </w:p>
    <w:p>
      <w:pPr>
        <w:spacing w:after="0" w:line="180" w:lineRule="exact"/>
        <w:rPr>
          <w:rFonts w:ascii="Arial" w:cs="Arial" w:eastAsia="Arial" w:hAnsi="Arial"/>
          <w:sz w:val="19"/>
          <w:szCs w:val="19"/>
          <w:color w:val="auto"/>
        </w:rPr>
      </w:pPr>
    </w:p>
    <w:p>
      <w:pPr>
        <w:ind w:left="1760" w:hanging="875"/>
        <w:spacing w:after="0"/>
        <w:tabs>
          <w:tab w:leader="none" w:pos="1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20"/>
          <w:szCs w:val="20"/>
          <w:color w:val="auto"/>
        </w:rPr>
        <w:t xml:space="preserve">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177"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6"/>
          <w:szCs w:val="16"/>
          <w:b w:val="1"/>
          <w:bCs w:val="1"/>
          <w:color w:val="auto"/>
        </w:rPr>
        <w:t>No Lender is an Employee Benefit Plan.</w:t>
      </w:r>
    </w:p>
    <w:p>
      <w:pPr>
        <w:spacing w:after="0" w:line="222" w:lineRule="exact"/>
        <w:rPr>
          <w:sz w:val="20"/>
          <w:szCs w:val="20"/>
          <w:color w:val="auto"/>
        </w:rPr>
      </w:pPr>
    </w:p>
    <w:p>
      <w:pPr>
        <w:jc w:val="both"/>
        <w:ind w:firstLine="885"/>
        <w:spacing w:after="0" w:line="246" w:lineRule="auto"/>
        <w:tabs>
          <w:tab w:leader="none" w:pos="1745" w:val="left"/>
        </w:tabs>
        <w:numPr>
          <w:ilvl w:val="0"/>
          <w:numId w:val="93"/>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w:t>
      </w:r>
    </w:p>
    <w:p>
      <w:pPr>
        <w:spacing w:after="0" w:line="191" w:lineRule="exact"/>
        <w:rPr>
          <w:rFonts w:ascii="Arial" w:cs="Arial" w:eastAsia="Arial" w:hAnsi="Arial"/>
          <w:sz w:val="20"/>
          <w:szCs w:val="20"/>
          <w:color w:val="auto"/>
        </w:rPr>
      </w:pPr>
    </w:p>
    <w:p>
      <w:pPr>
        <w:jc w:val="both"/>
        <w:ind w:left="880" w:firstLine="816"/>
        <w:spacing w:after="0" w:line="250" w:lineRule="auto"/>
        <w:tabs>
          <w:tab w:leader="none" w:pos="2525" w:val="left"/>
        </w:tabs>
        <w:numPr>
          <w:ilvl w:val="1"/>
          <w:numId w:val="9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6" w:lineRule="exact"/>
        <w:rPr>
          <w:rFonts w:ascii="Arial" w:cs="Arial" w:eastAsia="Arial" w:hAnsi="Arial"/>
          <w:sz w:val="20"/>
          <w:szCs w:val="20"/>
          <w:color w:val="auto"/>
        </w:rPr>
      </w:pPr>
    </w:p>
    <w:p>
      <w:pPr>
        <w:jc w:val="both"/>
        <w:ind w:left="880" w:firstLine="816"/>
        <w:spacing w:after="0" w:line="243" w:lineRule="auto"/>
        <w:tabs>
          <w:tab w:leader="none" w:pos="2580"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3" w:lineRule="exact"/>
        <w:rPr>
          <w:rFonts w:ascii="Arial" w:cs="Arial" w:eastAsia="Arial" w:hAnsi="Arial"/>
          <w:sz w:val="20"/>
          <w:szCs w:val="20"/>
          <w:color w:val="auto"/>
        </w:rPr>
      </w:pPr>
    </w:p>
    <w:p>
      <w:pPr>
        <w:jc w:val="both"/>
        <w:ind w:left="880" w:firstLine="816"/>
        <w:spacing w:after="0" w:line="258" w:lineRule="auto"/>
        <w:tabs>
          <w:tab w:leader="none" w:pos="2635" w:val="left"/>
        </w:tabs>
        <w:numPr>
          <w:ilvl w:val="1"/>
          <w:numId w:val="93"/>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9" w:lineRule="exact"/>
        <w:rPr>
          <w:rFonts w:ascii="Arial" w:cs="Arial" w:eastAsia="Arial" w:hAnsi="Arial"/>
          <w:sz w:val="19"/>
          <w:szCs w:val="19"/>
          <w:color w:val="auto"/>
        </w:rPr>
      </w:pPr>
    </w:p>
    <w:p>
      <w:pPr>
        <w:ind w:left="880" w:firstLine="816"/>
        <w:spacing w:after="0" w:line="260" w:lineRule="auto"/>
        <w:tabs>
          <w:tab w:leader="none" w:pos="2624" w:val="left"/>
        </w:tabs>
        <w:numPr>
          <w:ilvl w:val="1"/>
          <w:numId w:val="9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firstLine="885"/>
        <w:spacing w:after="0" w:line="243" w:lineRule="auto"/>
        <w:tabs>
          <w:tab w:leader="none" w:pos="1756"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none of the Administrative Agent or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6" w:name="page77"/>
    <w:bookmarkEnd w:id="76"/>
    <w:p>
      <w:pPr>
        <w:jc w:val="both"/>
        <w:spacing w:after="0" w:line="246" w:lineRule="auto"/>
        <w:rPr>
          <w:sz w:val="20"/>
          <w:szCs w:val="20"/>
          <w:color w:val="auto"/>
        </w:rPr>
      </w:pPr>
      <w:r>
        <w:rPr>
          <w:rFonts w:ascii="Arial" w:cs="Arial" w:eastAsia="Arial" w:hAnsi="Arial"/>
          <w:sz w:val="20"/>
          <w:szCs w:val="20"/>
          <w:color w:val="auto"/>
        </w:rPr>
        <w:t>Arrangers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8"/>
          <w:szCs w:val="18"/>
          <w:b w:val="1"/>
          <w:bCs w:val="1"/>
          <w:color w:val="auto"/>
        </w:rPr>
        <w:t xml:space="preserve">10.01 Amendments, Etc. </w:t>
      </w:r>
      <w:r>
        <w:rPr>
          <w:rFonts w:ascii="Arial" w:cs="Arial" w:eastAsia="Arial" w:hAnsi="Arial"/>
          <w:sz w:val="18"/>
          <w:szCs w:val="18"/>
          <w:color w:val="auto"/>
        </w:rPr>
        <w:t>Unless otherwise expressly provided herein, no amendment or waiver of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157" w:lineRule="exact"/>
        <w:rPr>
          <w:sz w:val="20"/>
          <w:szCs w:val="20"/>
          <w:color w:val="auto"/>
        </w:rPr>
      </w:pPr>
    </w:p>
    <w:p>
      <w:pPr>
        <w:ind w:left="1760" w:hanging="875"/>
        <w:spacing w:after="0"/>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without the written consent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each Lender;</w:t>
      </w:r>
    </w:p>
    <w:p>
      <w:pPr>
        <w:spacing w:after="0" w:line="199" w:lineRule="exact"/>
        <w:rPr>
          <w:rFonts w:ascii="Arial" w:cs="Arial" w:eastAsia="Arial" w:hAnsi="Arial"/>
          <w:sz w:val="18"/>
          <w:szCs w:val="18"/>
          <w:color w:val="auto"/>
        </w:rPr>
      </w:pPr>
    </w:p>
    <w:p>
      <w:pPr>
        <w:ind w:firstLine="885"/>
        <w:spacing w:after="0" w:line="260" w:lineRule="auto"/>
        <w:tabs>
          <w:tab w:leader="none" w:pos="17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extend or increase any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without the written consent of such Lender;</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745" w:val="left"/>
        </w:tabs>
        <w:numPr>
          <w:ilvl w:val="0"/>
          <w:numId w:val="94"/>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186" w:lineRule="exact"/>
        <w:rPr>
          <w:rFonts w:ascii="Arial" w:cs="Arial" w:eastAsia="Arial" w:hAnsi="Arial"/>
          <w:sz w:val="20"/>
          <w:szCs w:val="20"/>
          <w:color w:val="auto"/>
        </w:rPr>
      </w:pPr>
    </w:p>
    <w:p>
      <w:pPr>
        <w:jc w:val="both"/>
        <w:ind w:firstLine="885"/>
        <w:spacing w:after="0" w:line="243" w:lineRule="auto"/>
        <w:tabs>
          <w:tab w:leader="none" w:pos="17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(subject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on any Loan or to reduce any fee payable hereunder;</w:t>
      </w:r>
    </w:p>
    <w:p>
      <w:pPr>
        <w:spacing w:after="0" w:line="196" w:lineRule="exact"/>
        <w:rPr>
          <w:rFonts w:ascii="Arial" w:cs="Arial" w:eastAsia="Arial" w:hAnsi="Arial"/>
          <w:sz w:val="20"/>
          <w:szCs w:val="20"/>
          <w:color w:val="auto"/>
        </w:rPr>
      </w:pPr>
    </w:p>
    <w:p>
      <w:pPr>
        <w:ind w:firstLine="885"/>
        <w:spacing w:after="0" w:line="260" w:lineRule="auto"/>
        <w:tabs>
          <w:tab w:leader="none" w:pos="1745"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pro rata sharing of payments or reductions in Commitments required thereby without the written consent of each Lender; and</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723" w:val="left"/>
        </w:tabs>
        <w:numPr>
          <w:ilvl w:val="0"/>
          <w:numId w:val="94"/>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no Commitment of any Defaulting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7" w:name="page78"/>
    <w:bookmarkEnd w:id="77"/>
    <w:p>
      <w:pPr>
        <w:jc w:val="both"/>
        <w:ind w:right="20"/>
        <w:spacing w:after="0" w:line="250" w:lineRule="auto"/>
        <w:rPr>
          <w:sz w:val="20"/>
          <w:szCs w:val="20"/>
          <w:color w:val="auto"/>
        </w:rPr>
      </w:pPr>
      <w:r>
        <w:rPr>
          <w:rFonts w:ascii="Arial" w:cs="Arial" w:eastAsia="Arial" w:hAnsi="Arial"/>
          <w:sz w:val="20"/>
          <w:szCs w:val="20"/>
          <w:color w:val="auto"/>
        </w:rPr>
        <w:t>Lender may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p>
    <w:p>
      <w:pPr>
        <w:spacing w:after="0" w:line="222" w:lineRule="exact"/>
        <w:rPr>
          <w:sz w:val="20"/>
          <w:szCs w:val="20"/>
          <w:color w:val="auto"/>
        </w:rPr>
      </w:pPr>
    </w:p>
    <w:p>
      <w:pPr>
        <w:jc w:val="both"/>
        <w:ind w:firstLine="885"/>
        <w:spacing w:after="0" w:line="244" w:lineRule="auto"/>
        <w:tabs>
          <w:tab w:leader="none" w:pos="1745"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 permitted hereunder to be given by telephone shall be made to the applicable telephone number, as follows:</w:t>
      </w:r>
    </w:p>
    <w:p>
      <w:pPr>
        <w:spacing w:after="0" w:line="194" w:lineRule="exact"/>
        <w:rPr>
          <w:rFonts w:ascii="Arial" w:cs="Arial" w:eastAsia="Arial" w:hAnsi="Arial"/>
          <w:sz w:val="20"/>
          <w:szCs w:val="20"/>
          <w:color w:val="auto"/>
        </w:rPr>
      </w:pPr>
    </w:p>
    <w:p>
      <w:pPr>
        <w:ind w:left="880" w:firstLine="816"/>
        <w:spacing w:after="0" w:line="260" w:lineRule="auto"/>
        <w:tabs>
          <w:tab w:leader="none" w:pos="2525"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if to the Borrower or the Administrative Agent to the address,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880" w:firstLine="816"/>
        <w:spacing w:after="0" w:line="246" w:lineRule="auto"/>
        <w:tabs>
          <w:tab w:leader="none" w:pos="25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(b)</w:t>
      </w:r>
      <w:r>
        <w:rPr>
          <w:rFonts w:ascii="Arial" w:cs="Arial" w:eastAsia="Arial" w:hAnsi="Arial"/>
          <w:sz w:val="20"/>
          <w:szCs w:val="20"/>
          <w:color w:val="auto"/>
        </w:rPr>
        <w:t>.</w:t>
      </w:r>
    </w:p>
    <w:p>
      <w:pPr>
        <w:spacing w:after="0" w:line="186" w:lineRule="exact"/>
        <w:rPr>
          <w:sz w:val="20"/>
          <w:szCs w:val="20"/>
          <w:color w:val="auto"/>
        </w:rPr>
      </w:pPr>
    </w:p>
    <w:p>
      <w:pPr>
        <w:jc w:val="both"/>
        <w:ind w:firstLine="885"/>
        <w:spacing w:after="0" w:line="276" w:lineRule="auto"/>
        <w:tabs>
          <w:tab w:leader="none" w:pos="175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6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(ii), if such notice, e-mail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8" w:name="page79"/>
    <w:bookmarkEnd w:id="78"/>
    <w:p>
      <w:pPr>
        <w:spacing w:after="0" w:line="260" w:lineRule="auto"/>
        <w:rPr>
          <w:sz w:val="20"/>
          <w:szCs w:val="20"/>
          <w:color w:val="auto"/>
        </w:rPr>
      </w:pPr>
      <w:r>
        <w:rPr>
          <w:rFonts w:ascii="Arial" w:cs="Arial" w:eastAsia="Arial" w:hAnsi="Arial"/>
          <w:sz w:val="20"/>
          <w:szCs w:val="20"/>
          <w:color w:val="auto"/>
        </w:rPr>
        <w:t>other communication is not sent during the normal business hours of the recipient, such notice, e-mail or communication shall be deemed to have been sent at the opening of business on the next Business Day for the recipient.</w:t>
      </w:r>
    </w:p>
    <w:p>
      <w:pPr>
        <w:spacing w:after="0" w:line="177" w:lineRule="exact"/>
        <w:rPr>
          <w:sz w:val="20"/>
          <w:szCs w:val="20"/>
          <w:color w:val="auto"/>
        </w:rPr>
      </w:pPr>
    </w:p>
    <w:p>
      <w:pPr>
        <w:ind w:left="1760" w:hanging="875"/>
        <w:spacing w:after="0"/>
        <w:tabs>
          <w:tab w:leader="none" w:pos="1760" w:val="left"/>
        </w:tabs>
        <w:numPr>
          <w:ilvl w:val="1"/>
          <w:numId w:val="97"/>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15" w:lineRule="exact"/>
        <w:rPr>
          <w:rFonts w:ascii="Arial" w:cs="Arial" w:eastAsia="Arial" w:hAnsi="Arial"/>
          <w:sz w:val="20"/>
          <w:szCs w:val="20"/>
          <w:color w:val="auto"/>
        </w:rPr>
      </w:pPr>
    </w:p>
    <w:p>
      <w:pPr>
        <w:jc w:val="both"/>
        <w:spacing w:after="0" w:line="268" w:lineRule="auto"/>
        <w:rPr>
          <w:rFonts w:ascii="Arial" w:cs="Arial" w:eastAsia="Arial" w:hAnsi="Arial"/>
          <w:sz w:val="20"/>
          <w:szCs w:val="20"/>
          <w:color w:val="auto"/>
        </w:rPr>
      </w:pPr>
      <w:r>
        <w:rPr>
          <w:rFonts w:ascii="Arial" w:cs="Arial" w:eastAsia="Arial" w:hAnsi="Arial"/>
          <w:sz w:val="18"/>
          <w:szCs w:val="18"/>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the Borrower, any Lender or any other Person for losses, claims, damages, liabilities or expenses of any kind (whether in tort, contract or otherwise) (x) arising out of the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Lender or any other Person for indirect, special, incidental, consequential or punitive damages (as opposed to direct or actual damages).</w:t>
      </w:r>
    </w:p>
    <w:p>
      <w:pPr>
        <w:spacing w:after="0" w:line="176" w:lineRule="exact"/>
        <w:rPr>
          <w:rFonts w:ascii="Arial" w:cs="Arial" w:eastAsia="Arial" w:hAnsi="Arial"/>
          <w:sz w:val="20"/>
          <w:szCs w:val="20"/>
          <w:color w:val="auto"/>
        </w:rPr>
      </w:pPr>
    </w:p>
    <w:p>
      <w:pPr>
        <w:jc w:val="both"/>
        <w:ind w:firstLine="885"/>
        <w:spacing w:after="0" w:line="271" w:lineRule="auto"/>
        <w:tabs>
          <w:tab w:leader="none" w:pos="175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 and the Administrative Agent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0" w:lineRule="exact"/>
        <w:rPr>
          <w:rFonts w:ascii="Arial" w:cs="Arial" w:eastAsia="Arial" w:hAnsi="Arial"/>
          <w:sz w:val="18"/>
          <w:szCs w:val="18"/>
          <w:color w:val="auto"/>
        </w:rPr>
      </w:pPr>
    </w:p>
    <w:p>
      <w:pPr>
        <w:jc w:val="both"/>
        <w:ind w:firstLine="885"/>
        <w:spacing w:after="0" w:line="272" w:lineRule="auto"/>
        <w:tabs>
          <w:tab w:leader="none" w:pos="1745"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notices and Loan Notices) purportedly given by or on behalf of the Borrower even if (i) such notices were not made in a manner specified herein, were incomplete or were not preceded or followed by any other form of notice specified herein, or</w:t>
      </w:r>
    </w:p>
    <w:p>
      <w:pPr>
        <w:spacing w:after="0" w:line="1" w:lineRule="exact"/>
        <w:rPr>
          <w:rFonts w:ascii="Arial" w:cs="Arial" w:eastAsia="Arial" w:hAnsi="Arial"/>
          <w:sz w:val="18"/>
          <w:szCs w:val="18"/>
          <w:color w:val="auto"/>
        </w:rPr>
      </w:pPr>
    </w:p>
    <w:p>
      <w:pPr>
        <w:jc w:val="both"/>
        <w:ind w:firstLine="8"/>
        <w:spacing w:after="0" w:line="282" w:lineRule="auto"/>
        <w:tabs>
          <w:tab w:leader="none" w:pos="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0"/>
          <w:szCs w:val="20"/>
          <w:color w:val="auto"/>
        </w:rPr>
        <w:t>communications with the Administrative Agent may be recorded by the Administrative Agent, and each of the parties hereto hereby consents to such recording.</w:t>
      </w:r>
    </w:p>
    <w:p>
      <w:pPr>
        <w:spacing w:after="0" w:line="171"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 xml:space="preserve">10.03 No Waiver; Cumulative Remedies; Enforcement. </w:t>
      </w:r>
      <w:r>
        <w:rPr>
          <w:rFonts w:ascii="Arial" w:cs="Arial" w:eastAsia="Arial" w:hAnsi="Arial"/>
          <w:sz w:val="20"/>
          <w:szCs w:val="20"/>
          <w:color w:val="auto"/>
        </w:rPr>
        <w:t>No failure by any Lender or the Administrative Agent to</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1"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(d) any Lender from filing proofs of claim or appearing and filing pleadings on its own behalf during the pendency of a proceeding relative to the Borrower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2.11</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7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p>
    <w:p>
      <w:pPr>
        <w:spacing w:after="0" w:line="222" w:lineRule="exact"/>
        <w:rPr>
          <w:sz w:val="20"/>
          <w:szCs w:val="20"/>
          <w:color w:val="auto"/>
        </w:rPr>
      </w:pPr>
    </w:p>
    <w:p>
      <w:pPr>
        <w:jc w:val="both"/>
        <w:ind w:firstLine="885"/>
        <w:spacing w:after="0" w:line="256" w:lineRule="auto"/>
        <w:tabs>
          <w:tab w:leader="none" w:pos="1745"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 of 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 of pocket expenses incurred during any workout, restructuring or negotiations in respect of such Loans.</w:t>
      </w:r>
    </w:p>
    <w:p>
      <w:pPr>
        <w:spacing w:after="0" w:line="184" w:lineRule="exact"/>
        <w:rPr>
          <w:rFonts w:ascii="Arial" w:cs="Arial" w:eastAsia="Arial" w:hAnsi="Arial"/>
          <w:sz w:val="19"/>
          <w:szCs w:val="19"/>
          <w:color w:val="auto"/>
        </w:rPr>
      </w:pPr>
    </w:p>
    <w:p>
      <w:pPr>
        <w:jc w:val="both"/>
        <w:ind w:firstLine="885"/>
        <w:spacing w:after="0" w:line="274" w:lineRule="auto"/>
        <w:tabs>
          <w:tab w:leader="none" w:pos="175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0" w:name="page81"/>
    <w:bookmarkEnd w:id="80"/>
    <w:p>
      <w:pPr>
        <w:jc w:val="both"/>
        <w:spacing w:after="0" w:line="269" w:lineRule="auto"/>
        <w:rPr>
          <w:sz w:val="20"/>
          <w:szCs w:val="20"/>
          <w:color w:val="auto"/>
        </w:rPr>
      </w:pPr>
      <w:r>
        <w:rPr>
          <w:rFonts w:ascii="Arial" w:cs="Arial" w:eastAsia="Arial" w:hAnsi="Arial"/>
          <w:sz w:val="18"/>
          <w:szCs w:val="18"/>
          <w:color w:val="auto"/>
        </w:rPr>
        <w:t xml:space="preserve">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8"/>
          <w:szCs w:val="18"/>
          <w:b w:val="1"/>
          <w:bCs w:val="1"/>
          <w:color w:val="auto"/>
        </w:rPr>
        <w:t>IN ALL CASES, WHETHER OR NOT CAUSED BY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OR ARISING, IN WHOLE OR IN PART, OUT OF THE COMPARATIVE, CONTRIBUTORY OR SOLE NEGLIGENCE OF THE INDEMNITEE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such indemnity shall not, as to any Indemnitee, be available to the extent that such losses, claims, damages,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Without limiting the provisions of </w:t>
      </w:r>
      <w:r>
        <w:rPr>
          <w:rFonts w:ascii="Arial" w:cs="Arial" w:eastAsia="Arial" w:hAnsi="Arial"/>
          <w:sz w:val="20"/>
          <w:szCs w:val="20"/>
          <w:u w:val="single" w:color="auto"/>
          <w:color w:val="auto"/>
        </w:rPr>
        <w:t>Section 3.01(c),</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10.04(b)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197" w:lineRule="exact"/>
        <w:rPr>
          <w:sz w:val="20"/>
          <w:szCs w:val="20"/>
          <w:color w:val="auto"/>
        </w:rPr>
      </w:pPr>
    </w:p>
    <w:p>
      <w:pPr>
        <w:jc w:val="both"/>
        <w:ind w:firstLine="885"/>
        <w:spacing w:after="0" w:line="271" w:lineRule="auto"/>
        <w:tabs>
          <w:tab w:leader="none" w:pos="174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to indefeasibly pay any amount required under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to be paid by it to the Administrative Agent (or any sub-agent thereof) or any Related Party, each Lender severally agrees to pay to the Administrative Agent (or any such sub-agent)or any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acting for the Administrative Agent (or any such sub-agent) in connection with such capacity. The obligations of the Lenders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firstLine="885"/>
        <w:spacing w:after="0" w:line="272" w:lineRule="auto"/>
        <w:tabs>
          <w:tab w:leader="none" w:pos="175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1" w:lineRule="exact"/>
        <w:rPr>
          <w:rFonts w:ascii="Arial" w:cs="Arial" w:eastAsia="Arial" w:hAnsi="Arial"/>
          <w:sz w:val="18"/>
          <w:szCs w:val="18"/>
          <w:color w:val="auto"/>
        </w:rPr>
      </w:pPr>
    </w:p>
    <w:p>
      <w:pPr>
        <w:ind w:left="1760" w:hanging="875"/>
        <w:spacing w:after="0"/>
        <w:tabs>
          <w:tab w:leader="none" w:pos="176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thirty days after demand therefor.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1" w:name="page82"/>
    <w:bookmarkEnd w:id="81"/>
    <w:p>
      <w:pPr>
        <w:ind w:right="20" w:firstLine="885"/>
        <w:spacing w:after="0" w:line="287" w:lineRule="auto"/>
        <w:tabs>
          <w:tab w:leader="none" w:pos="172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47"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b w:val="1"/>
          <w:bCs w:val="1"/>
          <w:color w:val="auto"/>
        </w:rPr>
        <w:t xml:space="preserve">10.05 Payments Set Aside. </w:t>
      </w:r>
      <w:r>
        <w:rPr>
          <w:rFonts w:ascii="Arial" w:cs="Arial" w:eastAsia="Arial" w:hAnsi="Arial"/>
          <w:sz w:val="18"/>
          <w:szCs w:val="18"/>
          <w:color w:val="auto"/>
        </w:rPr>
        <w:t>To the extent that any payment by or on behalf of the Borrower is made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Federal Funds Rate from time to time in effect. The obligations of the Lenders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payment in full of the Obligations and the termination of this Agreement.</w:t>
      </w:r>
    </w:p>
    <w:p>
      <w:pPr>
        <w:spacing w:after="0" w:line="166"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6"/>
          <w:szCs w:val="16"/>
          <w:b w:val="1"/>
          <w:bCs w:val="1"/>
          <w:color w:val="auto"/>
        </w:rPr>
        <w:t>Successors and Assigns.</w:t>
      </w:r>
    </w:p>
    <w:p>
      <w:pPr>
        <w:spacing w:after="0" w:line="222" w:lineRule="exact"/>
        <w:rPr>
          <w:sz w:val="20"/>
          <w:szCs w:val="20"/>
          <w:color w:val="auto"/>
        </w:rPr>
      </w:pPr>
    </w:p>
    <w:p>
      <w:pPr>
        <w:jc w:val="both"/>
        <w:ind w:firstLine="885"/>
        <w:spacing w:after="0" w:line="271" w:lineRule="auto"/>
        <w:tabs>
          <w:tab w:leader="none" w:pos="174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74" w:lineRule="exact"/>
        <w:rPr>
          <w:rFonts w:ascii="Arial" w:cs="Arial" w:eastAsia="Arial" w:hAnsi="Arial"/>
          <w:sz w:val="18"/>
          <w:szCs w:val="18"/>
          <w:color w:val="auto"/>
        </w:rPr>
      </w:pPr>
    </w:p>
    <w:p>
      <w:pPr>
        <w:jc w:val="both"/>
        <w:ind w:firstLine="885"/>
        <w:spacing w:after="0" w:line="250" w:lineRule="auto"/>
        <w:tabs>
          <w:tab w:leader="none" w:pos="1756"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with respect to any Facility) any such assignment shall be subject to the following conditions:</w:t>
      </w:r>
    </w:p>
    <w:p>
      <w:pPr>
        <w:spacing w:after="0" w:line="186" w:lineRule="exact"/>
        <w:rPr>
          <w:rFonts w:ascii="Arial" w:cs="Arial" w:eastAsia="Arial" w:hAnsi="Arial"/>
          <w:sz w:val="20"/>
          <w:szCs w:val="20"/>
          <w:color w:val="auto"/>
        </w:rPr>
      </w:pPr>
    </w:p>
    <w:p>
      <w:pPr>
        <w:ind w:left="2540" w:hanging="844"/>
        <w:spacing w:after="0"/>
        <w:tabs>
          <w:tab w:leader="none" w:pos="2540"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760" w:firstLine="746"/>
        <w:spacing w:after="0" w:line="238" w:lineRule="auto"/>
        <w:tabs>
          <w:tab w:leader="none" w:pos="3451" w:val="left"/>
        </w:tabs>
        <w:numPr>
          <w:ilvl w:val="2"/>
          <w:numId w:val="102"/>
        </w:numPr>
        <w:rPr>
          <w:rFonts w:ascii="Arial" w:cs="Arial" w:eastAsia="Arial" w:hAnsi="Arial"/>
          <w:sz w:val="22"/>
          <w:szCs w:val="22"/>
          <w:color w:val="auto"/>
        </w:rPr>
      </w:pPr>
      <w:r>
        <w:rPr>
          <w:rFonts w:ascii="Arial" w:cs="Arial" w:eastAsia="Arial" w:hAnsi="Arial"/>
          <w:sz w:val="20"/>
          <w:szCs w:val="20"/>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211" w:lineRule="exact"/>
        <w:rPr>
          <w:rFonts w:ascii="Arial" w:cs="Arial" w:eastAsia="Arial" w:hAnsi="Arial"/>
          <w:sz w:val="22"/>
          <w:szCs w:val="22"/>
          <w:color w:val="auto"/>
        </w:rPr>
      </w:pPr>
    </w:p>
    <w:p>
      <w:pPr>
        <w:jc w:val="both"/>
        <w:ind w:left="1760" w:firstLine="746"/>
        <w:spacing w:after="0" w:line="239" w:lineRule="auto"/>
        <w:tabs>
          <w:tab w:leader="none" w:pos="3439" w:val="left"/>
        </w:tabs>
        <w:numPr>
          <w:ilvl w:val="2"/>
          <w:numId w:val="102"/>
        </w:numPr>
        <w:rPr>
          <w:rFonts w:ascii="Arial" w:cs="Arial" w:eastAsia="Arial" w:hAnsi="Arial"/>
          <w:sz w:val="22"/>
          <w:szCs w:val="22"/>
          <w:color w:val="auto"/>
        </w:rPr>
      </w:pPr>
      <w:r>
        <w:rPr>
          <w:rFonts w:ascii="Arial" w:cs="Arial" w:eastAsia="Arial" w:hAnsi="Arial"/>
          <w:sz w:val="20"/>
          <w:szCs w:val="20"/>
          <w:color w:val="auto"/>
        </w:rPr>
        <w:t xml:space="preserve">in any case not described in </w:t>
      </w:r>
      <w:r>
        <w:rPr>
          <w:rFonts w:ascii="Arial" w:cs="Arial" w:eastAsia="Arial" w:hAnsi="Arial"/>
          <w:sz w:val="20"/>
          <w:szCs w:val="20"/>
          <w:u w:val="single" w:color="auto"/>
          <w:color w:val="auto"/>
        </w:rPr>
        <w:t>subsection (b)(i)(A)</w:t>
      </w:r>
      <w:r>
        <w:rPr>
          <w:rFonts w:ascii="Arial" w:cs="Arial" w:eastAsia="Arial" w:hAnsi="Arial"/>
          <w:sz w:val="20"/>
          <w:szCs w:val="20"/>
          <w:color w:val="auto"/>
        </w:rPr>
        <w:t xml:space="preserve">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2" w:name="page83"/>
    <w:bookmarkEnd w:id="82"/>
    <w:p>
      <w:pPr>
        <w:jc w:val="both"/>
        <w:ind w:left="560"/>
        <w:spacing w:after="0" w:line="274" w:lineRule="auto"/>
        <w:rPr>
          <w:sz w:val="20"/>
          <w:szCs w:val="20"/>
          <w:color w:val="auto"/>
        </w:rPr>
      </w:pPr>
      <w:r>
        <w:rPr>
          <w:rFonts w:ascii="Arial" w:cs="Arial" w:eastAsia="Arial" w:hAnsi="Arial"/>
          <w:sz w:val="18"/>
          <w:szCs w:val="18"/>
          <w:color w:val="auto"/>
        </w:rPr>
        <w:t xml:space="preserve">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9" w:lineRule="exact"/>
        <w:rPr>
          <w:sz w:val="20"/>
          <w:szCs w:val="20"/>
          <w:color w:val="auto"/>
        </w:rPr>
      </w:pPr>
    </w:p>
    <w:p>
      <w:pPr>
        <w:jc w:val="both"/>
        <w:ind w:left="-320" w:firstLine="816"/>
        <w:spacing w:after="0" w:line="246" w:lineRule="auto"/>
        <w:tabs>
          <w:tab w:leader="none" w:pos="138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Loans or the Commitment assigned, except that this clause (ii) shall not prohibit any Lender from assigning all or a portion of its rights and obligations provided hereunder among the Facilities on a non-pro rata basis.</w:t>
      </w:r>
    </w:p>
    <w:p>
      <w:pPr>
        <w:spacing w:after="0" w:line="191" w:lineRule="exact"/>
        <w:rPr>
          <w:rFonts w:ascii="Arial" w:cs="Arial" w:eastAsia="Arial" w:hAnsi="Arial"/>
          <w:sz w:val="20"/>
          <w:szCs w:val="20"/>
          <w:color w:val="auto"/>
        </w:rPr>
      </w:pPr>
    </w:p>
    <w:p>
      <w:pPr>
        <w:ind w:left="-320" w:firstLine="816"/>
        <w:spacing w:after="0" w:line="260" w:lineRule="auto"/>
        <w:tabs>
          <w:tab w:leader="none" w:pos="1435"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and, in addition:</w:t>
      </w:r>
    </w:p>
    <w:p>
      <w:pPr>
        <w:spacing w:after="0" w:line="190" w:lineRule="exact"/>
        <w:rPr>
          <w:rFonts w:ascii="Arial" w:cs="Arial" w:eastAsia="Arial" w:hAnsi="Arial"/>
          <w:sz w:val="20"/>
          <w:szCs w:val="20"/>
          <w:color w:val="auto"/>
        </w:rPr>
      </w:pPr>
    </w:p>
    <w:p>
      <w:pPr>
        <w:jc w:val="both"/>
        <w:ind w:left="560" w:firstLine="746"/>
        <w:spacing w:after="0" w:line="239" w:lineRule="auto"/>
        <w:tabs>
          <w:tab w:leader="none" w:pos="2251" w:val="left"/>
        </w:tabs>
        <w:numPr>
          <w:ilvl w:val="1"/>
          <w:numId w:val="103"/>
        </w:numPr>
        <w:rPr>
          <w:rFonts w:ascii="Arial" w:cs="Arial" w:eastAsia="Arial" w:hAnsi="Arial"/>
          <w:sz w:val="22"/>
          <w:szCs w:val="22"/>
          <w:color w:val="auto"/>
        </w:rPr>
      </w:pPr>
      <w:r>
        <w:rPr>
          <w:rFonts w:ascii="Arial" w:cs="Arial" w:eastAsia="Arial" w:hAnsi="Arial"/>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ten (10) days after having received notice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the Borrower’s consent shall be deemed reasonably withheld where such assignment would result in additional or increased costs to the Borrower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3.04</w:t>
      </w:r>
      <w:r>
        <w:rPr>
          <w:rFonts w:ascii="Arial" w:cs="Arial" w:eastAsia="Arial" w:hAnsi="Arial"/>
          <w:sz w:val="20"/>
          <w:szCs w:val="20"/>
          <w:color w:val="auto"/>
        </w:rPr>
        <w:t>; and</w:t>
      </w:r>
    </w:p>
    <w:p>
      <w:pPr>
        <w:spacing w:after="0" w:line="210" w:lineRule="exact"/>
        <w:rPr>
          <w:rFonts w:ascii="Arial" w:cs="Arial" w:eastAsia="Arial" w:hAnsi="Arial"/>
          <w:sz w:val="22"/>
          <w:szCs w:val="22"/>
          <w:color w:val="auto"/>
        </w:rPr>
      </w:pPr>
    </w:p>
    <w:p>
      <w:pPr>
        <w:ind w:left="560" w:firstLine="746"/>
        <w:spacing w:after="0" w:line="303" w:lineRule="auto"/>
        <w:tabs>
          <w:tab w:leader="none" w:pos="2239" w:val="left"/>
        </w:tabs>
        <w:numPr>
          <w:ilvl w:val="1"/>
          <w:numId w:val="103"/>
        </w:numPr>
        <w:rPr>
          <w:rFonts w:ascii="Arial" w:cs="Arial" w:eastAsia="Arial" w:hAnsi="Arial"/>
          <w:sz w:val="19"/>
          <w:szCs w:val="19"/>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a Lender or an Approved Fund.</w:t>
      </w:r>
    </w:p>
    <w:p>
      <w:pPr>
        <w:spacing w:after="0" w:line="138" w:lineRule="exact"/>
        <w:rPr>
          <w:rFonts w:ascii="Arial" w:cs="Arial" w:eastAsia="Arial" w:hAnsi="Arial"/>
          <w:sz w:val="19"/>
          <w:szCs w:val="19"/>
          <w:color w:val="auto"/>
        </w:rPr>
      </w:pPr>
    </w:p>
    <w:p>
      <w:pPr>
        <w:jc w:val="both"/>
        <w:ind w:left="-320" w:right="20" w:firstLine="816"/>
        <w:spacing w:after="0" w:line="282" w:lineRule="auto"/>
        <w:tabs>
          <w:tab w:leader="none" w:pos="142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1" w:lineRule="exact"/>
        <w:rPr>
          <w:rFonts w:ascii="Arial" w:cs="Arial" w:eastAsia="Arial" w:hAnsi="Arial"/>
          <w:sz w:val="18"/>
          <w:szCs w:val="18"/>
          <w:color w:val="auto"/>
        </w:rPr>
      </w:pPr>
    </w:p>
    <w:p>
      <w:pPr>
        <w:jc w:val="both"/>
        <w:ind w:left="-320" w:firstLine="816"/>
        <w:spacing w:after="0" w:line="269" w:lineRule="auto"/>
        <w:tabs>
          <w:tab w:leader="none" w:pos="1369"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xml:space="preserve">. No such assignment shall be made (A) to the Borrower or its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 or (C) to a natural person.</w:t>
      </w:r>
    </w:p>
    <w:p>
      <w:pPr>
        <w:spacing w:after="0" w:line="170" w:lineRule="exact"/>
        <w:rPr>
          <w:rFonts w:ascii="Arial" w:cs="Arial" w:eastAsia="Arial" w:hAnsi="Arial"/>
          <w:sz w:val="19"/>
          <w:szCs w:val="19"/>
          <w:color w:val="auto"/>
        </w:rPr>
      </w:pPr>
    </w:p>
    <w:p>
      <w:pPr>
        <w:jc w:val="both"/>
        <w:ind w:left="-320" w:firstLine="816"/>
        <w:spacing w:after="0" w:line="282" w:lineRule="auto"/>
        <w:tabs>
          <w:tab w:leader="none" w:pos="142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w:t>
      </w:r>
    </w:p>
    <w:p>
      <w:pPr>
        <w:spacing w:after="0" w:line="15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157480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83" w:name="page84"/>
    <w:bookmarkEnd w:id="83"/>
    <w:p>
      <w:pPr>
        <w:jc w:val="both"/>
        <w:ind w:left="880"/>
        <w:spacing w:after="0" w:line="273" w:lineRule="auto"/>
        <w:rPr>
          <w:sz w:val="20"/>
          <w:szCs w:val="20"/>
          <w:color w:val="auto"/>
        </w:rPr>
      </w:pPr>
      <w:r>
        <w:rPr>
          <w:rFonts w:ascii="Arial" w:cs="Arial" w:eastAsia="Arial" w:hAnsi="Arial"/>
          <w:sz w:val="18"/>
          <w:szCs w:val="18"/>
          <w:color w:val="auto"/>
        </w:rPr>
        <w:t>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w:t>
      </w:r>
    </w:p>
    <w:p>
      <w:pPr>
        <w:spacing w:after="0" w:line="185" w:lineRule="exact"/>
        <w:rPr>
          <w:sz w:val="20"/>
          <w:szCs w:val="20"/>
          <w:color w:val="auto"/>
        </w:rPr>
      </w:pPr>
    </w:p>
    <w:p>
      <w:pPr>
        <w:jc w:val="both"/>
        <w:ind w:firstLine="885"/>
        <w:spacing w:after="0" w:line="257" w:lineRule="auto"/>
        <w:tabs>
          <w:tab w:leader="none" w:pos="174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1" w:lineRule="exact"/>
        <w:rPr>
          <w:rFonts w:ascii="Arial" w:cs="Arial" w:eastAsia="Arial" w:hAnsi="Arial"/>
          <w:sz w:val="19"/>
          <w:szCs w:val="19"/>
          <w:color w:val="auto"/>
        </w:rPr>
      </w:pPr>
    </w:p>
    <w:p>
      <w:pPr>
        <w:jc w:val="both"/>
        <w:ind w:firstLine="885"/>
        <w:spacing w:after="0" w:line="257" w:lineRule="auto"/>
        <w:tabs>
          <w:tab w:leader="none" w:pos="175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a Defaulting Lender or the Borrower or any Affiliate or Subsidiary of the Borrower)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without regard to the existence of any participation.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4" w:name="page85"/>
    <w:bookmarkEnd w:id="84"/>
    <w:p>
      <w:pPr>
        <w:jc w:val="both"/>
        <w:ind w:firstLine="877"/>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Subject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as though it were a Lender.</w:t>
      </w:r>
    </w:p>
    <w:p>
      <w:pPr>
        <w:spacing w:after="0" w:line="180"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5" w:lineRule="exact"/>
        <w:rPr>
          <w:sz w:val="20"/>
          <w:szCs w:val="20"/>
          <w:color w:val="auto"/>
        </w:rPr>
      </w:pPr>
    </w:p>
    <w:p>
      <w:pPr>
        <w:jc w:val="both"/>
        <w:ind w:firstLine="885"/>
        <w:spacing w:after="0" w:line="278" w:lineRule="auto"/>
        <w:tabs>
          <w:tab w:leader="none" w:pos="174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Limitation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65" w:lineRule="exact"/>
        <w:rPr>
          <w:rFonts w:ascii="Arial" w:cs="Arial" w:eastAsia="Arial" w:hAnsi="Arial"/>
          <w:sz w:val="18"/>
          <w:szCs w:val="18"/>
          <w:color w:val="auto"/>
        </w:rPr>
      </w:pPr>
    </w:p>
    <w:p>
      <w:pPr>
        <w:jc w:val="both"/>
        <w:ind w:firstLine="885"/>
        <w:spacing w:after="0" w:line="246" w:lineRule="auto"/>
        <w:tabs>
          <w:tab w:leader="none" w:pos="172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10.07 Treatment of Certain Information; Confidentiality</w:t>
      </w:r>
      <w:r>
        <w:rPr>
          <w:rFonts w:ascii="Arial" w:cs="Arial" w:eastAsia="Arial" w:hAnsi="Arial"/>
          <w:sz w:val="20"/>
          <w:szCs w:val="20"/>
          <w:color w:val="auto"/>
        </w:rPr>
        <w:t>. Each of the Administrative Agent and the Lenders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the confidentiality of the Information (as defined below), except that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5" w:name="page86"/>
    <w:bookmarkEnd w:id="85"/>
    <w:p>
      <w:pPr>
        <w:jc w:val="both"/>
        <w:spacing w:after="0" w:line="302" w:lineRule="auto"/>
        <w:rPr>
          <w:sz w:val="20"/>
          <w:szCs w:val="20"/>
          <w:color w:val="auto"/>
        </w:rPr>
      </w:pPr>
      <w:r>
        <w:rPr>
          <w:rFonts w:ascii="Arial" w:cs="Arial" w:eastAsia="Arial" w:hAnsi="Arial"/>
          <w:sz w:val="16"/>
          <w:szCs w:val="16"/>
          <w:color w:val="auto"/>
        </w:rPr>
        <w:t>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w:t>
      </w:r>
    </w:p>
    <w:p>
      <w:pPr>
        <w:spacing w:after="0" w:line="1" w:lineRule="exact"/>
        <w:rPr>
          <w:sz w:val="20"/>
          <w:szCs w:val="20"/>
          <w:color w:val="auto"/>
        </w:rPr>
      </w:pPr>
    </w:p>
    <w:p>
      <w:pPr>
        <w:jc w:val="both"/>
        <w:ind w:firstLine="8"/>
        <w:spacing w:after="0" w:line="272" w:lineRule="auto"/>
        <w:tabs>
          <w:tab w:leader="none" w:pos="2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w:t>
      </w:r>
    </w:p>
    <w:p>
      <w:pPr>
        <w:spacing w:after="0" w:line="170"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6"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b w:val="1"/>
          <w:bCs w:val="1"/>
          <w:color w:val="auto"/>
        </w:rPr>
        <w:t xml:space="preserve">10.08 Right of Setoff. </w:t>
      </w:r>
      <w:r>
        <w:rPr>
          <w:rFonts w:ascii="Arial" w:cs="Arial" w:eastAsia="Arial" w:hAnsi="Arial"/>
          <w:sz w:val="19"/>
          <w:szCs w:val="19"/>
          <w:color w:val="auto"/>
        </w:rPr>
        <w:t>If an Event of Default shall have occurred and be continuing, each Lender and each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6" w:name="page87"/>
    <w:bookmarkEnd w:id="86"/>
    <w:p>
      <w:pPr>
        <w:jc w:val="both"/>
        <w:ind w:right="20"/>
        <w:spacing w:after="0" w:line="250" w:lineRule="auto"/>
        <w:rPr>
          <w:sz w:val="20"/>
          <w:szCs w:val="20"/>
          <w:color w:val="auto"/>
        </w:rPr>
      </w:pPr>
      <w:r>
        <w:rPr>
          <w:rFonts w:ascii="Arial" w:cs="Arial" w:eastAsia="Arial" w:hAnsi="Arial"/>
          <w:sz w:val="20"/>
          <w:szCs w:val="20"/>
          <w:color w:val="auto"/>
        </w:rPr>
        <w:t xml:space="preserve">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180"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b w:val="1"/>
          <w:bCs w:val="1"/>
          <w:color w:val="auto"/>
        </w:rPr>
        <w:t xml:space="preserve">10.09 Interest Rate Limitation. </w:t>
      </w:r>
      <w:r>
        <w:rPr>
          <w:rFonts w:ascii="Arial" w:cs="Arial" w:eastAsia="Arial" w:hAnsi="Arial"/>
          <w:sz w:val="19"/>
          <w:szCs w:val="19"/>
          <w:color w:val="auto"/>
        </w:rPr>
        <w:t>Notwithstanding anything to the contrary contained in any Loan Document, the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4"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b w:val="1"/>
          <w:bCs w:val="1"/>
          <w:color w:val="auto"/>
        </w:rPr>
        <w:t xml:space="preserve">10.10 Counterparts; Integration; Effectiveness. </w:t>
      </w:r>
      <w:r>
        <w:rPr>
          <w:rFonts w:ascii="Arial" w:cs="Arial" w:eastAsia="Arial" w:hAnsi="Arial"/>
          <w:sz w:val="19"/>
          <w:szCs w:val="19"/>
          <w:color w:val="auto"/>
        </w:rPr>
        <w:t>This Agreement and the other Loan Documents may be executed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and the other Loan Documents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and any other Loan Document by telecopy or other electronic imaging means (including PDF) shall be effective as delivery of a manually executed counterpart of this Agreement and the other Loan Documents.</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b w:val="1"/>
          <w:bCs w:val="1"/>
          <w:color w:val="auto"/>
        </w:rPr>
        <w:t xml:space="preserve">10.11 Survival of Representations and Warranties. </w:t>
      </w:r>
      <w:r>
        <w:rPr>
          <w:rFonts w:ascii="Arial" w:cs="Arial" w:eastAsia="Arial" w:hAnsi="Arial"/>
          <w:sz w:val="19"/>
          <w:szCs w:val="19"/>
          <w:color w:val="auto"/>
        </w:rPr>
        <w:t>All representations and warranties made hereunder and in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173"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b w:val="1"/>
          <w:bCs w:val="1"/>
          <w:color w:val="auto"/>
        </w:rPr>
        <w:t xml:space="preserve">10.12 Severability. </w:t>
      </w:r>
      <w:r>
        <w:rPr>
          <w:rFonts w:ascii="Arial" w:cs="Arial" w:eastAsia="Arial" w:hAnsi="Arial"/>
          <w:sz w:val="19"/>
          <w:szCs w:val="19"/>
          <w:color w:val="auto"/>
        </w:rPr>
        <w:t>If any provision of this Agreement or the other Loan Documents is held to be illegal,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 then such provisions shall be deemed to be in effect only to the extent not so limited.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7" w:name="page88"/>
    <w:bookmarkEnd w:id="87"/>
    <w:p>
      <w:pPr>
        <w:jc w:val="both"/>
        <w:ind w:firstLine="877"/>
        <w:spacing w:after="0" w:line="244" w:lineRule="auto"/>
        <w:rPr>
          <w:sz w:val="20"/>
          <w:szCs w:val="20"/>
          <w:color w:val="auto"/>
        </w:rPr>
      </w:pPr>
      <w:r>
        <w:rPr>
          <w:rFonts w:ascii="Arial" w:cs="Arial" w:eastAsia="Arial" w:hAnsi="Arial"/>
          <w:sz w:val="20"/>
          <w:szCs w:val="20"/>
          <w:b w:val="1"/>
          <w:bCs w:val="1"/>
          <w:color w:val="auto"/>
        </w:rPr>
        <w:t xml:space="preserve">10.13 Replacement of Lenders. </w:t>
      </w:r>
      <w:r>
        <w:rPr>
          <w:rFonts w:ascii="Arial" w:cs="Arial" w:eastAsia="Arial" w:hAnsi="Arial"/>
          <w:sz w:val="20"/>
          <w:szCs w:val="20"/>
          <w:color w:val="auto"/>
        </w:rPr>
        <w:t>If (i) any Lender requests compensation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3.04</w:t>
      </w:r>
      <w:r>
        <w:rPr>
          <w:rFonts w:ascii="Arial" w:cs="Arial" w:eastAsia="Arial" w:hAnsi="Arial"/>
          <w:sz w:val="20"/>
          <w:szCs w:val="20"/>
          <w:color w:val="auto"/>
        </w:rPr>
        <w:t>, (ii) the Borrower is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(iii) any Lender is a Non-Consenting Lender (as defined below), or (iv)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3" w:lineRule="exact"/>
        <w:rPr>
          <w:sz w:val="20"/>
          <w:szCs w:val="20"/>
          <w:color w:val="auto"/>
        </w:rPr>
      </w:pPr>
    </w:p>
    <w:p>
      <w:pPr>
        <w:ind w:left="1760" w:hanging="875"/>
        <w:spacing w:after="0"/>
        <w:tabs>
          <w:tab w:leader="none" w:pos="17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Borrower shall have paid to the Administrative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85"/>
        <w:spacing w:after="0" w:line="246" w:lineRule="auto"/>
        <w:tabs>
          <w:tab w:leader="none" w:pos="175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191" w:lineRule="exact"/>
        <w:rPr>
          <w:rFonts w:ascii="Arial" w:cs="Arial" w:eastAsia="Arial" w:hAnsi="Arial"/>
          <w:sz w:val="20"/>
          <w:szCs w:val="20"/>
          <w:color w:val="auto"/>
        </w:rPr>
      </w:pPr>
    </w:p>
    <w:p>
      <w:pPr>
        <w:ind w:firstLine="885"/>
        <w:spacing w:after="0" w:line="287" w:lineRule="auto"/>
        <w:tabs>
          <w:tab w:leader="none" w:pos="174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152" w:lineRule="exact"/>
        <w:rPr>
          <w:rFonts w:ascii="Arial" w:cs="Arial" w:eastAsia="Arial" w:hAnsi="Arial"/>
          <w:sz w:val="19"/>
          <w:szCs w:val="19"/>
          <w:color w:val="auto"/>
        </w:rPr>
      </w:pPr>
    </w:p>
    <w:p>
      <w:pPr>
        <w:ind w:left="1760" w:hanging="875"/>
        <w:spacing w:after="0"/>
        <w:tabs>
          <w:tab w:leader="none" w:pos="17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right="20" w:firstLine="885"/>
        <w:spacing w:after="0" w:line="260" w:lineRule="auto"/>
        <w:tabs>
          <w:tab w:leader="none" w:pos="174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a “Non-Consenting Lender” means a Lender that fails to approve an amendment, waiver or consent requested by the Borrower that (a) requires the approval of all Lenders or all affected Lenders in accordance with the terms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and (b) has been approved by the Required Lenders.</w:t>
      </w:r>
    </w:p>
    <w:p>
      <w:pPr>
        <w:spacing w:after="0" w:line="18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8"/>
          <w:szCs w:val="18"/>
          <w:b w:val="1"/>
          <w:bCs w:val="1"/>
          <w:color w:val="auto"/>
        </w:rPr>
        <w:t>Governing Law; Jurisdiction; Etc.</w:t>
      </w:r>
    </w:p>
    <w:p>
      <w:pPr>
        <w:spacing w:after="0" w:line="222" w:lineRule="exact"/>
        <w:rPr>
          <w:sz w:val="20"/>
          <w:szCs w:val="20"/>
          <w:color w:val="auto"/>
        </w:rPr>
      </w:pPr>
    </w:p>
    <w:p>
      <w:pPr>
        <w:jc w:val="both"/>
        <w:ind w:firstLine="885"/>
        <w:spacing w:after="0" w:line="260" w:lineRule="auto"/>
        <w:tabs>
          <w:tab w:leader="none" w:pos="174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0" w:lineRule="exact"/>
        <w:rPr>
          <w:rFonts w:ascii="Arial" w:cs="Arial" w:eastAsia="Arial" w:hAnsi="Arial"/>
          <w:sz w:val="19"/>
          <w:szCs w:val="19"/>
          <w:color w:val="auto"/>
        </w:rPr>
      </w:pPr>
    </w:p>
    <w:p>
      <w:pPr>
        <w:jc w:val="both"/>
        <w:ind w:firstLine="885"/>
        <w:spacing w:after="0" w:line="263" w:lineRule="auto"/>
        <w:tabs>
          <w:tab w:leader="none" w:pos="1756"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9"/>
          <w:szCs w:val="19"/>
          <w:color w:val="auto"/>
        </w:rPr>
        <w:t>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85" w:lineRule="exact"/>
        <w:rPr>
          <w:sz w:val="20"/>
          <w:szCs w:val="20"/>
          <w:color w:val="auto"/>
        </w:rPr>
      </w:pPr>
    </w:p>
    <w:p>
      <w:pPr>
        <w:jc w:val="both"/>
        <w:ind w:firstLine="885"/>
        <w:spacing w:after="0" w:line="259" w:lineRule="auto"/>
        <w:tabs>
          <w:tab w:leader="none" w:pos="1745"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9"/>
          <w:szCs w:val="19"/>
          <w:color w:val="auto"/>
        </w:rPr>
      </w:pPr>
    </w:p>
    <w:p>
      <w:pPr>
        <w:jc w:val="both"/>
        <w:ind w:right="20" w:firstLine="885"/>
        <w:spacing w:after="0" w:line="250" w:lineRule="auto"/>
        <w:tabs>
          <w:tab w:leader="none" w:pos="1756"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b w:val="1"/>
          <w:bCs w:val="1"/>
          <w:color w:val="auto"/>
        </w:rPr>
        <w:t xml:space="preserve">10.15 Waiver of Jury Trial. </w:t>
      </w:r>
      <w:r>
        <w:rPr>
          <w:rFonts w:ascii="Arial" w:cs="Arial" w:eastAsia="Arial" w:hAnsi="Arial"/>
          <w:sz w:val="20"/>
          <w:szCs w:val="20"/>
          <w:color w:val="auto"/>
        </w:rPr>
        <w:t>EACH PARTY HERETO HEREBY IRREVOCABLY WAIVES, TO THE FULLEST</w:t>
      </w:r>
      <w:r>
        <w:rPr>
          <w:rFonts w:ascii="Arial" w:cs="Arial" w:eastAsia="Arial" w:hAnsi="Arial"/>
          <w:sz w:val="20"/>
          <w:szCs w:val="20"/>
          <w:b w:val="1"/>
          <w:bCs w:val="1"/>
          <w:color w:val="auto"/>
        </w:rPr>
        <w:t xml:space="preserve"> </w:t>
      </w:r>
      <w:r>
        <w:rPr>
          <w:rFonts w:ascii="Arial" w:cs="Arial" w:eastAsia="Arial" w:hAnsi="Arial"/>
          <w:sz w:val="20"/>
          <w:szCs w:val="20"/>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 xml:space="preserve">10.16 USA PATRIOT Act Notice. </w:t>
      </w:r>
      <w:r>
        <w:rPr>
          <w:rFonts w:ascii="Arial" w:cs="Arial" w:eastAsia="Arial" w:hAnsi="Arial"/>
          <w:sz w:val="20"/>
          <w:szCs w:val="20"/>
          <w:color w:val="auto"/>
        </w:rPr>
        <w:t>Each Lender that is subject to the Act and the Administrative Agent (for itself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on behalf of any Lender) hereby notifies the Borrower that pursuant to the requirements of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9" w:name="page90"/>
    <w:bookmarkEnd w:id="89"/>
    <w:p>
      <w:pPr>
        <w:jc w:val="both"/>
        <w:spacing w:after="0" w:line="260" w:lineRule="auto"/>
        <w:rPr>
          <w:sz w:val="20"/>
          <w:szCs w:val="20"/>
          <w:color w:val="auto"/>
        </w:rPr>
      </w:pPr>
      <w:r>
        <w:rPr>
          <w:rFonts w:ascii="Arial" w:cs="Arial" w:eastAsia="Arial" w:hAnsi="Arial"/>
          <w:sz w:val="20"/>
          <w:szCs w:val="20"/>
          <w:color w:val="auto"/>
        </w:rPr>
        <w:t>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b w:val="1"/>
          <w:bCs w:val="1"/>
          <w:color w:val="auto"/>
        </w:rPr>
        <w:t xml:space="preserve">10.17 Automatic Debits of Principal, Interest, Fees. </w:t>
      </w:r>
      <w:r>
        <w:rPr>
          <w:rFonts w:ascii="Arial" w:cs="Arial" w:eastAsia="Arial" w:hAnsi="Arial"/>
          <w:sz w:val="19"/>
          <w:szCs w:val="19"/>
          <w:color w:val="auto"/>
        </w:rPr>
        <w:t>With respect to any principal, interest, ticking fee or other fee,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cost or expense (including Attorney Costs) due and payable to the Administrative Agent, Bank of America or any Arranger under the Loan Documents, the Borrower hereby irrevocably authorize Bank of America to debit any deposit account of the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73"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b w:val="1"/>
          <w:bCs w:val="1"/>
          <w:color w:val="auto"/>
        </w:rPr>
        <w:t xml:space="preserve">10.18 No Advisory or Fiduciary Responsibility. </w:t>
      </w:r>
      <w:r>
        <w:rPr>
          <w:rFonts w:ascii="Arial" w:cs="Arial" w:eastAsia="Arial" w:hAnsi="Arial"/>
          <w:sz w:val="18"/>
          <w:szCs w:val="18"/>
          <w:color w:val="auto"/>
        </w:rPr>
        <w:t>In connection with all aspects of each transaction contemplated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the Arrangers has any obligation to the Borrower or its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the Borrower and its Affiliates, and neither the Administrative Agent nor the Arrangers has any obligation to disclose any of such interests to the Borrower or any of its Affiliates. To the fullest extent permitted by law, the Borrower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64"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b w:val="1"/>
          <w:bCs w:val="1"/>
          <w:color w:val="auto"/>
        </w:rPr>
        <w:t xml:space="preserve">10.19 Electronic Execution of Assignments and Certain Other Documents. </w:t>
      </w:r>
      <w:r>
        <w:rPr>
          <w:rFonts w:ascii="Arial" w:cs="Arial" w:eastAsia="Arial" w:hAnsi="Arial"/>
          <w:sz w:val="19"/>
          <w:szCs w:val="19"/>
          <w:color w:val="auto"/>
        </w:rPr>
        <w:t>The words “execute,” “execution,” “signed,”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without limiting the foregoing, upon the request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the Administrative Agent, any electronic signature shall be promptly followed by such manually executed counterpart.</w:t>
      </w:r>
    </w:p>
    <w:p>
      <w:pPr>
        <w:spacing w:after="0" w:line="210"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b w:val="1"/>
          <w:bCs w:val="1"/>
          <w:color w:val="auto"/>
        </w:rPr>
        <w:t>10.20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10.21 Acknowledgement and Consent to Bail-In of EEA Financial Institutions</w:t>
      </w:r>
      <w:r>
        <w:rPr>
          <w:rFonts w:ascii="Arial" w:cs="Arial" w:eastAsia="Arial" w:hAnsi="Arial"/>
          <w:sz w:val="20"/>
          <w:szCs w:val="20"/>
          <w:color w:val="auto"/>
        </w:rPr>
        <w:t>. Notwithstanding anything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1" w:lineRule="exact"/>
        <w:rPr>
          <w:sz w:val="20"/>
          <w:szCs w:val="20"/>
          <w:color w:val="auto"/>
        </w:rPr>
      </w:pPr>
    </w:p>
    <w:p>
      <w:pPr>
        <w:ind w:firstLine="885"/>
        <w:spacing w:after="0" w:line="260" w:lineRule="auto"/>
        <w:tabs>
          <w:tab w:leader="none" w:pos="174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Lender that is an EEA Financial Institution; and</w:t>
      </w:r>
    </w:p>
    <w:p>
      <w:pPr>
        <w:spacing w:after="0" w:line="176" w:lineRule="exact"/>
        <w:rPr>
          <w:rFonts w:ascii="Arial" w:cs="Arial" w:eastAsia="Arial" w:hAnsi="Arial"/>
          <w:sz w:val="20"/>
          <w:szCs w:val="20"/>
          <w:color w:val="auto"/>
        </w:rPr>
      </w:pPr>
    </w:p>
    <w:p>
      <w:pPr>
        <w:ind w:left="1760" w:hanging="875"/>
        <w:spacing w:after="0"/>
        <w:tabs>
          <w:tab w:leader="none" w:pos="17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540" w:hanging="844"/>
        <w:spacing w:after="0"/>
        <w:tabs>
          <w:tab w:leader="none" w:pos="254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880" w:firstLine="816"/>
        <w:spacing w:after="0" w:line="246" w:lineRule="auto"/>
        <w:tabs>
          <w:tab w:leader="none" w:pos="258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880" w:firstLine="816"/>
        <w:spacing w:after="0" w:line="260" w:lineRule="auto"/>
        <w:tabs>
          <w:tab w:leader="none" w:pos="2635"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1" w:name="page92"/>
    <w:bookmarkEnd w:id="91"/>
    <w:p>
      <w:pPr>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ectPr>
          <w:pgSz w:w="11900" w:h="16838" w:orient="portrait"/>
          <w:cols w:equalWidth="0" w:num="1">
            <w:col w:w="9980"/>
          </w:cols>
          <w:pgMar w:left="1120" w:top="366" w:right="799" w:bottom="1440" w:gutter="0" w:footer="0" w:header="0"/>
        </w:sectPr>
      </w:pPr>
    </w:p>
    <w:p>
      <w:pPr>
        <w:spacing w:after="0" w:line="256"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THE TORO COMPANY</w:t>
      </w: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Renee J. Peterson</w:t>
      </w:r>
    </w:p>
    <w:tbl>
      <w:tblPr>
        <w:tblLayout w:type="fixed"/>
        <w:tblInd w:w="4400" w:type="dxa"/>
        <w:tblCellMar>
          <w:top w:w="0" w:type="dxa"/>
          <w:left w:w="0" w:type="dxa"/>
          <w:bottom w:w="0" w:type="dxa"/>
          <w:right w:w="0" w:type="dxa"/>
        </w:tblCellMar>
      </w:tblPr>
      <w:tr>
        <w:trPr>
          <w:trHeight w:val="229"/>
        </w:trPr>
        <w:tc>
          <w:tcPr>
            <w:tcW w:w="560" w:type="dxa"/>
            <w:vAlign w:val="bottom"/>
            <w:gridSpan w:val="2"/>
          </w:tcPr>
          <w:p>
            <w:pPr>
              <w:spacing w:after="0"/>
              <w:rPr>
                <w:sz w:val="20"/>
                <w:szCs w:val="20"/>
                <w:color w:val="auto"/>
              </w:rPr>
            </w:pPr>
            <w:r>
              <w:rPr>
                <w:rFonts w:ascii="Arial" w:cs="Arial" w:eastAsia="Arial" w:hAnsi="Arial"/>
                <w:sz w:val="20"/>
                <w:szCs w:val="20"/>
                <w:color w:val="auto"/>
                <w:w w:val="91"/>
              </w:rPr>
              <w:t>Name:</w:t>
            </w:r>
          </w:p>
        </w:tc>
        <w:tc>
          <w:tcPr>
            <w:tcW w:w="4200" w:type="dxa"/>
            <w:vAlign w:val="bottom"/>
            <w:gridSpan w:val="2"/>
          </w:tcPr>
          <w:p>
            <w:pPr>
              <w:ind w:left="620"/>
              <w:spacing w:after="0"/>
              <w:rPr>
                <w:sz w:val="20"/>
                <w:szCs w:val="20"/>
                <w:color w:val="auto"/>
              </w:rPr>
            </w:pPr>
            <w:r>
              <w:rPr>
                <w:rFonts w:ascii="Arial" w:cs="Arial" w:eastAsia="Arial" w:hAnsi="Arial"/>
                <w:sz w:val="20"/>
                <w:szCs w:val="20"/>
                <w:color w:val="auto"/>
              </w:rPr>
              <w:t>Renee J. Peterson</w:t>
            </w:r>
          </w:p>
        </w:tc>
      </w:tr>
      <w:tr>
        <w:trPr>
          <w:trHeight w:val="230"/>
        </w:trPr>
        <w:tc>
          <w:tcPr>
            <w:tcW w:w="560" w:type="dxa"/>
            <w:vAlign w:val="bottom"/>
            <w:gridSpan w:val="2"/>
          </w:tcPr>
          <w:p>
            <w:pPr>
              <w:spacing w:after="0"/>
              <w:rPr>
                <w:sz w:val="20"/>
                <w:szCs w:val="20"/>
                <w:color w:val="auto"/>
              </w:rPr>
            </w:pPr>
            <w:r>
              <w:rPr>
                <w:rFonts w:ascii="Arial" w:cs="Arial" w:eastAsia="Arial" w:hAnsi="Arial"/>
                <w:sz w:val="20"/>
                <w:szCs w:val="20"/>
                <w:color w:val="auto"/>
              </w:rPr>
              <w:t>Title:</w:t>
            </w:r>
          </w:p>
        </w:tc>
        <w:tc>
          <w:tcPr>
            <w:tcW w:w="4200" w:type="dxa"/>
            <w:vAlign w:val="bottom"/>
            <w:gridSpan w:val="2"/>
          </w:tcPr>
          <w:p>
            <w:pPr>
              <w:ind w:left="560"/>
              <w:spacing w:after="0"/>
              <w:rPr>
                <w:sz w:val="20"/>
                <w:szCs w:val="20"/>
                <w:color w:val="auto"/>
              </w:rPr>
            </w:pPr>
            <w:r>
              <w:rPr>
                <w:rFonts w:ascii="Arial" w:cs="Arial" w:eastAsia="Arial" w:hAnsi="Arial"/>
                <w:sz w:val="20"/>
                <w:szCs w:val="20"/>
                <w:color w:val="auto"/>
                <w:w w:val="89"/>
              </w:rPr>
              <w:t>Vice President, Treasurer and Chief Financial</w:t>
            </w:r>
          </w:p>
        </w:tc>
      </w:tr>
      <w:tr>
        <w:trPr>
          <w:trHeight w:val="250"/>
        </w:trPr>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Arial" w:cs="Arial" w:eastAsia="Arial" w:hAnsi="Arial"/>
                <w:sz w:val="20"/>
                <w:szCs w:val="20"/>
                <w:color w:val="auto"/>
              </w:rPr>
              <w:t>Officer</w:t>
            </w:r>
          </w:p>
        </w:tc>
      </w:tr>
      <w:tr>
        <w:trPr>
          <w:trHeight w:val="415"/>
        </w:trPr>
        <w:tc>
          <w:tcPr>
            <w:tcW w:w="4760" w:type="dxa"/>
            <w:vAlign w:val="bottom"/>
            <w:gridSpan w:val="4"/>
          </w:tcPr>
          <w:p>
            <w:pPr>
              <w:spacing w:after="0"/>
              <w:rPr>
                <w:sz w:val="20"/>
                <w:szCs w:val="20"/>
                <w:color w:val="auto"/>
              </w:rPr>
            </w:pPr>
            <w:r>
              <w:rPr>
                <w:rFonts w:ascii="Arial" w:cs="Arial" w:eastAsia="Arial" w:hAnsi="Arial"/>
                <w:sz w:val="20"/>
                <w:szCs w:val="20"/>
                <w:color w:val="auto"/>
              </w:rPr>
              <w:t>By: /s/ Julie A. Kerekes</w:t>
            </w:r>
          </w:p>
        </w:tc>
      </w:tr>
      <w:tr>
        <w:trPr>
          <w:trHeight w:val="20"/>
        </w:trPr>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3"/>
        </w:trPr>
        <w:tc>
          <w:tcPr>
            <w:tcW w:w="560" w:type="dxa"/>
            <w:vAlign w:val="bottom"/>
            <w:gridSpan w:val="2"/>
          </w:tcPr>
          <w:p>
            <w:pPr>
              <w:spacing w:after="0"/>
              <w:rPr>
                <w:sz w:val="20"/>
                <w:szCs w:val="20"/>
                <w:color w:val="auto"/>
              </w:rPr>
            </w:pPr>
            <w:r>
              <w:rPr>
                <w:rFonts w:ascii="Arial" w:cs="Arial" w:eastAsia="Arial" w:hAnsi="Arial"/>
                <w:sz w:val="20"/>
                <w:szCs w:val="20"/>
                <w:color w:val="auto"/>
                <w:w w:val="91"/>
              </w:rPr>
              <w:t>Name:</w:t>
            </w:r>
          </w:p>
        </w:tc>
        <w:tc>
          <w:tcPr>
            <w:tcW w:w="4200" w:type="dxa"/>
            <w:vAlign w:val="bottom"/>
            <w:gridSpan w:val="2"/>
          </w:tcPr>
          <w:p>
            <w:pPr>
              <w:ind w:left="620"/>
              <w:spacing w:after="0"/>
              <w:rPr>
                <w:sz w:val="20"/>
                <w:szCs w:val="20"/>
                <w:color w:val="auto"/>
              </w:rPr>
            </w:pPr>
            <w:r>
              <w:rPr>
                <w:rFonts w:ascii="Arial" w:cs="Arial" w:eastAsia="Arial" w:hAnsi="Arial"/>
                <w:sz w:val="20"/>
                <w:szCs w:val="20"/>
                <w:color w:val="auto"/>
              </w:rPr>
              <w:t>Julie A. Kerekes</w:t>
            </w:r>
          </w:p>
        </w:tc>
      </w:tr>
      <w:tr>
        <w:trPr>
          <w:trHeight w:val="230"/>
        </w:trPr>
        <w:tc>
          <w:tcPr>
            <w:tcW w:w="560" w:type="dxa"/>
            <w:vAlign w:val="bottom"/>
            <w:gridSpan w:val="2"/>
          </w:tcPr>
          <w:p>
            <w:pPr>
              <w:spacing w:after="0"/>
              <w:rPr>
                <w:sz w:val="20"/>
                <w:szCs w:val="20"/>
                <w:color w:val="auto"/>
              </w:rPr>
            </w:pPr>
            <w:r>
              <w:rPr>
                <w:rFonts w:ascii="Arial" w:cs="Arial" w:eastAsia="Arial" w:hAnsi="Arial"/>
                <w:sz w:val="20"/>
                <w:szCs w:val="20"/>
                <w:color w:val="auto"/>
              </w:rPr>
              <w:t>Title:</w:t>
            </w:r>
          </w:p>
        </w:tc>
        <w:tc>
          <w:tcPr>
            <w:tcW w:w="4200" w:type="dxa"/>
            <w:vAlign w:val="bottom"/>
            <w:gridSpan w:val="2"/>
          </w:tcPr>
          <w:p>
            <w:pPr>
              <w:ind w:left="560"/>
              <w:spacing w:after="0"/>
              <w:rPr>
                <w:sz w:val="20"/>
                <w:szCs w:val="20"/>
                <w:color w:val="auto"/>
              </w:rPr>
            </w:pPr>
            <w:r>
              <w:rPr>
                <w:rFonts w:ascii="Arial" w:cs="Arial" w:eastAsia="Arial" w:hAnsi="Arial"/>
                <w:sz w:val="20"/>
                <w:szCs w:val="20"/>
                <w:color w:val="auto"/>
                <w:w w:val="88"/>
              </w:rPr>
              <w:t>Managing Director, Tax Treasury and Finance</w:t>
            </w:r>
          </w:p>
        </w:tc>
      </w:tr>
      <w:tr>
        <w:trPr>
          <w:trHeight w:val="250"/>
        </w:trPr>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Arial" w:cs="Arial" w:eastAsia="Arial" w:hAnsi="Arial"/>
                <w:sz w:val="20"/>
                <w:szCs w:val="20"/>
                <w:color w:val="auto"/>
              </w:rPr>
              <w:t>Business Partner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61595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980"/>
          </w:cols>
          <w:pgMar w:left="1120" w:top="366" w:right="799" w:bottom="1440" w:gutter="0" w:footer="0" w:header="0"/>
          <w:type w:val="continuous"/>
        </w:sectPr>
      </w:pPr>
    </w:p>
    <w:bookmarkStart w:id="92" w:name="page93"/>
    <w:bookmarkEnd w:id="92"/>
    <w:p>
      <w:pPr>
        <w:ind w:left="4080"/>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w:t>
      </w:r>
    </w:p>
    <w:p>
      <w:pPr>
        <w:spacing w:after="0" w:line="3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Angela Larkin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Angela Larkin</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93" w:name="page94"/>
    <w:bookmarkEnd w:id="93"/>
    <w:p>
      <w:pPr>
        <w:jc w:val="right"/>
        <w:ind w:right="1539"/>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 a Lender</w:t>
      </w:r>
    </w:p>
    <w:p>
      <w:pPr>
        <w:spacing w:after="0" w:line="200" w:lineRule="exact"/>
        <w:rPr>
          <w:sz w:val="20"/>
          <w:szCs w:val="20"/>
          <w:color w:val="auto"/>
        </w:rPr>
      </w:pPr>
    </w:p>
    <w:p>
      <w:pPr>
        <w:spacing w:after="0" w:line="23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 Quinn Richardson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A. Quinn Richardson</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94" w:name="page95"/>
    <w:bookmarkEnd w:id="94"/>
    <w:p>
      <w:pPr>
        <w:jc w:val="right"/>
        <w:ind w:right="959"/>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A. Salek</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Christopher A. Salek</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Emma Clifford</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Emma Clifford</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 and Portfolio Manager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40"/>
          </w:cols>
          <w:pgMar w:left="1440" w:top="468" w:right="719" w:bottom="1440" w:gutter="0" w:footer="0" w:header="0"/>
        </w:sectPr>
      </w:pPr>
    </w:p>
    <w:bookmarkStart w:id="96" w:name="page97"/>
    <w:bookmarkEnd w:id="96"/>
    <w:p>
      <w:pPr>
        <w:jc w:val="right"/>
        <w:ind w:right="1579"/>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H. Wolohan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Robert H. Wolohan</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97" w:name="page98"/>
    <w:bookmarkEnd w:id="97"/>
    <w:p>
      <w:pPr>
        <w:jc w:val="right"/>
        <w:ind w:right="439"/>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Tyrone Parker</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Tyrone Parker</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BRANCH BANKING AND TRUST COMPANY</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Kurt W. Anstaett</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Kurt W. Anstaett</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00"/>
          </w:cols>
          <w:pgMar w:left="1440" w:top="468" w:right="1259" w:bottom="1440" w:gutter="0" w:footer="0" w:header="0"/>
        </w:sectPr>
      </w:pPr>
    </w:p>
    <w:bookmarkStart w:id="99" w:name="page100"/>
    <w:bookmarkEnd w:id="99"/>
    <w:p>
      <w:pPr>
        <w:jc w:val="right"/>
        <w:ind w:right="339"/>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6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Bridget Anderson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Bridget Anderson</w:t>
      </w:r>
    </w:p>
    <w:p>
      <w:pPr>
        <w:ind w:left="4080"/>
        <w:spacing w:after="0"/>
        <w:tabs>
          <w:tab w:leader="none" w:pos="4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Graeme Robertson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Graeme Robertson</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60"/>
          </w:cols>
          <w:pgMar w:left="1440" w:top="468" w:right="1199" w:bottom="1440" w:gutter="0" w:footer="0" w:header="0"/>
        </w:sectPr>
      </w:pPr>
    </w:p>
    <w:bookmarkStart w:id="101" w:name="page102"/>
    <w:bookmarkEnd w:id="101"/>
    <w:p>
      <w:pPr>
        <w:jc w:val="right"/>
        <w:ind w:right="619"/>
        <w:spacing w:after="0"/>
        <w:rPr>
          <w:sz w:val="20"/>
          <w:szCs w:val="20"/>
          <w:color w:val="auto"/>
        </w:rPr>
      </w:pPr>
      <w:r>
        <w:rPr>
          <w:rFonts w:ascii="Arial" w:cs="Arial" w:eastAsia="Arial" w:hAnsi="Arial"/>
          <w:sz w:val="20"/>
          <w:szCs w:val="20"/>
          <w:b w:val="1"/>
          <w:bCs w:val="1"/>
          <w:color w:val="auto"/>
        </w:rPr>
        <w:t>HSBC BANK AUSTRALIA LIMITED</w:t>
      </w:r>
      <w:r>
        <w:rPr>
          <w:rFonts w:ascii="Arial" w:cs="Arial" w:eastAsia="Arial" w:hAnsi="Arial"/>
          <w:sz w:val="20"/>
          <w:szCs w:val="20"/>
          <w:color w:val="auto"/>
        </w:rPr>
        <w:t>, as a Lender</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Spells</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Aaron Spells</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61595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i w:val="1"/>
          <w:iCs w:val="1"/>
          <w:color w:val="auto"/>
        </w:rPr>
        <w:t>ANNEX I</w:t>
      </w:r>
    </w:p>
    <w:p>
      <w:pPr>
        <w:spacing w:after="0" w:line="205"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COMMITMENTS AND APPLICABLE PERCENTAGES</w:t>
      </w: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440" w:type="dxa"/>
            <w:vAlign w:val="bottom"/>
            <w:tcBorders>
              <w:top w:val="single" w:sz="8" w:color="auto"/>
              <w:left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Applicable Percentage</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Applicable</w:t>
            </w:r>
          </w:p>
        </w:tc>
        <w:tc>
          <w:tcPr>
            <w:tcW w:w="0" w:type="dxa"/>
            <w:vAlign w:val="bottom"/>
          </w:tcPr>
          <w:p>
            <w:pPr>
              <w:spacing w:after="0"/>
              <w:rPr>
                <w:sz w:val="1"/>
                <w:szCs w:val="1"/>
                <w:color w:val="auto"/>
              </w:rPr>
            </w:pPr>
          </w:p>
        </w:tc>
      </w:tr>
      <w:tr>
        <w:trPr>
          <w:trHeight w:val="122"/>
        </w:trPr>
        <w:tc>
          <w:tcPr>
            <w:tcW w:w="344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20"/>
                <w:szCs w:val="20"/>
                <w:b w:val="1"/>
                <w:bCs w:val="1"/>
                <w:color w:val="auto"/>
                <w:w w:val="97"/>
              </w:rPr>
              <w:t>Three-Year</w:t>
            </w:r>
          </w:p>
        </w:tc>
        <w:tc>
          <w:tcPr>
            <w:tcW w:w="202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vMerge w:val="restart"/>
          </w:tcPr>
          <w:p>
            <w:pPr>
              <w:jc w:val="right"/>
              <w:ind w:right="221"/>
              <w:spacing w:after="0"/>
              <w:rPr>
                <w:sz w:val="20"/>
                <w:szCs w:val="20"/>
                <w:color w:val="auto"/>
              </w:rPr>
            </w:pPr>
            <w:r>
              <w:rPr>
                <w:rFonts w:ascii="Arial" w:cs="Arial" w:eastAsia="Arial" w:hAnsi="Arial"/>
                <w:sz w:val="20"/>
                <w:szCs w:val="20"/>
                <w:b w:val="1"/>
                <w:bCs w:val="1"/>
                <w:color w:val="auto"/>
              </w:rPr>
              <w:t>Five-Year</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7"/>
              </w:rPr>
              <w:t>Percentage of</w:t>
            </w:r>
          </w:p>
        </w:tc>
        <w:tc>
          <w:tcPr>
            <w:tcW w:w="0" w:type="dxa"/>
            <w:vAlign w:val="bottom"/>
          </w:tcPr>
          <w:p>
            <w:pPr>
              <w:spacing w:after="0"/>
              <w:rPr>
                <w:sz w:val="1"/>
                <w:szCs w:val="1"/>
                <w:color w:val="auto"/>
              </w:rPr>
            </w:pPr>
          </w:p>
        </w:tc>
      </w:tr>
      <w:tr>
        <w:trPr>
          <w:trHeight w:val="108"/>
        </w:trPr>
        <w:tc>
          <w:tcPr>
            <w:tcW w:w="3440" w:type="dxa"/>
            <w:vAlign w:val="bottom"/>
            <w:tcBorders>
              <w:left w:val="single" w:sz="8" w:color="auto"/>
              <w:right w:val="single" w:sz="8" w:color="auto"/>
            </w:tcBorders>
            <w:vMerge w:val="restart"/>
          </w:tcPr>
          <w:p>
            <w:pPr>
              <w:ind w:left="1400"/>
              <w:spacing w:after="0"/>
              <w:rPr>
                <w:sz w:val="20"/>
                <w:szCs w:val="20"/>
                <w:color w:val="auto"/>
              </w:rPr>
            </w:pPr>
            <w:r>
              <w:rPr>
                <w:rFonts w:ascii="Arial" w:cs="Arial" w:eastAsia="Arial" w:hAnsi="Arial"/>
                <w:sz w:val="20"/>
                <w:szCs w:val="20"/>
                <w:b w:val="1"/>
                <w:bCs w:val="1"/>
                <w:color w:val="auto"/>
              </w:rPr>
              <w:t>Lender</w:t>
            </w:r>
          </w:p>
        </w:tc>
        <w:tc>
          <w:tcPr>
            <w:tcW w:w="140" w:type="dxa"/>
            <w:vAlign w:val="bottom"/>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of Three-Year</w:t>
            </w:r>
          </w:p>
        </w:tc>
        <w:tc>
          <w:tcPr>
            <w:tcW w:w="140" w:type="dxa"/>
            <w:vAlign w:val="bottom"/>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4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20"/>
                <w:szCs w:val="20"/>
                <w:b w:val="1"/>
                <w:bCs w:val="1"/>
                <w:color w:val="auto"/>
                <w:w w:val="89"/>
              </w:rPr>
              <w:t>Commitment</w:t>
            </w:r>
          </w:p>
        </w:tc>
        <w:tc>
          <w:tcPr>
            <w:tcW w:w="202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20"/>
                <w:szCs w:val="20"/>
                <w:b w:val="1"/>
                <w:bCs w:val="1"/>
                <w:color w:val="auto"/>
                <w:w w:val="89"/>
              </w:rPr>
              <w:t>Commitment</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3"/>
              </w:rPr>
              <w:t>Five-Year</w:t>
            </w:r>
          </w:p>
        </w:tc>
        <w:tc>
          <w:tcPr>
            <w:tcW w:w="0" w:type="dxa"/>
            <w:vAlign w:val="bottom"/>
          </w:tcPr>
          <w:p>
            <w:pPr>
              <w:spacing w:after="0"/>
              <w:rPr>
                <w:sz w:val="1"/>
                <w:szCs w:val="1"/>
                <w:color w:val="auto"/>
              </w:rPr>
            </w:pPr>
          </w:p>
        </w:tc>
      </w:tr>
      <w:tr>
        <w:trPr>
          <w:trHeight w:val="108"/>
        </w:trPr>
        <w:tc>
          <w:tcPr>
            <w:tcW w:w="3440" w:type="dxa"/>
            <w:vAlign w:val="bottom"/>
            <w:tcBorders>
              <w:left w:val="single" w:sz="8" w:color="auto"/>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Commitment</w:t>
            </w:r>
          </w:p>
        </w:tc>
        <w:tc>
          <w:tcPr>
            <w:tcW w:w="140" w:type="dxa"/>
            <w:vAlign w:val="bottom"/>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4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Commitment</w:t>
            </w:r>
          </w:p>
        </w:tc>
        <w:tc>
          <w:tcPr>
            <w:tcW w:w="0" w:type="dxa"/>
            <w:vAlign w:val="bottom"/>
          </w:tcPr>
          <w:p>
            <w:pPr>
              <w:spacing w:after="0"/>
              <w:rPr>
                <w:sz w:val="1"/>
                <w:szCs w:val="1"/>
                <w:color w:val="auto"/>
              </w:rPr>
            </w:pPr>
          </w:p>
        </w:tc>
      </w:tr>
      <w:tr>
        <w:trPr>
          <w:trHeight w:val="108"/>
        </w:trPr>
        <w:tc>
          <w:tcPr>
            <w:tcW w:w="3440" w:type="dxa"/>
            <w:vAlign w:val="bottom"/>
            <w:tcBorders>
              <w:left w:val="single" w:sz="8" w:color="auto"/>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440" w:type="dxa"/>
            <w:vAlign w:val="bottom"/>
            <w:tcBorders>
              <w:left w:val="single" w:sz="8" w:color="auto"/>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gridSpan w:val="2"/>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Bank of America, 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80,000,000.00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40.000000000%</w:t>
            </w:r>
          </w:p>
        </w:tc>
        <w:tc>
          <w:tcPr>
            <w:tcW w:w="14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20"/>
                <w:szCs w:val="20"/>
                <w:color w:val="auto"/>
                <w:w w:val="90"/>
              </w:rPr>
              <w:t>$120,000,000.00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8"/>
              </w:rPr>
              <w:t>40.000000000%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JPMorgan Chase Bank, 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28,000,000.00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14.000000000%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42,000,000.00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8"/>
              </w:rPr>
              <w:t>14.000000000%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Wells Fargo Bank, National Association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28,000,000.00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14.000000000%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42,000,000.00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8"/>
              </w:rPr>
              <w:t>14.000000000%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BMO Harris Bank 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20,000,000.00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30,000,000.00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8"/>
              </w:rPr>
              <w:t>10.000000000%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 Bank National Association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20,000,000.00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30,000,000.00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8"/>
              </w:rPr>
              <w:t>10.000000000%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Branch Banking and Trust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8,000,000.00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12,000,000.00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PNC Bank, National Association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8,000,000.00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5"/>
              </w:rPr>
              <w:t>12,000,000.00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HSBC Bank USA, National Association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HSBC Bank Australia Limited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2.000000000%</w:t>
            </w:r>
          </w:p>
        </w:tc>
        <w:tc>
          <w:tcPr>
            <w:tcW w:w="0" w:type="dxa"/>
            <w:vAlign w:val="bottom"/>
          </w:tcPr>
          <w:p>
            <w:pPr>
              <w:spacing w:after="0"/>
              <w:rPr>
                <w:sz w:val="1"/>
                <w:szCs w:val="1"/>
                <w:color w:val="auto"/>
              </w:rPr>
            </w:pPr>
          </w:p>
        </w:tc>
      </w:tr>
      <w:tr>
        <w:trPr>
          <w:trHeight w:val="331"/>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Total</w:t>
            </w:r>
          </w:p>
        </w:tc>
        <w:tc>
          <w:tcPr>
            <w:tcW w:w="14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0"/>
              </w:rPr>
              <w:t>$200,000,000.00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100.000000000%</w:t>
            </w:r>
          </w:p>
        </w:tc>
        <w:tc>
          <w:tcPr>
            <w:tcW w:w="14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0"/>
              </w:rPr>
              <w:t>$300,000,000.00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100.000000000%</w:t>
            </w:r>
          </w:p>
        </w:tc>
        <w:tc>
          <w:tcPr>
            <w:tcW w:w="0" w:type="dxa"/>
            <w:vAlign w:val="bottom"/>
          </w:tcPr>
          <w:p>
            <w:pPr>
              <w:spacing w:after="0"/>
              <w:rPr>
                <w:sz w:val="1"/>
                <w:szCs w:val="1"/>
                <w:color w:val="auto"/>
              </w:rPr>
            </w:pPr>
          </w:p>
        </w:tc>
      </w:tr>
    </w:tbl>
    <w:p>
      <w:pPr>
        <w:sectPr>
          <w:pgSz w:w="11900" w:h="16838" w:orient="portrait"/>
          <w:cols w:equalWidth="0" w:num="1">
            <w:col w:w="10620"/>
          </w:cols>
          <w:pgMar w:left="1040" w:top="36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063625" cy="694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6362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234" w:lineRule="auto"/>
        <w:rPr>
          <w:sz w:val="20"/>
          <w:szCs w:val="20"/>
          <w:color w:val="auto"/>
        </w:rPr>
      </w:pPr>
      <w:r>
        <w:rPr>
          <w:rFonts w:ascii="Arial" w:cs="Arial" w:eastAsia="Arial" w:hAnsi="Arial"/>
          <w:sz w:val="18"/>
          <w:szCs w:val="18"/>
          <w:color w:val="auto"/>
        </w:rPr>
        <w:t>Director, Investor Relations</w:t>
      </w:r>
    </w:p>
    <w:p>
      <w:pPr>
        <w:spacing w:after="0" w:line="1"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auto"/>
        </w:rPr>
        <w:t>heather.hille@toro.com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ind w:left="480" w:hanging="472"/>
        <w:spacing w:after="0"/>
        <w:tabs>
          <w:tab w:leader="none" w:pos="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branden.happel@toro.com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Jeffrey L. Harmening and Joyce A. Mullen Join The Toro Company Board of Directors</w:t>
      </w:r>
    </w:p>
    <w:p>
      <w:pPr>
        <w:spacing w:after="0" w:line="235"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BLOOMINGTON, Minn. (March 20, 2019) – On March 19, 2019, The Toro Company (NYSE: TTC) held its annual meeting of shareholders at which two long-standing directors, Robert C. Buhrmaster and Christopher A. Twomey, retired from Toro’s Board of Directors and two new directors, Jeffrey L Harmening and Joyce A. Mullen, were elected to the Board of Directors by Toro’s shareholders. As a result of these transitions, Toro’s Board of Directors remains at 11 members.</w:t>
      </w:r>
    </w:p>
    <w:p>
      <w:pPr>
        <w:spacing w:after="0" w:line="209"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Mr. Harmening, 52, currently serves as the chairman and chief executive officer of General Mills, Inc., a global manufacturer, marketer and supplier of food products based in Minneapolis, Minnesota. He has been chairman since January 2018 and chief executive officer since June 2017. Previously, he served as General Mills’ president and chief operating officer from July 2016 to May 2017 and executive vice president, chief operating officer, US retail from May 2014 to June 2016. In addition, Mr. Harmening has served in a variety of senior leadership roles at General Mills across several business categories and has extensive experience with distribution channels, supply chain operations, developing customer-valued products, acquisitions and international operations.</w:t>
      </w:r>
    </w:p>
    <w:p>
      <w:pPr>
        <w:spacing w:after="0" w:line="199"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Ms. Mullen, 56, currently serves as president, global channel, OEM and IoT of Dell Technologies, a technology solutions company based in Round Rock, Texas. She has been president, global channel, OEM and IoT since November 2017. Previously, she served as Dell Technologies’ senior vice president and general manager, global OEM and IoT solutions from February 2015 to November 2017 and vice president and general manager, global OEM solutions from February 2012 to February 2015. Ms. Mullen has served in a variety of senior leadership roles at Dell Technologies including with sales operations, global strategy and planning and global alliances and services solutions and has significant experience with technology, smart-connected product, manufacturing and international operations. Prior to her service at Dell Technologies, Ms. Mullen spent ten years in various leadership positions at Cummins Engine Company, including with distribution, manufacturing and international business development.</w:t>
      </w:r>
    </w:p>
    <w:p>
      <w:pPr>
        <w:spacing w:after="0" w:line="217"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“At our annual meeting of shareholders held yesterday, we were pleased to welcome two highly accomplished individuals, Jeff Harmening and Joyce Mullen, to our Board of Directors,” said Richard M. Olson, Toro’s chairman, president and chief executive officer. “Jeff and Joyce have demonstrated significant leadership at their respective companies and we are excited about the experience and perspectives they each bring to Toro and we look forward to working with them. Furthermore, we are deeply grateful to Bob Buhrmaster and Chris Twomey for their invaluable contributions to our Board. We thank them for their many years of dedicated and thoughtful service to Toro and we wish them all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About The Toro Company</w:t>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maintenance, snow and ice management, landscape, rental and specialty construction equipment, and irrigation and outdoor lighting solutions. With sales of $2.6 billion in fiscal 2018,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p>
    <w:sectPr>
      <w:pgSz w:w="11900" w:h="16838" w:orient="portrait"/>
      <w:cols w:equalWidth="0" w:num="1">
        <w:col w:w="11340"/>
      </w:cols>
      <w:pgMar w:left="24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lowerLetter"/>
      <w:start w:val="4"/>
    </w:lvl>
  </w:abstractNum>
  <w:abstractNum w:abstractNumId="2">
    <w:nsid w:val="180115BE"/>
    <w:multiLevelType w:val="hybridMultilevel"/>
    <w:lvl w:ilvl="0">
      <w:lvlJc w:val="left"/>
      <w:lvlText w:val="A"/>
      <w:numFmt w:val="bullet"/>
      <w:start w:val="1"/>
    </w:lvl>
  </w:abstractNum>
  <w:abstractNum w:abstractNumId="3">
    <w:nsid w:val="235BA861"/>
    <w:multiLevelType w:val="hybridMultilevel"/>
    <w:lvl w:ilvl="0">
      <w:lvlJc w:val="left"/>
      <w:lvlText w:val="C"/>
      <w:numFmt w:val="bullet"/>
      <w:start w:val="1"/>
    </w:lvl>
  </w:abstractNum>
  <w:abstractNum w:abstractNumId="4">
    <w:nsid w:val="47398C89"/>
    <w:multiLevelType w:val="hybridMultilevel"/>
    <w:lvl w:ilvl="0">
      <w:lvlJc w:val="left"/>
      <w:lvlText w:val="D"/>
      <w:numFmt w:val="bullet"/>
      <w:start w:val="1"/>
    </w:lvl>
  </w:abstractNum>
  <w:abstractNum w:abstractNumId="5">
    <w:nsid w:val="354FE9F9"/>
    <w:multiLevelType w:val="hybridMultilevel"/>
    <w:lvl w:ilvl="0">
      <w:lvlJc w:val="left"/>
      <w:lvlText w:val="E"/>
      <w:numFmt w:val="bullet"/>
      <w:start w:val="1"/>
    </w:lvl>
  </w:abstractNum>
  <w:abstractNum w:abstractNumId="6">
    <w:nsid w:val="15B5AF5C"/>
    <w:multiLevelType w:val="hybridMultilevel"/>
    <w:lvl w:ilvl="0">
      <w:lvlJc w:val="left"/>
      <w:lvlText w:val="F"/>
      <w:numFmt w:val="bullet"/>
      <w:start w:val="1"/>
    </w:lvl>
  </w:abstractNum>
  <w:abstractNum w:abstractNumId="7">
    <w:nsid w:val="741226BB"/>
    <w:multiLevelType w:val="hybridMultilevel"/>
    <w:lvl w:ilvl="0">
      <w:lvlJc w:val="left"/>
      <w:lvlText w:val="(%1)"/>
      <w:numFmt w:val="lowerRoman"/>
      <w:start w:val="3"/>
    </w:lvl>
  </w:abstractNum>
  <w:abstractNum w:abstractNumId="8">
    <w:nsid w:val="D34B6A8"/>
    <w:multiLevelType w:val="hybridMultilevel"/>
    <w:lvl w:ilvl="0">
      <w:lvlJc w:val="left"/>
      <w:lvlText w:val="(%1)"/>
      <w:numFmt w:val="lowerLetter"/>
      <w:start w:val="1"/>
    </w:lvl>
  </w:abstractNum>
  <w:abstractNum w:abstractNumId="9">
    <w:nsid w:val="10233C99"/>
    <w:multiLevelType w:val="hybridMultilevel"/>
    <w:lvl w:ilvl="0">
      <w:lvlJc w:val="left"/>
      <w:lvlText w:val="(%1)"/>
      <w:numFmt w:val="lowerRoman"/>
      <w:start w:val="2"/>
    </w:lvl>
  </w:abstractNum>
  <w:abstractNum w:abstractNumId="10">
    <w:nsid w:val="3F6AB60F"/>
    <w:multiLevelType w:val="hybridMultilevel"/>
    <w:lvl w:ilvl="0">
      <w:lvlJc w:val="left"/>
      <w:lvlText w:val="(%1)"/>
      <w:numFmt w:val="lowerLetter"/>
      <w:start w:val="1"/>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lowerLetter"/>
      <w:start w:val="7"/>
    </w:lvl>
  </w:abstractNum>
  <w:abstractNum w:abstractNumId="13">
    <w:nsid w:val="77AE35EB"/>
    <w:multiLevelType w:val="hybridMultilevel"/>
    <w:lvl w:ilvl="0">
      <w:lvlJc w:val="left"/>
      <w:lvlText w:val="(%1)"/>
      <w:numFmt w:val="lowerRoman"/>
      <w:start w:val="1"/>
    </w:lvl>
  </w:abstractNum>
  <w:abstractNum w:abstractNumId="14">
    <w:nsid w:val="579BE4F1"/>
    <w:multiLevelType w:val="hybridMultilevel"/>
    <w:lvl w:ilvl="0">
      <w:lvlJc w:val="left"/>
      <w:lvlText w:val="(%1)"/>
      <w:numFmt w:val="lowerLetter"/>
      <w:start w:val="2"/>
    </w:lvl>
  </w:abstractNum>
  <w:abstractNum w:abstractNumId="15">
    <w:nsid w:val="310C50B3"/>
    <w:multiLevelType w:val="hybridMultilevel"/>
    <w:lvl w:ilvl="0">
      <w:lvlJc w:val="left"/>
      <w:lvlText w:val="(%1)"/>
      <w:numFmt w:val="lowerLetter"/>
      <w:start w:val="3"/>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lowerLetter"/>
      <w:start w:val="4"/>
    </w:lvl>
  </w:abstractNum>
  <w:abstractNum w:abstractNumId="18">
    <w:nsid w:val="25A70BF7"/>
    <w:multiLevelType w:val="hybridMultilevel"/>
    <w:lvl w:ilvl="0">
      <w:lvlJc w:val="left"/>
      <w:lvlText w:val="(%1)"/>
      <w:numFmt w:val="lowerLetter"/>
      <w:start w:val="2"/>
    </w:lvl>
    <w:lvl w:ilvl="1">
      <w:lvlJc w:val="left"/>
      <w:lvlText w:val="(%2)"/>
      <w:numFmt w:val="lowerRoman"/>
      <w:start w:val="1"/>
    </w:lvl>
  </w:abstractNum>
  <w:abstractNum w:abstractNumId="19">
    <w:nsid w:val="1DBABF00"/>
    <w:multiLevelType w:val="hybridMultilevel"/>
    <w:lvl w:ilvl="0">
      <w:lvlJc w:val="left"/>
      <w:lvlText w:val="(%1)"/>
      <w:numFmt w:val="lowerLetter"/>
      <w:start w:val="5"/>
    </w:lvl>
    <w:lvl w:ilvl="1">
      <w:lvlJc w:val="left"/>
      <w:lvlText w:val="(%2)"/>
      <w:numFmt w:val="lowerRoman"/>
      <w:start w:val="1"/>
    </w:lvl>
  </w:abstractNum>
  <w:abstractNum w:abstractNumId="20">
    <w:nsid w:val="4AD084E9"/>
    <w:multiLevelType w:val="hybridMultilevel"/>
    <w:lvl w:ilvl="0">
      <w:lvlJc w:val="left"/>
      <w:lvlText w:val="(%1)"/>
      <w:numFmt w:val="lowerLetter"/>
      <w:start w:val="6"/>
    </w:lvl>
  </w:abstractNum>
  <w:abstractNum w:abstractNumId="21">
    <w:nsid w:val="1F48EAA1"/>
    <w:multiLevelType w:val="hybridMultilevel"/>
    <w:lvl w:ilvl="0">
      <w:lvlJc w:val="left"/>
      <w:lvlText w:val="(%1)"/>
      <w:numFmt w:val="lowerLetter"/>
      <w:start w:val="1"/>
    </w:lvl>
  </w:abstractNum>
  <w:abstractNum w:abstractNumId="22">
    <w:nsid w:val="1381823A"/>
    <w:multiLevelType w:val="hybridMultilevel"/>
    <w:lvl w:ilvl="0">
      <w:lvlJc w:val="left"/>
      <w:lvlText w:val="%1"/>
      <w:numFmt w:val="lowerLetter"/>
      <w:start w:val="1"/>
    </w:lvl>
    <w:lvl w:ilvl="1">
      <w:lvlJc w:val="left"/>
      <w:lvlText w:val="(%2)"/>
      <w:numFmt w:val="lowerLetter"/>
      <w:start w:val="1"/>
    </w:lvl>
  </w:abstractNum>
  <w:abstractNum w:abstractNumId="23">
    <w:nsid w:val="5DB70AE5"/>
    <w:multiLevelType w:val="hybridMultilevel"/>
    <w:lvl w:ilvl="0">
      <w:lvlJc w:val="left"/>
      <w:lvlText w:val="(%1)"/>
      <w:numFmt w:val="lowerLetter"/>
      <w:start w:val="35"/>
    </w:lvl>
    <w:lvl w:ilvl="1">
      <w:lvlJc w:val="left"/>
      <w:lvlText w:val="%2"/>
      <w:numFmt w:val="lowerLetter"/>
      <w:start w:val="1"/>
    </w:lvl>
  </w:abstractNum>
  <w:abstractNum w:abstractNumId="24">
    <w:nsid w:val="100F8FCA"/>
    <w:multiLevelType w:val="hybridMultilevel"/>
    <w:lvl w:ilvl="0">
      <w:lvlJc w:val="left"/>
      <w:lvlText w:val="(%1)"/>
      <w:numFmt w:val="lowerLetter"/>
      <w:start w:val="9"/>
    </w:lvl>
    <w:lvl w:ilvl="1">
      <w:lvlJc w:val="left"/>
      <w:lvlText w:val="%2"/>
      <w:numFmt w:val="lowerLetter"/>
      <w:start w:val="1"/>
    </w:lvl>
  </w:abstractNum>
  <w:abstractNum w:abstractNumId="25">
    <w:nsid w:val="6590700B"/>
    <w:multiLevelType w:val="hybridMultilevel"/>
    <w:lvl w:ilvl="0">
      <w:lvlJc w:val="left"/>
      <w:lvlText w:val="(%1)"/>
      <w:numFmt w:val="lowerLetter"/>
      <w:start w:val="2"/>
    </w:lvl>
  </w:abstractNum>
  <w:abstractNum w:abstractNumId="26">
    <w:nsid w:val="15014ACB"/>
    <w:multiLevelType w:val="hybridMultilevel"/>
    <w:lvl w:ilvl="0">
      <w:lvlJc w:val="left"/>
      <w:lvlText w:val="(%1)"/>
      <w:numFmt w:val="lowerLetter"/>
      <w:start w:val="1"/>
    </w:lvl>
  </w:abstractNum>
  <w:abstractNum w:abstractNumId="27">
    <w:nsid w:val="5F5E7FD0"/>
    <w:multiLevelType w:val="hybridMultilevel"/>
    <w:lvl w:ilvl="0">
      <w:lvlJc w:val="left"/>
      <w:lvlText w:val="(%1)"/>
      <w:numFmt w:val="lowerLetter"/>
      <w:start w:val="2"/>
    </w:lvl>
  </w:abstractNum>
  <w:abstractNum w:abstractNumId="28">
    <w:nsid w:val="98A3148"/>
    <w:multiLevelType w:val="hybridMultilevel"/>
    <w:lvl w:ilvl="0">
      <w:lvlJc w:val="left"/>
      <w:lvlText w:val="(%1)"/>
      <w:numFmt w:val="lowerLetter"/>
      <w:start w:val="2"/>
    </w:lvl>
    <w:lvl w:ilvl="1">
      <w:lvlJc w:val="left"/>
      <w:lvlText w:val="(%2)"/>
      <w:numFmt w:val="lowerLetter"/>
      <w:start w:val="35"/>
    </w:lvl>
  </w:abstractNum>
  <w:abstractNum w:abstractNumId="29">
    <w:nsid w:val="799D0247"/>
    <w:multiLevelType w:val="hybridMultilevel"/>
    <w:lvl w:ilvl="0">
      <w:lvlJc w:val="left"/>
      <w:lvlText w:val="(%1)"/>
      <w:numFmt w:val="lowerRoman"/>
      <w:start w:val="3"/>
    </w:lvl>
  </w:abstractNum>
  <w:abstractNum w:abstractNumId="30">
    <w:nsid w:val="6B94764"/>
    <w:multiLevelType w:val="hybridMultilevel"/>
    <w:lvl w:ilvl="0">
      <w:lvlJc w:val="left"/>
      <w:lvlText w:val="(%1)"/>
      <w:numFmt w:val="lowerLetter"/>
      <w:start w:val="3"/>
    </w:lvl>
  </w:abstractNum>
  <w:abstractNum w:abstractNumId="31">
    <w:nsid w:val="42C296BD"/>
    <w:multiLevelType w:val="hybridMultilevel"/>
    <w:lvl w:ilvl="0">
      <w:lvlJc w:val="left"/>
      <w:lvlText w:val="(%1)"/>
      <w:numFmt w:val="lowerLetter"/>
      <w:start w:val="1"/>
    </w:lvl>
  </w:abstractNum>
  <w:abstractNum w:abstractNumId="32">
    <w:nsid w:val="168E121F"/>
    <w:multiLevelType w:val="hybridMultilevel"/>
    <w:lvl w:ilvl="0">
      <w:lvlJc w:val="left"/>
      <w:lvlText w:val="(%1)"/>
      <w:numFmt w:val="lowerLetter"/>
      <w:start w:val="2"/>
    </w:lvl>
  </w:abstractNum>
  <w:abstractNum w:abstractNumId="33">
    <w:nsid w:val="1EBA5D23"/>
    <w:multiLevelType w:val="hybridMultilevel"/>
    <w:lvl w:ilvl="0">
      <w:lvlJc w:val="left"/>
      <w:lvlText w:val="(%1)"/>
      <w:numFmt w:val="lowerLetter"/>
      <w:start w:val="2"/>
    </w:lvl>
  </w:abstractNum>
  <w:abstractNum w:abstractNumId="34">
    <w:nsid w:val="661E3F1E"/>
    <w:multiLevelType w:val="hybridMultilevel"/>
    <w:lvl w:ilvl="0">
      <w:lvlJc w:val="left"/>
      <w:lvlText w:val="(%1)"/>
      <w:numFmt w:val="lowerRoman"/>
      <w:start w:val="2"/>
    </w:lvl>
  </w:abstractNum>
  <w:abstractNum w:abstractNumId="35">
    <w:nsid w:val="5DC79EA8"/>
    <w:multiLevelType w:val="hybridMultilevel"/>
    <w:lvl w:ilvl="0">
      <w:lvlJc w:val="left"/>
      <w:lvlText w:val="(%1)"/>
      <w:numFmt w:val="lowerLetter"/>
      <w:start w:val="2"/>
    </w:lvl>
    <w:lvl w:ilvl="1">
      <w:lvlJc w:val="left"/>
      <w:lvlText w:val="(%2)"/>
      <w:numFmt w:val="lowerLetter"/>
      <w:start w:val="3"/>
    </w:lvl>
  </w:abstractNum>
  <w:abstractNum w:abstractNumId="36">
    <w:nsid w:val="540A471C"/>
    <w:multiLevelType w:val="hybridMultilevel"/>
    <w:lvl w:ilvl="0">
      <w:lvlJc w:val="left"/>
      <w:lvlText w:val="(%1)"/>
      <w:numFmt w:val="lowerRoman"/>
      <w:start w:val="1"/>
    </w:lvl>
  </w:abstractNum>
  <w:abstractNum w:abstractNumId="37">
    <w:nsid w:val="7BD3EE7B"/>
    <w:multiLevelType w:val="hybridMultilevel"/>
    <w:lvl w:ilvl="0">
      <w:lvlJc w:val="left"/>
      <w:lvlText w:val="(%1)"/>
      <w:numFmt w:val="lowerRoman"/>
      <w:start w:val="1"/>
    </w:lvl>
  </w:abstractNum>
  <w:abstractNum w:abstractNumId="38">
    <w:nsid w:val="51D9C564"/>
    <w:multiLevelType w:val="hybridMultilevel"/>
    <w:lvl w:ilvl="0">
      <w:lvlJc w:val="left"/>
      <w:lvlText w:val="(%1)"/>
      <w:numFmt w:val="lowerLetter"/>
      <w:start w:val="2"/>
    </w:lvl>
  </w:abstractNum>
  <w:abstractNum w:abstractNumId="39">
    <w:nsid w:val="613EFDC5"/>
    <w:multiLevelType w:val="hybridMultilevel"/>
    <w:lvl w:ilvl="0">
      <w:lvlJc w:val="left"/>
      <w:lvlText w:val="(%1)"/>
      <w:numFmt w:val="lowerLetter"/>
      <w:start w:val="1"/>
    </w:lvl>
    <w:lvl w:ilvl="1">
      <w:lvlJc w:val="left"/>
      <w:lvlText w:val="(%2)"/>
      <w:numFmt w:val="lowerRoman"/>
      <w:start w:val="1"/>
    </w:lvl>
  </w:abstractNum>
  <w:abstractNum w:abstractNumId="40">
    <w:nsid w:val="BF72B14"/>
    <w:multiLevelType w:val="hybridMultilevel"/>
    <w:lvl w:ilvl="0">
      <w:lvlJc w:val="left"/>
      <w:lvlText w:val="%1"/>
      <w:numFmt w:val="lowerLetter"/>
      <w:start w:val="1"/>
    </w:lvl>
    <w:lvl w:ilvl="1">
      <w:lvlJc w:val="left"/>
      <w:lvlText w:val="(%2)"/>
      <w:numFmt w:val="lowerLetter"/>
      <w:start w:val="61"/>
    </w:lvl>
  </w:abstractNum>
  <w:abstractNum w:abstractNumId="41">
    <w:nsid w:val="11447B73"/>
    <w:multiLevelType w:val="hybridMultilevel"/>
    <w:lvl w:ilvl="0">
      <w:lvlJc w:val="left"/>
      <w:lvlText w:val="(%1)"/>
      <w:numFmt w:val="lowerLetter"/>
      <w:start w:val="2"/>
    </w:lvl>
    <w:lvl w:ilvl="1">
      <w:lvlJc w:val="left"/>
      <w:lvlText w:val="(%2)"/>
      <w:numFmt w:val="lowerLetter"/>
      <w:start w:val="9"/>
    </w:lvl>
  </w:abstractNum>
  <w:abstractNum w:abstractNumId="42">
    <w:nsid w:val="42963E5A"/>
    <w:multiLevelType w:val="hybridMultilevel"/>
    <w:lvl w:ilvl="0">
      <w:lvlJc w:val="left"/>
      <w:lvlText w:val="(%1)"/>
      <w:numFmt w:val="lowerRoman"/>
      <w:start w:val="2"/>
    </w:lvl>
  </w:abstractNum>
  <w:abstractNum w:abstractNumId="43">
    <w:nsid w:val="A0382C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44">
    <w:nsid w:val="8F2B15E"/>
    <w:multiLevelType w:val="hybridMultilevel"/>
    <w:lvl w:ilvl="0">
      <w:lvlJc w:val="left"/>
      <w:lvlText w:val="(%1)"/>
      <w:numFmt w:val="upperLetter"/>
      <w:start w:val="35"/>
    </w:lvl>
  </w:abstractNum>
  <w:abstractNum w:abstractNumId="45">
    <w:nsid w:val="1A32234B"/>
    <w:multiLevelType w:val="hybridMultilevel"/>
    <w:lvl w:ilvl="0">
      <w:lvlJc w:val="left"/>
      <w:lvlText w:val="(%1)"/>
      <w:numFmt w:val="upperLetter"/>
      <w:start w:val="61"/>
    </w:lvl>
  </w:abstractNum>
  <w:abstractNum w:abstractNumId="46">
    <w:nsid w:val="3B0FD379"/>
    <w:multiLevelType w:val="hybridMultilevel"/>
    <w:lvl w:ilvl="0">
      <w:lvlJc w:val="left"/>
      <w:lvlText w:val="%1"/>
      <w:numFmt w:val="upperLetter"/>
      <w:start w:val="1"/>
    </w:lvl>
    <w:lvl w:ilvl="1">
      <w:lvlJc w:val="left"/>
      <w:lvlText w:val="(%2)"/>
      <w:numFmt w:val="lowerLetter"/>
      <w:start w:val="25"/>
    </w:lvl>
    <w:lvl w:ilvl="2">
      <w:lvlJc w:val="left"/>
      <w:lvlText w:val="(%3)"/>
      <w:numFmt w:val="upperLetter"/>
      <w:start w:val="22"/>
    </w:lvl>
  </w:abstractNum>
  <w:abstractNum w:abstractNumId="47">
    <w:nsid w:val="68EB2F63"/>
    <w:multiLevelType w:val="hybridMultilevel"/>
    <w:lvl w:ilvl="0">
      <w:lvlJc w:val="left"/>
      <w:lvlText w:val="(%1)"/>
      <w:numFmt w:val="upperLetter"/>
      <w:start w:val="3"/>
    </w:lvl>
    <w:lvl w:ilvl="1">
      <w:lvlJc w:val="left"/>
      <w:lvlText w:val="%2"/>
      <w:numFmt w:val="lowerLetter"/>
      <w:start w:val="1"/>
    </w:lvl>
    <w:lvl w:ilvl="2">
      <w:lvlJc w:val="left"/>
      <w:lvlText w:val="%3"/>
      <w:numFmt w:val="upperLetter"/>
      <w:start w:val="1"/>
    </w:lvl>
  </w:abstractNum>
  <w:abstractNum w:abstractNumId="48">
    <w:nsid w:val="4962813B"/>
    <w:multiLevelType w:val="hybridMultilevel"/>
    <w:lvl w:ilvl="0">
      <w:lvlJc w:val="left"/>
      <w:lvlText w:val="%1"/>
      <w:numFmt w:val="lowerLetter"/>
      <w:start w:val="1"/>
    </w:lvl>
    <w:lvl w:ilvl="1">
      <w:lvlJc w:val="left"/>
      <w:lvlText w:val="(%2)"/>
      <w:numFmt w:val="lowerLetter"/>
      <w:start w:val="61"/>
    </w:lvl>
  </w:abstractNum>
  <w:abstractNum w:abstractNumId="49">
    <w:nsid w:val="60B6DF70"/>
    <w:multiLevelType w:val="hybridMultilevel"/>
    <w:lvl w:ilvl="0">
      <w:lvlJc w:val="left"/>
      <w:lvlText w:val="(%1)"/>
      <w:numFmt w:val="lowerLetter"/>
      <w:start w:val="6"/>
    </w:lvl>
    <w:lvl w:ilvl="1">
      <w:lvlJc w:val="left"/>
      <w:lvlText w:val="%2"/>
      <w:numFmt w:val="lowerLetter"/>
      <w:start w:val="1"/>
    </w:lvl>
  </w:abstractNum>
  <w:abstractNum w:abstractNumId="50">
    <w:nsid w:val="6A5EE64"/>
    <w:multiLevelType w:val="hybridMultilevel"/>
    <w:lvl w:ilvl="0">
      <w:lvlJc w:val="left"/>
      <w:lvlText w:val="(%1)"/>
      <w:numFmt w:val="lowerLetter"/>
      <w:start w:val="1"/>
    </w:lvl>
    <w:lvl w:ilvl="1">
      <w:lvlJc w:val="left"/>
      <w:lvlText w:val="(%2)"/>
      <w:numFmt w:val="lowerRoman"/>
      <w:start w:val="1"/>
    </w:lvl>
  </w:abstractNum>
  <w:abstractNum w:abstractNumId="51">
    <w:nsid w:val="14330624"/>
    <w:multiLevelType w:val="hybridMultilevel"/>
    <w:lvl w:ilvl="0">
      <w:lvlJc w:val="left"/>
      <w:lvlText w:val="(%1)"/>
      <w:numFmt w:val="lowerRoman"/>
      <w:start w:val="1"/>
    </w:lvl>
    <w:lvl w:ilvl="1">
      <w:lvlJc w:val="left"/>
      <w:lvlText w:val="(%2)"/>
      <w:numFmt w:val="upperLetter"/>
      <w:start w:val="1"/>
    </w:lvl>
  </w:abstractNum>
  <w:abstractNum w:abstractNumId="52">
    <w:nsid w:val="7FFFCA11"/>
    <w:multiLevelType w:val="hybridMultilevel"/>
    <w:lvl w:ilvl="0">
      <w:lvlJc w:val="left"/>
      <w:lvlText w:val="(%1)"/>
      <w:numFmt w:val="lowerRoman"/>
      <w:start w:val="2"/>
    </w:lvl>
  </w:abstractNum>
  <w:abstractNum w:abstractNumId="53">
    <w:nsid w:val="1A27709E"/>
    <w:multiLevelType w:val="hybridMultilevel"/>
    <w:lvl w:ilvl="0">
      <w:lvlJc w:val="left"/>
      <w:lvlText w:val="(%1)"/>
      <w:numFmt w:val="lowerLetter"/>
      <w:start w:val="1"/>
    </w:lvl>
    <w:lvl w:ilvl="1">
      <w:lvlJc w:val="left"/>
      <w:lvlText w:val="(%2)"/>
      <w:numFmt w:val="lowerRoman"/>
      <w:start w:val="1"/>
    </w:lvl>
  </w:abstractNum>
  <w:abstractNum w:abstractNumId="54">
    <w:nsid w:val="71EA1109"/>
    <w:multiLevelType w:val="hybridMultilevel"/>
    <w:lvl w:ilvl="0">
      <w:lvlJc w:val="left"/>
      <w:lvlText w:val="(%1)"/>
      <w:numFmt w:val="lowerLetter"/>
      <w:start w:val="2"/>
    </w:lvl>
  </w:abstractNum>
  <w:abstractNum w:abstractNumId="55">
    <w:nsid w:val="100F59DC"/>
    <w:multiLevelType w:val="hybridMultilevel"/>
    <w:lvl w:ilvl="0">
      <w:lvlJc w:val="left"/>
      <w:lvlText w:val="(%1)"/>
      <w:numFmt w:val="lowerLetter"/>
      <w:start w:val="5"/>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lvl w:ilvl="1">
      <w:lvlJc w:val="left"/>
      <w:lvlText w:val="(%2)"/>
      <w:numFmt w:val="lowerRoman"/>
      <w:start w:val="1"/>
    </w:lvl>
  </w:abstractNum>
  <w:abstractNum w:abstractNumId="59">
    <w:nsid w:val="94211F2"/>
    <w:multiLevelType w:val="hybridMultilevel"/>
    <w:lvl w:ilvl="0">
      <w:lvlJc w:val="left"/>
      <w:lvlText w:val="%1"/>
      <w:numFmt w:val="upperLetter"/>
      <w:start w:val="1"/>
    </w:lvl>
    <w:lvl w:ilvl="1">
      <w:lvlJc w:val="left"/>
      <w:lvlText w:val="(%2)"/>
      <w:numFmt w:val="lowerRoman"/>
      <w:start w:val="6"/>
    </w:lvl>
  </w:abstractNum>
  <w:abstractNum w:abstractNumId="60">
    <w:nsid w:val="885E1B"/>
    <w:multiLevelType w:val="hybridMultilevel"/>
    <w:lvl w:ilvl="0">
      <w:lvlJc w:val="left"/>
      <w:lvlText w:val="(%1)"/>
      <w:numFmt w:val="upperLetter"/>
      <w:start w:val="2"/>
    </w:lvl>
    <w:lvl w:ilvl="1">
      <w:lvlJc w:val="left"/>
      <w:lvlText w:val="(%2)"/>
      <w:numFmt w:val="lowerRoman"/>
      <w:start w:val="8"/>
    </w:lvl>
  </w:abstractNum>
  <w:abstractNum w:abstractNumId="61">
    <w:nsid w:val="76272110"/>
    <w:multiLevelType w:val="hybridMultilevel"/>
    <w:lvl w:ilvl="0">
      <w:lvlJc w:val="left"/>
      <w:lvlText w:val="(%1)"/>
      <w:numFmt w:val="upperLetter"/>
      <w:start w:val="4"/>
    </w:lvl>
    <w:lvl w:ilvl="1">
      <w:lvlJc w:val="left"/>
      <w:lvlText w:val="(%2)"/>
      <w:numFmt w:val="lowerRoman"/>
      <w:start w:val="9"/>
    </w:lvl>
  </w:abstractNum>
  <w:abstractNum w:abstractNumId="62">
    <w:nsid w:val="4C04A8AF"/>
    <w:multiLevelType w:val="hybridMultilevel"/>
    <w:lvl w:ilvl="0">
      <w:lvlJc w:val="left"/>
      <w:lvlText w:val="(%1)"/>
      <w:numFmt w:val="lowerLetter"/>
      <w:start w:val="2"/>
    </w:lvl>
  </w:abstractNum>
  <w:abstractNum w:abstractNumId="63">
    <w:nsid w:val="1716703B"/>
    <w:multiLevelType w:val="hybridMultilevel"/>
    <w:lvl w:ilvl="0">
      <w:lvlJc w:val="left"/>
      <w:lvlText w:val="(%1)"/>
      <w:numFmt w:val="lowerLetter"/>
      <w:start w:val="5"/>
    </w:lvl>
  </w:abstractNum>
  <w:abstractNum w:abstractNumId="64">
    <w:nsid w:val="14E17E33"/>
    <w:multiLevelType w:val="hybridMultilevel"/>
    <w:lvl w:ilvl="0">
      <w:lvlJc w:val="left"/>
      <w:lvlText w:val="(%1)"/>
      <w:numFmt w:val="lowerLetter"/>
      <w:start w:val="1"/>
    </w:lvl>
    <w:lvl w:ilvl="1">
      <w:lvlJc w:val="left"/>
      <w:lvlText w:val="(%2)"/>
      <w:numFmt w:val="lowerRoman"/>
      <w:start w:val="1"/>
    </w:lvl>
  </w:abstractNum>
  <w:abstractNum w:abstractNumId="65">
    <w:nsid w:val="3222E7CD"/>
    <w:multiLevelType w:val="hybridMultilevel"/>
    <w:lvl w:ilvl="0">
      <w:lvlJc w:val="left"/>
      <w:lvlText w:val="(%1)"/>
      <w:numFmt w:val="lowerLetter"/>
      <w:start w:val="3"/>
    </w:lvl>
  </w:abstractNum>
  <w:abstractNum w:abstractNumId="66">
    <w:nsid w:val="74DE0EE3"/>
    <w:multiLevelType w:val="hybridMultilevel"/>
    <w:lvl w:ilvl="0">
      <w:lvlJc w:val="left"/>
      <w:lvlText w:val="(%1)"/>
      <w:numFmt w:val="lowerLetter"/>
      <w:start w:val="7"/>
    </w:lvl>
  </w:abstractNum>
  <w:abstractNum w:abstractNumId="67">
    <w:nsid w:val="68EBC550"/>
    <w:multiLevelType w:val="hybridMultilevel"/>
    <w:lvl w:ilvl="0">
      <w:lvlJc w:val="left"/>
      <w:lvlText w:val="(%1)"/>
      <w:numFmt w:val="lowerLetter"/>
      <w:start w:val="3"/>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lowerLetter"/>
      <w:start w:val="1"/>
    </w:lvl>
  </w:abstractNum>
  <w:abstractNum w:abstractNumId="70">
    <w:nsid w:val="4A2AC315"/>
    <w:multiLevelType w:val="hybridMultilevel"/>
    <w:lvl w:ilvl="0">
      <w:lvlJc w:val="left"/>
      <w:lvlText w:val="(%1)"/>
      <w:numFmt w:val="lowerLetter"/>
      <w:start w:val="1"/>
    </w:lvl>
  </w:abstractNum>
  <w:abstractNum w:abstractNumId="71">
    <w:nsid w:val="39EE015C"/>
    <w:multiLevelType w:val="hybridMultilevel"/>
    <w:lvl w:ilvl="0">
      <w:lvlJc w:val="left"/>
      <w:lvlText w:val="(%1)"/>
      <w:numFmt w:val="lowerLetter"/>
      <w:start w:val="1"/>
    </w:lvl>
  </w:abstractNum>
  <w:abstractNum w:abstractNumId="72">
    <w:nsid w:val="57FC4FBB"/>
    <w:multiLevelType w:val="hybridMultilevel"/>
    <w:lvl w:ilvl="0">
      <w:lvlJc w:val="left"/>
      <w:lvlText w:val="(%1)"/>
      <w:numFmt w:val="lowerLetter"/>
      <w:start w:val="1"/>
    </w:lvl>
  </w:abstractNum>
  <w:abstractNum w:abstractNumId="73">
    <w:nsid w:val="CC1016F"/>
    <w:multiLevelType w:val="hybridMultilevel"/>
    <w:lvl w:ilvl="0">
      <w:lvlJc w:val="left"/>
      <w:lvlText w:val="(%1)"/>
      <w:numFmt w:val="lowerLetter"/>
      <w:start w:val="2"/>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3"/>
    </w:lvl>
    <w:lvl w:ilvl="1">
      <w:lvlJc w:val="left"/>
      <w:lvlText w:val="(%2)"/>
      <w:numFmt w:val="lowerRoman"/>
      <w:start w:val="1"/>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Letter"/>
      <w:start w:val="2"/>
    </w:lvl>
  </w:abstractNum>
  <w:abstractNum w:abstractNumId="79">
    <w:nsid w:val="7055A5F5"/>
    <w:multiLevelType w:val="hybridMultilevel"/>
    <w:lvl w:ilvl="0">
      <w:lvlJc w:val="left"/>
      <w:lvlText w:val="%1"/>
      <w:numFmt w:val="lowerRoman"/>
      <w:start w:val="1"/>
    </w:lvl>
    <w:lvl w:ilvl="1">
      <w:lvlJc w:val="left"/>
      <w:lvlText w:val="(%2)"/>
      <w:numFmt w:val="lowerLetter"/>
      <w:start w:val="1"/>
    </w:lvl>
  </w:abstractNum>
  <w:abstractNum w:abstractNumId="80">
    <w:nsid w:val="5FB8370B"/>
    <w:multiLevelType w:val="hybridMultilevel"/>
    <w:lvl w:ilvl="0">
      <w:lvlJc w:val="left"/>
      <w:lvlText w:val="(%1)"/>
      <w:numFmt w:val="lowerRoman"/>
      <w:start w:val="3"/>
    </w:lvl>
    <w:lvl w:ilvl="1">
      <w:lvlJc w:val="left"/>
      <w:lvlText w:val="%2"/>
      <w:numFmt w:val="lowerLetter"/>
      <w:start w:val="1"/>
    </w:lvl>
  </w:abstractNum>
  <w:abstractNum w:abstractNumId="81">
    <w:nsid w:val="50801EE1"/>
    <w:multiLevelType w:val="hybridMultilevel"/>
    <w:lvl w:ilvl="0">
      <w:lvlJc w:val="left"/>
      <w:lvlText w:val="(%1)"/>
      <w:numFmt w:val="lowerRoman"/>
      <w:start w:val="6"/>
    </w:lvl>
    <w:lvl w:ilvl="1">
      <w:lvlJc w:val="left"/>
      <w:lvlText w:val="(%2)"/>
      <w:numFmt w:val="lowerLetter"/>
      <w:start w:val="6"/>
    </w:lvl>
  </w:abstractNum>
  <w:abstractNum w:abstractNumId="82">
    <w:nsid w:val="488AC1A"/>
    <w:multiLevelType w:val="hybridMultilevel"/>
    <w:lvl w:ilvl="0">
      <w:lvlJc w:val="left"/>
      <w:lvlText w:val="(%1)"/>
      <w:numFmt w:val="lowerLetter"/>
      <w:start w:val="11"/>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5"/>
    </w:lvl>
  </w:abstractNum>
  <w:abstractNum w:abstractNumId="87">
    <w:nsid w:val="6A5F7029"/>
    <w:multiLevelType w:val="hybridMultilevel"/>
    <w:lvl w:ilvl="0">
      <w:lvlJc w:val="left"/>
      <w:lvlText w:val="(%1)"/>
      <w:numFmt w:val="lowerLetter"/>
      <w:start w:val="8"/>
    </w:lvl>
  </w:abstractNum>
  <w:abstractNum w:abstractNumId="88">
    <w:nsid w:val="7D5E18F8"/>
    <w:multiLevelType w:val="hybridMultilevel"/>
    <w:lvl w:ilvl="0">
      <w:lvlJc w:val="left"/>
      <w:lvlText w:val="(%1)"/>
      <w:numFmt w:val="lowerLetter"/>
      <w:start w:val="1"/>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lowerLetter"/>
      <w:start w:val="2"/>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lowerLetter"/>
      <w:start w:val="1"/>
    </w:lvl>
    <w:lvl w:ilvl="1">
      <w:lvlJc w:val="left"/>
      <w:lvlText w:val="(%2)"/>
      <w:numFmt w:val="lowerRoman"/>
      <w:start w:val="1"/>
    </w:lvl>
  </w:abstractNum>
  <w:abstractNum w:abstractNumId="93">
    <w:nsid w:val="3FA62ACA"/>
    <w:multiLevelType w:val="hybridMultilevel"/>
    <w:lvl w:ilvl="0">
      <w:lvlJc w:val="left"/>
      <w:lvlText w:val="(%1)"/>
      <w:numFmt w:val="lowerLetter"/>
      <w:start w:val="1"/>
    </w:lvl>
  </w:abstractNum>
  <w:abstractNum w:abstractNumId="94">
    <w:nsid w:val="14FCE74E"/>
    <w:multiLevelType w:val="hybridMultilevel"/>
    <w:lvl w:ilvl="0">
      <w:lvlJc w:val="left"/>
      <w:lvlText w:val="(%1)"/>
      <w:numFmt w:val="lowerLetter"/>
      <w:start w:val="1"/>
    </w:lvl>
    <w:lvl w:ilvl="1">
      <w:lvlJc w:val="left"/>
      <w:lvlText w:val="(%2)"/>
      <w:numFmt w:val="lowerRoman"/>
      <w:start w:val="1"/>
    </w:lvl>
  </w:abstractNum>
  <w:abstractNum w:abstractNumId="95">
    <w:nsid w:val="6A3DD3E8"/>
    <w:multiLevelType w:val="hybridMultilevel"/>
    <w:lvl w:ilvl="0">
      <w:lvlJc w:val="left"/>
      <w:lvlText w:val="(%1)"/>
      <w:numFmt w:val="lowerLetter"/>
      <w:start w:val="2"/>
    </w:lvl>
  </w:abstractNum>
  <w:abstractNum w:abstractNumId="96">
    <w:nsid w:val="71C91298"/>
    <w:multiLevelType w:val="hybridMultilevel"/>
    <w:lvl w:ilvl="0">
      <w:lvlJc w:val="left"/>
      <w:lvlText w:val="%1"/>
      <w:numFmt w:val="lowerLetter"/>
      <w:start w:val="1"/>
    </w:lvl>
    <w:lvl w:ilvl="1">
      <w:lvlJc w:val="left"/>
      <w:lvlText w:val="(%2)"/>
      <w:numFmt w:val="lowerLetter"/>
      <w:start w:val="3"/>
    </w:lvl>
  </w:abstractNum>
  <w:abstractNum w:abstractNumId="97">
    <w:nsid w:val="9DAF632"/>
    <w:multiLevelType w:val="hybridMultilevel"/>
    <w:lvl w:ilvl="0">
      <w:lvlJc w:val="left"/>
      <w:lvlText w:val="(%1)"/>
      <w:numFmt w:val="lowerLetter"/>
      <w:start w:val="35"/>
    </w:lvl>
    <w:lvl w:ilvl="1">
      <w:lvlJc w:val="left"/>
      <w:lvlText w:val="%2"/>
      <w:numFmt w:val="lowerLetter"/>
      <w:start w:val="1"/>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Letter"/>
      <w:start w:val="3"/>
    </w:lvl>
  </w:abstractNum>
  <w:abstractNum w:abstractNumId="100">
    <w:nsid w:val="5092CA79"/>
    <w:multiLevelType w:val="hybridMultilevel"/>
    <w:lvl w:ilvl="0">
      <w:lvlJc w:val="left"/>
      <w:lvlText w:val="(%1)"/>
      <w:numFmt w:val="lowerLetter"/>
      <w:start w:val="6"/>
    </w:lvl>
  </w:abstractNum>
  <w:abstractNum w:abstractNumId="101">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2">
    <w:nsid w:val="59ADEA3D"/>
    <w:multiLevelType w:val="hybridMultilevel"/>
    <w:lvl w:ilvl="0">
      <w:lvlJc w:val="left"/>
      <w:lvlText w:val="(%1)"/>
      <w:numFmt w:val="lowerRoman"/>
      <w:start w:val="2"/>
    </w:lvl>
    <w:lvl w:ilvl="1">
      <w:lvlJc w:val="left"/>
      <w:lvlText w:val="(%2)"/>
      <w:numFmt w:val="upperLetter"/>
      <w:start w:val="1"/>
    </w:lvl>
  </w:abstractNum>
  <w:abstractNum w:abstractNumId="103">
    <w:nsid w:val="288F1A34"/>
    <w:multiLevelType w:val="hybridMultilevel"/>
    <w:lvl w:ilvl="0">
      <w:lvlJc w:val="left"/>
      <w:lvlText w:val="(%1)"/>
      <w:numFmt w:val="lowerLetter"/>
      <w:start w:val="3"/>
    </w:lvl>
  </w:abstractNum>
  <w:abstractNum w:abstractNumId="104">
    <w:nsid w:val="2A155DBC"/>
    <w:multiLevelType w:val="hybridMultilevel"/>
    <w:lvl w:ilvl="0">
      <w:lvlJc w:val="left"/>
      <w:lvlText w:val="(%1)"/>
      <w:numFmt w:val="lowerLetter"/>
      <w:start w:val="5"/>
    </w:lvl>
  </w:abstractNum>
  <w:abstractNum w:abstractNumId="105">
    <w:nsid w:val="1D9F6E5F"/>
    <w:multiLevelType w:val="hybridMultilevel"/>
    <w:lvl w:ilvl="0">
      <w:lvlJc w:val="left"/>
      <w:lvlText w:val="(%1)"/>
      <w:numFmt w:val="lowerRoman"/>
      <w:start w:val="2"/>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3"/>
    </w:lvl>
  </w:abstractNum>
  <w:abstractNum w:abstractNumId="109">
    <w:nsid w:val="53584BCB"/>
    <w:multiLevelType w:val="hybridMultilevel"/>
    <w:lvl w:ilvl="0">
      <w:lvlJc w:val="left"/>
      <w:lvlText w:val="(%1)"/>
      <w:numFmt w:val="lowerLetter"/>
      <w:start w:val="1"/>
    </w:lvl>
    <w:lvl w:ilvl="1">
      <w:lvlJc w:val="left"/>
      <w:lvlText w:val="(%2)"/>
      <w:numFmt w:val="lowerRoman"/>
      <w:start w:val="1"/>
    </w:lvl>
  </w:abstractNum>
  <w:abstractNum w:abstractNumId="110">
    <w:nsid w:val="415E286C"/>
    <w:multiLevelType w:val="hybridMultilevel"/>
    <w:lvl w:ilvl="0">
      <w:lvlJc w:val="left"/>
      <w:lvlText w:val="(%1)"/>
      <w:numFmt w:val="decimal"/>
      <w:start w:val="952"/>
    </w:lvl>
  </w:abstractNum>
  <w:abstractNum w:abstractNumId="111">
    <w:nsid w:val="7C58FD05"/>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2019-12-28T14:22:51Z</dcterms:created>
  <dcterms:modified xsi:type="dcterms:W3CDTF">2019-12-28T14:22:51Z</dcterms:modified>
</cp:coreProperties>
</file>