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hanging="508"/>
        <w:spacing w:after="0"/>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80" w:hanging="548"/>
        <w:spacing w:after="0"/>
        <w:tabs>
          <w:tab w:leader="none" w:pos="8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408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0" w:type="dxa"/>
            <w:vAlign w:val="bottom"/>
            <w:gridSpan w:val="3"/>
          </w:tcPr>
          <w:p>
            <w:pPr>
              <w:jc w:val="right"/>
              <w:ind w:right="50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220" w:type="dxa"/>
            <w:vAlign w:val="bottom"/>
            <w:gridSpan w:val="3"/>
            <w:vMerge w:val="restart"/>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Report of Independent Registered Public Accounting Firm</w:t>
              </w:r>
            </w:hyperlink>
          </w:p>
        </w:tc>
        <w:tc>
          <w:tcPr>
            <w:tcW w:w="440" w:type="dxa"/>
            <w:vAlign w:val="bottom"/>
            <w:gridSpan w:val="2"/>
            <w:vMerge w:val="restart"/>
          </w:tcPr>
          <w:p>
            <w:pPr>
              <w:spacing w:after="0"/>
              <w:rPr>
                <w:sz w:val="24"/>
                <w:szCs w:val="24"/>
                <w:color w:val="auto"/>
              </w:rPr>
            </w:pPr>
          </w:p>
        </w:tc>
        <w:tc>
          <w:tcPr>
            <w:tcW w:w="56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660" w:type="dxa"/>
            <w:vAlign w:val="bottom"/>
          </w:tcPr>
          <w:p>
            <w:pPr>
              <w:spacing w:after="0"/>
              <w:rPr>
                <w:sz w:val="14"/>
                <w:szCs w:val="14"/>
                <w:color w:val="auto"/>
              </w:rPr>
            </w:pPr>
          </w:p>
        </w:tc>
        <w:tc>
          <w:tcPr>
            <w:tcW w:w="1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56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 — 12</w:t>
            </w:r>
          </w:p>
        </w:tc>
        <w:tc>
          <w:tcPr>
            <w:tcW w:w="0" w:type="dxa"/>
            <w:vAlign w:val="bottom"/>
          </w:tcPr>
          <w:p>
            <w:pPr>
              <w:spacing w:after="0"/>
              <w:rPr>
                <w:sz w:val="1"/>
                <w:szCs w:val="1"/>
                <w:color w:val="auto"/>
              </w:rPr>
            </w:pPr>
          </w:p>
        </w:tc>
      </w:tr>
      <w:tr>
        <w:trPr>
          <w:trHeight w:val="368"/>
        </w:trPr>
        <w:tc>
          <w:tcPr>
            <w:tcW w:w="2160" w:type="dxa"/>
            <w:vAlign w:val="bottom"/>
            <w:tcBorders>
              <w:top w:val="single" w:sz="8" w:color="0000EE"/>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56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Employee Stock Ownership Plan:</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2012 and 2011,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2012 and 2011,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695,340,692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606,803,093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Employer contribution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11,033,723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9,974,544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contribution receivable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54,223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Participant loans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receivables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11,087,946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10,020,752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540"/>
              <w:spacing w:after="0"/>
              <w:rPr>
                <w:sz w:val="20"/>
                <w:szCs w:val="20"/>
                <w:color w:val="auto"/>
              </w:rPr>
            </w:pPr>
            <w:r>
              <w:rPr>
                <w:rFonts w:ascii="Arial" w:cs="Arial" w:eastAsia="Arial" w:hAnsi="Arial"/>
                <w:sz w:val="18"/>
                <w:szCs w:val="18"/>
                <w:color w:val="auto"/>
              </w:rPr>
              <w:t>Total assets before adjustment at fair value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706,428,638</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616,823,845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(2,829,250)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54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703,599,388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614,147,661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jc w:val="center"/>
              <w:ind w:left="3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THE TORO COMPANY INVESTMENT, SAVINGS,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AND EMPLOYEE STOCK OWNERSHIP PLAN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88"/>
              </w:rPr>
              <w:t>Years ended December 31, 2012 and 2011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8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Investment income (loss):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Plan interest in net investment income (loss) of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128,978,386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(6,914,240)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investment income (loss)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128,978,386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(6,914,240)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14,557,474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13,188,278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Employee contributions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13,705,655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13,113,603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Rollover contributions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1,490,637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contributions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29,753,766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27,500,597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additions to net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158,732,152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20,586,357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-2848610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-2848610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(69,338,130)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(41,757,504)</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57,705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(56,504)</w:t>
            </w:r>
          </w:p>
        </w:tc>
      </w:tr>
      <w:tr>
        <w:trPr>
          <w:trHeight w:val="210"/>
        </w:trPr>
        <w:tc>
          <w:tcPr>
            <w:tcW w:w="65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deductions from net assets</w:t>
            </w:r>
          </w:p>
        </w:tc>
        <w:tc>
          <w:tcPr>
            <w:tcW w:w="1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(69,280,425)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(41,814,008)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ind w:left="540"/>
              <w:spacing w:after="0"/>
              <w:rPr>
                <w:sz w:val="20"/>
                <w:szCs w:val="20"/>
                <w:color w:val="auto"/>
              </w:rPr>
            </w:pPr>
            <w:r>
              <w:rPr>
                <w:rFonts w:ascii="Arial" w:cs="Arial" w:eastAsia="Arial" w:hAnsi="Arial"/>
                <w:sz w:val="18"/>
                <w:szCs w:val="18"/>
                <w:color w:val="auto"/>
              </w:rPr>
              <w:t>Net increase (decrease) in net assets available for benefits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89,451,727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(21,227,651)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Beginning of year</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614,147,661</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635,375,312</w:t>
            </w:r>
          </w:p>
        </w:tc>
      </w:tr>
      <w:tr>
        <w:trPr>
          <w:trHeight w:val="210"/>
        </w:trPr>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703,599,388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614,147,661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00" w:right="1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Investment, Savings, and Employee Stock Ownership Plan (the Plan) is provided for general information purposes only. Participants should refer to the plan document amended and restated as of January 1, 2009 for more complete information for calendar years prior to 2012.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both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 Effective April 1, 2008, the Rain Master Irrigation Systems, Inc. 401(k) Profit Sharing Plan and the Hahn Equipment Co. Savings Plan for Union employees were merged into the Plan.</w:t>
      </w:r>
    </w:p>
    <w:p>
      <w:pPr>
        <w:spacing w:after="0" w:line="166" w:lineRule="exact"/>
        <w:rPr>
          <w:rFonts w:ascii="Arial" w:cs="Arial" w:eastAsia="Arial" w:hAnsi="Arial"/>
          <w:sz w:val="18"/>
          <w:szCs w:val="18"/>
          <w:b w:val="1"/>
          <w:bCs w:val="1"/>
          <w:color w:val="auto"/>
        </w:rPr>
      </w:pPr>
    </w:p>
    <w:p>
      <w:pPr>
        <w:ind w:left="5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Toro Company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rFonts w:ascii="Arial" w:cs="Arial" w:eastAsia="Arial" w:hAnsi="Arial"/>
          <w:sz w:val="18"/>
          <w:szCs w:val="18"/>
          <w:b w:val="1"/>
          <w:bCs w:val="1"/>
          <w:color w:val="auto"/>
        </w:rPr>
      </w:pPr>
    </w:p>
    <w:p>
      <w:pPr>
        <w:ind w:left="50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w:t>
      </w:r>
    </w:p>
    <w:p>
      <w:pPr>
        <w:spacing w:after="0" w:line="193" w:lineRule="exact"/>
        <w:rPr>
          <w:rFonts w:ascii="Arial" w:cs="Arial" w:eastAsia="Arial" w:hAnsi="Arial"/>
          <w:sz w:val="18"/>
          <w:szCs w:val="18"/>
          <w:b w:val="1"/>
          <w:bCs w:val="1"/>
          <w:color w:val="auto"/>
        </w:rPr>
      </w:pPr>
    </w:p>
    <w:p>
      <w:pPr>
        <w:ind w:left="50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rFonts w:ascii="Arial" w:cs="Arial" w:eastAsia="Arial" w:hAnsi="Arial"/>
          <w:sz w:val="18"/>
          <w:szCs w:val="18"/>
          <w:b w:val="1"/>
          <w:bCs w:val="1"/>
          <w:color w:val="auto"/>
        </w:rPr>
      </w:pPr>
    </w:p>
    <w:p>
      <w:pPr>
        <w:ind w:left="50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Participants may receive distributions from their vested accounts under the Plan upon termination of employment, retirement, or death in the form of a lump-sum payment or in installments. Additionally, at age 59½, participants are able to take in-service withdrawals. Participants are allowed to withdraw amounts that they previously rolled into the Plan. Withdrawals also are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in cash.</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ectPr>
          <w:pgSz w:w="11900" w:h="16838" w:orient="portrait"/>
          <w:cols w:equalWidth="0" w:num="1">
            <w:col w:w="11420"/>
          </w:cols>
          <w:pgMar w:left="240" w:top="125" w:right="239" w:bottom="0" w:gutter="0" w:footer="0" w:header="0"/>
        </w:sectPr>
      </w:pPr>
    </w:p>
    <w:bookmarkStart w:id="3" w:name="page4"/>
    <w:bookmarkEnd w:id="3"/>
    <w:p>
      <w:pPr>
        <w:spacing w:after="0" w:line="69"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During the years ended December 31, 2012 and 2011, forfeited nonvested accounts totaled $21,810 and $23,443, respectively. These amounts are used to offset future Company contributions.</w:t>
      </w:r>
    </w:p>
    <w:p>
      <w:pPr>
        <w:spacing w:after="0" w:line="170" w:lineRule="exact"/>
        <w:rPr>
          <w:sz w:val="20"/>
          <w:szCs w:val="20"/>
          <w:color w:val="auto"/>
        </w:rPr>
      </w:pPr>
    </w:p>
    <w:p>
      <w:pPr>
        <w:ind w:left="500" w:right="60"/>
        <w:spacing w:after="0" w:line="297" w:lineRule="auto"/>
        <w:rPr>
          <w:sz w:val="20"/>
          <w:szCs w:val="20"/>
          <w:color w:val="auto"/>
        </w:rPr>
      </w:pPr>
      <w:r>
        <w:rPr>
          <w:rFonts w:ascii="Arial" w:cs="Arial" w:eastAsia="Arial" w:hAnsi="Arial"/>
          <w:sz w:val="16"/>
          <w:szCs w:val="16"/>
          <w:color w:val="auto"/>
        </w:rPr>
        <w:t>Effective January 1, 2012, the Plan was amended and restated. As part of the amendment and restatement, the following key changes were made: the eligibility service requirement for Plan entry was changed to 30 days, service requirements for initial entitlement to matching, investment fund, and ESOP contributions were eliminated (annual service requirements for investment fund and ESOP contributions were retained), automatic enrollment levels increased from 2% to 4%, and a vesting schedule was established for investment fund and ESOP contributions made for individuals entering the Plan on or after January 1, 2012, which is the same as the vesting schedule for all matching contributions.</w:t>
      </w:r>
    </w:p>
    <w:p>
      <w:pPr>
        <w:spacing w:after="0" w:line="158"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landscaping equipment and lighting, agricultural micro-irrigation systems, rental and construction equipment, and residential yard and snow removal products. The Company absorbs administrative costs of the Plan, with certain exceptions including investment management fees, which are netted against investment income.</w:t>
      </w:r>
    </w:p>
    <w:p>
      <w:pPr>
        <w:spacing w:after="0" w:line="18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000" w:hanging="499"/>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ind w:left="980" w:right="1020"/>
        <w:spacing w:after="0" w:line="277" w:lineRule="auto"/>
        <w:rPr>
          <w:sz w:val="20"/>
          <w:szCs w:val="20"/>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w:t>
      </w:r>
    </w:p>
    <w:p>
      <w:pPr>
        <w:spacing w:after="0" w:line="170" w:lineRule="exact"/>
        <w:rPr>
          <w:sz w:val="20"/>
          <w:szCs w:val="20"/>
          <w:color w:val="auto"/>
        </w:rPr>
      </w:pPr>
    </w:p>
    <w:p>
      <w:pPr>
        <w:ind w:left="1000" w:hanging="499"/>
        <w:spacing w:after="0"/>
        <w:tabs>
          <w:tab w:leader="none" w:pos="10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980" w:right="140"/>
        <w:spacing w:after="0" w:line="297" w:lineRule="auto"/>
        <w:rPr>
          <w:sz w:val="20"/>
          <w:szCs w:val="20"/>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sz w:val="20"/>
          <w:szCs w:val="20"/>
          <w:color w:val="auto"/>
        </w:rPr>
      </w:pPr>
    </w:p>
    <w:p>
      <w:pPr>
        <w:ind w:left="980" w:right="80"/>
        <w:spacing w:after="0" w:line="276" w:lineRule="auto"/>
        <w:rPr>
          <w:sz w:val="20"/>
          <w:szCs w:val="20"/>
          <w:color w:val="auto"/>
        </w:rPr>
      </w:pPr>
      <w:r>
        <w:rPr>
          <w:rFonts w:ascii="Arial" w:cs="Arial" w:eastAsia="Arial" w:hAnsi="Arial"/>
          <w:sz w:val="17"/>
          <w:szCs w:val="17"/>
          <w:color w:val="auto"/>
        </w:rPr>
        <w:t>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ind w:left="980" w:right="4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99% as of December 31, 2012 and 2011.</w:t>
      </w:r>
    </w:p>
    <w:p>
      <w:pPr>
        <w:spacing w:after="0" w:line="181" w:lineRule="exact"/>
        <w:rPr>
          <w:sz w:val="20"/>
          <w:szCs w:val="20"/>
          <w:color w:val="auto"/>
        </w:rPr>
      </w:pPr>
    </w:p>
    <w:p>
      <w:pPr>
        <w:ind w:left="1020" w:hanging="519"/>
        <w:spacing w:after="0"/>
        <w:tabs>
          <w:tab w:leader="none" w:pos="10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ind w:left="1000" w:hanging="499"/>
        <w:spacing w:after="0"/>
        <w:tabs>
          <w:tab w:leader="none" w:pos="10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The assets held by the Master Trust include the Common Stock of the Company. At December 31, 2012 and 2011, approximately 36% and 33%, respectively,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87" w:lineRule="exact"/>
        <w:rPr>
          <w:sz w:val="20"/>
          <w:szCs w:val="20"/>
          <w:color w:val="auto"/>
        </w:rPr>
      </w:pPr>
    </w:p>
    <w:p>
      <w:pPr>
        <w:ind w:left="1020" w:hanging="519"/>
        <w:spacing w:after="0"/>
        <w:tabs>
          <w:tab w:leader="none" w:pos="10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left="980" w:right="160"/>
        <w:spacing w:after="0" w:line="342"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w:t>
      </w:r>
    </w:p>
    <w:p>
      <w:pPr>
        <w:sectPr>
          <w:pgSz w:w="11900" w:h="16908" w:orient="portrait"/>
          <w:cols w:equalWidth="0" w:num="1">
            <w:col w:w="11420"/>
          </w:cols>
          <w:pgMar w:left="240" w:top="125" w:right="239" w:bottom="0" w:gutter="0" w:footer="0" w:header="0"/>
        </w:sectPr>
      </w:pPr>
    </w:p>
    <w:bookmarkStart w:id="4" w:name="page5"/>
    <w:bookmarkEnd w:id="4"/>
    <w:p>
      <w:pPr>
        <w:jc w:val="both"/>
        <w:ind w:left="980" w:right="280"/>
        <w:spacing w:after="0" w:line="286" w:lineRule="auto"/>
        <w:rPr>
          <w:sz w:val="20"/>
          <w:szCs w:val="20"/>
          <w:color w:val="auto"/>
        </w:rPr>
      </w:pPr>
      <w:r>
        <w:rPr>
          <w:rFonts w:ascii="Arial" w:cs="Arial" w:eastAsia="Arial" w:hAnsi="Arial"/>
          <w:sz w:val="17"/>
          <w:szCs w:val="17"/>
          <w:color w:val="auto"/>
        </w:rPr>
        <w:t>security-backed contract has similar characteristics as a traditional investment contract and is comprised of two parts: the first part is a fixed income security or portfolio of fixed income securities; the second part is a contract value guarantee (wrapper) provided by a third party. The yield earned by the Wells Fargo Stable Value Fund E at December 31, 2012 and 2011 was 0.94% and 1.56%, respectively.</w:t>
      </w:r>
    </w:p>
    <w:p>
      <w:pPr>
        <w:spacing w:after="0" w:line="166" w:lineRule="exact"/>
        <w:rPr>
          <w:sz w:val="20"/>
          <w:szCs w:val="20"/>
          <w:color w:val="auto"/>
        </w:rPr>
      </w:pPr>
    </w:p>
    <w:p>
      <w:pPr>
        <w:ind w:left="980" w:right="24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is prepared on a contract value basis.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29" w:lineRule="exact"/>
        <w:rPr>
          <w:rFonts w:ascii="Arial" w:cs="Arial" w:eastAsia="Arial" w:hAnsi="Arial"/>
          <w:sz w:val="18"/>
          <w:szCs w:val="18"/>
          <w:b w:val="1"/>
          <w:bCs w:val="1"/>
          <w:color w:val="auto"/>
        </w:rPr>
      </w:pPr>
    </w:p>
    <w:p>
      <w:pPr>
        <w:jc w:val="both"/>
        <w:ind w:left="5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rFonts w:ascii="Arial" w:cs="Arial" w:eastAsia="Arial" w:hAnsi="Arial"/>
          <w:sz w:val="18"/>
          <w:szCs w:val="18"/>
          <w:b w:val="1"/>
          <w:bCs w:val="1"/>
          <w:color w:val="auto"/>
        </w:rPr>
      </w:pPr>
    </w:p>
    <w:p>
      <w:pPr>
        <w:ind w:left="500"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54" w:lineRule="exact"/>
        <w:rPr>
          <w:rFonts w:ascii="Arial" w:cs="Arial" w:eastAsia="Arial" w:hAnsi="Arial"/>
          <w:sz w:val="18"/>
          <w:szCs w:val="18"/>
          <w:b w:val="1"/>
          <w:bCs w:val="1"/>
          <w:color w:val="auto"/>
        </w:rPr>
      </w:pPr>
    </w:p>
    <w:p>
      <w:pPr>
        <w:ind w:left="5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can also elect salary reduction elections under a 401(k) feature, after-tax contributions and rollover funds from other qualified plans. The Company may, at its discretion, make a matching contribution to employee contributions to the Plan.</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00" w:right="6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ERISA Section 408(b).</w:t>
      </w:r>
    </w:p>
    <w:p>
      <w:pPr>
        <w:spacing w:after="0" w:line="142"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500"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For individuals who became Plan participants prior to 2012, each participant’s interest in the Plan is 100% vested at all times, except for the portion attributable to matching contributions, which is vested in a manner described above. For individuals who become Plan participants on or after January 1, 2012, the portions of each participant’s interest in the Plan attributable to investment fund, ESOP and matching contributions are vested in the same manner as described above for matching contributions of individuals who became Plan participants prior to 2012. Upon termination of the Plan, interests of active participants in the Plan fully vest.</w:t>
      </w:r>
    </w:p>
    <w:p>
      <w:pPr>
        <w:spacing w:after="0" w:line="174"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daily balances invested in the Plan.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ectPr>
          <w:pgSz w:w="11900" w:h="16838" w:orient="portrait"/>
          <w:cols w:equalWidth="0" w:num="1">
            <w:col w:w="11420"/>
          </w:cols>
          <w:pgMar w:left="240" w:top="125" w:right="239" w:bottom="0" w:gutter="0" w:footer="0" w:header="0"/>
        </w:sectPr>
      </w:pPr>
    </w:p>
    <w:bookmarkStart w:id="5" w:name="page6"/>
    <w:bookmarkEnd w:id="5"/>
    <w:p>
      <w:pPr>
        <w:ind w:left="500"/>
        <w:spacing w:after="0"/>
        <w:rPr>
          <w:sz w:val="20"/>
          <w:szCs w:val="20"/>
          <w:color w:val="auto"/>
        </w:rPr>
      </w:pPr>
      <w:r>
        <w:rPr>
          <w:rFonts w:ascii="Arial" w:cs="Arial" w:eastAsia="Arial" w:hAnsi="Arial"/>
          <w:sz w:val="18"/>
          <w:szCs w:val="18"/>
          <w:color w:val="auto"/>
        </w:rPr>
        <w:t>Fair values of Master Trust investments at December 31, 2012 and 2011 were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U.S. Small Cap Equities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31,567,294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29,820,362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32,420,071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26,506,816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U.S. Large Cap Equities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122,443,659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108,237,566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3,653,436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2,675,343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International Large Cap Equities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26,403,367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25,065,517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100,747,244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103,583,178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90,484,097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17,802,425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3,223,982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2,394,853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251,938,375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1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Master Trust Investments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609,897,816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Plan Interest in Master Trust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695,340,692</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606,803,093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32"/>
        </w:trPr>
        <w:tc>
          <w:tcPr>
            <w:tcW w:w="9340" w:type="dxa"/>
            <w:vAlign w:val="bottom"/>
            <w:gridSpan w:val="5"/>
          </w:tcPr>
          <w:p>
            <w:pPr>
              <w:jc w:val="right"/>
              <w:ind w:right="1020"/>
              <w:spacing w:after="0"/>
              <w:rPr>
                <w:sz w:val="20"/>
                <w:szCs w:val="20"/>
                <w:color w:val="auto"/>
              </w:rPr>
            </w:pPr>
            <w:r>
              <w:rPr>
                <w:rFonts w:ascii="Arial" w:cs="Arial" w:eastAsia="Arial" w:hAnsi="Arial"/>
                <w:sz w:val="18"/>
                <w:szCs w:val="18"/>
                <w:color w:val="auto"/>
                <w:w w:val="89"/>
              </w:rPr>
              <w:t>Net investment income (loss) for the Master Trust for the years ended December 31, 2012 and 2011 was as follows: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76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(depreciation) in fair value of investments: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Small Cap Equities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1,902,305</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(3,740,505)</w:t>
            </w: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U.S. Mid Cap Equities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4,178,779</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(263,253)</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Large Cap Equities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17,735,527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(5,380,635)</w:t>
            </w: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International Small Cap Equities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638,757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(430,956)</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Large Cap Equities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4,016,531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(4,341,245)</w:t>
            </w: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Stable Asset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2,032,319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2,648,514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Allocation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10,452,064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Fixed Income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821,569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1,164,554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78,850,074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(3,194,567)</w:t>
            </w:r>
          </w:p>
        </w:tc>
      </w:tr>
      <w:tr>
        <w:trPr>
          <w:trHeight w:val="210"/>
        </w:trPr>
        <w:tc>
          <w:tcPr>
            <w:tcW w:w="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Arial" w:cs="Arial" w:eastAsia="Arial" w:hAnsi="Arial"/>
                <w:sz w:val="18"/>
                <w:szCs w:val="18"/>
                <w:color w:val="auto"/>
              </w:rPr>
              <w:t>Net realized and unrealized appreciation (depreciation)</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120,627,925</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(13,406,361)</w:t>
            </w:r>
          </w:p>
        </w:tc>
        <w:tc>
          <w:tcPr>
            <w:tcW w:w="12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9,210,911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6,942,980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540"/>
              <w:spacing w:after="0"/>
              <w:rPr>
                <w:sz w:val="20"/>
                <w:szCs w:val="20"/>
                <w:color w:val="auto"/>
              </w:rPr>
            </w:pPr>
            <w:r>
              <w:rPr>
                <w:rFonts w:ascii="Arial" w:cs="Arial" w:eastAsia="Arial" w:hAnsi="Arial"/>
                <w:sz w:val="18"/>
                <w:szCs w:val="18"/>
                <w:color w:val="auto"/>
              </w:rPr>
              <w:t>Net investment income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129,838,836</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(6,463,381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ind w:left="500" w:right="32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jc w:val="both"/>
        <w:ind w:left="1840" w:right="120" w:hanging="854"/>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1880" w:right="600" w:hanging="894"/>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500" w:right="60"/>
        <w:spacing w:after="0" w:line="276" w:lineRule="auto"/>
        <w:rPr>
          <w:sz w:val="20"/>
          <w:szCs w:val="20"/>
          <w:color w:val="auto"/>
        </w:rPr>
      </w:pPr>
      <w:r>
        <w:rPr>
          <w:rFonts w:ascii="Arial" w:cs="Arial" w:eastAsia="Arial" w:hAnsi="Arial"/>
          <w:sz w:val="17"/>
          <w:szCs w:val="17"/>
          <w:color w:val="auto"/>
        </w:rPr>
        <w:t>The Master Trust’s investments in small, mid, and large-cap equities, in the United States and internationally, as well as investments in Common Stock of the Company and money market funds are classified as Level 1 assets in the fair value hierarchy, while the Master Trust’s investments in stable asset, asset allocation, and fixed income funds are classified as Level 2 assets in the fair value hierarchy. Stable asset, asset allocation, and fixed income funds are valued at Net Asset Value (NAV), which is based on the fair value of the underlying securities owned by the fund and divided by the number of shares outstanding. The NAV unit price is quoted on a private market that is not active.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measured at fair value, as of December 31, 2012 and 2011 are summarized below:</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U.S. Small Cap Equities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31,567,294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31,567,294</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32,420,071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32,420,071</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U.S. Large Cap Equities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122,443,659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122,443,659</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3,653,436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3,653,436</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International Large Cap Equities</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26,403,367</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26,403,367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100,747,244</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100,747,244</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103,583,178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103,583,178</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3,223,982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3,223,982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251,938,375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251,938,375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471,650,184</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226,922,047</w:t>
            </w:r>
          </w:p>
        </w:tc>
        <w:tc>
          <w:tcPr>
            <w:tcW w:w="280" w:type="dxa"/>
            <w:vAlign w:val="bottom"/>
          </w:tcPr>
          <w:p>
            <w:pPr>
              <w:spacing w:after="0"/>
              <w:rPr>
                <w:sz w:val="18"/>
                <w:szCs w:val="18"/>
                <w:color w:val="auto"/>
              </w:rPr>
            </w:pPr>
          </w:p>
        </w:tc>
        <w:tc>
          <w:tcPr>
            <w:tcW w:w="13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100" w:type="dxa"/>
            <w:vAlign w:val="bottom"/>
          </w:tcPr>
          <w:p>
            <w:pPr>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1</w:t>
            </w: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Level 2</w:t>
            </w:r>
          </w:p>
        </w:tc>
        <w:tc>
          <w:tcPr>
            <w:tcW w:w="1500" w:type="dxa"/>
            <w:vAlign w:val="bottom"/>
            <w:gridSpan w:val="3"/>
          </w:tcPr>
          <w:p>
            <w:pPr>
              <w:ind w:left="4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U.S. Small Cap Equities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29,820,362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29,820,362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26,506,816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26,506,816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U.S. Large Cap Equities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108,237,566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108,237,566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2,675,343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2,675,343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International Large Cap Equities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25,065,517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25,065,517</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106,043,767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106,043,767</w:t>
            </w:r>
          </w:p>
        </w:tc>
        <w:tc>
          <w:tcPr>
            <w:tcW w:w="15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Asset Allocation Funds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500" w:type="dxa"/>
            <w:vAlign w:val="bottom"/>
            <w:gridSpan w:val="3"/>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17,802,425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17,802,425</w:t>
            </w:r>
          </w:p>
        </w:tc>
        <w:tc>
          <w:tcPr>
            <w:tcW w:w="15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2,394,853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2,394,853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200,867,070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200,867,070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609,897,816</w:t>
            </w:r>
          </w:p>
        </w:tc>
        <w:tc>
          <w:tcPr>
            <w:tcW w:w="280" w:type="dxa"/>
            <w:vAlign w:val="bottom"/>
          </w:tcPr>
          <w:p>
            <w:pPr>
              <w:spacing w:after="0"/>
              <w:rPr>
                <w:sz w:val="18"/>
                <w:szCs w:val="18"/>
                <w:color w:val="auto"/>
              </w:rPr>
            </w:pPr>
          </w:p>
        </w:tc>
        <w:tc>
          <w:tcPr>
            <w:tcW w:w="13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7"/>
              </w:rPr>
              <w:t>395,567,527</w:t>
            </w:r>
          </w:p>
        </w:tc>
        <w:tc>
          <w:tcPr>
            <w:tcW w:w="280" w:type="dxa"/>
            <w:vAlign w:val="bottom"/>
          </w:tcPr>
          <w:p>
            <w:pPr>
              <w:spacing w:after="0"/>
              <w:rPr>
                <w:sz w:val="18"/>
                <w:szCs w:val="18"/>
                <w:color w:val="auto"/>
              </w:rPr>
            </w:pPr>
          </w:p>
        </w:tc>
        <w:tc>
          <w:tcPr>
            <w:tcW w:w="13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7"/>
              </w:rPr>
              <w:t>214,330,289</w:t>
            </w:r>
          </w:p>
        </w:tc>
        <w:tc>
          <w:tcPr>
            <w:tcW w:w="280" w:type="dxa"/>
            <w:vAlign w:val="bottom"/>
          </w:tcPr>
          <w:p>
            <w:pPr>
              <w:spacing w:after="0"/>
              <w:rPr>
                <w:sz w:val="18"/>
                <w:szCs w:val="18"/>
                <w:color w:val="auto"/>
              </w:rPr>
            </w:pPr>
          </w:p>
        </w:tc>
        <w:tc>
          <w:tcPr>
            <w:tcW w:w="138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77"/>
              </w:rPr>
              <w:t>—</w:t>
            </w:r>
          </w:p>
        </w:tc>
        <w:tc>
          <w:tcPr>
            <w:tcW w:w="120" w:type="dxa"/>
            <w:vAlign w:val="bottom"/>
            <w:gridSpan w:val="2"/>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Level 1 and Level 2 during the years ended December 31, 2012 and 2011.</w:t>
      </w:r>
    </w:p>
    <w:p>
      <w:pPr>
        <w:spacing w:after="0" w:line="22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2012 and 2011 that represent 5% or more of the Master Trust’s net assets in either year:</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7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100,747,244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T. Rowe Price Equity Income Fund</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41,183,923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37,529,027</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56,255,610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50,201,839</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251,938,375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200,867,070</w:t>
            </w:r>
          </w:p>
        </w:tc>
      </w:tr>
    </w:tbl>
    <w:p>
      <w:pPr>
        <w:spacing w:after="0" w:line="18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0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Internal Revenue Service (IRS) has determined and informed the Company by a letter dated February 19, 2008,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54" w:lineRule="exact"/>
        <w:rPr>
          <w:rFonts w:ascii="Arial" w:cs="Arial" w:eastAsia="Arial" w:hAnsi="Arial"/>
          <w:sz w:val="18"/>
          <w:szCs w:val="18"/>
          <w:b w:val="1"/>
          <w:bCs w:val="1"/>
          <w:color w:val="auto"/>
        </w:rPr>
      </w:pPr>
    </w:p>
    <w:p>
      <w:pPr>
        <w:ind w:left="5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2009.</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ectPr>
          <w:pgSz w:w="11900" w:h="16838" w:orient="portrait"/>
          <w:cols w:equalWidth="0" w:num="1">
            <w:col w:w="11420"/>
          </w:cols>
          <w:pgMar w:left="240" w:top="125" w:right="239" w:bottom="0" w:gutter="0" w:footer="0" w:header="0"/>
        </w:sectPr>
      </w:pPr>
    </w:p>
    <w:p>
      <w:pPr>
        <w:spacing w:after="0" w:line="221" w:lineRule="exact"/>
        <w:rPr>
          <w:sz w:val="20"/>
          <w:szCs w:val="20"/>
          <w:color w:val="auto"/>
        </w:rPr>
      </w:pPr>
    </w:p>
    <w:p>
      <w:pPr>
        <w:ind w:left="10120"/>
        <w:spacing w:after="0"/>
        <w:rPr>
          <w:sz w:val="20"/>
          <w:szCs w:val="20"/>
          <w:color w:val="auto"/>
        </w:rPr>
      </w:pPr>
      <w:r>
        <w:rPr>
          <w:rFonts w:ascii="Arial" w:cs="Arial" w:eastAsia="Arial" w:hAnsi="Arial"/>
          <w:sz w:val="12"/>
          <w:szCs w:val="12"/>
          <w:b w:val="1"/>
          <w:bCs w:val="1"/>
          <w:color w:val="auto"/>
        </w:rPr>
        <w:t>December 31,</w:t>
      </w:r>
    </w:p>
    <w:p>
      <w:pPr>
        <w:sectPr>
          <w:pgSz w:w="11900" w:h="16838" w:orient="portrait"/>
          <w:cols w:equalWidth="0" w:num="1">
            <w:col w:w="11420"/>
          </w:cols>
          <w:pgMar w:left="240" w:top="125" w:right="239" w:bottom="0" w:gutter="0" w:footer="0" w:header="0"/>
          <w:type w:val="continuous"/>
        </w:sectPr>
      </w:pPr>
    </w:p>
    <w:bookmarkStart w:id="7" w:name="page8"/>
    <w:bookmarkEnd w:id="7"/>
    <w:tbl>
      <w:tblPr>
        <w:tblLayout w:type="fixed"/>
        <w:tblInd w:w="520" w:type="dxa"/>
        <w:tblCellMar>
          <w:top w:w="0" w:type="dxa"/>
          <w:left w:w="0" w:type="dxa"/>
          <w:bottom w:w="0" w:type="dxa"/>
          <w:right w:w="0" w:type="dxa"/>
        </w:tblCellMar>
      </w:tblPr>
      <w:tr>
        <w:trPr>
          <w:trHeight w:val="171"/>
        </w:trPr>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703,599,388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2012</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2,829,250</w:t>
            </w:r>
          </w:p>
        </w:tc>
        <w:tc>
          <w:tcPr>
            <w:tcW w:w="100" w:type="dxa"/>
            <w:vAlign w:val="bottom"/>
          </w:tcPr>
          <w:p>
            <w:pPr>
              <w:spacing w:after="0"/>
              <w:rPr>
                <w:sz w:val="18"/>
                <w:szCs w:val="18"/>
                <w:color w:val="auto"/>
              </w:rPr>
            </w:pPr>
          </w:p>
        </w:tc>
      </w:tr>
      <w:tr>
        <w:trPr>
          <w:trHeight w:val="210"/>
        </w:trPr>
        <w:tc>
          <w:tcPr>
            <w:tcW w:w="9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706,428,638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9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89,451,727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2012</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2,829,250</w:t>
            </w: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(2,676,184)</w:t>
            </w:r>
          </w:p>
        </w:tc>
      </w:tr>
      <w:tr>
        <w:trPr>
          <w:trHeight w:val="210"/>
        </w:trPr>
        <w:tc>
          <w:tcPr>
            <w:tcW w:w="9340" w:type="dxa"/>
            <w:vAlign w:val="bottom"/>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89,604,793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614,147,661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2,676,184</w:t>
            </w:r>
          </w:p>
        </w:tc>
        <w:tc>
          <w:tcPr>
            <w:tcW w:w="100" w:type="dxa"/>
            <w:vAlign w:val="bottom"/>
          </w:tcPr>
          <w:p>
            <w:pPr>
              <w:spacing w:after="0"/>
              <w:rPr>
                <w:sz w:val="18"/>
                <w:szCs w:val="18"/>
                <w:color w:val="auto"/>
              </w:rPr>
            </w:pPr>
          </w:p>
        </w:tc>
      </w:tr>
      <w:tr>
        <w:trPr>
          <w:trHeight w:val="210"/>
        </w:trPr>
        <w:tc>
          <w:tcPr>
            <w:tcW w:w="9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616,823,845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9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(21,227,651)</w:t>
            </w:r>
          </w:p>
        </w:tc>
        <w:tc>
          <w:tcPr>
            <w:tcW w:w="120" w:type="dxa"/>
            <w:vAlign w:val="bottom"/>
            <w:gridSpan w:val="2"/>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2,676,184</w:t>
            </w: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(2,147,255)</w:t>
            </w: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(20,698,722</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(Continued)</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The Toro Company Investment, Savings, and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Employee Stock Ownership Plan</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3560" w:type="dxa"/>
            <w:vAlign w:val="bottom"/>
            <w:gridSpan w:val="4"/>
          </w:tcPr>
          <w:p>
            <w:pPr>
              <w:ind w:left="500"/>
              <w:spacing w:after="0"/>
              <w:rPr>
                <w:sz w:val="20"/>
                <w:szCs w:val="20"/>
                <w:color w:val="auto"/>
              </w:rPr>
            </w:pPr>
            <w:r>
              <w:rPr>
                <w:rFonts w:ascii="Arial" w:cs="Arial" w:eastAsia="Arial" w:hAnsi="Arial"/>
                <w:sz w:val="18"/>
                <w:szCs w:val="18"/>
                <w:color w:val="auto"/>
              </w:rPr>
              <w:t>Date: June 26, 2013</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Renee J. Peterson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60" w:type="dxa"/>
            <w:vAlign w:val="bottom"/>
          </w:tcPr>
          <w:p>
            <w:pPr>
              <w:ind w:left="2040"/>
              <w:spacing w:after="0" w:line="182" w:lineRule="exact"/>
              <w:rPr>
                <w:sz w:val="20"/>
                <w:szCs w:val="20"/>
                <w:color w:val="auto"/>
              </w:rPr>
            </w:pPr>
            <w:r>
              <w:rPr>
                <w:rFonts w:ascii="Arial" w:cs="Arial" w:eastAsia="Arial" w:hAnsi="Arial"/>
                <w:sz w:val="18"/>
                <w:szCs w:val="18"/>
                <w:color w:val="auto"/>
                <w:w w:val="75"/>
              </w:rPr>
              <w:t>Renee</w:t>
            </w:r>
          </w:p>
        </w:tc>
        <w:tc>
          <w:tcPr>
            <w:tcW w:w="528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 Peterson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Vice President Finance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and Chief Financial Officer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of The Toro Company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60" w:type="dxa"/>
            <w:vAlign w:val="bottom"/>
          </w:tcPr>
          <w:p>
            <w:pPr>
              <w:ind w:left="2040"/>
              <w:spacing w:after="0"/>
              <w:rPr>
                <w:sz w:val="20"/>
                <w:szCs w:val="20"/>
                <w:color w:val="auto"/>
              </w:rPr>
            </w:pPr>
            <w:r>
              <w:rPr>
                <w:rFonts w:ascii="Arial" w:cs="Arial" w:eastAsia="Arial" w:hAnsi="Arial"/>
                <w:sz w:val="18"/>
                <w:szCs w:val="18"/>
                <w:color w:val="auto"/>
              </w:rPr>
              <w:t>13</w:t>
            </w: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5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74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8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23.1</w:t>
            </w:r>
          </w:p>
        </w:tc>
        <w:tc>
          <w:tcPr>
            <w:tcW w:w="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-1048385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-1048385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0"/>
          </w:cols>
          <w:pgMar w:left="240" w:top="118" w:right="19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(Nos. 033-59563, 333-11860, 333-100004, and 333-119504) on Form S-8 of The Toro Company, of our report dated June 26, 2013, with respect to the statements of net assets available for benefits of The Toro Company Investment, Savings, and Employee Stock Ownership Plan as of December 31, 2012 and 2011, and the related statements of changes in net assets available for benefits for the years then ended, which report appears in the December 31, 2012 annual report on Form 11-K of The Toro Company Investment, Savings, and Employee Stock Ownership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2019-12-05T20:32:33Z</dcterms:created>
  <dcterms:modified xsi:type="dcterms:W3CDTF">2019-12-05T20:32:33Z</dcterms:modified>
</cp:coreProperties>
</file>