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ETTINGER JEFFREY M</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2"/>
              </w:rPr>
              <w:t>1,268</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31,988.023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47.17</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4,951</w:t>
            </w:r>
            <w:r>
              <w:rPr>
                <w:rFonts w:ascii="Arial" w:cs="Arial" w:eastAsia="Arial" w:hAnsi="Arial"/>
                <w:sz w:val="22"/>
                <w:szCs w:val="22"/>
                <w:color w:val="008000"/>
                <w:vertAlign w:val="superscript"/>
              </w:rPr>
              <w:t>(3)</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11/01/2026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4,951</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3"/>
                <w:szCs w:val="13"/>
                <w:color w:val="0000FF"/>
                <w:w w:val="98"/>
              </w:rPr>
              <w:t>4,951</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(the "Amended and Restated 2010 Plan").</w:t>
      </w:r>
    </w:p>
    <w:p>
      <w:pPr>
        <w:spacing w:after="0" w:line="10" w:lineRule="exact"/>
        <w:rPr>
          <w:rFonts w:ascii="Arial" w:cs="Arial" w:eastAsia="Arial" w:hAnsi="Arial"/>
          <w:sz w:val="13"/>
          <w:szCs w:val="13"/>
          <w:color w:val="008000"/>
        </w:rPr>
      </w:pPr>
    </w:p>
    <w:p>
      <w:pPr>
        <w:ind w:left="40" w:right="28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15,143.134 additional shares of common stock. Also includes 433.755 post-split shares of common stock acquired by the reporting person under the dividend reinvestment feature of The Toro Company Direct Stock Purchase Plan since the date of his last report. All future Form 4 and 5 filings made by the reporting person will include adjustments, as necessary, to reflect the Stock Split.</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11/03/2016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2019-12-23T21:00:37Z</dcterms:created>
  <dcterms:modified xsi:type="dcterms:W3CDTF">2019-12-23T21:00:37Z</dcterms:modified>
</cp:coreProperties>
</file>