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220980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208915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00" w:space="720"/>
            <w:col w:w="3100"/>
          </w:cols>
          <w:pgMar w:left="320" w:top="53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23, 2023, the Board of Directors (the “Board”) of The Toro Company (“TTC”), acting upon the recommendation of the Nominating &amp; Governance Committee of the Board, approved and adopted Amended and Restated Bylaws of The Toro Company (the “Amended and Restated Bylaws”), effective as of May 23, 2023. The Amended and Restated Bylaws were amended to:</w:t>
      </w:r>
    </w:p>
    <w:p>
      <w:pPr>
        <w:spacing w:after="0" w:line="184" w:lineRule="exact"/>
        <w:rPr>
          <w:sz w:val="20"/>
          <w:szCs w:val="20"/>
          <w:color w:val="auto"/>
        </w:rPr>
      </w:pPr>
    </w:p>
    <w:p>
      <w:pPr>
        <w:ind w:left="98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update provisions regarding notice of an adjournment of any meeting of stockholders and the availability of the list of stockholders entitled to vote at a meeting of stockholders, each to align with recent amendments to the Delaware General Corporation Law, as amended;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clarify procedures for stockholders to propose business or nominations to be considered at annual or special meetings of stockholders;</w:t>
      </w:r>
    </w:p>
    <w:p>
      <w:pPr>
        <w:spacing w:after="0" w:line="236"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additional requirements and disclosures regarding proposing stockholders, proposed nominees and business, and other persons related to a stockholder’s solicitation of proxies;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 the majority vote standard for proposals other than director elections to a majority of votes cast, which provides that both abstentions and broker non-votes will have no effect on the outcome of such proposals;</w:t>
      </w:r>
    </w:p>
    <w:p>
      <w:pPr>
        <w:spacing w:after="0" w:line="170" w:lineRule="exact"/>
        <w:rPr>
          <w:rFonts w:ascii="Arial" w:cs="Arial" w:eastAsia="Arial" w:hAnsi="Arial"/>
          <w:sz w:val="18"/>
          <w:szCs w:val="18"/>
          <w:color w:val="auto"/>
        </w:rPr>
      </w:pPr>
    </w:p>
    <w:p>
      <w:pPr>
        <w:ind w:left="980" w:hanging="324"/>
        <w:spacing w:after="0" w:line="30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address the new universal proxy rules adopted by the U.S. Securities and Exchange Commission pursuant to the Securities Exchange Act of 1934, as amended (the “Exchange Act”), including a requirement for a stockholder submitting a nomination notice to make a representation as to whether such stockholder intends to solicit proxies in support of director nominees other than TTC’s nominees in accordance with Rule 14a-19 under the Exchange Act, and to provide reasonable evidence that certain requirements of such rule have been satisfied;</w:t>
      </w:r>
    </w:p>
    <w:p>
      <w:pPr>
        <w:spacing w:after="0" w:line="157"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that a stockholder directly or indirectly soliciting proxies from other stockholders use a proxy card color other than white;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adopt a federal forum provision requiring all claims under the Securities Act of 1933, as amended, to be brought in federal courts;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certain additional technical, conforming, modernizing and clarifying changes.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foregoing description of the amendments reflected in the Amended and Restated Bylaws is a summary of the material terms thereof, does not purport to be complete and is qualified in its entirety by reference to the full text of the Amended and Restated Bylaws, which is filed as Exhibit 3.1 to this Current Report on Form 8-K and is incorporated by reference herein.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4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760" w:type="dxa"/>
            <w:vAlign w:val="bottom"/>
          </w:tcPr>
          <w:p>
            <w:pPr>
              <w:spacing w:after="0"/>
              <w:rPr>
                <w:sz w:val="15"/>
                <w:szCs w:val="15"/>
                <w:color w:val="auto"/>
              </w:rPr>
            </w:pPr>
          </w:p>
        </w:tc>
        <w:tc>
          <w:tcPr>
            <w:tcW w:w="10240" w:type="dxa"/>
            <w:vAlign w:val="bottom"/>
          </w:tcPr>
          <w:p>
            <w:pPr>
              <w:ind w:left="140"/>
              <w:spacing w:after="0" w:line="176" w:lineRule="exact"/>
              <w:rPr>
                <w:sz w:val="20"/>
                <w:szCs w:val="20"/>
                <w:color w:val="auto"/>
              </w:rPr>
            </w:pPr>
            <w:r>
              <w:rPr>
                <w:rFonts w:ascii="Arial" w:cs="Arial" w:eastAsia="Arial" w:hAnsi="Arial"/>
                <w:sz w:val="18"/>
                <w:szCs w:val="18"/>
                <w:color w:val="auto"/>
              </w:rPr>
              <w:t>Amended and Restated Bylaws of The Toro Company, effective as of May 23, 2023</w:t>
            </w: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104</w:t>
            </w:r>
          </w:p>
        </w:tc>
        <w:tc>
          <w:tcPr>
            <w:tcW w:w="10240" w:type="dxa"/>
            <w:vAlign w:val="bottom"/>
          </w:tcPr>
          <w:p>
            <w:pPr>
              <w:ind w:left="1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2"/>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40" w:type="dxa"/>
            <w:vAlign w:val="bottom"/>
          </w:tcPr>
          <w:p>
            <w:pPr>
              <w:jc w:val="right"/>
              <w:ind w:right="5495"/>
              <w:spacing w:after="0"/>
              <w:rPr>
                <w:sz w:val="20"/>
                <w:szCs w:val="20"/>
                <w:color w:val="auto"/>
              </w:rPr>
            </w:pPr>
            <w:r>
              <w:rPr>
                <w:rFonts w:ascii="Arial" w:cs="Arial" w:eastAsia="Arial" w:hAnsi="Arial"/>
                <w:sz w:val="14"/>
                <w:szCs w:val="14"/>
                <w:color w:val="auto"/>
              </w:rPr>
              <w:t>1</w:t>
            </w:r>
          </w:p>
        </w:tc>
      </w:tr>
      <w:tr>
        <w:trPr>
          <w:trHeight w:val="46"/>
        </w:trPr>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30, 2023</w:t>
      </w:r>
      <w:r>
        <w:rPr>
          <w:sz w:val="20"/>
          <w:szCs w:val="20"/>
          <w:color w:val="auto"/>
        </w:rPr>
        <w:tab/>
      </w:r>
      <w:r>
        <w:rPr>
          <w:rFonts w:ascii="Arial" w:cs="Arial" w:eastAsia="Arial" w:hAnsi="Arial"/>
          <w:sz w:val="17"/>
          <w:szCs w:val="17"/>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Vice President, International, General Counsel and Corporate Secretary</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CORPORATE SEAL, RECORDS, AND FORUM</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u w:val="single" w:color="auto"/>
          <w:color w:val="auto"/>
        </w:rPr>
        <w:t>Section 1.1 Registered Office; Other Offices</w:t>
      </w:r>
      <w:r>
        <w:rPr>
          <w:rFonts w:ascii="Arial" w:cs="Arial" w:eastAsia="Arial" w:hAnsi="Arial"/>
          <w:sz w:val="17"/>
          <w:szCs w:val="17"/>
          <w:color w:val="auto"/>
        </w:rPr>
        <w:t>. The address of the registered office of The Toro Company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17"/>
          <w:szCs w:val="17"/>
          <w:u w:val="single" w:color="auto"/>
          <w:color w:val="auto"/>
        </w:rPr>
        <w:t>Restated Certificate of Incorporation</w:t>
      </w:r>
      <w:r>
        <w:rPr>
          <w:rFonts w:ascii="Arial" w:cs="Arial" w:eastAsia="Arial" w:hAnsi="Arial"/>
          <w:sz w:val="17"/>
          <w:szCs w:val="17"/>
          <w:color w:val="auto"/>
        </w:rPr>
        <w:t>”). The Corporation may have other offices, either within or without the State of Delaware, at such place or places as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may from time to time determine. Unless otherwise determined by the Board of Directors, the principal executive office of the Corporation shall be at 8111 Lyndale Avenue South, in the City of Bloomington, County of Hennepin, State of Minnesota, United States of America.</w:t>
      </w:r>
    </w:p>
    <w:p>
      <w:pPr>
        <w:spacing w:after="0" w:line="17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u w:val="single" w:color="auto"/>
          <w:color w:val="auto"/>
        </w:rPr>
        <w:t>Section 1.2 Seal</w:t>
      </w:r>
      <w:r>
        <w:rPr>
          <w:rFonts w:ascii="Arial" w:cs="Arial" w:eastAsia="Arial" w:hAnsi="Arial"/>
          <w:sz w:val="17"/>
          <w:szCs w:val="17"/>
          <w:color w:val="auto"/>
        </w:rPr>
        <w:t>.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u w:val="single" w:color="auto"/>
          <w:color w:val="auto"/>
        </w:rPr>
        <w:t>Section 1.3 Stock Ledger</w:t>
      </w:r>
      <w:r>
        <w:rPr>
          <w:rFonts w:ascii="Arial" w:cs="Arial" w:eastAsia="Arial" w:hAnsi="Arial"/>
          <w:sz w:val="18"/>
          <w:szCs w:val="18"/>
          <w:color w:val="auto"/>
        </w:rPr>
        <w:t>. The Corporation shall at all times keep at its principal executive office, or at such other place or places as the Board of Directors may determine, a stock ledger in which the names and addresses of the stockholders, the number and classes of shares held by each, the dates on which the certificates therefor were issued, or, in the case of uncertificated shares, the date the electronic entry evidencing the ownership of the shares was made in the Corporation’s records. All issuances and transfers of stock of the Corporation, shall be recorded in accordance with Section 224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1.4</w:t>
      </w:r>
      <w:r>
        <w:rPr>
          <w:sz w:val="20"/>
          <w:szCs w:val="20"/>
          <w:color w:val="auto"/>
        </w:rPr>
        <w:tab/>
      </w:r>
      <w:r>
        <w:rPr>
          <w:rFonts w:ascii="Arial" w:cs="Arial" w:eastAsia="Arial" w:hAnsi="Arial"/>
          <w:sz w:val="16"/>
          <w:szCs w:val="16"/>
          <w:u w:val="single" w:color="auto"/>
          <w:color w:val="auto"/>
        </w:rPr>
        <w:t>Records</w:t>
      </w:r>
      <w:r>
        <w:rPr>
          <w:rFonts w:ascii="Arial" w:cs="Arial" w:eastAsia="Arial" w:hAnsi="Arial"/>
          <w:sz w:val="16"/>
          <w:szCs w:val="16"/>
          <w:color w:val="auto"/>
        </w:rPr>
        <w:t>. The Corporation shall at all times keep at its principal executive office, or at such other place or places as the Board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may determine, the following records:</w:t>
      </w:r>
    </w:p>
    <w:p>
      <w:pPr>
        <w:spacing w:after="0" w:line="211" w:lineRule="exact"/>
        <w:rPr>
          <w:sz w:val="20"/>
          <w:szCs w:val="20"/>
          <w:color w:val="auto"/>
        </w:rPr>
      </w:pPr>
    </w:p>
    <w:p>
      <w:pPr>
        <w:ind w:right="540" w:firstLine="656"/>
        <w:spacing w:after="0" w:line="277" w:lineRule="auto"/>
        <w:tabs>
          <w:tab w:leader="none" w:pos="12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original or copies of records of all proceedings of stockholders and directors, of its bylaws and all amendments thereto, and of reports made to stockholders or any of them within the preceding three years;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statement of names and usual business addresses of its directors and principal officers;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Appropriate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 w:name="page5"/>
    <w:bookmarkEnd w:id="4"/>
    <w:p>
      <w:pPr>
        <w:ind w:right="20" w:firstLine="648"/>
        <w:spacing w:after="0" w:line="273" w:lineRule="auto"/>
        <w:rPr>
          <w:sz w:val="20"/>
          <w:szCs w:val="20"/>
          <w:color w:val="auto"/>
        </w:rPr>
      </w:pPr>
      <w:r>
        <w:rPr>
          <w:rFonts w:ascii="Arial" w:cs="Arial" w:eastAsia="Arial" w:hAnsi="Arial"/>
          <w:sz w:val="17"/>
          <w:szCs w:val="17"/>
          <w:color w:val="auto"/>
        </w:rPr>
        <w:t>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Section 1.5 Inspection of Books and Records</w:t>
      </w:r>
      <w:r>
        <w:rPr>
          <w:rFonts w:ascii="Arial" w:cs="Arial" w:eastAsia="Arial" w:hAnsi="Arial"/>
          <w:sz w:val="18"/>
          <w:szCs w:val="18"/>
          <w:color w:val="auto"/>
        </w:rPr>
        <w:t>. Subject to law and any order of the Court of Chancery of the state of Delaware (the “</w:t>
      </w:r>
      <w:r>
        <w:rPr>
          <w:rFonts w:ascii="Arial" w:cs="Arial" w:eastAsia="Arial" w:hAnsi="Arial"/>
          <w:sz w:val="18"/>
          <w:szCs w:val="18"/>
          <w:u w:val="single" w:color="auto"/>
          <w:color w:val="auto"/>
        </w:rPr>
        <w:t>Chancery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Court</w:t>
      </w:r>
      <w:r>
        <w:rPr>
          <w:rFonts w:ascii="Arial" w:cs="Arial" w:eastAsia="Arial" w:hAnsi="Arial"/>
          <w:sz w:val="18"/>
          <w:szCs w:val="18"/>
          <w:color w:val="auto"/>
        </w:rPr>
        <w:t>”),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1.6</w:t>
      </w:r>
      <w:r>
        <w:rPr>
          <w:sz w:val="20"/>
          <w:szCs w:val="20"/>
          <w:color w:val="auto"/>
        </w:rPr>
        <w:tab/>
      </w:r>
      <w:r>
        <w:rPr>
          <w:rFonts w:ascii="Arial" w:cs="Arial" w:eastAsia="Arial" w:hAnsi="Arial"/>
          <w:sz w:val="16"/>
          <w:szCs w:val="16"/>
          <w:u w:val="single" w:color="auto"/>
          <w:color w:val="auto"/>
        </w:rPr>
        <w:t>Forum Selection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7" w:lineRule="auto"/>
        <w:tabs>
          <w:tab w:leader="none" w:pos="1298" w:val="left"/>
        </w:tabs>
        <w:numPr>
          <w:ilvl w:val="1"/>
          <w:numId w:val="5"/>
        </w:numPr>
        <w:rPr>
          <w:rFonts w:ascii="Arial" w:cs="Arial" w:eastAsia="Arial" w:hAnsi="Arial"/>
          <w:sz w:val="16"/>
          <w:szCs w:val="16"/>
          <w:color w:val="auto"/>
        </w:rPr>
      </w:pPr>
      <w:r>
        <w:rPr>
          <w:rFonts w:ascii="Arial" w:cs="Arial" w:eastAsia="Arial" w:hAnsi="Arial"/>
          <w:sz w:val="16"/>
          <w:szCs w:val="16"/>
          <w:color w:val="auto"/>
        </w:rPr>
        <w:t>Unless the Corporation consents in writing to the selection of an alternative forum, (i) the Chancery Court (or, in the event that the Chancery Court does not have jurisdiction, the federal district court for the District of Delaware or other state courts of the State of Delaware) shall, to the fullest extent permitted by law, be the sole and exclusive forum for (A) any derivative action, suit or proceeding brought by or on behalf of the Corporation,</w:t>
      </w:r>
    </w:p>
    <w:p>
      <w:pPr>
        <w:spacing w:after="0" w:line="2" w:lineRule="exact"/>
        <w:rPr>
          <w:rFonts w:ascii="Arial" w:cs="Arial" w:eastAsia="Arial" w:hAnsi="Arial"/>
          <w:sz w:val="16"/>
          <w:szCs w:val="16"/>
          <w:color w:val="auto"/>
        </w:rPr>
      </w:pPr>
    </w:p>
    <w:p>
      <w:pPr>
        <w:ind w:firstLine="8"/>
        <w:spacing w:after="0" w:line="281" w:lineRule="auto"/>
        <w:tabs>
          <w:tab w:leader="none" w:pos="28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action, suit or proceeding asserting a claim for or based on a breach of a fiduciary duty owed by any current or former director, officer, or stockholder of the Corporation to the Corporation or to the Corporation’s stockholders, including a claim alleging the aiding and abetting of such a breach of fiduciary duty, (C) any action, suit or proceeding asserting a claim against the Corporation or any current or former director, officer or other employee of the Corporation arising pursuant to any provision of the DGCL or the Restated Certificate of Incorporation or these amended and restated bylaws (these “</w:t>
      </w:r>
      <w:r>
        <w:rPr>
          <w:rFonts w:ascii="Arial" w:cs="Arial" w:eastAsia="Arial" w:hAnsi="Arial"/>
          <w:sz w:val="16"/>
          <w:szCs w:val="16"/>
          <w:u w:val="single" w:color="auto"/>
          <w:color w:val="auto"/>
        </w:rPr>
        <w:t>Bylaws</w:t>
      </w:r>
      <w:r>
        <w:rPr>
          <w:rFonts w:ascii="Arial" w:cs="Arial" w:eastAsia="Arial" w:hAnsi="Arial"/>
          <w:sz w:val="16"/>
          <w:szCs w:val="16"/>
          <w:color w:val="auto"/>
        </w:rPr>
        <w:t>”) (as either may be amended from time to time), (D) any action, suit or proceeding asserting a claim related to or involving the Corporation or any action asserting a claim against any current or former director, officer or other employee of the Corporation that is governed by the internal affairs doctrine, or (E) any action asserting an “</w:t>
      </w:r>
      <w:r>
        <w:rPr>
          <w:rFonts w:ascii="Arial" w:cs="Arial" w:eastAsia="Arial" w:hAnsi="Arial"/>
          <w:sz w:val="16"/>
          <w:szCs w:val="16"/>
          <w:i w:val="1"/>
          <w:iCs w:val="1"/>
          <w:color w:val="auto"/>
        </w:rPr>
        <w:t>internal corporate claim</w:t>
      </w:r>
      <w:r>
        <w:rPr>
          <w:rFonts w:ascii="Arial" w:cs="Arial" w:eastAsia="Arial" w:hAnsi="Arial"/>
          <w:sz w:val="16"/>
          <w:szCs w:val="16"/>
          <w:color w:val="auto"/>
        </w:rPr>
        <w:t xml:space="preserve">” as that term is defined in Section 115 of the DGCL; and (ii) subject to the preceding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the federal district courts of the United States of America shall be the exclusive forum for the resolution of any complaint asserting a cause or causes of action arising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including all causes of action asserted against any defendant to such complaint. If any action the subject matter of which is within the scope of clause (i) of the immediately preceding sentence is filed in a court other than a court located 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w:t>
      </w:r>
    </w:p>
    <w:p>
      <w:pPr>
        <w:spacing w:after="0" w:line="6" w:lineRule="exact"/>
        <w:rPr>
          <w:rFonts w:ascii="Arial" w:cs="Arial" w:eastAsia="Arial" w:hAnsi="Arial"/>
          <w:sz w:val="16"/>
          <w:szCs w:val="16"/>
          <w:color w:val="auto"/>
        </w:rPr>
      </w:pPr>
    </w:p>
    <w:p>
      <w:pPr>
        <w:jc w:val="both"/>
        <w:ind w:right="140"/>
        <w:spacing w:after="0" w:line="255" w:lineRule="auto"/>
        <w:rPr>
          <w:rFonts w:ascii="Arial" w:cs="Arial" w:eastAsia="Arial" w:hAnsi="Arial"/>
          <w:sz w:val="16"/>
          <w:szCs w:val="16"/>
          <w:color w:val="auto"/>
        </w:rPr>
      </w:pPr>
      <w:r>
        <w:rPr>
          <w:rFonts w:ascii="Arial" w:cs="Arial" w:eastAsia="Arial" w:hAnsi="Arial"/>
          <w:sz w:val="18"/>
          <w:szCs w:val="18"/>
          <w:color w:val="auto"/>
        </w:rPr>
        <w:t>(x) the personal jurisdiction of the state and federal courts located within the State of Delaware in connection with any action brought in any such court to enforce the provisions of clause (i) of the preceding sentence and (y) having service of process made upon such stockholder in any such action by service upon such stockholder’s counsel in the Foreign Action as agent for such stockholder.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jc w:val="both"/>
        <w:ind w:right="60" w:firstLine="656"/>
        <w:spacing w:after="0" w:line="259"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Any person or entity purchasing or otherwise acquiring any interest in any security of the Corporation shall be deemed to have notice of and consented to this </w:t>
      </w:r>
      <w:r>
        <w:rPr>
          <w:rFonts w:ascii="Arial" w:cs="Arial" w:eastAsia="Arial" w:hAnsi="Arial"/>
          <w:sz w:val="18"/>
          <w:szCs w:val="18"/>
          <w:u w:val="single" w:color="auto"/>
          <w:color w:val="auto"/>
        </w:rPr>
        <w:t>Section 1.6</w:t>
      </w:r>
      <w:r>
        <w:rPr>
          <w:rFonts w:ascii="Arial" w:cs="Arial" w:eastAsia="Arial" w:hAnsi="Arial"/>
          <w:sz w:val="18"/>
          <w:szCs w:val="18"/>
          <w:color w:val="auto"/>
        </w:rPr>
        <w: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MEETING OF STOCKHOLDERS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u w:val="single" w:color="auto"/>
          <w:color w:val="auto"/>
        </w:rPr>
        <w:t>Section 2.1 Place of Meetings</w:t>
      </w:r>
      <w:r>
        <w:rPr>
          <w:rFonts w:ascii="Arial" w:cs="Arial" w:eastAsia="Arial" w:hAnsi="Arial"/>
          <w:sz w:val="18"/>
          <w:szCs w:val="18"/>
          <w:color w:val="auto"/>
        </w:rPr>
        <w:t>. All meetings of the stockholders shall be held at such place within or without the State of Delaware as may be designated by the Board of Directors in the notice of the meeting. The Board of Directors also may determine that a meeting of the stockholders shall not be held at any place, but instead solely by means of remote communication pursuant to Section 211(a)(2) of the DGCL. Participation by remote communication shall constitute presence at the meeting.</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u w:val="single" w:color="auto"/>
          <w:color w:val="auto"/>
        </w:rPr>
        <w:t>Section 2.2 Annual Meeting</w:t>
      </w:r>
      <w:r>
        <w:rPr>
          <w:rFonts w:ascii="Arial" w:cs="Arial" w:eastAsia="Arial" w:hAnsi="Arial"/>
          <w:sz w:val="18"/>
          <w:szCs w:val="18"/>
          <w:color w:val="auto"/>
        </w:rPr>
        <w:t xml:space="preserve">. Annual meetings of the stockholders, if any, shall be held on the day or date and at the time, place, if any, and the means of remote communication, if any, as the Board of Directors may fix from time to time in its discretion, for the election of directors and the transaction of such other business as may properly come before the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previously scheduled annual meeting of the stockholders may be postponed, rescheduled or canceled by resolution of the Board of Directors (or by action of the officers of the Corporation if such authority has been delegated by the Board of Directors) upon public notice given prior to the date previously scheduled for such annual meeting of the stockholders;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business with respect to which special notice is required by law shall be transacted at an annual meeting unless such notice shall have been given.</w:t>
      </w:r>
    </w:p>
    <w:p>
      <w:pPr>
        <w:spacing w:after="0" w:line="1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u w:val="single" w:color="auto"/>
          <w:color w:val="auto"/>
        </w:rPr>
        <w:t>Section 2.3 Special Meeting</w:t>
      </w:r>
      <w:r>
        <w:rPr>
          <w:rFonts w:ascii="Arial" w:cs="Arial" w:eastAsia="Arial" w:hAnsi="Arial"/>
          <w:sz w:val="17"/>
          <w:szCs w:val="17"/>
          <w:color w:val="auto"/>
        </w:rPr>
        <w:t xml:space="preserve">. Special meetings of the stockholders for any purpose or purposes may be called only by the Board of Directors, pursuant to a resolution approved by a majority of the entire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previously scheduled special meeting of the stockholders may be postponed, rescheduled or canceled by resolution of the Board of Directors (or action of the officers of the Corporation if such authority has been delegated by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u w:val="single" w:color="auto"/>
          <w:color w:val="auto"/>
        </w:rPr>
        <w:t>Section 2.4 Notice of Stockholders’ Meetings</w:t>
      </w:r>
      <w:r>
        <w:rPr>
          <w:rFonts w:ascii="Arial" w:cs="Arial" w:eastAsia="Arial" w:hAnsi="Arial"/>
          <w:sz w:val="17"/>
          <w:szCs w:val="17"/>
          <w:color w:val="auto"/>
        </w:rPr>
        <w:t xml:space="preserve">. Unless otherwise provided by law, the Restated Certificate of Incorporation, or these Bylaws, the notice of each annual and special meeting of stockholders stating the date, time, place, if any, the means of remote communication, if any, thereof, and the general nature of the business to be considered thereat, and, in the case of a special meeting, the purpose or purposes for which the meeting is called, shall be given not less than ten (10) days and not more than sixty (60) days before the date of the meeting to each stockholder entitled to vote thereat. Such notice of any meeting of stockholders shall be sent or otherwise given in accordance with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these Bylaws.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ind w:right="60" w:firstLine="648"/>
        <w:spacing w:after="0" w:line="289" w:lineRule="auto"/>
        <w:rPr>
          <w:sz w:val="20"/>
          <w:szCs w:val="20"/>
          <w:color w:val="auto"/>
        </w:rPr>
      </w:pPr>
      <w:r>
        <w:rPr>
          <w:rFonts w:ascii="Arial" w:cs="Arial" w:eastAsia="Arial" w:hAnsi="Arial"/>
          <w:sz w:val="16"/>
          <w:szCs w:val="16"/>
          <w:u w:val="single" w:color="auto"/>
          <w:color w:val="auto"/>
        </w:rPr>
        <w:t>Section 2.5 Proxies</w:t>
      </w:r>
      <w:r>
        <w:rPr>
          <w:rFonts w:ascii="Arial" w:cs="Arial" w:eastAsia="Arial" w:hAnsi="Arial"/>
          <w:sz w:val="16"/>
          <w:szCs w:val="16"/>
          <w:color w:val="auto"/>
        </w:rPr>
        <w:t>. Each stockholder who is entitled to vote pursuant to the terms of the Restated Certificate of Incorporation and these Bylaws, or who is entitled to vote pursuant to the laws of the State of Delaware, shall be entitled to vote in person or may authorize another person or persons to act for such stockholder by proxy authorized by an instrument in writing or by a transmission permitted by law, including Rule 14a-19 promulgated under the Securities Exchange Act of 1934, as amended, and the rules and regulations thereunder (as so amended and inclusive of such rules and regulations, the “</w:t>
      </w:r>
      <w:r>
        <w:rPr>
          <w:rFonts w:ascii="Arial" w:cs="Arial" w:eastAsia="Arial" w:hAnsi="Arial"/>
          <w:sz w:val="16"/>
          <w:szCs w:val="16"/>
          <w:u w:val="single" w:color="auto"/>
          <w:color w:val="auto"/>
        </w:rPr>
        <w:t>Exchange Act</w:t>
      </w:r>
      <w:r>
        <w:rPr>
          <w:rFonts w:ascii="Arial" w:cs="Arial" w:eastAsia="Arial" w:hAnsi="Arial"/>
          <w:sz w:val="16"/>
          <w:szCs w:val="16"/>
          <w:color w:val="auto"/>
        </w:rPr>
        <w:t>”) filed in accordance with the procedure established for the meeting, but no proxy shall be voted after three (3) years from its date unless such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Any stockholder directly or indirectly soliciting proxies from other stockholders must use a proxy card color other than white, which shall be reserved for the exclusive use by the Board of Directors.</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u w:val="single" w:color="auto"/>
          <w:color w:val="auto"/>
        </w:rPr>
        <w:t>Section 2.6 Voting</w:t>
      </w:r>
      <w:r>
        <w:rPr>
          <w:rFonts w:ascii="Arial" w:cs="Arial" w:eastAsia="Arial" w:hAnsi="Arial"/>
          <w:sz w:val="17"/>
          <w:szCs w:val="17"/>
          <w:color w:val="auto"/>
        </w:rPr>
        <w:t>. Except as otherwise provided by the Restated Certificate of Incorporation, at all duly called and convened meetings of stockholders for the election of directors at which a quorum is present a plurality of the votes cast shall be sufficient to elect a director. All other matters presented to the stockholders at a duly called or convened meeting at which a quorum is present shall, unless a different or minimum vote is required by the Restated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(excluding abstentions and broker non-votes) on such matter. For the avoidance of doubt, abstentions and broker non-votes will not be treated as a vote cast and as such will have no impact on such matters. Any nominee for director in an uncontested election as to whom a majority of the votes of the shares present in person or represented by proxy at the meeting and entitled to vote on the election of directors are designated to be “</w:t>
      </w:r>
      <w:r>
        <w:rPr>
          <w:rFonts w:ascii="Arial" w:cs="Arial" w:eastAsia="Arial" w:hAnsi="Arial"/>
          <w:sz w:val="17"/>
          <w:szCs w:val="17"/>
          <w:i w:val="1"/>
          <w:iCs w:val="1"/>
          <w:color w:val="auto"/>
        </w:rPr>
        <w:t>withheld</w:t>
      </w:r>
      <w:r>
        <w:rPr>
          <w:rFonts w:ascii="Arial" w:cs="Arial" w:eastAsia="Arial" w:hAnsi="Arial"/>
          <w:sz w:val="17"/>
          <w:szCs w:val="17"/>
          <w:color w:val="auto"/>
        </w:rPr>
        <w:t>” from, or are voted “</w:t>
      </w:r>
      <w:r>
        <w:rPr>
          <w:rFonts w:ascii="Arial" w:cs="Arial" w:eastAsia="Arial" w:hAnsi="Arial"/>
          <w:sz w:val="17"/>
          <w:szCs w:val="17"/>
          <w:i w:val="1"/>
          <w:iCs w:val="1"/>
          <w:color w:val="auto"/>
        </w:rPr>
        <w:t>against</w:t>
      </w:r>
      <w:r>
        <w:rPr>
          <w:rFonts w:ascii="Arial" w:cs="Arial" w:eastAsia="Arial" w:hAnsi="Arial"/>
          <w:sz w:val="17"/>
          <w:szCs w:val="17"/>
          <w:color w:val="auto"/>
        </w:rPr>
        <w:t>,” that director’s election shall tender their resignation for consideration by the Nominating and Governance Committee of the Board of Directors (the “</w:t>
      </w:r>
      <w:r>
        <w:rPr>
          <w:rFonts w:ascii="Arial" w:cs="Arial" w:eastAsia="Arial" w:hAnsi="Arial"/>
          <w:sz w:val="17"/>
          <w:szCs w:val="17"/>
          <w:u w:val="single" w:color="auto"/>
          <w:color w:val="auto"/>
        </w:rPr>
        <w:t>Nominating and Governance Committee</w:t>
      </w:r>
      <w:r>
        <w:rPr>
          <w:rFonts w:ascii="Arial" w:cs="Arial" w:eastAsia="Arial" w:hAnsi="Arial"/>
          <w:sz w:val="17"/>
          <w:szCs w:val="17"/>
          <w:color w:val="auto"/>
        </w:rPr>
        <w:t>”). The Nominating and Governance Committee shall evaluate the best interests of the Corporation and its stockholders and shall recommend to the Board of Directors the action to be taken with respect to such tendered resignation.</w:t>
      </w:r>
    </w:p>
    <w:p>
      <w:pPr>
        <w:spacing w:after="0" w:line="169"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u w:val="single" w:color="auto"/>
          <w:color w:val="auto"/>
        </w:rPr>
        <w:t>Section 2.7 List of Stockholders Entitled To Vote</w:t>
      </w:r>
      <w:r>
        <w:rPr>
          <w:rFonts w:ascii="Arial" w:cs="Arial" w:eastAsia="Arial" w:hAnsi="Arial"/>
          <w:sz w:val="16"/>
          <w:szCs w:val="16"/>
          <w:color w:val="auto"/>
        </w:rPr>
        <w:t>. The Corporation shall prepare, no later than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before each meeting of stockholders, a complete list of the stockholders entitled to vote at any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reasonable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or to vote in person or by proxy at any meeting of stockholders.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right="40" w:firstLine="648"/>
        <w:spacing w:after="0" w:line="271" w:lineRule="auto"/>
        <w:rPr>
          <w:sz w:val="20"/>
          <w:szCs w:val="20"/>
          <w:color w:val="auto"/>
        </w:rPr>
      </w:pPr>
      <w:r>
        <w:rPr>
          <w:rFonts w:ascii="Arial" w:cs="Arial" w:eastAsia="Arial" w:hAnsi="Arial"/>
          <w:sz w:val="17"/>
          <w:szCs w:val="17"/>
          <w:u w:val="single" w:color="auto"/>
          <w:color w:val="auto"/>
        </w:rPr>
        <w:t>Section 2.8 Inspector of Election</w:t>
      </w:r>
      <w:r>
        <w:rPr>
          <w:rFonts w:ascii="Arial" w:cs="Arial" w:eastAsia="Arial" w:hAnsi="Arial"/>
          <w:sz w:val="17"/>
          <w:szCs w:val="17"/>
          <w:color w:val="auto"/>
        </w:rPr>
        <w:t>. Before any meeting of stockholders, the Board of Directors by resolution shall appoint one or more inspectors, which inspector or inspectors may 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 Each inspector, before discharging their duties, shall take and sign an oath faithfully to execute the duties of inspector with strict impartiality and according to the best of their ability. The inspectors shall have the duties prescribed by law. Any report or certificate made by the inspectors is prima facie evidence of the facts stated therein. The inspectors may appoint such persons to assist them in performing their duties as they determine.</w:t>
      </w:r>
    </w:p>
    <w:p>
      <w:pPr>
        <w:spacing w:after="0" w:line="178"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u w:val="single" w:color="auto"/>
          <w:color w:val="auto"/>
        </w:rPr>
        <w:t>Section 2.9 Conduct of Business</w:t>
      </w:r>
      <w:r>
        <w:rPr>
          <w:rFonts w:ascii="Arial" w:cs="Arial" w:eastAsia="Arial" w:hAnsi="Arial"/>
          <w:sz w:val="16"/>
          <w:szCs w:val="16"/>
          <w:color w:val="auto"/>
        </w:rPr>
        <w:t>. The date and time of the opening and the closing of the polls for each matter upon which the stockholders will vote at the meeting shall be announced at the meeting. The Board of Directors may adopt by resolution such rules and regulations for the conduct of any meeting of the stockholders as it shall deem appropriate. Except to the extent inconsistent with such rules and regulations as adopted by the Board of Directors, the Chair of any meeting of the stockholders shall have the right and the authority to convene and (for any or no reason) to recess and/or adjourn the meeting, determine the order of business for the meeting, prescribe such rules, regulations and procedures (which need not be in writing) and to do all such acts, as in the judgment of such Chair, are appropriate for the proper conduct of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of record of the Corporation, their duly authorized and constituted proxies or such other persons as the Chair of the meeting shall determine;</w:t>
      </w:r>
    </w:p>
    <w:p>
      <w:pPr>
        <w:spacing w:after="0" w:line="5" w:lineRule="exact"/>
        <w:rPr>
          <w:sz w:val="20"/>
          <w:szCs w:val="20"/>
          <w:color w:val="auto"/>
        </w:rPr>
      </w:pPr>
    </w:p>
    <w:p>
      <w:pPr>
        <w:ind w:firstLine="8"/>
        <w:spacing w:after="0" w:line="268"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of Directors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Chair of the meeting, meetings of stockholders shall not be required to be held in accordance with the rules of parliamentary procedure.</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ind w:left="580"/>
        <w:spacing w:after="0"/>
        <w:tabs>
          <w:tab w:leader="none" w:pos="1820" w:val="left"/>
        </w:tabs>
        <w:rPr>
          <w:sz w:val="20"/>
          <w:szCs w:val="20"/>
          <w:color w:val="auto"/>
        </w:rPr>
      </w:pPr>
      <w:r>
        <w:rPr>
          <w:rFonts w:ascii="Arial" w:cs="Arial" w:eastAsia="Arial" w:hAnsi="Arial"/>
          <w:sz w:val="18"/>
          <w:szCs w:val="18"/>
          <w:u w:val="single" w:color="auto"/>
          <w:color w:val="auto"/>
        </w:rPr>
        <w:t>Section 2.10</w:t>
      </w:r>
      <w:r>
        <w:rPr>
          <w:sz w:val="20"/>
          <w:szCs w:val="20"/>
          <w:color w:val="auto"/>
        </w:rPr>
        <w:tab/>
      </w:r>
      <w:r>
        <w:rPr>
          <w:rFonts w:ascii="Arial" w:cs="Arial" w:eastAsia="Arial" w:hAnsi="Arial"/>
          <w:sz w:val="16"/>
          <w:szCs w:val="16"/>
          <w:u w:val="single" w:color="auto"/>
          <w:color w:val="auto"/>
        </w:rPr>
        <w:t>Quorum; Adjourned Meeting</w:t>
      </w:r>
      <w:r>
        <w:rPr>
          <w:rFonts w:ascii="Arial" w:cs="Arial" w:eastAsia="Arial" w:hAnsi="Arial"/>
          <w:sz w:val="16"/>
          <w:szCs w:val="16"/>
          <w:color w:val="auto"/>
        </w:rPr>
        <w:t>.</w:t>
      </w:r>
    </w:p>
    <w:p>
      <w:pPr>
        <w:spacing w:after="0" w:line="225" w:lineRule="exact"/>
        <w:rPr>
          <w:sz w:val="20"/>
          <w:szCs w:val="20"/>
          <w:color w:val="auto"/>
        </w:rPr>
      </w:pPr>
    </w:p>
    <w:p>
      <w:pPr>
        <w:ind w:left="-80" w:firstLine="980"/>
        <w:spacing w:after="0" w:line="290" w:lineRule="auto"/>
        <w:tabs>
          <w:tab w:leader="none" w:pos="1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Except as otherwise required by law, by the Restated Certificate of Incorporation or by these Bylaws, the presence, in person, or by remote communication, if applicable, or represented by proxy, of stockholders holding a majority of the voting power of the outstanding stock of the Corporation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stockholders, then either (i) the Chair of any annual or special meeting of the stockholders or (ii) a majority in interest of the stockholders entitled to vote thereat, present in person, or by remote communication, if applicable, shall have the power to recess or adjourn such meeting from time to time in the manner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of these Bylaws until a quorum is present or represented. At any recessed or adjourned meeting at which a quorum is present or represented, any business may be transacted that might have been transacted at the meeting as originally noticed.</w:t>
      </w:r>
    </w:p>
    <w:p>
      <w:pPr>
        <w:spacing w:after="0" w:line="165" w:lineRule="exact"/>
        <w:rPr>
          <w:rFonts w:ascii="Arial" w:cs="Arial" w:eastAsia="Arial" w:hAnsi="Arial"/>
          <w:sz w:val="16"/>
          <w:szCs w:val="16"/>
          <w:color w:val="auto"/>
        </w:rPr>
      </w:pPr>
    </w:p>
    <w:p>
      <w:pPr>
        <w:ind w:left="-80" w:firstLine="980"/>
        <w:spacing w:after="0" w:line="270" w:lineRule="auto"/>
        <w:tabs>
          <w:tab w:leader="none" w:pos="1639"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unless these Bylaws otherwise require, notice need not be given of the adjourned meeting if the time and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adjournment is for more than thirty (30) days, or if after such adjournment a new record date is fixed for the adjourned meeting, a notice of the adjourned meeting shall be given to each stockholder of record entitled to vote at such adjourned meeting. At any such recessed or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these Bylaws.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25" w:right="419" w:bottom="1440" w:gutter="0" w:footer="0" w:header="0"/>
        </w:sectPr>
      </w:pPr>
    </w:p>
    <w:bookmarkStart w:id="9" w:name="page10"/>
    <w:bookmarkEnd w:id="9"/>
    <w:p>
      <w:pPr>
        <w:ind w:firstLine="648"/>
        <w:spacing w:after="0" w:line="286" w:lineRule="auto"/>
        <w:rPr>
          <w:sz w:val="20"/>
          <w:szCs w:val="20"/>
          <w:color w:val="auto"/>
        </w:rPr>
      </w:pPr>
      <w:r>
        <w:rPr>
          <w:rFonts w:ascii="Arial" w:cs="Arial" w:eastAsia="Arial" w:hAnsi="Arial"/>
          <w:sz w:val="16"/>
          <w:szCs w:val="16"/>
          <w:u w:val="single" w:color="auto"/>
          <w:color w:val="auto"/>
        </w:rPr>
        <w:t>Section 2.11 Record Date</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record date shall not precede the date upon which the resolution fixing the record date is adopted by the Board of Directors, and which record date shall, unless otherwise required by law, not be less than ten (10) nor more than sixty (60) days before the date of such meeting, nor more than sixty (60) days prior to any other action.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or adjournments of the meeting;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Board of Directors may fix a new record date for determination of stockholders entitled to vote at the adjourned meeting; and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2.12</w:t>
      </w:r>
      <w:r>
        <w:rPr>
          <w:sz w:val="20"/>
          <w:szCs w:val="20"/>
          <w:color w:val="auto"/>
        </w:rPr>
        <w:tab/>
      </w:r>
      <w:r>
        <w:rPr>
          <w:rFonts w:ascii="Arial" w:cs="Arial" w:eastAsia="Arial" w:hAnsi="Arial"/>
          <w:sz w:val="16"/>
          <w:szCs w:val="16"/>
          <w:u w:val="single" w:color="auto"/>
          <w:color w:val="auto"/>
        </w:rPr>
        <w:t>Notice of Business to be Brought Before a Meeting</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2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the Board of Directors or the Chair of the Board or (iii) otherwise properly brought before the meeting by a stockholder present in person who (A) (1) was a record owner of shares of the Corporation both at the time of giving the notice provided for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at the time of the meeting, (2) is entitled to vote at the meeting, and (3) has complied with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 all applicable respects or (B) properly made such proposal in accordance with Rule 14a-8 promulgated under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Arial" w:cs="Arial" w:eastAsia="Arial" w:hAnsi="Arial"/>
          <w:sz w:val="16"/>
          <w:szCs w:val="16"/>
          <w:u w:val="single" w:color="auto"/>
          <w:color w:val="auto"/>
        </w:rPr>
        <w:t>Section 2.3</w:t>
      </w:r>
      <w:r>
        <w:rPr>
          <w:rFonts w:ascii="Arial" w:cs="Arial" w:eastAsia="Arial" w:hAnsi="Arial"/>
          <w:sz w:val="16"/>
          <w:szCs w:val="16"/>
          <w:b w:val="1"/>
          <w:bCs w:val="1"/>
          <w:color w:val="auto"/>
        </w:rPr>
        <w:t>,</w:t>
      </w:r>
      <w:r>
        <w:rPr>
          <w:rFonts w:ascii="Arial" w:cs="Arial" w:eastAsia="Arial" w:hAnsi="Arial"/>
          <w:sz w:val="16"/>
          <w:szCs w:val="16"/>
          <w:color w:val="auto"/>
        </w:rPr>
        <w:t xml:space="preserve"> and stockholders shall not be permitted to propose business to be brought before a special meeting of the stockholders. For purposes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w:t>
      </w:r>
      <w:r>
        <w:rPr>
          <w:rFonts w:ascii="Arial" w:cs="Arial" w:eastAsia="Arial" w:hAnsi="Arial"/>
          <w:sz w:val="16"/>
          <w:szCs w:val="16"/>
          <w:i w:val="1"/>
          <w:iCs w:val="1"/>
          <w:color w:val="auto"/>
        </w:rPr>
        <w:t>present in person</w:t>
      </w:r>
      <w:r>
        <w:rPr>
          <w:rFonts w:ascii="Arial" w:cs="Arial" w:eastAsia="Arial" w:hAnsi="Arial"/>
          <w:sz w:val="16"/>
          <w:szCs w:val="16"/>
          <w:color w:val="auto"/>
        </w:rPr>
        <w:t>” shall mean that the stockholder proposing that the business be brought before the annual meeting of the Corporation, or a qualified representative of such proposing stockholder, appear at such annual meeting. A “</w:t>
      </w:r>
      <w:r>
        <w:rPr>
          <w:rFonts w:ascii="Arial" w:cs="Arial" w:eastAsia="Arial" w:hAnsi="Arial"/>
          <w:sz w:val="16"/>
          <w:szCs w:val="16"/>
          <w:i w:val="1"/>
          <w:iCs w:val="1"/>
          <w:color w:val="auto"/>
        </w:rPr>
        <w:t>qualified representative</w:t>
      </w:r>
      <w:r>
        <w:rPr>
          <w:rFonts w:ascii="Arial" w:cs="Arial" w:eastAsia="Arial" w:hAnsi="Arial"/>
          <w:sz w:val="16"/>
          <w:szCs w:val="16"/>
          <w:color w:val="auto"/>
        </w:rPr>
        <w:t xml:space="preser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not be applicable to nominations except as expressly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ind w:right="20" w:firstLine="656"/>
        <w:spacing w:after="0" w:line="284" w:lineRule="auto"/>
        <w:tabs>
          <w:tab w:leader="none" w:pos="12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stockholder, the stockholder must (i) provide Timely Notice (as defined below) thereof in writing and in proper form to the Secretary and (ii) provide any updates or supplements to such notice at the times and in the forms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more than thirty (30) days before or more than sixty (60) days after such anniversary date, notice by the stockholder to be timely must be so delivered, or mailed and received, not more than the hundred twentieth</w:t>
      </w:r>
    </w:p>
    <w:p>
      <w:pPr>
        <w:spacing w:after="0" w:line="4" w:lineRule="exact"/>
        <w:rPr>
          <w:rFonts w:ascii="Arial" w:cs="Arial" w:eastAsia="Arial" w:hAnsi="Arial"/>
          <w:sz w:val="16"/>
          <w:szCs w:val="16"/>
          <w:color w:val="auto"/>
        </w:rPr>
      </w:pPr>
    </w:p>
    <w:p>
      <w:pPr>
        <w:ind w:right="20"/>
        <w:spacing w:after="0" w:line="191" w:lineRule="auto"/>
        <w:rPr>
          <w:rFonts w:ascii="Arial" w:cs="Arial" w:eastAsia="Arial" w:hAnsi="Arial"/>
          <w:sz w:val="16"/>
          <w:szCs w:val="16"/>
          <w:color w:val="auto"/>
        </w:rPr>
      </w:pPr>
      <w:r>
        <w:rPr>
          <w:rFonts w:ascii="Arial" w:cs="Arial" w:eastAsia="Arial" w:hAnsi="Arial"/>
          <w:sz w:val="18"/>
          <w:szCs w:val="18"/>
          <w:color w:val="auto"/>
        </w:rPr>
        <w:t>(120</w:t>
      </w:r>
      <w:r>
        <w:rPr>
          <w:rFonts w:ascii="Arial" w:cs="Arial" w:eastAsia="Arial" w:hAnsi="Arial"/>
          <w:sz w:val="29"/>
          <w:szCs w:val="29"/>
          <w:color w:val="auto"/>
          <w:vertAlign w:val="superscript"/>
        </w:rPr>
        <w:t>th</w:t>
      </w:r>
      <w:r>
        <w:rPr>
          <w:rFonts w:ascii="Arial" w:cs="Arial" w:eastAsia="Arial" w:hAnsi="Arial"/>
          <w:sz w:val="18"/>
          <w:szCs w:val="18"/>
          <w:color w:val="auto"/>
        </w:rPr>
        <w:t>) day prior to such annual meeting and not later than (A)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prior to such annual meeting or, (B) if later,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public disclosure of the date of such annual meeting was first made by the Corporation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for the giving of Timely Notice as described above.</w:t>
      </w:r>
    </w:p>
    <w:p>
      <w:pPr>
        <w:spacing w:after="0" w:line="205"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a stockholder’s notice to the Secretary shall set forth:</w:t>
      </w:r>
    </w:p>
    <w:p>
      <w:pPr>
        <w:spacing w:after="0" w:line="225" w:lineRule="exact"/>
        <w:rPr>
          <w:rFonts w:ascii="Arial" w:cs="Arial" w:eastAsia="Arial" w:hAnsi="Arial"/>
          <w:sz w:val="18"/>
          <w:szCs w:val="18"/>
          <w:color w:val="auto"/>
        </w:rPr>
      </w:pPr>
    </w:p>
    <w:p>
      <w:pPr>
        <w:ind w:left="660" w:firstLine="644"/>
        <w:spacing w:after="0" w:line="291" w:lineRule="auto"/>
        <w:tabs>
          <w:tab w:leader="none" w:pos="1928" w:val="left"/>
        </w:tabs>
        <w:numPr>
          <w:ilvl w:val="1"/>
          <w:numId w:val="11"/>
        </w:numPr>
        <w:rPr>
          <w:rFonts w:ascii="Arial" w:cs="Arial" w:eastAsia="Arial" w:hAnsi="Arial"/>
          <w:sz w:val="16"/>
          <w:szCs w:val="16"/>
          <w:color w:val="auto"/>
        </w:rPr>
      </w:pPr>
      <w:r>
        <w:rPr>
          <w:rFonts w:ascii="Arial" w:cs="Arial" w:eastAsia="Arial" w:hAnsi="Arial"/>
          <w:sz w:val="16"/>
          <w:szCs w:val="16"/>
          <w:color w:val="auto"/>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promulgated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ind w:left="-460" w:firstLine="644"/>
        <w:spacing w:after="0" w:line="283" w:lineRule="auto"/>
        <w:tabs>
          <w:tab w:leader="none" w:pos="8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to each Proposing Person, (A) the material terms and conditions of any “</w:t>
      </w:r>
      <w:r>
        <w:rPr>
          <w:rFonts w:ascii="Arial" w:cs="Arial" w:eastAsia="Arial" w:hAnsi="Arial"/>
          <w:sz w:val="16"/>
          <w:szCs w:val="16"/>
          <w:i w:val="1"/>
          <w:iCs w:val="1"/>
          <w:color w:val="auto"/>
        </w:rPr>
        <w:t>derivative security</w:t>
      </w:r>
      <w:r>
        <w:rPr>
          <w:rFonts w:ascii="Arial" w:cs="Arial" w:eastAsia="Arial" w:hAnsi="Arial"/>
          <w:sz w:val="16"/>
          <w:szCs w:val="16"/>
          <w:color w:val="auto"/>
        </w:rPr>
        <w:t>” (as such term is defined in Rule 16a-1(c) promulgated under the Exchange Act) that constitutes a “</w:t>
      </w:r>
      <w:r>
        <w:rPr>
          <w:rFonts w:ascii="Arial" w:cs="Arial" w:eastAsia="Arial" w:hAnsi="Arial"/>
          <w:sz w:val="16"/>
          <w:szCs w:val="16"/>
          <w:i w:val="1"/>
          <w:iCs w:val="1"/>
          <w:color w:val="auto"/>
        </w:rPr>
        <w:t>call equivalent position</w:t>
      </w:r>
      <w:r>
        <w:rPr>
          <w:rFonts w:ascii="Arial" w:cs="Arial" w:eastAsia="Arial" w:hAnsi="Arial"/>
          <w:sz w:val="16"/>
          <w:szCs w:val="16"/>
          <w:color w:val="auto"/>
        </w:rPr>
        <w:t>” (as such term is defined in Rule 16a-1(b) promulgated under the Exchange Act) or a “</w:t>
      </w:r>
      <w:r>
        <w:rPr>
          <w:rFonts w:ascii="Arial" w:cs="Arial" w:eastAsia="Arial" w:hAnsi="Arial"/>
          <w:sz w:val="16"/>
          <w:szCs w:val="16"/>
          <w:i w:val="1"/>
          <w:iCs w:val="1"/>
          <w:color w:val="auto"/>
        </w:rPr>
        <w:t>put equivalent position</w:t>
      </w:r>
      <w:r>
        <w:rPr>
          <w:rFonts w:ascii="Arial" w:cs="Arial" w:eastAsia="Arial" w:hAnsi="Arial"/>
          <w:sz w:val="16"/>
          <w:szCs w:val="16"/>
          <w:color w:val="auto"/>
        </w:rPr>
        <w:t>” (as such term is defined in Rule 16a-1(h) promulgated under the Exchange Act) or other derivative or synthetic arrangement in respect of any class or series of shares of the Corporation (“</w:t>
      </w:r>
      <w:r>
        <w:rPr>
          <w:rFonts w:ascii="Arial" w:cs="Arial" w:eastAsia="Arial" w:hAnsi="Arial"/>
          <w:sz w:val="16"/>
          <w:szCs w:val="16"/>
          <w:u w:val="single" w:color="auto"/>
          <w:color w:val="auto"/>
        </w:rPr>
        <w:t>Synthetic Equity Position</w:t>
      </w:r>
      <w:r>
        <w:rPr>
          <w:rFonts w:ascii="Arial" w:cs="Arial" w:eastAsia="Arial" w:hAnsi="Arial"/>
          <w:sz w:val="16"/>
          <w:szCs w:val="16"/>
          <w:color w:val="auto"/>
        </w:rPr>
        <w:t>”)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(2) any derivative or synthetic arrangement having the characteristics of a long position or a short position in any class or series of shares of the 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w:t>
      </w:r>
      <w:r>
        <w:rPr>
          <w:rFonts w:ascii="Arial" w:cs="Arial" w:eastAsia="Arial" w:hAnsi="Arial"/>
          <w:sz w:val="16"/>
          <w:szCs w:val="16"/>
          <w:i w:val="1"/>
          <w:iCs w:val="1"/>
          <w:color w:val="auto"/>
        </w:rPr>
        <w:t>Synthetic Equity</w:t>
      </w:r>
      <w:r>
        <w:rPr>
          <w:rFonts w:ascii="Arial" w:cs="Arial" w:eastAsia="Arial" w:hAnsi="Arial"/>
          <w:sz w:val="16"/>
          <w:szCs w:val="16"/>
          <w:color w:val="auto"/>
        </w:rPr>
        <w:t xml:space="preserve"> </w:t>
      </w:r>
      <w:r>
        <w:rPr>
          <w:rFonts w:ascii="Arial" w:cs="Arial" w:eastAsia="Arial" w:hAnsi="Arial"/>
          <w:sz w:val="16"/>
          <w:szCs w:val="16"/>
          <w:i w:val="1"/>
          <w:iCs w:val="1"/>
          <w:color w:val="auto"/>
        </w:rPr>
        <w:t>Position</w:t>
      </w:r>
      <w:r>
        <w:rPr>
          <w:rFonts w:ascii="Arial" w:cs="Arial" w:eastAsia="Arial" w:hAnsi="Arial"/>
          <w:sz w:val="16"/>
          <w:szCs w:val="16"/>
          <w:color w:val="auto"/>
        </w:rPr>
        <w:t>,” the term “</w:t>
      </w:r>
      <w:r>
        <w:rPr>
          <w:rFonts w:ascii="Arial" w:cs="Arial" w:eastAsia="Arial" w:hAnsi="Arial"/>
          <w:sz w:val="16"/>
          <w:szCs w:val="16"/>
          <w:i w:val="1"/>
          <w:iCs w:val="1"/>
          <w:color w:val="auto"/>
        </w:rPr>
        <w:t>derivative security</w:t>
      </w:r>
      <w:r>
        <w:rPr>
          <w:rFonts w:ascii="Arial" w:cs="Arial" w:eastAsia="Arial" w:hAnsi="Arial"/>
          <w:sz w:val="16"/>
          <w:szCs w:val="16"/>
          <w:color w:val="auto"/>
        </w:rPr>
        <w:t>” shall also include any security or instrument that would not otherwise constitute a “</w:t>
      </w:r>
      <w:r>
        <w:rPr>
          <w:rFonts w:ascii="Arial" w:cs="Arial" w:eastAsia="Arial" w:hAnsi="Arial"/>
          <w:sz w:val="16"/>
          <w:szCs w:val="16"/>
          <w:i w:val="1"/>
          <w:iCs w:val="1"/>
          <w:color w:val="auto"/>
        </w:rPr>
        <w:t>derivative security</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promulgated under the Exchange Act (other than a Proposing Person that so satisfies Rule 13d-1(b)(1) promulgated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0" w:lineRule="exact"/>
        <w:rPr>
          <w:sz w:val="20"/>
          <w:szCs w:val="20"/>
          <w:color w:val="auto"/>
        </w:rPr>
      </w:pPr>
    </w:p>
    <w:p>
      <w:pPr>
        <w:spacing w:after="0" w:line="359"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2" w:name="page13"/>
    <w:bookmarkEnd w:id="12"/>
    <w:p>
      <w:pPr>
        <w:ind w:left="660" w:firstLine="644"/>
        <w:spacing w:after="0" w:line="287" w:lineRule="auto"/>
        <w:tabs>
          <w:tab w:leader="none" w:pos="19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(1) between or among any of the Proposing Persons or (2) between or among any Proposing Person and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the term “</w:t>
      </w:r>
      <w:r>
        <w:rPr>
          <w:rFonts w:ascii="Arial" w:cs="Arial" w:eastAsia="Arial" w:hAnsi="Arial"/>
          <w:sz w:val="18"/>
          <w:szCs w:val="18"/>
          <w:u w:val="single" w:color="auto"/>
          <w:color w:val="auto"/>
        </w:rPr>
        <w:t>Proposing Person</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7" w:lineRule="exact"/>
        <w:rPr>
          <w:sz w:val="20"/>
          <w:szCs w:val="20"/>
          <w:color w:val="auto"/>
        </w:rPr>
      </w:pPr>
    </w:p>
    <w:p>
      <w:pPr>
        <w:ind w:right="80" w:firstLine="656"/>
        <w:spacing w:after="0" w:line="263" w:lineRule="auto"/>
        <w:tabs>
          <w:tab w:leader="none" w:pos="12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ind w:left="-20" w:right="20" w:firstLine="656"/>
        <w:spacing w:after="0" w:line="287" w:lineRule="auto"/>
        <w:tabs>
          <w:tab w:leader="none" w:pos="12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67" w:lineRule="exact"/>
        <w:rPr>
          <w:rFonts w:ascii="Arial" w:cs="Arial" w:eastAsia="Arial" w:hAnsi="Arial"/>
          <w:sz w:val="16"/>
          <w:szCs w:val="16"/>
          <w:color w:val="auto"/>
        </w:rPr>
      </w:pPr>
    </w:p>
    <w:p>
      <w:pPr>
        <w:ind w:left="-20" w:right="20" w:firstLine="656"/>
        <w:spacing w:after="0" w:line="259" w:lineRule="auto"/>
        <w:tabs>
          <w:tab w:leader="none" w:pos="1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The presiding officer of the meeting shall, if the facts warrant, determine that the business was not properly brought before the meeting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 and if he or she should so determine, he or she shall so declare to the meeting and any such business not properly brought before the meeting shall not be transacted.</w:t>
      </w:r>
    </w:p>
    <w:p>
      <w:pPr>
        <w:spacing w:after="0" w:line="186" w:lineRule="exact"/>
        <w:rPr>
          <w:rFonts w:ascii="Arial" w:cs="Arial" w:eastAsia="Arial" w:hAnsi="Arial"/>
          <w:sz w:val="18"/>
          <w:szCs w:val="18"/>
          <w:color w:val="auto"/>
        </w:rPr>
      </w:pPr>
    </w:p>
    <w:p>
      <w:pPr>
        <w:ind w:left="-20" w:firstLine="656"/>
        <w:spacing w:after="0" w:line="296" w:lineRule="auto"/>
        <w:tabs>
          <w:tab w:leader="none" w:pos="1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is expressly intended to apply to any business proposed to be brought before an annual meeting of stockholders other than any proposal made in accordance with Rule 14a-8 promulgated under the Exchange Act and included in the Corporation’s proxy statement. In addition to the requirements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be deemed to affect the rights of stockholders to request inclusion of proposals in the Corporation’s proxy statement pursuant to Rule 14a-8 promulgated under the Exchange Act.</w:t>
      </w:r>
    </w:p>
    <w:p>
      <w:pPr>
        <w:spacing w:after="0" w:line="161" w:lineRule="exact"/>
        <w:rPr>
          <w:rFonts w:ascii="Arial" w:cs="Arial" w:eastAsia="Arial" w:hAnsi="Arial"/>
          <w:sz w:val="16"/>
          <w:szCs w:val="16"/>
          <w:color w:val="auto"/>
        </w:rPr>
      </w:pPr>
    </w:p>
    <w:p>
      <w:pPr>
        <w:ind w:left="-20" w:right="120" w:firstLine="656"/>
        <w:spacing w:after="0" w:line="263" w:lineRule="auto"/>
        <w:tabs>
          <w:tab w:leader="none" w:pos="12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these Bylaws, “</w:t>
      </w:r>
      <w:r>
        <w:rPr>
          <w:rFonts w:ascii="Arial" w:cs="Arial" w:eastAsia="Arial" w:hAnsi="Arial"/>
          <w:sz w:val="18"/>
          <w:szCs w:val="18"/>
          <w:i w:val="1"/>
          <w:iCs w:val="1"/>
          <w:color w:val="auto"/>
        </w:rPr>
        <w:t>public disclosure</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Sections 13, 14 or 15(d) of the Exchange 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4" w:name="page15"/>
    <w:bookmarkEnd w:id="14"/>
    <w:p>
      <w:pPr>
        <w:ind w:left="652"/>
        <w:spacing w:after="0"/>
        <w:tabs>
          <w:tab w:leader="none" w:pos="1892" w:val="left"/>
        </w:tabs>
        <w:rPr>
          <w:sz w:val="20"/>
          <w:szCs w:val="20"/>
          <w:color w:val="auto"/>
        </w:rPr>
      </w:pPr>
      <w:r>
        <w:rPr>
          <w:rFonts w:ascii="Arial" w:cs="Arial" w:eastAsia="Arial" w:hAnsi="Arial"/>
          <w:sz w:val="18"/>
          <w:szCs w:val="18"/>
          <w:u w:val="single" w:color="auto"/>
          <w:color w:val="auto"/>
        </w:rPr>
        <w:t>Section 2.13</w:t>
      </w:r>
      <w:r>
        <w:rPr>
          <w:sz w:val="20"/>
          <w:szCs w:val="20"/>
          <w:color w:val="auto"/>
        </w:rPr>
        <w:tab/>
      </w:r>
      <w:r>
        <w:rPr>
          <w:rFonts w:ascii="Arial" w:cs="Arial" w:eastAsia="Arial" w:hAnsi="Arial"/>
          <w:sz w:val="16"/>
          <w:szCs w:val="16"/>
          <w:u w:val="single" w:color="auto"/>
          <w:color w:val="auto"/>
        </w:rPr>
        <w:t>Notice of Nominations for Election to the Board of Directors</w:t>
      </w:r>
      <w:r>
        <w:rPr>
          <w:rFonts w:ascii="Arial" w:cs="Arial" w:eastAsia="Arial" w:hAnsi="Arial"/>
          <w:sz w:val="16"/>
          <w:szCs w:val="16"/>
          <w:color w:val="auto"/>
        </w:rPr>
        <w:t>.</w:t>
      </w:r>
    </w:p>
    <w:p>
      <w:pPr>
        <w:spacing w:after="0" w:line="225" w:lineRule="exact"/>
        <w:rPr>
          <w:sz w:val="20"/>
          <w:szCs w:val="20"/>
          <w:color w:val="auto"/>
        </w:rPr>
      </w:pPr>
    </w:p>
    <w:p>
      <w:pPr>
        <w:ind w:left="-8" w:firstLine="656"/>
        <w:spacing w:after="0" w:line="269" w:lineRule="auto"/>
        <w:tabs>
          <w:tab w:leader="none" w:pos="12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the Corporation both at the time of giving the notice provided for in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at the time of the meeting, (B) is entitled to vote at the meeting, and (C) has complied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as to such notice and nomination.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w:t>
      </w:r>
      <w:r>
        <w:rPr>
          <w:rFonts w:ascii="Arial" w:cs="Arial" w:eastAsia="Arial" w:hAnsi="Arial"/>
          <w:sz w:val="17"/>
          <w:szCs w:val="17"/>
          <w:i w:val="1"/>
          <w:iCs w:val="1"/>
          <w:color w:val="auto"/>
        </w:rPr>
        <w:t>present in person</w:t>
      </w:r>
      <w:r>
        <w:rPr>
          <w:rFonts w:ascii="Arial" w:cs="Arial" w:eastAsia="Arial" w:hAnsi="Arial"/>
          <w:sz w:val="17"/>
          <w:szCs w:val="17"/>
          <w:color w:val="auto"/>
        </w:rPr>
        <w:t>” shall mean that the stockholder nominating any person for election to the Board of Directors at the meeting of the Corporation, or a qualified representative of such stockholder, appear at such meeting. A “</w:t>
      </w:r>
      <w:r>
        <w:rPr>
          <w:rFonts w:ascii="Arial" w:cs="Arial" w:eastAsia="Arial" w:hAnsi="Arial"/>
          <w:sz w:val="17"/>
          <w:szCs w:val="17"/>
          <w:i w:val="1"/>
          <w:iCs w:val="1"/>
          <w:color w:val="auto"/>
        </w:rPr>
        <w:t>qualified</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representative</w:t>
      </w:r>
      <w:r>
        <w:rPr>
          <w:rFonts w:ascii="Arial" w:cs="Arial" w:eastAsia="Arial" w:hAnsi="Arial"/>
          <w:sz w:val="17"/>
          <w:szCs w:val="17"/>
          <w:color w:val="auto"/>
        </w:rPr>
        <w:t>” of such proposing stockholder shall be a duly authorized officer, manager or partner of such stockholder or any other person authorized by a</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spacing w:after="0" w:line="178" w:lineRule="exact"/>
        <w:rPr>
          <w:rFonts w:ascii="Arial" w:cs="Arial" w:eastAsia="Arial" w:hAnsi="Arial"/>
          <w:sz w:val="17"/>
          <w:szCs w:val="17"/>
          <w:color w:val="auto"/>
        </w:rPr>
      </w:pPr>
    </w:p>
    <w:p>
      <w:pPr>
        <w:ind w:left="-8" w:right="80" w:firstLine="656"/>
        <w:spacing w:after="0" w:line="257" w:lineRule="auto"/>
        <w:tabs>
          <w:tab w:leader="none" w:pos="1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 Without qualification, for a stockholder to make any nomination of a person or persons for election to the Board of Directors at an annual meeting, the stockholder must (A) provide Timely Notice (as defined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thereof in writing and in proper form to the Secretary, (B) provide the information, agreements and questionnaires with respect to such stockholder and its candidate for nomination as required to be set forth by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(C) provide any updates or supplements to such notice at the times and in the forms required by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2.14</w:t>
      </w:r>
      <w:r>
        <w:rPr>
          <w:rFonts w:ascii="Arial" w:cs="Arial" w:eastAsia="Arial" w:hAnsi="Arial"/>
          <w:sz w:val="18"/>
          <w:szCs w:val="18"/>
          <w:i w:val="1"/>
          <w:iCs w:val="1"/>
          <w:color w:val="auto"/>
        </w:rPr>
        <w:t>.</w:t>
      </w:r>
    </w:p>
    <w:p>
      <w:pPr>
        <w:spacing w:after="0" w:line="188" w:lineRule="exact"/>
        <w:rPr>
          <w:sz w:val="20"/>
          <w:szCs w:val="20"/>
          <w:color w:val="auto"/>
        </w:rPr>
      </w:pPr>
    </w:p>
    <w:p>
      <w:pPr>
        <w:ind w:left="-8" w:right="140" w:firstLine="656"/>
        <w:spacing w:after="0" w:line="287" w:lineRule="auto"/>
        <w:tabs>
          <w:tab w:leader="none" w:pos="992" w:val="left"/>
        </w:tabs>
        <w:numPr>
          <w:ilvl w:val="1"/>
          <w:numId w:val="17"/>
        </w:numPr>
        <w:rPr>
          <w:rFonts w:ascii="Arial" w:cs="Arial" w:eastAsia="Arial" w:hAnsi="Arial"/>
          <w:sz w:val="16"/>
          <w:szCs w:val="16"/>
          <w:color w:val="auto"/>
        </w:rPr>
      </w:pPr>
      <w:r>
        <w:rPr>
          <w:rFonts w:ascii="Arial" w:cs="Arial" w:eastAsia="Arial" w:hAnsi="Arial"/>
          <w:sz w:val="16"/>
          <w:szCs w:val="16"/>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w:t>
      </w:r>
    </w:p>
    <w:p>
      <w:pPr>
        <w:spacing w:after="0" w:line="2" w:lineRule="exact"/>
        <w:rPr>
          <w:rFonts w:ascii="Arial" w:cs="Arial" w:eastAsia="Arial" w:hAnsi="Arial"/>
          <w:sz w:val="16"/>
          <w:szCs w:val="16"/>
          <w:color w:val="auto"/>
        </w:rPr>
      </w:pPr>
    </w:p>
    <w:p>
      <w:pPr>
        <w:ind w:left="-8" w:right="120" w:firstLine="8"/>
        <w:spacing w:after="0" w:line="208" w:lineRule="auto"/>
        <w:tabs>
          <w:tab w:leader="none" w:pos="2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provide the information with respect to such stockholder and its candidate for nomination as required by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(C) provide any updates or supplements to such notice at the times and in the forms required by this </w:t>
      </w:r>
      <w:r>
        <w:rPr>
          <w:rFonts w:ascii="Arial" w:cs="Arial" w:eastAsia="Arial" w:hAnsi="Arial"/>
          <w:sz w:val="18"/>
          <w:szCs w:val="18"/>
          <w:u w:val="single" w:color="auto"/>
          <w:color w:val="auto"/>
        </w:rPr>
        <w:t>Section 2.13 Section 2.13</w:t>
      </w:r>
      <w:r>
        <w:rPr>
          <w:rFonts w:ascii="Arial" w:cs="Arial" w:eastAsia="Arial" w:hAnsi="Arial"/>
          <w:sz w:val="18"/>
          <w:szCs w:val="18"/>
          <w:color w:val="auto"/>
        </w:rPr>
        <w:t>. To be timely, a stockholder’s notice for nominations to be made at a special meeting must be delivered to, or mailed and received at, the principal executive offices of the Corporation not earlier than the one hundred twentieth (120</w:t>
      </w:r>
      <w:r>
        <w:rPr>
          <w:rFonts w:ascii="Arial" w:cs="Arial" w:eastAsia="Arial" w:hAnsi="Arial"/>
          <w:sz w:val="29"/>
          <w:szCs w:val="29"/>
          <w:color w:val="auto"/>
          <w:vertAlign w:val="superscript"/>
        </w:rPr>
        <w:t>th</w:t>
      </w:r>
      <w:r>
        <w:rPr>
          <w:rFonts w:ascii="Arial" w:cs="Arial" w:eastAsia="Arial" w:hAnsi="Arial"/>
          <w:sz w:val="18"/>
          <w:szCs w:val="18"/>
          <w:color w:val="auto"/>
        </w:rPr>
        <w:t>) day prior to such special meeting and not later than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prior to such special meeting or, if later, the tenth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(as defined in </w:t>
      </w:r>
      <w:r>
        <w:rPr>
          <w:rFonts w:ascii="Arial" w:cs="Arial" w:eastAsia="Arial" w:hAnsi="Arial"/>
          <w:sz w:val="18"/>
          <w:szCs w:val="18"/>
          <w:u w:val="single" w:color="auto"/>
          <w:color w:val="auto"/>
        </w:rPr>
        <w:t>Section 2.12(h)</w:t>
      </w:r>
      <w:r>
        <w:rPr>
          <w:rFonts w:ascii="Arial" w:cs="Arial" w:eastAsia="Arial" w:hAnsi="Arial"/>
          <w:sz w:val="18"/>
          <w:szCs w:val="18"/>
          <w:color w:val="auto"/>
        </w:rPr>
        <w:t>) of the date of such special meeting was first made.</w:t>
      </w:r>
    </w:p>
    <w:p>
      <w:pPr>
        <w:spacing w:after="0" w:line="202" w:lineRule="exact"/>
        <w:rPr>
          <w:rFonts w:ascii="Arial" w:cs="Arial" w:eastAsia="Arial" w:hAnsi="Arial"/>
          <w:sz w:val="18"/>
          <w:szCs w:val="18"/>
          <w:color w:val="auto"/>
        </w:rPr>
      </w:pPr>
    </w:p>
    <w:p>
      <w:pPr>
        <w:ind w:left="-8" w:right="200" w:firstLine="656"/>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170" w:lineRule="exact"/>
        <w:rPr>
          <w:rFonts w:ascii="Arial" w:cs="Arial" w:eastAsia="Arial" w:hAnsi="Arial"/>
          <w:sz w:val="18"/>
          <w:szCs w:val="18"/>
          <w:color w:val="auto"/>
        </w:rPr>
      </w:pPr>
    </w:p>
    <w:p>
      <w:pPr>
        <w:ind w:left="-8" w:right="40" w:firstLine="656"/>
        <w:spacing w:after="0" w:line="226"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In no event may a Nominating Person (as defined below)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(A) the conclusion of the time period for Timely Notice, (B) the date set forth in </w:t>
      </w:r>
      <w:r>
        <w:rPr>
          <w:rFonts w:ascii="Arial" w:cs="Arial" w:eastAsia="Arial" w:hAnsi="Arial"/>
          <w:sz w:val="18"/>
          <w:szCs w:val="18"/>
          <w:u w:val="single" w:color="auto"/>
          <w:color w:val="auto"/>
        </w:rPr>
        <w:t>Section 2.13(b)(ii)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tenth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of public disclosure (as defined in </w:t>
      </w:r>
      <w:r>
        <w:rPr>
          <w:rFonts w:ascii="Arial" w:cs="Arial" w:eastAsia="Arial" w:hAnsi="Arial"/>
          <w:sz w:val="18"/>
          <w:szCs w:val="18"/>
          <w:u w:val="single" w:color="auto"/>
          <w:color w:val="auto"/>
        </w:rPr>
        <w:t>Section 2.12(h)</w:t>
      </w:r>
      <w:r>
        <w:rPr>
          <w:rFonts w:ascii="Arial" w:cs="Arial" w:eastAsia="Arial" w:hAnsi="Arial"/>
          <w:sz w:val="18"/>
          <w:szCs w:val="18"/>
          <w:color w:val="auto"/>
        </w:rPr>
        <w:t>) of such increase.</w:t>
      </w:r>
    </w:p>
    <w:p>
      <w:pPr>
        <w:spacing w:after="0" w:line="37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5" w:name="page16"/>
    <w:bookmarkEnd w:id="15"/>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a stockholder’s notice to the Secretary shall set forth:</w:t>
      </w:r>
    </w:p>
    <w:p>
      <w:pPr>
        <w:spacing w:after="0" w:line="225" w:lineRule="exact"/>
        <w:rPr>
          <w:rFonts w:ascii="Arial" w:cs="Arial" w:eastAsia="Arial" w:hAnsi="Arial"/>
          <w:sz w:val="18"/>
          <w:szCs w:val="18"/>
          <w:color w:val="auto"/>
        </w:rPr>
      </w:pPr>
    </w:p>
    <w:p>
      <w:pPr>
        <w:jc w:val="both"/>
        <w:ind w:left="660" w:right="340" w:firstLine="644"/>
        <w:spacing w:after="0" w:line="342" w:lineRule="auto"/>
        <w:tabs>
          <w:tab w:leader="none" w:pos="1928"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As to each Nominating Person, the Stockholder Information (as defined in </w:t>
      </w:r>
      <w:r>
        <w:rPr>
          <w:rFonts w:ascii="Arial" w:cs="Arial" w:eastAsia="Arial" w:hAnsi="Arial"/>
          <w:sz w:val="16"/>
          <w:szCs w:val="16"/>
          <w:u w:val="single" w:color="auto"/>
          <w:color w:val="auto"/>
        </w:rPr>
        <w:t>Section 2.12(c)(i)</w:t>
      </w:r>
      <w:r>
        <w:rPr>
          <w:rFonts w:ascii="Arial" w:cs="Arial" w:eastAsia="Arial" w:hAnsi="Arial"/>
          <w:sz w:val="16"/>
          <w:szCs w:val="16"/>
          <w:color w:val="auto"/>
        </w:rPr>
        <w:t xml:space="preserve">, except that for purposes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the term “</w:t>
      </w:r>
      <w:r>
        <w:rPr>
          <w:rFonts w:ascii="Arial" w:cs="Arial" w:eastAsia="Arial" w:hAnsi="Arial"/>
          <w:sz w:val="16"/>
          <w:szCs w:val="16"/>
          <w:i w:val="1"/>
          <w:iCs w:val="1"/>
          <w:color w:val="auto"/>
        </w:rPr>
        <w:t>Nominating Person</w:t>
      </w:r>
      <w:r>
        <w:rPr>
          <w:rFonts w:ascii="Arial" w:cs="Arial" w:eastAsia="Arial" w:hAnsi="Arial"/>
          <w:sz w:val="16"/>
          <w:szCs w:val="16"/>
          <w:color w:val="auto"/>
        </w:rPr>
        <w:t>” shall be substituted for the term “</w:t>
      </w:r>
      <w:r>
        <w:rPr>
          <w:rFonts w:ascii="Arial" w:cs="Arial" w:eastAsia="Arial" w:hAnsi="Arial"/>
          <w:sz w:val="16"/>
          <w:szCs w:val="16"/>
          <w:i w:val="1"/>
          <w:iCs w:val="1"/>
          <w:color w:val="auto"/>
        </w:rPr>
        <w:t>Proposing Person</w:t>
      </w:r>
      <w:r>
        <w:rPr>
          <w:rFonts w:ascii="Arial" w:cs="Arial" w:eastAsia="Arial" w:hAnsi="Arial"/>
          <w:sz w:val="16"/>
          <w:szCs w:val="16"/>
          <w:color w:val="auto"/>
        </w:rPr>
        <w:t xml:space="preserve">” in all places it appears in </w:t>
      </w:r>
      <w:r>
        <w:rPr>
          <w:rFonts w:ascii="Arial" w:cs="Arial" w:eastAsia="Arial" w:hAnsi="Arial"/>
          <w:sz w:val="16"/>
          <w:szCs w:val="16"/>
          <w:u w:val="single" w:color="auto"/>
          <w:color w:val="auto"/>
        </w:rPr>
        <w:t>Section 2.12(c)(i)</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60" w:right="60" w:firstLine="644"/>
        <w:spacing w:after="0" w:line="271" w:lineRule="auto"/>
        <w:tabs>
          <w:tab w:leader="none" w:pos="1933"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As to each Nominating Person, any Disclosable Interests (as defined in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(ii), except that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term “</w:t>
      </w:r>
      <w:r>
        <w:rPr>
          <w:rFonts w:ascii="Arial" w:cs="Arial" w:eastAsia="Arial" w:hAnsi="Arial"/>
          <w:sz w:val="17"/>
          <w:szCs w:val="17"/>
          <w:i w:val="1"/>
          <w:iCs w:val="1"/>
          <w:color w:val="auto"/>
        </w:rPr>
        <w:t>Nominating Person</w:t>
      </w:r>
      <w:r>
        <w:rPr>
          <w:rFonts w:ascii="Arial" w:cs="Arial" w:eastAsia="Arial" w:hAnsi="Arial"/>
          <w:sz w:val="17"/>
          <w:szCs w:val="17"/>
          <w:color w:val="auto"/>
        </w:rPr>
        <w:t>” shall be substituted for the term “</w:t>
      </w:r>
      <w:r>
        <w:rPr>
          <w:rFonts w:ascii="Arial" w:cs="Arial" w:eastAsia="Arial" w:hAnsi="Arial"/>
          <w:sz w:val="17"/>
          <w:szCs w:val="17"/>
          <w:i w:val="1"/>
          <w:iCs w:val="1"/>
          <w:color w:val="auto"/>
        </w:rPr>
        <w:t>Proposing Person</w:t>
      </w:r>
      <w:r>
        <w:rPr>
          <w:rFonts w:ascii="Arial" w:cs="Arial" w:eastAsia="Arial" w:hAnsi="Arial"/>
          <w:sz w:val="17"/>
          <w:szCs w:val="17"/>
          <w:color w:val="auto"/>
        </w:rPr>
        <w:t xml:space="preserve">” in all places it appears in </w:t>
      </w:r>
      <w:r>
        <w:rPr>
          <w:rFonts w:ascii="Arial" w:cs="Arial" w:eastAsia="Arial" w:hAnsi="Arial"/>
          <w:sz w:val="17"/>
          <w:szCs w:val="17"/>
          <w:u w:val="single" w:color="auto"/>
          <w:color w:val="auto"/>
        </w:rPr>
        <w:t>Section 2.12(c)(ii)</w:t>
      </w:r>
      <w:r>
        <w:rPr>
          <w:rFonts w:ascii="Arial" w:cs="Arial" w:eastAsia="Arial" w:hAnsi="Arial"/>
          <w:sz w:val="17"/>
          <w:szCs w:val="17"/>
          <w:color w:val="auto"/>
        </w:rPr>
        <w:t xml:space="preserve"> and the disclosure with respect to the business to be brought before the meeting in </w:t>
      </w:r>
      <w:r>
        <w:rPr>
          <w:rFonts w:ascii="Arial" w:cs="Arial" w:eastAsia="Arial" w:hAnsi="Arial"/>
          <w:sz w:val="17"/>
          <w:szCs w:val="17"/>
          <w:u w:val="single" w:color="auto"/>
          <w:color w:val="auto"/>
        </w:rPr>
        <w:t>Section 2.12(c)(ii)</w:t>
      </w:r>
      <w:r>
        <w:rPr>
          <w:rFonts w:ascii="Arial" w:cs="Arial" w:eastAsia="Arial" w:hAnsi="Arial"/>
          <w:sz w:val="17"/>
          <w:szCs w:val="17"/>
          <w:color w:val="auto"/>
        </w:rPr>
        <w:t xml:space="preserve"> shall be made with respect to the election of directors at the meeting); and provided that, in lieu of including the information set forth in </w:t>
      </w:r>
      <w:r>
        <w:rPr>
          <w:rFonts w:ascii="Arial" w:cs="Arial" w:eastAsia="Arial" w:hAnsi="Arial"/>
          <w:sz w:val="17"/>
          <w:szCs w:val="17"/>
          <w:u w:val="single" w:color="auto"/>
          <w:color w:val="auto"/>
        </w:rPr>
        <w:t>Section 2.12(c)(ii)(H)</w:t>
      </w:r>
      <w:r>
        <w:rPr>
          <w:rFonts w:ascii="Arial" w:cs="Arial" w:eastAsia="Arial" w:hAnsi="Arial"/>
          <w:sz w:val="17"/>
          <w:szCs w:val="17"/>
          <w:color w:val="auto"/>
        </w:rPr>
        <w:t xml:space="preserve">, the Nominating Person’s notice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include a representation as to whether the Nominating Person intends or is part of a group which intends to deliver a proxy statement and solicit the holders of shares representing at least sixty-seven percent (67%) of the voting power of shares entitled to vote on the election of directors in support of director nominees other than the Corporation’s nominees in accordance with Rule 14a-19 promulgated under the Exchange Act; and</w:t>
      </w:r>
    </w:p>
    <w:p>
      <w:pPr>
        <w:spacing w:after="0" w:line="178" w:lineRule="exact"/>
        <w:rPr>
          <w:rFonts w:ascii="Arial" w:cs="Arial" w:eastAsia="Arial" w:hAnsi="Arial"/>
          <w:sz w:val="17"/>
          <w:szCs w:val="17"/>
          <w:color w:val="auto"/>
        </w:rPr>
      </w:pPr>
    </w:p>
    <w:p>
      <w:pPr>
        <w:ind w:left="660" w:firstLine="644"/>
        <w:spacing w:after="0" w:line="283" w:lineRule="auto"/>
        <w:tabs>
          <w:tab w:leader="none" w:pos="1938"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of the Exchange Act (including such candidate’s written consent to being named in a proxy statement and accompanying proxy card relating to the Corporation’s next meeting of shareholders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their respective associates or any other participants in such solicitation, on the other hand, including, without limitation, all information that would be required to be disclosed pursuant to Item 404 under Regulation S-K if such Nominating Person were the “</w:t>
      </w:r>
      <w:r>
        <w:rPr>
          <w:rFonts w:ascii="Arial" w:cs="Arial" w:eastAsia="Arial" w:hAnsi="Arial"/>
          <w:sz w:val="16"/>
          <w:szCs w:val="16"/>
          <w:i w:val="1"/>
          <w:iCs w:val="1"/>
          <w:color w:val="auto"/>
        </w:rPr>
        <w:t>registrant</w:t>
      </w:r>
      <w:r>
        <w:rPr>
          <w:rFonts w:ascii="Arial" w:cs="Arial" w:eastAsia="Arial" w:hAnsi="Arial"/>
          <w:sz w:val="16"/>
          <w:szCs w:val="16"/>
          <w:color w:val="auto"/>
        </w:rPr>
        <w:t>” for purposes of such rule and the candidate for nomination were a director or executive officer of such registrant (the disclosures to be made pursuant to the foregoing clauses</w:t>
      </w:r>
    </w:p>
    <w:p>
      <w:pPr>
        <w:spacing w:after="0" w:line="5" w:lineRule="exact"/>
        <w:rPr>
          <w:rFonts w:ascii="Arial" w:cs="Arial" w:eastAsia="Arial" w:hAnsi="Arial"/>
          <w:sz w:val="16"/>
          <w:szCs w:val="16"/>
          <w:color w:val="auto"/>
        </w:rPr>
      </w:pPr>
    </w:p>
    <w:p>
      <w:pPr>
        <w:ind w:left="660" w:right="180"/>
        <w:spacing w:after="0" w:line="260" w:lineRule="auto"/>
        <w:rPr>
          <w:rFonts w:ascii="Arial" w:cs="Arial" w:eastAsia="Arial" w:hAnsi="Arial"/>
          <w:sz w:val="16"/>
          <w:szCs w:val="16"/>
          <w:color w:val="auto"/>
        </w:rPr>
      </w:pPr>
      <w:r>
        <w:rPr>
          <w:rFonts w:ascii="Arial" w:cs="Arial" w:eastAsia="Arial" w:hAnsi="Arial"/>
          <w:sz w:val="18"/>
          <w:szCs w:val="18"/>
          <w:color w:val="auto"/>
        </w:rPr>
        <w:t>(A) and (B) are referred to as “</w:t>
      </w:r>
      <w:r>
        <w:rPr>
          <w:rFonts w:ascii="Arial" w:cs="Arial" w:eastAsia="Arial" w:hAnsi="Arial"/>
          <w:sz w:val="18"/>
          <w:szCs w:val="18"/>
          <w:u w:val="single" w:color="auto"/>
          <w:color w:val="auto"/>
        </w:rPr>
        <w:t>Nominee Information</w:t>
      </w:r>
      <w:r>
        <w:rPr>
          <w:rFonts w:ascii="Arial" w:cs="Arial" w:eastAsia="Arial" w:hAnsi="Arial"/>
          <w:sz w:val="18"/>
          <w:szCs w:val="18"/>
          <w:color w:val="auto"/>
        </w:rPr>
        <w:t xml:space="preserve">”), and (C) a completed and signed questionnaire, representation and agreement as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firstLine="656"/>
        <w:spacing w:after="0" w:line="263" w:lineRule="auto"/>
        <w:tabs>
          <w:tab w:leader="none" w:pos="126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183" w:lineRule="exact"/>
        <w:rPr>
          <w:rFonts w:ascii="Arial" w:cs="Arial" w:eastAsia="Arial" w:hAnsi="Arial"/>
          <w:sz w:val="18"/>
          <w:szCs w:val="18"/>
          <w:color w:val="auto"/>
        </w:rPr>
      </w:pPr>
    </w:p>
    <w:p>
      <w:pPr>
        <w:ind w:right="120" w:firstLine="656"/>
        <w:spacing w:after="0" w:line="269" w:lineRule="auto"/>
        <w:tabs>
          <w:tab w:leader="none" w:pos="1253"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8" w:lineRule="exact"/>
        <w:rPr>
          <w:rFonts w:ascii="Arial" w:cs="Arial" w:eastAsia="Arial" w:hAnsi="Arial"/>
          <w:sz w:val="17"/>
          <w:szCs w:val="17"/>
          <w:color w:val="auto"/>
        </w:rPr>
      </w:pPr>
    </w:p>
    <w:p>
      <w:pPr>
        <w:ind w:right="40" w:firstLine="656"/>
        <w:spacing w:after="0" w:line="285" w:lineRule="auto"/>
        <w:tabs>
          <w:tab w:leader="none" w:pos="1278"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In addition to the requirements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provides notice pursuant to Rule 14a-19(b) promulgated under the Exchange Act and (B) subsequently fails to comply with the requirements of Rule</w:t>
      </w:r>
    </w:p>
    <w:p>
      <w:pPr>
        <w:spacing w:after="0" w:line="3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640"/>
        <w:spacing w:after="0"/>
        <w:tabs>
          <w:tab w:leader="none" w:pos="1880" w:val="left"/>
        </w:tabs>
        <w:rPr>
          <w:sz w:val="20"/>
          <w:szCs w:val="20"/>
          <w:color w:val="auto"/>
        </w:rPr>
      </w:pPr>
      <w:r>
        <w:rPr>
          <w:rFonts w:ascii="Arial" w:cs="Arial" w:eastAsia="Arial" w:hAnsi="Arial"/>
          <w:sz w:val="18"/>
          <w:szCs w:val="18"/>
          <w:u w:val="single" w:color="auto"/>
          <w:color w:val="auto"/>
        </w:rPr>
        <w:t>Section 2.14</w:t>
      </w:r>
      <w:r>
        <w:rPr>
          <w:sz w:val="20"/>
          <w:szCs w:val="20"/>
          <w:color w:val="auto"/>
        </w:rPr>
        <w:tab/>
      </w:r>
      <w:r>
        <w:rPr>
          <w:rFonts w:ascii="Arial" w:cs="Arial" w:eastAsia="Arial" w:hAnsi="Arial"/>
          <w:sz w:val="16"/>
          <w:szCs w:val="16"/>
          <w:u w:val="single" w:color="auto"/>
          <w:color w:val="auto"/>
        </w:rPr>
        <w:t>Additional Requirements For Valid Nomination of Candidates to Serve as Director and, If Elected, to Be Seated as Directors</w:t>
      </w:r>
      <w:r>
        <w:rPr>
          <w:rFonts w:ascii="Arial" w:cs="Arial" w:eastAsia="Arial" w:hAnsi="Arial"/>
          <w:sz w:val="16"/>
          <w:szCs w:val="16"/>
          <w:color w:val="auto"/>
        </w:rPr>
        <w:t>.</w:t>
      </w:r>
    </w:p>
    <w:p>
      <w:pPr>
        <w:spacing w:after="0" w:line="225" w:lineRule="exact"/>
        <w:rPr>
          <w:sz w:val="20"/>
          <w:szCs w:val="20"/>
          <w:color w:val="auto"/>
        </w:rPr>
      </w:pPr>
    </w:p>
    <w:p>
      <w:pPr>
        <w:ind w:left="-20" w:firstLine="575"/>
        <w:spacing w:after="0" w:line="267" w:lineRule="auto"/>
        <w:tabs>
          <w:tab w:leader="none" w:pos="12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To be eligible to be a candidate for election as a director of the Corporation at an annual or special meeting, a candidate must be nominated in the manner prescribed in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upon written request of any stockholder of record therefor) with respect to the background, qualifications, stock ownership and independence of such proposed nominee and (ii) a written representation and agreement (in the form provided by the Corporation upon written request of any stockholder of record therefor) that such candidate for nomination (A) is not and, if elected as a director during their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7"/>
          <w:szCs w:val="17"/>
          <w:u w:val="single" w:color="auto"/>
          <w:color w:val="auto"/>
        </w:rPr>
        <w:t>Voting Commitment</w:t>
      </w:r>
      <w:r>
        <w:rPr>
          <w:rFonts w:ascii="Arial" w:cs="Arial" w:eastAsia="Arial" w:hAnsi="Arial"/>
          <w:sz w:val="17"/>
          <w:szCs w:val="17"/>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shall provide to such candidate for nomination all such policies and guidelines then in effect), and (D) if elected as director of the Corporation, intends to serve the entire term until the next meeting at which such candidate would face re-election.</w:t>
      </w:r>
    </w:p>
    <w:p>
      <w:pPr>
        <w:spacing w:after="0" w:line="191" w:lineRule="exact"/>
        <w:rPr>
          <w:rFonts w:ascii="Arial" w:cs="Arial" w:eastAsia="Arial" w:hAnsi="Arial"/>
          <w:sz w:val="17"/>
          <w:szCs w:val="17"/>
          <w:color w:val="auto"/>
        </w:rPr>
      </w:pPr>
    </w:p>
    <w:p>
      <w:pPr>
        <w:ind w:left="-20" w:firstLine="575"/>
        <w:spacing w:after="0" w:line="254" w:lineRule="auto"/>
        <w:tabs>
          <w:tab w:leader="none" w:pos="1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of Directors has been delivered to, or mailed and received by, the Nominating Person.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18" w:name="page19"/>
    <w:bookmarkEnd w:id="18"/>
    <w:p>
      <w:pPr>
        <w:ind w:firstLine="575"/>
        <w:spacing w:after="0" w:line="268" w:lineRule="auto"/>
        <w:tabs>
          <w:tab w:leader="none" w:pos="126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 candidate for nomination as a director shall further update and supplement the materials delivered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if necessary, so that the information provided or required to be provided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6" w:lineRule="exact"/>
        <w:rPr>
          <w:rFonts w:ascii="Arial" w:cs="Arial" w:eastAsia="Arial" w:hAnsi="Arial"/>
          <w:sz w:val="17"/>
          <w:szCs w:val="17"/>
          <w:color w:val="auto"/>
        </w:rPr>
      </w:pPr>
    </w:p>
    <w:p>
      <w:pPr>
        <w:ind w:right="80" w:firstLine="575"/>
        <w:spacing w:after="0" w:line="255" w:lineRule="auto"/>
        <w:tabs>
          <w:tab w:leader="none" w:pos="1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 candidate shall be eligible for nomination as a director of the Corporation unless such candidate for nomination and the Nominating Person seeking to place such candidate’s name in nomination has complied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as applicable. The presiding officer at the meeting shall, if the facts warrant, determine that a nomination was not properly made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2.14, and</w:t>
      </w:r>
      <w:r>
        <w:rPr>
          <w:rFonts w:ascii="Arial" w:cs="Arial" w:eastAsia="Arial" w:hAnsi="Arial"/>
          <w:sz w:val="18"/>
          <w:szCs w:val="18"/>
          <w:color w:val="auto"/>
        </w:rPr>
        <w:t xml:space="preserve">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92" w:lineRule="exact"/>
        <w:rPr>
          <w:rFonts w:ascii="Arial" w:cs="Arial" w:eastAsia="Arial" w:hAnsi="Arial"/>
          <w:sz w:val="18"/>
          <w:szCs w:val="18"/>
          <w:color w:val="auto"/>
        </w:rPr>
      </w:pPr>
    </w:p>
    <w:p>
      <w:pPr>
        <w:ind w:right="220" w:firstLine="575"/>
        <w:spacing w:after="0" w:line="277" w:lineRule="auto"/>
        <w:tabs>
          <w:tab w:leader="none" w:pos="1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Notwithstanding anything in these Bylaws to the contrary, no candidate for nomination shall be eligible to be seated as a director of the Corporation unless nominated and elected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u w:val="single" w:color="auto"/>
          <w:color w:val="auto"/>
        </w:rPr>
        <w:t>Section 2.15 Delivery to the Corporation</w:t>
      </w:r>
      <w:r>
        <w:rPr>
          <w:rFonts w:ascii="Arial" w:cs="Arial" w:eastAsia="Arial" w:hAnsi="Arial"/>
          <w:sz w:val="18"/>
          <w:szCs w:val="18"/>
          <w:color w:val="auto"/>
        </w:rPr>
        <w:t>. Whenever this Article II requires one (1)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u w:val="single" w:color="auto"/>
          <w:color w:val="auto"/>
        </w:rPr>
        <w:t>Section 3.1 Powers; Number of Directors; and Term of Office</w:t>
      </w:r>
      <w:r>
        <w:rPr>
          <w:rFonts w:ascii="Arial" w:cs="Arial" w:eastAsia="Arial" w:hAnsi="Arial"/>
          <w:sz w:val="17"/>
          <w:szCs w:val="17"/>
          <w:color w:val="auto"/>
        </w:rPr>
        <w:t>. Except as otherwise provided by the Restated Certificate of Incorporation or the DGCL,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twelve (12) persons. The exact number of directors within the minimum and maximum limitations specified in the preceding sentence shall be fixed from time to time by the Board of Directors pursuant to a resolution adopted by a majority of its members. The directors shall be divided into three classes, as nearly equal in number as possible, with the term of office of each class to expire at the third succeeding annual meeting of stockholders after its election at an annual meeting of stockholders.</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u w:val="single" w:color="auto"/>
          <w:color w:val="auto"/>
        </w:rPr>
        <w:t>Section 3.2 Resignations and Vacancies</w:t>
      </w:r>
      <w:r>
        <w:rPr>
          <w:rFonts w:ascii="Arial" w:cs="Arial" w:eastAsia="Arial" w:hAnsi="Arial"/>
          <w:sz w:val="17"/>
          <w:szCs w:val="17"/>
          <w:color w:val="auto"/>
        </w:rPr>
        <w:t>. 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The acceptance of the resignation shall not be necessary to make it effective.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of Directors shall shorten the term of any incumbent director. Subject to the rights of the holders of any series of Preferred Stock then outstanding, any director, or the entire Board of Directors, may be removed from office at any time, but only for cause and only by the affirmative vote of the holders of at least eighty percent (80%) of the voting power of the then outstanding Common Stock of the Corporation.</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u w:val="single" w:color="auto"/>
          <w:color w:val="auto"/>
        </w:rPr>
        <w:t>Section 3.3 Place of Meetings; Meetings by Telephone</w:t>
      </w:r>
      <w:r>
        <w:rPr>
          <w:rFonts w:ascii="Arial" w:cs="Arial" w:eastAsia="Arial" w:hAnsi="Arial"/>
          <w:sz w:val="18"/>
          <w:szCs w:val="18"/>
          <w:color w:val="auto"/>
        </w:rPr>
        <w:t>. The Board of Directors may hold meetings, both regular and special, either within or outside the State of Delaware.</w:t>
      </w:r>
    </w:p>
    <w:p>
      <w:pPr>
        <w:spacing w:after="0" w:line="170"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Unless otherwise restricted by the Restated Certificate of Incorporation or these Bylaws, members of the Board of Directors, or any committee designated by the Board of Directors, may participate in a meeting of the Board of Directors, or any committee, by means of telephone or other communications equipment by means of which all persons participating in the meeting can hear each other, and such participation in a meeting pursuant to these Bylaws shall constitute presence in person at the meeting.</w:t>
      </w:r>
    </w:p>
    <w:p>
      <w:pPr>
        <w:spacing w:after="0" w:line="18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u w:val="single" w:color="auto"/>
          <w:color w:val="auto"/>
        </w:rPr>
        <w:t>Section 3.4 Regular Meetings</w:t>
      </w:r>
      <w:r>
        <w:rPr>
          <w:rFonts w:ascii="Arial" w:cs="Arial" w:eastAsia="Arial" w:hAnsi="Arial"/>
          <w:sz w:val="16"/>
          <w:szCs w:val="16"/>
          <w:color w:val="auto"/>
        </w:rPr>
        <w:t>. Regular meetings of the Board of Directors shall be held on such dates as a majority of the entire Board of Directors may fix from time to time in its discretion, and at such time and place as the Chair of the Board of Directors or, in their absence, the Chief Executive Officer, or in their absence, the President shall determine, preferably at the principal executive office of the Corporation. At least three (3) days’ notice thereof shall be given by the Secretary to each director, either personally or by telephone, electronic mail or other means of electronic transmission.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right="120" w:firstLine="648"/>
        <w:spacing w:after="0" w:line="277" w:lineRule="auto"/>
        <w:rPr>
          <w:sz w:val="20"/>
          <w:szCs w:val="20"/>
          <w:color w:val="auto"/>
        </w:rPr>
      </w:pPr>
      <w:r>
        <w:rPr>
          <w:rFonts w:ascii="Arial" w:cs="Arial" w:eastAsia="Arial" w:hAnsi="Arial"/>
          <w:sz w:val="18"/>
          <w:szCs w:val="18"/>
          <w:u w:val="single" w:color="auto"/>
          <w:color w:val="auto"/>
        </w:rPr>
        <w:t>Section 3.5 Special Meetings; Notice</w:t>
      </w:r>
      <w:r>
        <w:rPr>
          <w:rFonts w:ascii="Arial" w:cs="Arial" w:eastAsia="Arial" w:hAnsi="Arial"/>
          <w:sz w:val="18"/>
          <w:szCs w:val="18"/>
          <w:color w:val="auto"/>
        </w:rPr>
        <w:t>. Special meetings of the Board of Directors may be called by the Chair of the Board of Directors, the Presiding Non-Management Director, if any, the Chief Executive Officer or by a majority of the entire Board of Directors.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920" w:hanging="616"/>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sent by United States of America first-class mail, postage prepaid;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sent by other means of electronic transmission,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directed to each director at that director’s address, telephone number or electronic mail address, or other address for electronic transmission, as the case may be, as shown on the Corporation’s records.</w:t>
      </w:r>
    </w:p>
    <w:p>
      <w:pPr>
        <w:spacing w:after="0" w:line="170"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Section 3.6 Board Action; Board Action Without a Meeting</w:t>
      </w:r>
      <w:r>
        <w:rPr>
          <w:rFonts w:ascii="Arial" w:cs="Arial" w:eastAsia="Arial" w:hAnsi="Arial"/>
          <w:sz w:val="18"/>
          <w:szCs w:val="18"/>
          <w:color w:val="auto"/>
        </w:rPr>
        <w:t>. Any action taken by the Board of Directors or any committee thereof at any meeting where all members are present shall be valid whether or not notice of such meeting was in fact given, except as provided by law. Any action which might be taken at a meeting of the Board of Directors, or at a meeting of any committee thereof as the case may be, may be taken without meeting as provided by law, including by means of consents thereto in writing or by electronic transmission.</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u w:val="single" w:color="auto"/>
          <w:color w:val="auto"/>
        </w:rPr>
        <w:t>Section 3.7 Quorum</w:t>
      </w:r>
      <w:r>
        <w:rPr>
          <w:rFonts w:ascii="Arial" w:cs="Arial" w:eastAsia="Arial" w:hAnsi="Arial"/>
          <w:sz w:val="18"/>
          <w:szCs w:val="18"/>
          <w:color w:val="auto"/>
        </w:rPr>
        <w:t>. At all meetings of the Board of Directors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Fees and Compensation of Directors. Unless otherwise restricted by the Restated Certificate of Incorporation or these Bylaws, the Board of Directors shall have the authority to fix the compensation, including retainers, fees, perquisites and reimbursement of expenses, of directors for services to the Corporation in any capacity.</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3.9</w:t>
      </w:r>
      <w:r>
        <w:rPr>
          <w:sz w:val="20"/>
          <w:szCs w:val="20"/>
          <w:color w:val="auto"/>
        </w:rPr>
        <w:tab/>
      </w:r>
      <w:r>
        <w:rPr>
          <w:rFonts w:ascii="Arial" w:cs="Arial" w:eastAsia="Arial" w:hAnsi="Arial"/>
          <w:sz w:val="16"/>
          <w:szCs w:val="16"/>
          <w:u w:val="single" w:color="auto"/>
          <w:color w:val="auto"/>
        </w:rPr>
        <w:t>Committee of Directors</w:t>
      </w:r>
      <w:r>
        <w:rPr>
          <w:rFonts w:ascii="Arial" w:cs="Arial" w:eastAsia="Arial" w:hAnsi="Arial"/>
          <w:sz w:val="16"/>
          <w:szCs w:val="16"/>
          <w:color w:val="auto"/>
        </w:rPr>
        <w:t>. The Board of Directors may designate one (1) or more committees, each committee to consist, of one</w:t>
      </w:r>
    </w:p>
    <w:p>
      <w:pPr>
        <w:spacing w:after="0" w:line="23" w:lineRule="exact"/>
        <w:rPr>
          <w:sz w:val="20"/>
          <w:szCs w:val="20"/>
          <w:color w:val="auto"/>
        </w:rPr>
      </w:pPr>
    </w:p>
    <w:p>
      <w:pPr>
        <w:ind w:firstLine="8"/>
        <w:spacing w:after="0" w:line="268"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or more of the directors of the Corporation. The Board of Directors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and may authorize the seal of the Corporation to be affixed to all papers that may require it; but no such committee shall have the power or authority to (a) approve or adopt, or recommend to the stockholders, any action or matter expressly required by the DGCL to be submitted to stockholders for approval, or (b) adopt, amend or repeal any bylaw of the Corporation.</w:t>
      </w:r>
    </w:p>
    <w:p>
      <w:pPr>
        <w:spacing w:after="0" w:line="1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u w:val="single" w:color="auto"/>
          <w:color w:val="auto"/>
        </w:rPr>
        <w:t>Section 3.10 Committee Minutes</w:t>
      </w:r>
      <w:r>
        <w:rPr>
          <w:rFonts w:ascii="Arial" w:cs="Arial" w:eastAsia="Arial" w:hAnsi="Arial"/>
          <w:sz w:val="18"/>
          <w:szCs w:val="18"/>
          <w:color w:val="auto"/>
        </w:rPr>
        <w:t>. Each committee shall maintain regular minutes of its meetings and shall report the same when and as required by the Board of Directors.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u w:val="single" w:color="auto"/>
          <w:color w:val="auto"/>
        </w:rPr>
        <w:t>Section 3.11 Meetings of Committees</w:t>
      </w:r>
      <w:r>
        <w:rPr>
          <w:rFonts w:ascii="Arial" w:cs="Arial" w:eastAsia="Arial" w:hAnsi="Arial"/>
          <w:sz w:val="16"/>
          <w:szCs w:val="16"/>
          <w:color w:val="auto"/>
        </w:rPr>
        <w:t xml:space="preserve">. Meetings of a committee shall be held from time to time as the Chair of such committee, the Chair of the Board of Directors, or a majority of the members of such committee shall determine, preferably at the principal executive office of the Corporation. All members of a committee shall be given notice of any meeting by the Secretary, such notice to be provided by telephone, mail, electronic mail or other means of electronic transmission to each member at least three (3) days prior to the date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notice shall not be required as to any member who shall receive notice in person at least twenty-four (24) hours prior to the time of the meeting. Any member may in writing, before or after any meeting, waive notice thereof, and any member by their attendance at, and participation in, the action taken at any meeting shall be deemed to have waived notice thereof. A majority of the members of a committee shall constitute a quorum. The Chair of each committee shall preside at all meetings of such committee and shall perform such other duties as may be prescribed by the Board of Directors or the Chair thereof.</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3.12</w:t>
      </w:r>
      <w:r>
        <w:rPr>
          <w:sz w:val="20"/>
          <w:szCs w:val="20"/>
          <w:color w:val="auto"/>
        </w:rPr>
        <w:tab/>
      </w:r>
      <w:r>
        <w:rPr>
          <w:rFonts w:ascii="Arial" w:cs="Arial" w:eastAsia="Arial" w:hAnsi="Arial"/>
          <w:sz w:val="16"/>
          <w:szCs w:val="16"/>
          <w:u w:val="single" w:color="auto"/>
          <w:color w:val="auto"/>
        </w:rPr>
        <w:t>Actions of Committees</w:t>
      </w:r>
      <w:r>
        <w:rPr>
          <w:rFonts w:ascii="Arial" w:cs="Arial" w:eastAsia="Arial" w:hAnsi="Arial"/>
          <w:sz w:val="16"/>
          <w:szCs w:val="16"/>
          <w:color w:val="auto"/>
        </w:rPr>
        <w:t>. All action taken by a committee shall be reported to the Board of Directors at its meeting next</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 Any action which might be taken at a meeting of a committee may be taken without meeting if evidenced by a resolution signed (including by electronic transmission) by all members.</w:t>
      </w:r>
    </w:p>
    <w:p>
      <w:pPr>
        <w:spacing w:after="0" w:line="19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u w:val="single" w:color="auto"/>
          <w:color w:val="auto"/>
        </w:rPr>
        <w:t>Section 3.13 Subcommittees</w:t>
      </w:r>
      <w:r>
        <w:rPr>
          <w:rFonts w:ascii="Arial" w:cs="Arial" w:eastAsia="Arial" w:hAnsi="Arial"/>
          <w:sz w:val="17"/>
          <w:szCs w:val="17"/>
          <w:color w:val="auto"/>
        </w:rPr>
        <w:t>. Unless otherwise provided in the Restated Certificate of Incorporation, these Bylaws or the resolutions of the Board of Directors designating the committee, a committee may create one (1) or more subcommittees, each subcommittee to consist of one (1) or more members of the committee, and delegate to a subcommittee any or all of the powers and authority of the committee.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u w:val="single" w:color="auto"/>
          <w:color w:val="auto"/>
        </w:rPr>
        <w:t>Section 4.1 Appointment; Officers</w:t>
      </w:r>
      <w:r>
        <w:rPr>
          <w:rFonts w:ascii="Arial" w:cs="Arial" w:eastAsia="Arial" w:hAnsi="Arial"/>
          <w:sz w:val="18"/>
          <w:szCs w:val="18"/>
          <w:color w:val="auto"/>
        </w:rPr>
        <w:t>. The officers of this Corporation shall be appointed by the Board of Directors from time to time as it deems appropriate, and shall include a Chief Executive Officer, who may also be the Chair of the Board of Directors, a President, and one or more Vice Presidents one of whom shall perform the duties of the Chief Financial Officer, a Secretary, a Treasurer, and may include such other officers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 The Chair of the Board of Directors, to be elected by the Board of Directors from among its members, may be an officer of the Corporation, as determined by the Board of Directors from time to time.</w:t>
      </w:r>
    </w:p>
    <w:p>
      <w:pPr>
        <w:spacing w:after="0" w:line="19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u w:val="single" w:color="auto"/>
          <w:color w:val="auto"/>
        </w:rPr>
        <w:t>Section 4.2 Compensation</w:t>
      </w:r>
      <w:r>
        <w:rPr>
          <w:rFonts w:ascii="Arial" w:cs="Arial" w:eastAsia="Arial" w:hAnsi="Arial"/>
          <w:sz w:val="18"/>
          <w:szCs w:val="18"/>
          <w:color w:val="auto"/>
        </w:rPr>
        <w:t>. The salary and other compensation of the Chair of the Board of Directors, if an officer of the Corporation, the Chief Executive Officer, the President and all elected Vice Presidents shall be fixed by the compensation committee of the Board of Directors or the Board of Directors, as appropriate.</w:t>
      </w:r>
    </w:p>
    <w:p>
      <w:pPr>
        <w:spacing w:after="0" w:line="18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u w:val="single" w:color="auto"/>
          <w:color w:val="auto"/>
        </w:rPr>
        <w:t>Section 4.3 Removal and Resignation of Officers</w:t>
      </w:r>
      <w:r>
        <w:rPr>
          <w:rFonts w:ascii="Arial" w:cs="Arial" w:eastAsia="Arial" w:hAnsi="Arial"/>
          <w:sz w:val="17"/>
          <w:szCs w:val="17"/>
          <w:color w:val="auto"/>
        </w:rPr>
        <w:t>. Subject to the rights, if any, of an officer under any contract of employment, any officer may be removed, either with or without cause, by the Board of Directors or, except in the case of an officer chosen by the Board of Directors, by any officer upon whom such power of removal may be conferred by the Board of Directors. Any officer may resign at any time by giving written notice to the Corporation. The resignation shall take effect at the time specified therein or upon the happening of an event specified therein, and if no time or event is specified, at the time of its receipt. The acceptance of the resignation shall not be necessary to make it effective. Any resignation is without prejudice to the rights, if any, of the Corporation under any contract to which the officer is a party.</w:t>
      </w:r>
    </w:p>
    <w:p>
      <w:pPr>
        <w:spacing w:after="0" w:line="1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4.4</w:t>
      </w:r>
      <w:r>
        <w:rPr>
          <w:sz w:val="20"/>
          <w:szCs w:val="20"/>
          <w:color w:val="auto"/>
        </w:rPr>
        <w:tab/>
      </w:r>
      <w:r>
        <w:rPr>
          <w:rFonts w:ascii="Arial" w:cs="Arial" w:eastAsia="Arial" w:hAnsi="Arial"/>
          <w:sz w:val="16"/>
          <w:szCs w:val="16"/>
          <w:u w:val="single" w:color="auto"/>
          <w:color w:val="auto"/>
        </w:rPr>
        <w:t>Vacancy</w:t>
      </w:r>
      <w:r>
        <w:rPr>
          <w:rFonts w:ascii="Arial" w:cs="Arial" w:eastAsia="Arial" w:hAnsi="Arial"/>
          <w:sz w:val="16"/>
          <w:szCs w:val="16"/>
          <w:color w:val="auto"/>
        </w:rPr>
        <w:t>. If any vacancy shall occur among the elected officers, it shall be filled by the Board of Directors.</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u w:val="single" w:color="auto"/>
          <w:color w:val="auto"/>
        </w:rPr>
        <w:t>Section 4.5 Chair</w:t>
      </w:r>
      <w:r>
        <w:rPr>
          <w:rFonts w:ascii="Arial" w:cs="Arial" w:eastAsia="Arial" w:hAnsi="Arial"/>
          <w:sz w:val="17"/>
          <w:szCs w:val="17"/>
          <w:color w:val="auto"/>
        </w:rPr>
        <w:t>. The Chair of the Board of Directors, or in their absence, the Presiding Non-Management Director, if any, or in their absence, the Chair of the compensation committee of the Board of Directors, shall preside at all meetings of the Board of Directors.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Section 4.6 Chief Executive Officer</w:t>
      </w:r>
      <w:r>
        <w:rPr>
          <w:rFonts w:ascii="Arial" w:cs="Arial" w:eastAsia="Arial" w:hAnsi="Arial"/>
          <w:sz w:val="18"/>
          <w:szCs w:val="18"/>
          <w:color w:val="auto"/>
        </w:rPr>
        <w:t>. The Chief Executive Officer shall have responsibility for the general management and control of the business and affairs of the Corporation, as prescribed by the Board of Directors. The Chief Executive Officer has authority to appoint certain officers of the Corporation, including Vice Presidents and certain assistant officers whose responsibilities do not warrant election by the Board of Directors, and shall also perform such other duties as may be prescribed by the Board of Directors.</w:t>
      </w:r>
    </w:p>
    <w:p>
      <w:pPr>
        <w:spacing w:after="0" w:line="187"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u w:val="single" w:color="auto"/>
          <w:color w:val="auto"/>
        </w:rPr>
        <w:t>Section 4.7 President</w:t>
      </w:r>
      <w:r>
        <w:rPr>
          <w:rFonts w:ascii="Arial" w:cs="Arial" w:eastAsia="Arial" w:hAnsi="Arial"/>
          <w:sz w:val="18"/>
          <w:szCs w:val="18"/>
          <w:color w:val="auto"/>
        </w:rPr>
        <w:t>. The President shall perform such duties as may be prescribed by the Board of Directors. In the absence of the Chair of the Board of Directors, the Presiding Non</w:t>
      </w:r>
      <w:r>
        <w:rPr>
          <w:rFonts w:ascii="MS PGothic" w:cs="MS PGothic" w:eastAsia="MS PGothic" w:hAnsi="MS PGothic"/>
          <w:sz w:val="18"/>
          <w:szCs w:val="18"/>
          <w:color w:val="auto"/>
        </w:rPr>
        <w:t>‑</w:t>
      </w:r>
      <w:r>
        <w:rPr>
          <w:rFonts w:ascii="Arial" w:cs="Arial" w:eastAsia="Arial" w:hAnsi="Arial"/>
          <w:sz w:val="18"/>
          <w:szCs w:val="18"/>
          <w:color w:val="auto"/>
        </w:rPr>
        <w:t>Management Director, if any, and the Chief Executive Officer, they shall preside at all meetings of the stockholders and otherwise perform the Chief Executive Officer’s duties as prescribed by the Board of Directors.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120" w:firstLine="648"/>
        <w:spacing w:after="0" w:line="286" w:lineRule="auto"/>
        <w:rPr>
          <w:sz w:val="20"/>
          <w:szCs w:val="20"/>
          <w:color w:val="auto"/>
        </w:rPr>
      </w:pPr>
      <w:r>
        <w:rPr>
          <w:rFonts w:ascii="Arial" w:cs="Arial" w:eastAsia="Arial" w:hAnsi="Arial"/>
          <w:sz w:val="17"/>
          <w:szCs w:val="17"/>
          <w:u w:val="single" w:color="auto"/>
          <w:color w:val="auto"/>
        </w:rPr>
        <w:t>Section 4.8 Vice President</w:t>
      </w:r>
      <w:r>
        <w:rPr>
          <w:rFonts w:ascii="Arial" w:cs="Arial" w:eastAsia="Arial" w:hAnsi="Arial"/>
          <w:sz w:val="17"/>
          <w:szCs w:val="17"/>
          <w:color w:val="auto"/>
        </w:rPr>
        <w:t>. Each Vice President shall perform such duties as may be prescribed by the Board of Directors. In the absence or disability of the Chief Executive Officer, the President shall succeed to their powers and duties, and in the absence of the President, the Chief Financial Officer shall first succeed to their powers and duties, then the Vice Presidents in order of seniority in which elected.</w:t>
      </w:r>
    </w:p>
    <w:p>
      <w:pPr>
        <w:spacing w:after="0" w:line="16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u w:val="single" w:color="auto"/>
          <w:color w:val="auto"/>
        </w:rPr>
        <w:t>Section 4.9 Secretary</w:t>
      </w:r>
      <w:r>
        <w:rPr>
          <w:rFonts w:ascii="Arial" w:cs="Arial" w:eastAsia="Arial" w:hAnsi="Arial"/>
          <w:sz w:val="18"/>
          <w:szCs w:val="18"/>
          <w:color w:val="auto"/>
        </w:rPr>
        <w:t>. The Secretary shall attend all meetings of the Board of Directors, other committees of the Board of Directors and of the stockholders, and record all votes and keep minutes of all proceedings. They shall give, or cause to be given, required notices of meetings of the Board of Directors, committees of the Board of Directors and of the stockholders. They shall keep in safe custody the seal of the Corporation and, when authorized by the Board of Directors, affix the same to any instrument requiring it, and shall perform such other duties as may be prescribed by the Board of Directors.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u w:val="single" w:color="auto"/>
          <w:color w:val="auto"/>
        </w:rPr>
        <w:t>Section 4.10 Treasurer</w:t>
      </w:r>
      <w:r>
        <w:rPr>
          <w:rFonts w:ascii="Arial" w:cs="Arial" w:eastAsia="Arial" w:hAnsi="Arial"/>
          <w:sz w:val="18"/>
          <w:szCs w:val="18"/>
          <w:color w:val="auto"/>
        </w:rPr>
        <w:t>. The Treasurer shall maintain necessary relationships with banks and other financial institutions and provide for adequate lines of credit; shall plan for and maintain adequate funds in appropriate working and depository accounts to meet outstanding and planned commitments; and shall be responsible for safe custody and control of all funds and securities of the Corporation. They shall establish policies and procedures in relation to, and supervise management of, the extension of credit, and the collection of receivables. They shall maintain appropriate bond and dividend records, provide for proper signature or endorsement on all financial documents of the Corporation, and shall perform such other duties as may be prescribed by the Board of Directors.</w:t>
      </w:r>
    </w:p>
    <w:p>
      <w:pPr>
        <w:spacing w:after="0" w:line="19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u w:val="single" w:color="auto"/>
          <w:color w:val="auto"/>
        </w:rPr>
        <w:t>Section 4.11 Assistant Officers</w:t>
      </w:r>
      <w:r>
        <w:rPr>
          <w:rFonts w:ascii="Arial" w:cs="Arial" w:eastAsia="Arial" w:hAnsi="Arial"/>
          <w:sz w:val="18"/>
          <w:szCs w:val="18"/>
          <w:color w:val="auto"/>
        </w:rPr>
        <w:t>. The assistant to any officer shall, in the absence or disability of that officer, perform their duties and shall perform such other duties as may be prescribed by the Board of Directors.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5.1</w:t>
      </w:r>
      <w:r>
        <w:rPr>
          <w:sz w:val="20"/>
          <w:szCs w:val="20"/>
          <w:color w:val="auto"/>
        </w:rPr>
        <w:tab/>
      </w:r>
      <w:r>
        <w:rPr>
          <w:rFonts w:ascii="Arial" w:cs="Arial" w:eastAsia="Arial" w:hAnsi="Arial"/>
          <w:sz w:val="16"/>
          <w:szCs w:val="16"/>
          <w:u w:val="single" w:color="auto"/>
          <w:color w:val="auto"/>
        </w:rPr>
        <w:t>Delivery of Notice; Notice by Electronic Transmission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Without limiting the manner by which notice otherwise may be given effectively to stockholders, any notice to stockholders given by the Corporation under any provisions of the DGCL, the Restated Certificate of Incorporation, or these Bylaws may be given in writing directed to the stockholder’s mailing address (or by electronic transmission directed to the stockholder’s electronic mail address, as applicable) as it appears on the records of the Corporation and shall be given (a) if mailed, when the notice is deposited in the U.S. mail, postage prepaid, (b) if delivered by courier service, the earlier of when the notice is received or left at such stockholder’s address or (c)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ind w:firstLine="648"/>
        <w:spacing w:after="0" w:line="275" w:lineRule="auto"/>
        <w:rPr>
          <w:sz w:val="20"/>
          <w:szCs w:val="20"/>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the DGCL, the Restated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660" w:right="60" w:firstLine="644"/>
        <w:spacing w:after="0" w:line="277" w:lineRule="auto"/>
        <w:tabs>
          <w:tab w:leader="none" w:pos="19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Adopted by the Board of Directors on May 23, 2023</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4"/>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upperLetter"/>
      <w:start w:val="1"/>
    </w:lvl>
    <w:lvl w:ilvl="1">
      <w:lvlJc w:val="left"/>
      <w:lvlText w:val="(%2)"/>
      <w:numFmt w:val="lowerLetter"/>
      <w:start w:val="1"/>
    </w:lvl>
  </w:abstractNum>
  <w:abstractNum w:abstractNumId="5">
    <w:nsid w:val="6B68079A"/>
    <w:multiLevelType w:val="hybridMultilevel"/>
    <w:lvl w:ilvl="0">
      <w:lvlJc w:val="left"/>
      <w:lvlText w:val="(%1)"/>
      <w:numFmt w:val="upperLetter"/>
      <w:start w:val="2"/>
    </w:lvl>
    <w:lvl w:ilvl="1">
      <w:lvlJc w:val="left"/>
      <w:lvlText w:val="%2"/>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4"/>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2"/>
    </w:lvl>
    <w:lvl w:ilvl="1">
      <w:lvlJc w:val="left"/>
      <w:lvlText w:val="(%2)"/>
      <w:numFmt w:val="lowerLetter"/>
      <w:start w:val="9"/>
    </w:lvl>
  </w:abstractNum>
  <w:abstractNum w:abstractNumId="11">
    <w:nsid w:val="7C83E458"/>
    <w:multiLevelType w:val="hybridMultilevel"/>
    <w:lvl w:ilvl="0">
      <w:lvlJc w:val="left"/>
      <w:lvlText w:val="(%1)"/>
      <w:numFmt w:val="lowerRoman"/>
      <w:start w:val="2"/>
    </w:lvl>
  </w:abstractNum>
  <w:abstractNum w:abstractNumId="12">
    <w:nsid w:val="257130A3"/>
    <w:multiLevelType w:val="hybridMultilevel"/>
    <w:lvl w:ilvl="0">
      <w:lvlJc w:val="left"/>
      <w:lvlText w:val="(%1)"/>
      <w:numFmt w:val="lowerRoman"/>
      <w:start w:val="3"/>
    </w:lvl>
  </w:abstractNum>
  <w:abstractNum w:abstractNumId="13">
    <w:nsid w:val="62BBD95A"/>
    <w:multiLevelType w:val="hybridMultilevel"/>
    <w:lvl w:ilvl="0">
      <w:lvlJc w:val="left"/>
      <w:lvlText w:val="(%1)"/>
      <w:numFmt w:val="lowerLetter"/>
      <w:start w:val="4"/>
    </w:lvl>
  </w:abstractNum>
  <w:abstractNum w:abstractNumId="14">
    <w:nsid w:val="436C6125"/>
    <w:multiLevelType w:val="hybridMultilevel"/>
    <w:lvl w:ilvl="0">
      <w:lvlJc w:val="left"/>
      <w:lvlText w:val="(%1)"/>
      <w:numFmt w:val="lowerLetter"/>
      <w:start w:val="5"/>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upperLetter"/>
      <w:start w:val="1"/>
    </w:lvl>
    <w:lvl w:ilvl="1">
      <w:lvlJc w:val="left"/>
      <w:lvlText w:val="(%2)"/>
      <w:numFmt w:val="lowerRoman"/>
      <w:start w:val="2"/>
    </w:lvl>
  </w:abstractNum>
  <w:abstractNum w:abstractNumId="17">
    <w:nsid w:val="721DA317"/>
    <w:multiLevelType w:val="hybridMultilevel"/>
    <w:lvl w:ilvl="0">
      <w:lvlJc w:val="left"/>
      <w:lvlText w:val="(%1)"/>
      <w:numFmt w:val="upperLetter"/>
      <w:start w:val="2"/>
    </w:lvl>
    <w:lvl w:ilvl="1">
      <w:lvlJc w:val="left"/>
      <w:lvlText w:val="(%2)"/>
      <w:numFmt w:val="lowerRoman"/>
      <w:start w:val="3"/>
    </w:lvl>
  </w:abstractNum>
  <w:abstractNum w:abstractNumId="18">
    <w:nsid w:val="2443A858"/>
    <w:multiLevelType w:val="hybridMultilevel"/>
    <w:lvl w:ilvl="0">
      <w:lvlJc w:val="left"/>
      <w:lvlText w:val="(%1)"/>
      <w:numFmt w:val="lowerLetter"/>
      <w:start w:val="3"/>
    </w:lvl>
    <w:lvl w:ilvl="1">
      <w:lvlJc w:val="left"/>
      <w:lvlText w:val="(%2)"/>
      <w:numFmt w:val="lowerRoman"/>
      <w:start w:val="1"/>
    </w:lvl>
  </w:abstractNum>
  <w:abstractNum w:abstractNumId="19">
    <w:nsid w:val="2D1D5AE9"/>
    <w:multiLevelType w:val="hybridMultilevel"/>
    <w:lvl w:ilvl="0">
      <w:lvlJc w:val="left"/>
      <w:lvlText w:val="%1"/>
      <w:numFmt w:val="upperLetter"/>
      <w:start w:val="1"/>
    </w:lvl>
    <w:lvl w:ilvl="1">
      <w:lvlJc w:val="left"/>
      <w:lvlText w:val="(%2)"/>
      <w:numFmt w:val="lowerLetter"/>
      <w:start w:val="4"/>
    </w:lvl>
  </w:abstractNum>
  <w:abstractNum w:abstractNumId="20">
    <w:nsid w:val="6763845E"/>
    <w:multiLevelType w:val="hybridMultilevel"/>
    <w:lvl w:ilvl="0">
      <w:lvlJc w:val="left"/>
      <w:lvlText w:val="(%1)"/>
      <w:numFmt w:val="upperLetter"/>
      <w:start w:val="1"/>
    </w:lvl>
    <w:lvl w:ilvl="1">
      <w:lvlJc w:val="left"/>
      <w:lvlText w:val="%2"/>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2023-05-30T07:39:03Z</dcterms:created>
  <dcterms:modified xsi:type="dcterms:W3CDTF">2023-05-30T07:39:03Z</dcterms:modified>
</cp:coreProperties>
</file>