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39"/>
        <w:spacing w:after="0"/>
        <w:rPr>
          <w:sz w:val="20"/>
          <w:szCs w:val="20"/>
          <w:color w:val="auto"/>
        </w:rPr>
      </w:pPr>
      <w:r>
        <w:rPr>
          <w:rFonts w:ascii="Courier New" w:cs="Courier New" w:eastAsia="Courier New" w:hAnsi="Courier New"/>
          <w:sz w:val="15"/>
          <w:szCs w:val="15"/>
          <w:color w:val="auto"/>
        </w:rPr>
        <w:t>UNITED STATES SECURITIES AND EXCHANGE COMMISSION</w:t>
      </w:r>
    </w:p>
    <w:p>
      <w:pPr>
        <w:spacing w:after="0" w:line="1" w:lineRule="exact"/>
        <w:rPr>
          <w:sz w:val="24"/>
          <w:szCs w:val="24"/>
          <w:color w:val="auto"/>
        </w:rPr>
      </w:pPr>
    </w:p>
    <w:p>
      <w:pPr>
        <w:jc w:val="center"/>
        <w:ind w:right="3059"/>
        <w:spacing w:after="0"/>
        <w:tabs>
          <w:tab w:leader="none" w:pos="16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171" w:lineRule="exact"/>
        <w:rPr>
          <w:sz w:val="24"/>
          <w:szCs w:val="24"/>
          <w:color w:val="auto"/>
        </w:rPr>
      </w:pPr>
    </w:p>
    <w:p>
      <w:pPr>
        <w:ind w:left="3180"/>
        <w:spacing w:after="0"/>
        <w:rPr>
          <w:sz w:val="20"/>
          <w:szCs w:val="20"/>
          <w:color w:val="auto"/>
        </w:rPr>
      </w:pPr>
      <w:r>
        <w:rPr>
          <w:rFonts w:ascii="Courier New" w:cs="Courier New" w:eastAsia="Courier New" w:hAnsi="Courier New"/>
          <w:sz w:val="15"/>
          <w:szCs w:val="15"/>
          <w:color w:val="auto"/>
        </w:rPr>
        <w:t>FORM 10-K</w:t>
      </w:r>
    </w:p>
    <w:p>
      <w:pPr>
        <w:spacing w:after="0" w:line="174" w:lineRule="exact"/>
        <w:rPr>
          <w:sz w:val="24"/>
          <w:szCs w:val="24"/>
          <w:color w:val="auto"/>
        </w:rPr>
      </w:pPr>
    </w:p>
    <w:p>
      <w:pPr>
        <w:ind w:right="3839" w:firstLine="435"/>
        <w:spacing w:after="0" w:line="238" w:lineRule="auto"/>
        <w:tabs>
          <w:tab w:leader="none" w:pos="79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w:t>
      </w:r>
    </w:p>
    <w:p>
      <w:pPr>
        <w:spacing w:after="0" w:line="1" w:lineRule="exact"/>
        <w:rPr>
          <w:rFonts w:ascii="Courier New" w:cs="Courier New" w:eastAsia="Courier New" w:hAnsi="Courier New"/>
          <w:sz w:val="15"/>
          <w:szCs w:val="15"/>
          <w:color w:val="auto"/>
        </w:rPr>
      </w:pPr>
    </w:p>
    <w:p>
      <w:pPr>
        <w:ind w:left="9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the Fiscal Year Ended  July 31, 1994</w:t>
      </w:r>
    </w:p>
    <w:p>
      <w:pPr>
        <w:spacing w:after="0" w:line="1" w:lineRule="exact"/>
        <w:rPr>
          <w:sz w:val="24"/>
          <w:szCs w:val="24"/>
          <w:color w:val="auto"/>
        </w:rPr>
      </w:pPr>
    </w:p>
    <w:p>
      <w:pPr>
        <w:ind w:left="32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ind w:left="3460"/>
        <w:spacing w:after="0"/>
        <w:rPr>
          <w:sz w:val="20"/>
          <w:szCs w:val="20"/>
          <w:color w:val="auto"/>
        </w:rPr>
      </w:pPr>
      <w:r>
        <w:rPr>
          <w:rFonts w:ascii="Courier New" w:cs="Courier New" w:eastAsia="Courier New" w:hAnsi="Courier New"/>
          <w:sz w:val="15"/>
          <w:szCs w:val="15"/>
          <w:color w:val="auto"/>
        </w:rPr>
        <w:t>OR</w:t>
      </w:r>
    </w:p>
    <w:p>
      <w:pPr>
        <w:spacing w:after="0" w:line="174" w:lineRule="exact"/>
        <w:rPr>
          <w:sz w:val="24"/>
          <w:szCs w:val="24"/>
          <w:color w:val="auto"/>
        </w:rPr>
      </w:pPr>
    </w:p>
    <w:p>
      <w:pPr>
        <w:ind w:right="3479" w:firstLine="435"/>
        <w:spacing w:after="0" w:line="238" w:lineRule="auto"/>
        <w:tabs>
          <w:tab w:leader="none" w:pos="621"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pacing w:after="0" w:line="2" w:lineRule="exact"/>
        <w:rPr>
          <w:sz w:val="24"/>
          <w:szCs w:val="24"/>
          <w:color w:val="auto"/>
        </w:rPr>
      </w:pPr>
    </w:p>
    <w:p>
      <w:pPr>
        <w:ind w:left="960"/>
        <w:spacing w:after="0"/>
        <w:tabs>
          <w:tab w:leader="none" w:pos="5020" w:val="left"/>
        </w:tabs>
        <w:rPr>
          <w:sz w:val="20"/>
          <w:szCs w:val="20"/>
          <w:color w:val="auto"/>
        </w:rPr>
      </w:pPr>
      <w:r>
        <w:rPr>
          <w:rFonts w:ascii="Courier New" w:cs="Courier New" w:eastAsia="Courier New" w:hAnsi="Courier New"/>
          <w:sz w:val="15"/>
          <w:szCs w:val="15"/>
          <w:color w:val="auto"/>
        </w:rPr>
        <w:t>For the transition period from</w:t>
      </w:r>
      <w:r>
        <w:rPr>
          <w:sz w:val="20"/>
          <w:szCs w:val="20"/>
          <w:color w:val="auto"/>
        </w:rPr>
        <w:tab/>
      </w:r>
      <w:r>
        <w:rPr>
          <w:rFonts w:ascii="Courier New" w:cs="Courier New" w:eastAsia="Courier New" w:hAnsi="Courier New"/>
          <w:sz w:val="15"/>
          <w:szCs w:val="15"/>
          <w:color w:val="auto"/>
        </w:rPr>
        <w:t>to</w:t>
      </w:r>
    </w:p>
    <w:p>
      <w:pPr>
        <w:sectPr>
          <w:pgSz w:w="11900" w:h="16838" w:orient="portrait"/>
          <w:cols w:equalWidth="0" w:num="1">
            <w:col w:w="10219"/>
          </w:cols>
          <w:pgMar w:left="240" w:top="742" w:right="1440" w:bottom="1440" w:gutter="0" w:footer="0" w:header="0"/>
        </w:sectPr>
      </w:pPr>
    </w:p>
    <w:p>
      <w:pPr>
        <w:spacing w:after="0" w:line="3" w:lineRule="exact"/>
        <w:rPr>
          <w:sz w:val="24"/>
          <w:szCs w:val="24"/>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4"/>
          <w:szCs w:val="24"/>
          <w:color w:val="auto"/>
        </w:rPr>
      </w:pPr>
    </w:p>
    <w:p>
      <w:pPr>
        <w:sectPr>
          <w:pgSz w:w="11900" w:h="16838" w:orient="portrait"/>
          <w:cols w:equalWidth="0" w:num="2">
            <w:col w:w="4960" w:space="360"/>
            <w:col w:w="4899"/>
          </w:cols>
          <w:pgMar w:left="240" w:top="742" w:right="1440" w:bottom="1440" w:gutter="0" w:footer="0" w:header="0"/>
          <w:type w:val="continuous"/>
        </w:sectPr>
      </w:pPr>
    </w:p>
    <w:p>
      <w:pPr>
        <w:spacing w:after="0" w:line="3" w:lineRule="exact"/>
        <w:rPr>
          <w:sz w:val="24"/>
          <w:szCs w:val="24"/>
          <w:color w:val="auto"/>
        </w:rPr>
      </w:pPr>
    </w:p>
    <w:p>
      <w:pPr>
        <w:ind w:left="2200"/>
        <w:spacing w:after="0"/>
        <w:rPr>
          <w:sz w:val="20"/>
          <w:szCs w:val="20"/>
          <w:color w:val="auto"/>
        </w:rPr>
      </w:pPr>
      <w:r>
        <w:rPr>
          <w:rFonts w:ascii="Courier New" w:cs="Courier New" w:eastAsia="Courier New" w:hAnsi="Courier New"/>
          <w:sz w:val="14"/>
          <w:szCs w:val="14"/>
          <w:color w:val="auto"/>
        </w:rPr>
        <w:t>Commission File Number</w:t>
      </w:r>
    </w:p>
    <w:p>
      <w:pPr>
        <w:spacing w:after="0" w:line="20" w:lineRule="exact"/>
        <w:rPr>
          <w:sz w:val="24"/>
          <w:szCs w:val="24"/>
          <w:color w:val="auto"/>
        </w:rPr>
      </w:pPr>
      <w:r>
        <w:rPr>
          <w:sz w:val="24"/>
          <w:szCs w:val="24"/>
          <w:color w:val="auto"/>
        </w:rPr>
        <w:br w:type="column"/>
      </w:r>
    </w:p>
    <w:p>
      <w:pPr>
        <w:jc w:val="center"/>
        <w:ind w:right="5259"/>
        <w:spacing w:after="0"/>
        <w:rPr>
          <w:sz w:val="20"/>
          <w:szCs w:val="20"/>
          <w:color w:val="auto"/>
        </w:rPr>
      </w:pPr>
      <w:r>
        <w:rPr>
          <w:rFonts w:ascii="Courier New" w:cs="Courier New" w:eastAsia="Courier New" w:hAnsi="Courier New"/>
          <w:sz w:val="15"/>
          <w:szCs w:val="15"/>
          <w:color w:val="auto"/>
        </w:rPr>
        <w:t>1-8649</w:t>
      </w:r>
    </w:p>
    <w:p>
      <w:pPr>
        <w:spacing w:after="0" w:line="3" w:lineRule="exact"/>
        <w:rPr>
          <w:sz w:val="24"/>
          <w:szCs w:val="24"/>
          <w:color w:val="auto"/>
        </w:rPr>
      </w:pPr>
    </w:p>
    <w:p>
      <w:pPr>
        <w:jc w:val="center"/>
        <w:ind w:right="5259"/>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4"/>
          <w:szCs w:val="24"/>
          <w:color w:val="auto"/>
        </w:rPr>
      </w:pPr>
    </w:p>
    <w:p>
      <w:pPr>
        <w:sectPr>
          <w:pgSz w:w="11900" w:h="16838" w:orient="portrait"/>
          <w:cols w:equalWidth="0" w:num="2">
            <w:col w:w="4160" w:space="100"/>
            <w:col w:w="5959"/>
          </w:cols>
          <w:pgMar w:left="240" w:top="742" w:right="1440" w:bottom="1440" w:gutter="0" w:footer="0" w:header="0"/>
          <w:type w:val="continuous"/>
        </w:sectPr>
      </w:pPr>
    </w:p>
    <w:p>
      <w:pPr>
        <w:jc w:val="center"/>
        <w:ind w:right="3139"/>
        <w:spacing w:after="0"/>
        <w:rPr>
          <w:sz w:val="20"/>
          <w:szCs w:val="20"/>
          <w:color w:val="auto"/>
        </w:rPr>
      </w:pPr>
      <w:r>
        <w:rPr>
          <w:rFonts w:ascii="Courier New" w:cs="Courier New" w:eastAsia="Courier New" w:hAnsi="Courier New"/>
          <w:sz w:val="15"/>
          <w:szCs w:val="15"/>
          <w:color w:val="auto"/>
        </w:rPr>
        <w:t>THE TORO COMPANY</w:t>
      </w:r>
    </w:p>
    <w:p>
      <w:pPr>
        <w:spacing w:after="0" w:line="3"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19"/>
          </w:cols>
          <w:pgMar w:left="240" w:top="742" w:right="1440" w:bottom="1440" w:gutter="0" w:footer="0" w:header="0"/>
          <w:type w:val="continuous"/>
        </w:sectPr>
      </w:pPr>
    </w:p>
    <w:p>
      <w:pPr>
        <w:spacing w:after="0" w:line="180" w:lineRule="exact"/>
        <w:rPr>
          <w:sz w:val="24"/>
          <w:szCs w:val="24"/>
          <w:color w:val="auto"/>
        </w:rPr>
      </w:pPr>
    </w:p>
    <w:p>
      <w:pPr>
        <w:jc w:val="center"/>
        <w:ind w:right="100"/>
        <w:spacing w:after="0"/>
        <w:rPr>
          <w:sz w:val="20"/>
          <w:szCs w:val="20"/>
          <w:color w:val="auto"/>
        </w:rPr>
      </w:pPr>
      <w:r>
        <w:rPr>
          <w:rFonts w:ascii="Courier New" w:cs="Courier New" w:eastAsia="Courier New" w:hAnsi="Courier New"/>
          <w:sz w:val="15"/>
          <w:szCs w:val="15"/>
          <w:color w:val="auto"/>
        </w:rPr>
        <w:t>DELAWARE</w:t>
      </w:r>
    </w:p>
    <w:p>
      <w:pPr>
        <w:spacing w:after="0" w:line="3" w:lineRule="exact"/>
        <w:rPr>
          <w:sz w:val="24"/>
          <w:szCs w:val="24"/>
          <w:color w:val="auto"/>
        </w:rPr>
      </w:pPr>
    </w:p>
    <w:p>
      <w:pPr>
        <w:jc w:val="center"/>
        <w:ind w:right="100"/>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jc w:val="center"/>
        <w:ind w:right="3579"/>
        <w:spacing w:after="0"/>
        <w:rPr>
          <w:sz w:val="20"/>
          <w:szCs w:val="20"/>
          <w:color w:val="auto"/>
        </w:rPr>
      </w:pPr>
      <w:r>
        <w:rPr>
          <w:rFonts w:ascii="Courier New" w:cs="Courier New" w:eastAsia="Courier New" w:hAnsi="Courier New"/>
          <w:sz w:val="15"/>
          <w:szCs w:val="15"/>
          <w:color w:val="auto"/>
        </w:rPr>
        <w:t>41-0580470</w:t>
      </w:r>
    </w:p>
    <w:p>
      <w:pPr>
        <w:spacing w:after="0" w:line="3" w:lineRule="exact"/>
        <w:rPr>
          <w:sz w:val="24"/>
          <w:szCs w:val="24"/>
          <w:color w:val="auto"/>
        </w:rPr>
      </w:pPr>
    </w:p>
    <w:p>
      <w:pPr>
        <w:jc w:val="center"/>
        <w:ind w:right="3479"/>
        <w:spacing w:after="0"/>
        <w:rPr>
          <w:sz w:val="20"/>
          <w:szCs w:val="20"/>
          <w:color w:val="auto"/>
        </w:rPr>
      </w:pPr>
      <w:r>
        <w:rPr>
          <w:rFonts w:ascii="Courier New" w:cs="Courier New" w:eastAsia="Courier New" w:hAnsi="Courier New"/>
          <w:sz w:val="14"/>
          <w:szCs w:val="14"/>
          <w:color w:val="auto"/>
        </w:rPr>
        <w:t>(I.R.S. Employer Identification Number)</w:t>
      </w:r>
    </w:p>
    <w:p>
      <w:pPr>
        <w:spacing w:after="0" w:line="180" w:lineRule="exact"/>
        <w:rPr>
          <w:sz w:val="24"/>
          <w:szCs w:val="24"/>
          <w:color w:val="auto"/>
        </w:rPr>
      </w:pPr>
    </w:p>
    <w:p>
      <w:pPr>
        <w:sectPr>
          <w:pgSz w:w="11900" w:h="16838" w:orient="portrait"/>
          <w:cols w:equalWidth="0" w:num="2">
            <w:col w:w="2560" w:space="720"/>
            <w:col w:w="6939"/>
          </w:cols>
          <w:pgMar w:left="240" w:top="742" w:right="1440" w:bottom="1440" w:gutter="0" w:footer="0" w:header="0"/>
          <w:type w:val="continuous"/>
        </w:sectPr>
      </w:pPr>
    </w:p>
    <w:p>
      <w:pPr>
        <w:ind w:left="2480"/>
        <w:spacing w:after="0"/>
        <w:rPr>
          <w:sz w:val="20"/>
          <w:szCs w:val="20"/>
          <w:color w:val="auto"/>
        </w:rPr>
      </w:pPr>
      <w:r>
        <w:rPr>
          <w:rFonts w:ascii="Courier New" w:cs="Courier New" w:eastAsia="Courier New" w:hAnsi="Courier New"/>
          <w:sz w:val="15"/>
          <w:szCs w:val="15"/>
          <w:color w:val="auto"/>
        </w:rPr>
        <w:t>8111 LYNDALE AVENUE SOUTH</w:t>
      </w:r>
    </w:p>
    <w:p>
      <w:pPr>
        <w:spacing w:after="0" w:line="1" w:lineRule="exact"/>
        <w:rPr>
          <w:sz w:val="24"/>
          <w:szCs w:val="24"/>
          <w:color w:val="auto"/>
        </w:rPr>
      </w:pPr>
    </w:p>
    <w:p>
      <w:pPr>
        <w:ind w:left="2300"/>
        <w:spacing w:after="0"/>
        <w:tabs>
          <w:tab w:leader="none" w:pos="4400" w:val="left"/>
        </w:tabs>
        <w:rPr>
          <w:sz w:val="20"/>
          <w:szCs w:val="20"/>
          <w:color w:val="auto"/>
        </w:rPr>
      </w:pPr>
      <w:r>
        <w:rPr>
          <w:rFonts w:ascii="Courier New" w:cs="Courier New" w:eastAsia="Courier New" w:hAnsi="Courier New"/>
          <w:sz w:val="15"/>
          <w:szCs w:val="15"/>
          <w:color w:val="auto"/>
        </w:rPr>
        <w:t>BLOOMINGTON, MINNESOTA</w:t>
        <w:tab/>
        <w:t>55420</w:t>
      </w:r>
    </w:p>
    <w:p>
      <w:pPr>
        <w:spacing w:after="0" w:line="1" w:lineRule="exact"/>
        <w:rPr>
          <w:sz w:val="24"/>
          <w:szCs w:val="24"/>
          <w:color w:val="auto"/>
        </w:rPr>
      </w:pPr>
    </w:p>
    <w:p>
      <w:pPr>
        <w:ind w:left="2120"/>
        <w:spacing w:after="0"/>
        <w:rPr>
          <w:sz w:val="20"/>
          <w:szCs w:val="20"/>
          <w:color w:val="auto"/>
        </w:rPr>
      </w:pPr>
      <w:r>
        <w:rPr>
          <w:rFonts w:ascii="Courier New" w:cs="Courier New" w:eastAsia="Courier New" w:hAnsi="Courier New"/>
          <w:sz w:val="15"/>
          <w:szCs w:val="15"/>
          <w:color w:val="auto"/>
        </w:rPr>
        <w:t>TELEPHONE NUMBER: (612) 888-8801</w:t>
      </w:r>
    </w:p>
    <w:p>
      <w:pPr>
        <w:spacing w:after="0" w:line="3"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(Address, including zip code, and telephone number, including area code, of</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registrant's principal executive offices)</w:t>
      </w:r>
    </w:p>
    <w:p>
      <w:pPr>
        <w:spacing w:after="0" w:line="1" w:lineRule="exact"/>
        <w:rPr>
          <w:sz w:val="24"/>
          <w:szCs w:val="24"/>
          <w:color w:val="auto"/>
        </w:rPr>
      </w:pPr>
    </w:p>
    <w:p>
      <w:pPr>
        <w:ind w:left="27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4"/>
          <w:szCs w:val="24"/>
          <w:color w:val="auto"/>
        </w:rPr>
      </w:pPr>
    </w:p>
    <w:p>
      <w:pPr>
        <w:ind w:left="960"/>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ectPr>
          <w:pgSz w:w="11900" w:h="16838" w:orient="portrait"/>
          <w:cols w:equalWidth="0" w:num="1">
            <w:col w:w="10219"/>
          </w:cols>
          <w:pgMar w:left="240" w:top="742" w:right="1440" w:bottom="1440" w:gutter="0" w:footer="0" w:header="0"/>
          <w:type w:val="continuous"/>
        </w:sectPr>
      </w:pPr>
    </w:p>
    <w:p>
      <w:pPr>
        <w:spacing w:after="0" w:line="174" w:lineRule="exact"/>
        <w:rPr>
          <w:sz w:val="24"/>
          <w:szCs w:val="24"/>
          <w:color w:val="auto"/>
        </w:rPr>
      </w:pPr>
    </w:p>
    <w:p>
      <w:pPr>
        <w:ind w:right="960"/>
        <w:spacing w:after="0" w:line="238" w:lineRule="auto"/>
        <w:rPr>
          <w:sz w:val="20"/>
          <w:szCs w:val="20"/>
          <w:color w:val="auto"/>
        </w:rPr>
      </w:pPr>
      <w:r>
        <w:rPr>
          <w:rFonts w:ascii="Courier New" w:cs="Courier New" w:eastAsia="Courier New" w:hAnsi="Courier New"/>
          <w:sz w:val="15"/>
          <w:szCs w:val="15"/>
          <w:color w:val="auto"/>
        </w:rPr>
        <w:t>TITLE OF EACH CLASS Common Stock</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EACH EXCHANGE ON WHICH REGISTERED</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New York Stock Exchange</w:t>
      </w:r>
    </w:p>
    <w:p>
      <w:pPr>
        <w:spacing w:after="0" w:line="3" w:lineRule="exact"/>
        <w:rPr>
          <w:sz w:val="24"/>
          <w:szCs w:val="24"/>
          <w:color w:val="auto"/>
        </w:rPr>
      </w:pPr>
    </w:p>
    <w:p>
      <w:pPr>
        <w:sectPr>
          <w:pgSz w:w="11900" w:h="16838" w:orient="portrait"/>
          <w:cols w:equalWidth="0" w:num="2">
            <w:col w:w="2640" w:space="720"/>
            <w:col w:w="6859"/>
          </w:cols>
          <w:pgMar w:left="240" w:top="742" w:right="1440" w:bottom="1440" w:gutter="0" w:footer="0" w:header="0"/>
          <w:type w:val="continuous"/>
        </w:sectPr>
      </w:pPr>
    </w:p>
    <w:p>
      <w:pPr>
        <w:ind w:left="160"/>
        <w:spacing w:after="0"/>
        <w:rPr>
          <w:sz w:val="20"/>
          <w:szCs w:val="20"/>
          <w:color w:val="auto"/>
        </w:rPr>
      </w:pPr>
      <w:r>
        <w:rPr>
          <w:rFonts w:ascii="Courier New" w:cs="Courier New" w:eastAsia="Courier New" w:hAnsi="Courier New"/>
          <w:sz w:val="14"/>
          <w:szCs w:val="14"/>
          <w:color w:val="auto"/>
        </w:rPr>
        <w:t>par value $1.00 per share</w:t>
      </w:r>
    </w:p>
    <w:p>
      <w:pPr>
        <w:sectPr>
          <w:pgSz w:w="11900" w:h="16838" w:orient="portrait"/>
          <w:cols w:equalWidth="0" w:num="1">
            <w:col w:w="10219"/>
          </w:cols>
          <w:pgMar w:left="240" w:top="742" w:right="1440" w:bottom="1440" w:gutter="0" w:footer="0" w:header="0"/>
          <w:type w:val="continuous"/>
        </w:sectPr>
      </w:pP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Preferred Share Purchase Rights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183" w:lineRule="exact"/>
        <w:rPr>
          <w:sz w:val="24"/>
          <w:szCs w:val="24"/>
          <w:color w:val="auto"/>
        </w:rPr>
      </w:pPr>
    </w:p>
    <w:p>
      <w:pPr>
        <w:sectPr>
          <w:pgSz w:w="11900" w:h="16838" w:orient="portrait"/>
          <w:cols w:equalWidth="0" w:num="2">
            <w:col w:w="2740" w:space="620"/>
            <w:col w:w="6859"/>
          </w:cols>
          <w:pgMar w:left="240" w:top="742" w:right="1440" w:bottom="1440" w:gutter="0" w:footer="0" w:header="0"/>
          <w:type w:val="continuous"/>
        </w:sectPr>
      </w:pPr>
    </w:p>
    <w:p>
      <w:pPr>
        <w:jc w:val="center"/>
        <w:ind w:right="3059"/>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9"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None</w:t>
      </w:r>
    </w:p>
    <w:p>
      <w:pPr>
        <w:sectPr>
          <w:pgSz w:w="11900" w:h="16838" w:orient="portrait"/>
          <w:cols w:equalWidth="0" w:num="1">
            <w:col w:w="10219"/>
          </w:cols>
          <w:pgMar w:left="240" w:top="742" w:right="1440" w:bottom="1440" w:gutter="0" w:footer="0" w:header="0"/>
          <w:type w:val="continuous"/>
        </w:sectPr>
      </w:pP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Indicate by</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w w:val="99"/>
              </w:rPr>
              <w:t>check mark</w:t>
            </w:r>
          </w:p>
        </w:tc>
        <w:tc>
          <w:tcPr>
            <w:tcW w:w="72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whether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168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registrant (1) has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filed all</w:t>
            </w:r>
          </w:p>
        </w:tc>
        <w:tc>
          <w:tcPr>
            <w:tcW w:w="1520" w:type="dxa"/>
            <w:vAlign w:val="bottom"/>
          </w:tcPr>
          <w:p>
            <w:pPr>
              <w:ind w:left="100"/>
              <w:spacing w:after="0"/>
              <w:rPr>
                <w:sz w:val="20"/>
                <w:szCs w:val="20"/>
                <w:color w:val="auto"/>
              </w:rPr>
            </w:pPr>
            <w:r>
              <w:rPr>
                <w:rFonts w:ascii="Courier New" w:cs="Courier New" w:eastAsia="Courier New" w:hAnsi="Courier New"/>
                <w:sz w:val="15"/>
                <w:szCs w:val="15"/>
                <w:color w:val="auto"/>
                <w:w w:val="97"/>
              </w:rPr>
              <w:t>reports required</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to be filed</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w w:val="99"/>
              </w:rPr>
              <w:t>by Section</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13</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or</w:t>
            </w:r>
          </w:p>
        </w:tc>
        <w:tc>
          <w:tcPr>
            <w:tcW w:w="8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15 (d) of</w:t>
            </w:r>
          </w:p>
        </w:tc>
        <w:tc>
          <w:tcPr>
            <w:tcW w:w="134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the Securities</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Exchange</w:t>
            </w:r>
          </w:p>
        </w:tc>
        <w:tc>
          <w:tcPr>
            <w:tcW w:w="1520" w:type="dxa"/>
            <w:vAlign w:val="bottom"/>
          </w:tcPr>
          <w:p>
            <w:pPr>
              <w:spacing w:after="0"/>
              <w:rPr>
                <w:sz w:val="20"/>
                <w:szCs w:val="20"/>
                <w:color w:val="auto"/>
              </w:rPr>
            </w:pPr>
            <w:r>
              <w:rPr>
                <w:rFonts w:ascii="Courier New" w:cs="Courier New" w:eastAsia="Courier New" w:hAnsi="Courier New"/>
                <w:sz w:val="15"/>
                <w:szCs w:val="15"/>
                <w:color w:val="auto"/>
              </w:rPr>
              <w:t>Act of 1934</w:t>
            </w:r>
          </w:p>
        </w:tc>
      </w:tr>
      <w:tr>
        <w:trPr>
          <w:trHeight w:val="171"/>
        </w:trPr>
        <w:tc>
          <w:tcPr>
            <w:tcW w:w="2700" w:type="dxa"/>
            <w:vAlign w:val="bottom"/>
            <w:gridSpan w:val="5"/>
          </w:tcPr>
          <w:p>
            <w:pPr>
              <w:spacing w:after="0"/>
              <w:rPr>
                <w:sz w:val="20"/>
                <w:szCs w:val="20"/>
                <w:color w:val="auto"/>
              </w:rPr>
            </w:pPr>
            <w:r>
              <w:rPr>
                <w:rFonts w:ascii="Courier New" w:cs="Courier New" w:eastAsia="Courier New" w:hAnsi="Courier New"/>
                <w:sz w:val="15"/>
                <w:szCs w:val="15"/>
                <w:color w:val="auto"/>
                <w:w w:val="99"/>
              </w:rPr>
              <w:t>during the preceding 12 months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and</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218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7"/>
              </w:rPr>
              <w:t>has been subject to such</w:t>
            </w:r>
          </w:p>
        </w:tc>
        <w:tc>
          <w:tcPr>
            <w:tcW w:w="1520" w:type="dxa"/>
            <w:vAlign w:val="bottom"/>
          </w:tcPr>
          <w:p>
            <w:pPr>
              <w:ind w:left="100"/>
              <w:spacing w:after="0"/>
              <w:rPr>
                <w:sz w:val="20"/>
                <w:szCs w:val="20"/>
                <w:color w:val="auto"/>
              </w:rPr>
            </w:pPr>
            <w:r>
              <w:rPr>
                <w:rFonts w:ascii="Courier New" w:cs="Courier New" w:eastAsia="Courier New" w:hAnsi="Courier New"/>
                <w:sz w:val="15"/>
                <w:szCs w:val="15"/>
                <w:color w:val="auto"/>
              </w:rPr>
              <w:t>filing</w:t>
            </w:r>
          </w:p>
        </w:tc>
      </w:tr>
      <w:tr>
        <w:trPr>
          <w:trHeight w:val="171"/>
        </w:trPr>
        <w:tc>
          <w:tcPr>
            <w:tcW w:w="2260" w:type="dxa"/>
            <w:vAlign w:val="bottom"/>
            <w:gridSpan w:val="3"/>
          </w:tcPr>
          <w:p>
            <w:pPr>
              <w:spacing w:after="0"/>
              <w:rPr>
                <w:sz w:val="20"/>
                <w:szCs w:val="20"/>
                <w:color w:val="auto"/>
              </w:rPr>
            </w:pPr>
            <w:r>
              <w:rPr>
                <w:rFonts w:ascii="Courier New" w:cs="Courier New" w:eastAsia="Courier New" w:hAnsi="Courier New"/>
                <w:sz w:val="15"/>
                <w:szCs w:val="15"/>
                <w:color w:val="auto"/>
                <w:w w:val="99"/>
              </w:rPr>
              <w:t>requirements for the past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90</w:t>
            </w:r>
          </w:p>
        </w:tc>
        <w:tc>
          <w:tcPr>
            <w:tcW w:w="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days.</w:t>
            </w:r>
          </w:p>
        </w:tc>
        <w:tc>
          <w:tcPr>
            <w:tcW w:w="340" w:type="dxa"/>
            <w:vAlign w:val="bottom"/>
          </w:tcPr>
          <w:p>
            <w:pPr>
              <w:spacing w:after="0"/>
              <w:rPr>
                <w:sz w:val="14"/>
                <w:szCs w:val="14"/>
                <w:color w:val="auto"/>
              </w:rPr>
            </w:pP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Yes</w:t>
            </w:r>
          </w:p>
        </w:tc>
        <w:tc>
          <w:tcPr>
            <w:tcW w:w="980" w:type="dxa"/>
            <w:vAlign w:val="bottom"/>
          </w:tcPr>
          <w:p>
            <w:pPr>
              <w:jc w:val="center"/>
              <w:ind w:right="6"/>
              <w:spacing w:after="0"/>
              <w:rPr>
                <w:sz w:val="20"/>
                <w:szCs w:val="20"/>
                <w:color w:val="auto"/>
              </w:rPr>
            </w:pPr>
            <w:r>
              <w:rPr>
                <w:rFonts w:ascii="Courier New" w:cs="Courier New" w:eastAsia="Courier New" w:hAnsi="Courier New"/>
                <w:sz w:val="15"/>
                <w:szCs w:val="15"/>
                <w:color w:val="auto"/>
              </w:rPr>
              <w:t>X</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No</w:t>
            </w:r>
          </w:p>
        </w:tc>
        <w:tc>
          <w:tcPr>
            <w:tcW w:w="1520" w:type="dxa"/>
            <w:vAlign w:val="bottom"/>
          </w:tcPr>
          <w:p>
            <w:pPr>
              <w:spacing w:after="0"/>
              <w:rPr>
                <w:sz w:val="14"/>
                <w:szCs w:val="14"/>
                <w:color w:val="auto"/>
              </w:rPr>
            </w:pPr>
          </w:p>
        </w:tc>
      </w:tr>
      <w:tr>
        <w:trPr>
          <w:trHeight w:val="171"/>
        </w:trPr>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520" w:type="dxa"/>
            <w:vAlign w:val="bottom"/>
          </w:tcPr>
          <w:p>
            <w:pPr>
              <w:spacing w:after="0"/>
              <w:rPr>
                <w:sz w:val="20"/>
                <w:szCs w:val="20"/>
                <w:color w:val="auto"/>
              </w:rPr>
            </w:pPr>
            <w:r>
              <w:rPr>
                <w:rFonts w:ascii="Courier New" w:cs="Courier New" w:eastAsia="Courier New" w:hAnsi="Courier New"/>
                <w:sz w:val="15"/>
                <w:szCs w:val="15"/>
                <w:color w:val="auto"/>
              </w:rPr>
              <w:t>---------</w:t>
            </w:r>
          </w:p>
        </w:tc>
      </w:tr>
    </w:tbl>
    <w:p>
      <w:pPr>
        <w:spacing w:after="0" w:line="174" w:lineRule="exact"/>
        <w:rPr>
          <w:sz w:val="24"/>
          <w:szCs w:val="24"/>
          <w:color w:val="auto"/>
        </w:rPr>
      </w:pPr>
    </w:p>
    <w:p>
      <w:pPr>
        <w:ind w:right="3119"/>
        <w:spacing w:after="0"/>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74" w:lineRule="exact"/>
        <w:rPr>
          <w:sz w:val="24"/>
          <w:szCs w:val="24"/>
          <w:color w:val="auto"/>
        </w:rPr>
      </w:pPr>
    </w:p>
    <w:p>
      <w:pPr>
        <w:ind w:right="3119"/>
        <w:spacing w:after="0" w:line="264" w:lineRule="auto"/>
        <w:rPr>
          <w:sz w:val="20"/>
          <w:szCs w:val="20"/>
          <w:color w:val="auto"/>
        </w:rPr>
      </w:pPr>
      <w:r>
        <w:rPr>
          <w:rFonts w:ascii="Courier New" w:cs="Courier New" w:eastAsia="Courier New" w:hAnsi="Courier New"/>
          <w:sz w:val="14"/>
          <w:szCs w:val="14"/>
          <w:color w:val="auto"/>
        </w:rPr>
        <w:t>The aggregate market value of the voting stock held by nonaffiliates of the Registrant, based upon the close price of the Common Stock on September 30, 1994 as reported on the New York Stock Exchange, was approximately $314,586,300.</w:t>
      </w:r>
    </w:p>
    <w:p>
      <w:pPr>
        <w:spacing w:after="0" w:line="159" w:lineRule="exact"/>
        <w:rPr>
          <w:sz w:val="24"/>
          <w:szCs w:val="24"/>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The number of shares of Common Stock outstanding as of September 30, 1994 was 12,583,452.</w:t>
      </w:r>
    </w:p>
    <w:p>
      <w:pPr>
        <w:spacing w:after="0" w:line="172" w:lineRule="exact"/>
        <w:rPr>
          <w:sz w:val="24"/>
          <w:szCs w:val="24"/>
          <w:color w:val="auto"/>
        </w:rPr>
      </w:pPr>
    </w:p>
    <w:p>
      <w:pPr>
        <w:ind w:left="2040"/>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4" w:lineRule="exact"/>
        <w:rPr>
          <w:sz w:val="24"/>
          <w:szCs w:val="24"/>
          <w:color w:val="auto"/>
        </w:rPr>
      </w:pPr>
    </w:p>
    <w:p>
      <w:pPr>
        <w:ind w:right="3299"/>
        <w:spacing w:after="0" w:line="271" w:lineRule="auto"/>
        <w:rPr>
          <w:sz w:val="20"/>
          <w:szCs w:val="20"/>
          <w:color w:val="auto"/>
        </w:rPr>
      </w:pPr>
      <w:r>
        <w:rPr>
          <w:rFonts w:ascii="Courier New" w:cs="Courier New" w:eastAsia="Courier New" w:hAnsi="Courier New"/>
          <w:sz w:val="14"/>
          <w:szCs w:val="14"/>
          <w:color w:val="auto"/>
        </w:rPr>
        <w:t>Portions of the Registrant's Annual Report to Stockholders for the fiscal year ended July 31, 1994, are incorporated by reference into Parts I, II and IV.</w:t>
      </w:r>
    </w:p>
    <w:p>
      <w:pPr>
        <w:spacing w:after="0" w:line="154" w:lineRule="exact"/>
        <w:rPr>
          <w:sz w:val="24"/>
          <w:szCs w:val="24"/>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Portions of the Registrant's Proxy Statement for the Annual Meeting of Stockholders to be held December 15, 1994, are incorporated by reference into Part III.</w:t>
      </w:r>
    </w:p>
    <w:p>
      <w:pPr>
        <w:sectPr>
          <w:pgSz w:w="11900" w:h="16838" w:orient="portrait"/>
          <w:cols w:equalWidth="0" w:num="1">
            <w:col w:w="10219"/>
          </w:cols>
          <w:pgMar w:left="240" w:top="742" w:right="1440" w:bottom="1440" w:gutter="0" w:footer="0" w:header="0"/>
          <w:type w:val="continuous"/>
        </w:sectPr>
      </w:pPr>
    </w:p>
    <w:bookmarkStart w:id="1" w:name="page2"/>
    <w:bookmarkEnd w:id="1"/>
    <w:p>
      <w:pPr>
        <w:jc w:val="right"/>
        <w:ind w:right="3119"/>
        <w:spacing w:after="0"/>
        <w:rPr>
          <w:sz w:val="20"/>
          <w:szCs w:val="20"/>
          <w:color w:val="auto"/>
        </w:rPr>
      </w:pPr>
      <w:r>
        <w:rPr>
          <w:rFonts w:ascii="Courier New" w:cs="Courier New" w:eastAsia="Courier New" w:hAnsi="Courier New"/>
          <w:sz w:val="15"/>
          <w:szCs w:val="15"/>
          <w:color w:val="auto"/>
        </w:rPr>
        <w:t>PART I</w:t>
      </w:r>
    </w:p>
    <w:p>
      <w:pPr>
        <w:spacing w:after="0" w:line="34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ITEM 1. BUSINESS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The company designs, manufactures and markets consumer and commercial lawn and turf maintenance equipment, snow removal products and turf irrigation systems, including products for maintenance of golf courses, parks and other large turf areas. The company produced its first lawn mower for golf course fairways in 1922 and its first lawn mower for home use in 1939 and has continued to enhance its product lines and expand its market ever since.</w:t>
      </w:r>
    </w:p>
    <w:p>
      <w:pPr>
        <w:spacing w:after="0" w:line="175"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The company was incorporated in Minnesota in 1935 as a successor to a business founded in 1914. It was reincorporated in Delaware in 1983. The company's executive offices are located at 8111 Lyndale Avenue South, Bloomington, Minnesota 55420-1196, telephone number (612) 888-8801. Unless the context indicates otherwise, the terms "company" and "Toro" refer to The Toro Company and its subsidiaries. The company finances a significant portion of its receivables through Toro Credit Company ("Toro Credit"), its wholly-owned finance subsidiary.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YARD MAINTENANCE EQUIPMENT</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The company classifies its operations into one industry segment, yard maintenance equipment. The company has been a leader in transforming advanced technologies into products and services that provide solutions to lawn and turf care maintenance and beautification demands.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The company's consumer spring and summer products are generally manufactured in the winter and spring months and its consumer fall and winter products are generally manufactured in the summer and fall months. The company's irrigation and commercial products are manufactured throughout the year.</w:t>
      </w:r>
    </w:p>
    <w:p>
      <w:pPr>
        <w:spacing w:after="0" w:line="176"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In some areas of its business the company is primarily an assembler while in others it is a fully integrated manufacturer. Most of the components for the company's products are commercially available from a number of sources and the company is generally not dependent on any one supplier. The largest component costs are generally engines, transmissions and electric motors. The company purchases most of its engines and motors for consumer and commercial products from several suppliers. In addition, the company manufactures three types of two-cycle engines for its consumer products.</w:t>
      </w:r>
    </w:p>
    <w:p>
      <w:pPr>
        <w:spacing w:after="0" w:line="177" w:lineRule="exact"/>
        <w:rPr>
          <w:sz w:val="20"/>
          <w:szCs w:val="20"/>
          <w:color w:val="auto"/>
        </w:rPr>
      </w:pPr>
    </w:p>
    <w:p>
      <w:pPr>
        <w:ind w:right="3219"/>
        <w:spacing w:after="0" w:line="262" w:lineRule="auto"/>
        <w:rPr>
          <w:sz w:val="20"/>
          <w:szCs w:val="20"/>
          <w:color w:val="auto"/>
        </w:rPr>
      </w:pPr>
      <w:r>
        <w:rPr>
          <w:rFonts w:ascii="Courier New" w:cs="Courier New" w:eastAsia="Courier New" w:hAnsi="Courier New"/>
          <w:sz w:val="14"/>
          <w:szCs w:val="14"/>
          <w:color w:val="auto"/>
        </w:rPr>
        <w:t>Management continues to seek greater efficiencies and improve work processes throughout the company. Toro's total quality process is focused upon improving product quality, customer response time and reducing overall product cost and inventory levels both within Toro and in the company's distribution channels.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- 2 -</w:t>
      </w:r>
    </w:p>
    <w:p>
      <w:pPr>
        <w:sectPr>
          <w:pgSz w:w="11900" w:h="16838" w:orient="portrait"/>
          <w:cols w:equalWidth="0" w:num="1">
            <w:col w:w="10219"/>
          </w:cols>
          <w:pgMar w:left="240" w:top="799"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TRADEMARKS AND PATENTS</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Products manufactured by the company are nationally advertised and sold at the retail level under the trademarks "Toro", "Wheel Horse" and "Lawn-Boy", all of which are registered in the United States and in the principal foreign countries in which the company markets its products. The company holds patents for many of its products in the United States and foreign countries and applies for patents on new products as new products are developed. Although management believes patents have value to the company, patent protection sometimes does not deter competitors from attempting to develop similar products. Management believes that factors such as innovation, quality and its distribution systems are significant in protecting its competitive position. Although patent protection is considered to be very beneficial, the company is not dependent on any one or more of its patents.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Sales of the company's consumer products, which accounted for approximately 54% of total sales in fiscal 1994, are highly seasonal with greater sales of yard maintenance equipment occurring in the spring. Sales of snow removal equipment in the fall and winter months and contra seasons in some global markets somewhat moderate this seasonality in consumer product sales. Seasonality in irrigation and commercial product sales also exists, but is tempered because the selling season in west coast and southern states continues for a longer portion of the year than in northern states. Overall, worldwide sales levels are highest in the third quarter. Historically, accounts receivable balances increase throughout the winter months as a result of extended payment terms made available to the company's customers. Accounts receivable balances decrease in the late spring when payments are due. The seasonal requirements of the business are financed from operations and with short-term bank lines of credit and off-balance sheet financing.</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 AND MARKETING</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company markets the majority of its products principally through approximately 48 domestic and 55 foreign distributors and mass merchandisers worldwide. Distributors resell consumer products to approximately 10,800 retail dealers throughout the United States. Riding products are sold primarily to approximately 4,000 retail service dealers throughout the United States through existing distributors acting as sales agents worldwide. Home appliance and Lawn-Boy products are sold directly to mass merchandisers and "do-it-yourself" home improvement retailers. Distributors sell commercial and irrigation products directly to end users, including irrigation contractors. Irrigation products are also sold through distributors to irrigation dealers and direct to general line distributors, mass merchandisers and "do-it-yourself" home improvement retailers for resale to contractors and end-users. Consumer products are sold to international distributors who resell to approximately 2,000 retail dealers outside the United States, principally in Canada, Western Europe, Japan and Australia. Additionally, some irrigation and consumer products are sold directly to approximately 700 retail dealers in Canada, Australia and Western Europe.</w:t>
      </w:r>
    </w:p>
    <w:p>
      <w:pPr>
        <w:spacing w:after="0" w:line="183"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The company's current marketing strategy is to maintain distinct and separate brands and brand identification for Toro, Toro/Wheel Horse and Lawn-Boy products.</w:t>
      </w:r>
    </w:p>
    <w:p>
      <w:pPr>
        <w:spacing w:after="0" w:line="175" w:lineRule="exact"/>
        <w:rPr>
          <w:sz w:val="20"/>
          <w:szCs w:val="20"/>
          <w:color w:val="auto"/>
        </w:rPr>
      </w:pPr>
    </w:p>
    <w:p>
      <w:pPr>
        <w:ind w:right="3219"/>
        <w:spacing w:after="0" w:line="262" w:lineRule="auto"/>
        <w:rPr>
          <w:sz w:val="20"/>
          <w:szCs w:val="20"/>
          <w:color w:val="auto"/>
        </w:rPr>
      </w:pPr>
      <w:r>
        <w:rPr>
          <w:rFonts w:ascii="Courier New" w:cs="Courier New" w:eastAsia="Courier New" w:hAnsi="Courier New"/>
          <w:sz w:val="14"/>
          <w:szCs w:val="14"/>
          <w:color w:val="auto"/>
        </w:rPr>
        <w:t>The company's distribution systems for the sale of its products are intended to assure quality of sales and market presence as well as effective after-market service. The company considers its distribution network to be a significant competitive asset in marketing Toro, Toro/Wheel Horse and Lawn-Boy products.</w:t>
      </w:r>
    </w:p>
    <w:p>
      <w:pPr>
        <w:spacing w:after="0" w:line="161"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The company advertises its products during appropriate seasons throughout the year on television, radio and in print. Most of the company's advertising emphasizes its brand names. Advertising is directly paid by Toro as well as through cooperative programs with distributors and dealers.</w:t>
      </w:r>
    </w:p>
    <w:p>
      <w:pPr>
        <w:spacing w:after="0" w:line="34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- 3 -</w:t>
      </w:r>
    </w:p>
    <w:p>
      <w:pPr>
        <w:sectPr>
          <w:pgSz w:w="11900" w:h="16838" w:orient="portrait"/>
          <w:cols w:equalWidth="0" w:num="1">
            <w:col w:w="10219"/>
          </w:cols>
          <w:pgMar w:left="240" w:top="628"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BACKLOG OF ORDERS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order backlog at July 31, 1994 and 1993 was as follows: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78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8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July 31</w:t>
            </w:r>
          </w:p>
        </w:tc>
      </w:tr>
      <w:tr>
        <w:trPr>
          <w:trHeight w:val="171"/>
        </w:trPr>
        <w:tc>
          <w:tcPr>
            <w:tcW w:w="2320" w:type="dxa"/>
            <w:vAlign w:val="bottom"/>
          </w:tcPr>
          <w:p>
            <w:pPr>
              <w:spacing w:after="0"/>
              <w:rPr>
                <w:sz w:val="14"/>
                <w:szCs w:val="14"/>
                <w:color w:val="auto"/>
              </w:rPr>
            </w:pPr>
          </w:p>
        </w:tc>
        <w:tc>
          <w:tcPr>
            <w:tcW w:w="2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320" w:type="dxa"/>
            <w:vAlign w:val="bottom"/>
          </w:tcPr>
          <w:p>
            <w:pPr>
              <w:spacing w:after="0"/>
              <w:rPr>
                <w:sz w:val="14"/>
                <w:szCs w:val="1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1994</w:t>
            </w:r>
          </w:p>
        </w:tc>
        <w:tc>
          <w:tcPr>
            <w:tcW w:w="16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1993</w:t>
            </w:r>
          </w:p>
        </w:tc>
      </w:tr>
      <w:tr>
        <w:trPr>
          <w:trHeight w:val="171"/>
        </w:trPr>
        <w:tc>
          <w:tcPr>
            <w:tcW w:w="232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2320" w:type="dxa"/>
            <w:vAlign w:val="bottom"/>
          </w:tcPr>
          <w:p>
            <w:pPr>
              <w:spacing w:after="0"/>
              <w:rPr>
                <w:sz w:val="20"/>
                <w:szCs w:val="20"/>
                <w:color w:val="auto"/>
              </w:rPr>
            </w:pPr>
            <w:r>
              <w:rPr>
                <w:rFonts w:ascii="Courier New" w:cs="Courier New" w:eastAsia="Courier New" w:hAnsi="Courier New"/>
                <w:sz w:val="15"/>
                <w:szCs w:val="15"/>
                <w:color w:val="auto"/>
              </w:rPr>
              <w:t>Consumer. . . . . . . . .</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$107,848,000</w:t>
            </w:r>
          </w:p>
        </w:tc>
        <w:tc>
          <w:tcPr>
            <w:tcW w:w="16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$43,190,000</w:t>
            </w:r>
          </w:p>
        </w:tc>
      </w:tr>
      <w:tr>
        <w:trPr>
          <w:trHeight w:val="171"/>
        </w:trPr>
        <w:tc>
          <w:tcPr>
            <w:tcW w:w="2320" w:type="dxa"/>
            <w:vAlign w:val="bottom"/>
          </w:tcPr>
          <w:p>
            <w:pPr>
              <w:spacing w:after="0"/>
              <w:rPr>
                <w:sz w:val="20"/>
                <w:szCs w:val="20"/>
                <w:color w:val="auto"/>
              </w:rPr>
            </w:pPr>
            <w:r>
              <w:rPr>
                <w:rFonts w:ascii="Courier New" w:cs="Courier New" w:eastAsia="Courier New" w:hAnsi="Courier New"/>
                <w:sz w:val="15"/>
                <w:szCs w:val="15"/>
                <w:color w:val="auto"/>
              </w:rPr>
              <w:t>Commercial. . . . . . . .</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40,279,000</w:t>
            </w:r>
          </w:p>
        </w:tc>
        <w:tc>
          <w:tcPr>
            <w:tcW w:w="16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33,037,000</w:t>
            </w:r>
          </w:p>
        </w:tc>
      </w:tr>
      <w:tr>
        <w:trPr>
          <w:trHeight w:val="171"/>
        </w:trPr>
        <w:tc>
          <w:tcPr>
            <w:tcW w:w="2320" w:type="dxa"/>
            <w:vAlign w:val="bottom"/>
          </w:tcPr>
          <w:p>
            <w:pPr>
              <w:spacing w:after="0"/>
              <w:rPr>
                <w:sz w:val="20"/>
                <w:szCs w:val="20"/>
                <w:color w:val="auto"/>
              </w:rPr>
            </w:pPr>
            <w:r>
              <w:rPr>
                <w:rFonts w:ascii="Courier New" w:cs="Courier New" w:eastAsia="Courier New" w:hAnsi="Courier New"/>
                <w:sz w:val="15"/>
                <w:szCs w:val="15"/>
                <w:color w:val="auto"/>
              </w:rPr>
              <w:t>Irrigation. . . . . . . .</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10,214,000</w:t>
            </w:r>
          </w:p>
        </w:tc>
        <w:tc>
          <w:tcPr>
            <w:tcW w:w="16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7,916,000</w:t>
            </w:r>
          </w:p>
        </w:tc>
      </w:tr>
    </w:tbl>
    <w:p>
      <w:pPr>
        <w:spacing w:after="0" w:line="200" w:lineRule="exact"/>
        <w:rPr>
          <w:sz w:val="20"/>
          <w:szCs w:val="20"/>
          <w:color w:val="auto"/>
        </w:rPr>
      </w:pPr>
    </w:p>
    <w:p>
      <w:pPr>
        <w:spacing w:after="0" w:line="31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increase in consumer product backlog reflects the fiscal 1994 sell-out of gas snow products and strong demand for snow products in anticipation of another hard winter season. The increase for commercial products reflects a strong first quarter for fiscal 1995 core product sales. Favorable weather conditions and rebounding economies in Europe and the Far East is exhibited by the increase in irrigation product backlog. The existing backlog is expected to be filled in the succeeding fiscal year.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4"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The principal competitive factors in the company's markets are product innovation, quality, service and pricing. Management believes the company offers high quality products with the latest technology and design innovations. Also, by selling Toro, Toro/Wheel Horse and Lawn-Boy brand products through a network of distributors and dealers who provide service, the company offers competitive service during and after the relevant warranty period.</w:t>
      </w:r>
    </w:p>
    <w:p>
      <w:pPr>
        <w:spacing w:after="0" w:line="164"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The company competes in all product lines with numerous manufacturers, many of which have substantially greater financial resources than the company.</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CONSUMER</w:t>
      </w:r>
    </w:p>
    <w:p>
      <w:pPr>
        <w:spacing w:after="0" w:line="174" w:lineRule="exact"/>
        <w:rPr>
          <w:sz w:val="20"/>
          <w:szCs w:val="20"/>
          <w:color w:val="auto"/>
        </w:rPr>
      </w:pPr>
    </w:p>
    <w:p>
      <w:pPr>
        <w:ind w:left="260" w:right="3219"/>
        <w:spacing w:after="0" w:line="259" w:lineRule="auto"/>
        <w:rPr>
          <w:sz w:val="20"/>
          <w:szCs w:val="20"/>
          <w:color w:val="auto"/>
        </w:rPr>
      </w:pPr>
      <w:r>
        <w:rPr>
          <w:rFonts w:ascii="Courier New" w:cs="Courier New" w:eastAsia="Courier New" w:hAnsi="Courier New"/>
          <w:sz w:val="14"/>
          <w:szCs w:val="14"/>
          <w:color w:val="auto"/>
        </w:rPr>
        <w:t>The principal competitors for walk-behind mowers are American Yard Products, Inc. (a subsidiary of Electrolux AB), Deere &amp; Company, Honda Motor Co., Ltd., MTD Products, Inc., Murray Ohio Manufacturing Co., Inc. (a subsidiary of Tompkins Corp.), Sears, Roebuck and Co. and Snapper Power Equipment (a division of ACT). The principal competitors in riding mowers and lawn and garden tractors are Ariens Company, Bolens Corporation (a division of Garden Way, Incorporated), Deere &amp; Company, Honda Motor Co., Ltd., Murray Ohio Manufacturing Co., Inc., MTD Products, Inc., Noma Outdoor Products, Sears, Roebuck and Co., Simplicity Manufacturing Company and Snapper Power Equipment. The principal competitors for snow throwers are Ariens Company, Bolens Corporation, Honda Motor Co., Ltd., Noma Outdoor Products, Sears, Roebuck and Co., Simplicity Manufacturing Company, Snapper Power Equipment and Yamaha Motor Corporation, USA. The principal competitors in home improvement products are Black and Decker Corporation, K &amp; S Industries, Inc., Malibu Lighting (a registered trademark of Intermatic, Inc.) and Poulan/Weed Eater (a division of Electrolux AB).</w:t>
      </w:r>
    </w:p>
    <w:p>
      <w:pPr>
        <w:spacing w:after="0" w:line="33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COMMERCIAL</w:t>
      </w:r>
    </w:p>
    <w:p>
      <w:pPr>
        <w:spacing w:after="0" w:line="174" w:lineRule="exact"/>
        <w:rPr>
          <w:sz w:val="20"/>
          <w:szCs w:val="20"/>
          <w:color w:val="auto"/>
        </w:rPr>
      </w:pPr>
    </w:p>
    <w:p>
      <w:pPr>
        <w:ind w:left="260" w:right="3399"/>
        <w:spacing w:after="0" w:line="239" w:lineRule="auto"/>
        <w:rPr>
          <w:sz w:val="20"/>
          <w:szCs w:val="20"/>
          <w:color w:val="auto"/>
        </w:rPr>
      </w:pPr>
      <w:r>
        <w:rPr>
          <w:rFonts w:ascii="Courier New" w:cs="Courier New" w:eastAsia="Courier New" w:hAnsi="Courier New"/>
          <w:sz w:val="15"/>
          <w:szCs w:val="15"/>
          <w:color w:val="auto"/>
        </w:rPr>
        <w:t>The company's commercial products compete with products from numerous manufacturers, but the principal competitors across most of the company's commercial product lines are Deere &amp; Company, Jacobsen and Ransomes Sims &amp; Jefferies PLC, based in the United Kingdom.</w:t>
      </w:r>
    </w:p>
    <w:p>
      <w:pPr>
        <w:spacing w:after="0" w:line="34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- 4 -</w:t>
      </w:r>
    </w:p>
    <w:p>
      <w:pPr>
        <w:sectPr>
          <w:pgSz w:w="11900" w:h="16838" w:orient="portrait"/>
          <w:cols w:equalWidth="0" w:num="1">
            <w:col w:w="10219"/>
          </w:cols>
          <w:pgMar w:left="240" w:top="628" w:right="1440" w:bottom="1440" w:gutter="0" w:footer="0" w:header="0"/>
        </w:sectPr>
      </w:pPr>
    </w:p>
    <w:bookmarkStart w:id="4" w:name="page5"/>
    <w:bookmarkEnd w:id="4"/>
    <w:p>
      <w:pPr>
        <w:ind w:left="160"/>
        <w:spacing w:after="0"/>
        <w:rPr>
          <w:sz w:val="20"/>
          <w:szCs w:val="20"/>
          <w:color w:val="auto"/>
        </w:rPr>
      </w:pPr>
      <w:r>
        <w:rPr>
          <w:rFonts w:ascii="Courier New" w:cs="Courier New" w:eastAsia="Courier New" w:hAnsi="Courier New"/>
          <w:sz w:val="15"/>
          <w:szCs w:val="15"/>
          <w:color w:val="auto"/>
        </w:rPr>
        <w:t>IRRIGATION</w:t>
      </w:r>
    </w:p>
    <w:p>
      <w:pPr>
        <w:spacing w:after="0" w:line="174" w:lineRule="exact"/>
        <w:rPr>
          <w:sz w:val="20"/>
          <w:szCs w:val="20"/>
          <w:color w:val="auto"/>
        </w:rPr>
      </w:pPr>
    </w:p>
    <w:p>
      <w:pPr>
        <w:ind w:left="260" w:right="3219"/>
        <w:spacing w:after="0"/>
        <w:rPr>
          <w:sz w:val="20"/>
          <w:szCs w:val="20"/>
          <w:color w:val="auto"/>
        </w:rPr>
      </w:pPr>
      <w:r>
        <w:rPr>
          <w:rFonts w:ascii="Courier New" w:cs="Courier New" w:eastAsia="Courier New" w:hAnsi="Courier New"/>
          <w:sz w:val="15"/>
          <w:szCs w:val="15"/>
          <w:color w:val="auto"/>
        </w:rPr>
        <w:t>The principal competitors in irrigation products are James Hardie Irrigation, Inc. (a subsidiary of James Hardie Industries Limited, based in Australia), Hunter Industries and Rain Bird Sprinkler Manufacturing Corporation. Management believes that its commitment to product innovation, its distribution systems and its focus on its target markets, position it well to compete in these various markets.</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INTERNATIONAL</w:t>
      </w:r>
    </w:p>
    <w:p>
      <w:pPr>
        <w:spacing w:after="0" w:line="174" w:lineRule="exact"/>
        <w:rPr>
          <w:sz w:val="20"/>
          <w:szCs w:val="20"/>
          <w:color w:val="auto"/>
        </w:rPr>
      </w:pPr>
    </w:p>
    <w:p>
      <w:pPr>
        <w:ind w:left="260" w:right="3219"/>
        <w:spacing w:after="0"/>
        <w:rPr>
          <w:sz w:val="20"/>
          <w:szCs w:val="20"/>
          <w:color w:val="auto"/>
        </w:rPr>
      </w:pPr>
      <w:r>
        <w:rPr>
          <w:rFonts w:ascii="Courier New" w:cs="Courier New" w:eastAsia="Courier New" w:hAnsi="Courier New"/>
          <w:sz w:val="15"/>
          <w:szCs w:val="15"/>
          <w:color w:val="auto"/>
        </w:rPr>
        <w:t>The international market is generally fragmented so that the degree of competition varies among the different countries in which the company markets its consumer, commercial and irrigation products. Most competitors in the irrigation and commercial product lines are based in the United States. Consumer product lines face more competition because foreign competitors can manufacture and market competing products in their countries at a lower cost. In addition, fluctuations in the value of the U.S. dollar may affect the price of the company's products in such markets, thereby affecting their competitiveness.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company conducts research and development activities in an effort to improve existing products and to develop new products. Amounts expended on such activities aggregated approximately $30.9 million, or 3.9% of sales in 1994, $25.3 million, or 3.7% of sales in 1993 and $26.9 million, or 4.2% of sales in 1992. Management believes that the company's research and development efforts are important to the quality, mix and growth of its businesses and plans to continue its strong commitment to such activities.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GOVERNMENTAL REGULATION</w:t>
      </w:r>
    </w:p>
    <w:p>
      <w:pPr>
        <w:spacing w:after="0" w:line="174"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The company's products are subject to various federal statutes designed to protect consumers and are subject to the administrative jurisdiction of the Federal Consumer Product Safety Commission. The company is also subject to certain federal and state environmental, occupational safety and other regulations, none of which has had a material adverse affect on its operations or business. Management believes the company is in substantial compliance with all such regulations. The Environmental Protection Agency (EPA) released proposed regulations for small engine emissions in May 1994. Toro has been working with industry associations and the EPA on the proposed rules for more than two years and is positioned to respond to whatever final rules are adopted.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During 1994 the company employed an average of 3,434 employees. The total number of employees at July 31, 1994 was 2,800, reflecting the company's normal seasonal fluctuation in employment. Approximately one-quarter of the company's employees are covered by three collective bargaining agreements expiring in September 1994, November 1996 and May 1997, respectively. Management considers its overall relations with its employees to be good.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INFORMATION ABOUT FOREIGN AND DOMESTIC OPERATIONS</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All of Toro's production facilities are located within the United States and Belgium. Except for the sales of the company's foreign subsidiaries which are not significant when compared to total company sales, substantially all financial transactions are made in U.S. dollars. Consequently, the company did not realize any significant impact to earnings due to fluctuations in foreign currencies.</w:t>
      </w:r>
    </w:p>
    <w:p>
      <w:pPr>
        <w:spacing w:after="0" w:line="175" w:lineRule="exact"/>
        <w:rPr>
          <w:sz w:val="20"/>
          <w:szCs w:val="20"/>
          <w:color w:val="auto"/>
        </w:rPr>
      </w:pPr>
    </w:p>
    <w:p>
      <w:pPr>
        <w:jc w:val="both"/>
        <w:ind w:right="3399"/>
        <w:spacing w:after="0" w:line="239" w:lineRule="auto"/>
        <w:rPr>
          <w:sz w:val="20"/>
          <w:szCs w:val="20"/>
          <w:color w:val="auto"/>
        </w:rPr>
      </w:pPr>
      <w:r>
        <w:rPr>
          <w:rFonts w:ascii="Courier New" w:cs="Courier New" w:eastAsia="Courier New" w:hAnsi="Courier New"/>
          <w:sz w:val="15"/>
          <w:szCs w:val="15"/>
          <w:color w:val="auto"/>
        </w:rPr>
        <w:t>Export sales were $109,344,000, $111,263,000 and $109,076,000 in fiscal 1994, 1993 and 1992, respectively. The identifiable assets attributable to foreign operations are not significant.</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- 5 -</w:t>
      </w:r>
    </w:p>
    <w:p>
      <w:pPr>
        <w:sectPr>
          <w:pgSz w:w="11900" w:h="16838" w:orient="portrait"/>
          <w:cols w:equalWidth="0" w:num="1">
            <w:col w:w="10219"/>
          </w:cols>
          <w:pgMar w:left="240" w:top="628" w:right="1440" w:bottom="1440" w:gutter="0" w:footer="0" w:header="0"/>
        </w:sectPr>
      </w:pPr>
    </w:p>
    <w:bookmarkStart w:id="5" w:name="page6"/>
    <w:bookmarkEnd w:id="5"/>
    <w:p>
      <w:pPr>
        <w:ind w:left="2740"/>
        <w:spacing w:after="0"/>
        <w:rPr>
          <w:sz w:val="20"/>
          <w:szCs w:val="20"/>
          <w:color w:val="auto"/>
        </w:rPr>
      </w:pPr>
      <w:r>
        <w:rPr>
          <w:rFonts w:ascii="Courier New" w:cs="Courier New" w:eastAsia="Courier New" w:hAnsi="Courier New"/>
          <w:sz w:val="15"/>
          <w:szCs w:val="15"/>
          <w:color w:val="auto"/>
        </w:rPr>
        <w:t>ITEM 2. PROPERTIES</w:t>
      </w:r>
    </w:p>
    <w:p>
      <w:pPr>
        <w:spacing w:after="0" w:line="174" w:lineRule="exact"/>
        <w:rPr>
          <w:sz w:val="20"/>
          <w:szCs w:val="20"/>
          <w:color w:val="auto"/>
        </w:rPr>
      </w:pPr>
    </w:p>
    <w:p>
      <w:pPr>
        <w:ind w:right="3479"/>
        <w:spacing w:after="0"/>
        <w:rPr>
          <w:sz w:val="20"/>
          <w:szCs w:val="20"/>
          <w:color w:val="auto"/>
        </w:rPr>
      </w:pPr>
      <w:r>
        <w:rPr>
          <w:rFonts w:ascii="Courier New" w:cs="Courier New" w:eastAsia="Courier New" w:hAnsi="Courier New"/>
          <w:sz w:val="15"/>
          <w:szCs w:val="15"/>
          <w:color w:val="auto"/>
        </w:rPr>
        <w:t>The Toro Company utilizes owned manufacturing and office facilities which totaled approximately 2,199,000 square feet of space. The manufacturing facilities operated at about 89% of total capacity in fiscal 1994. The following schedule outlines the owned facilities by location, plant size and function: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40" w:type="dxa"/>
            <w:vAlign w:val="bottom"/>
          </w:tcPr>
          <w:p>
            <w:pPr>
              <w:ind w:left="340"/>
              <w:spacing w:after="0"/>
              <w:rPr>
                <w:sz w:val="20"/>
                <w:szCs w:val="20"/>
                <w:color w:val="auto"/>
              </w:rPr>
            </w:pPr>
            <w:r>
              <w:rPr>
                <w:rFonts w:ascii="Courier New" w:cs="Courier New" w:eastAsia="Courier New" w:hAnsi="Courier New"/>
                <w:sz w:val="15"/>
                <w:szCs w:val="15"/>
                <w:color w:val="auto"/>
              </w:rPr>
              <w:t>Location</w:t>
            </w:r>
          </w:p>
        </w:tc>
        <w:tc>
          <w:tcPr>
            <w:tcW w:w="480" w:type="dxa"/>
            <w:vAlign w:val="bottom"/>
          </w:tcPr>
          <w:p>
            <w:pPr>
              <w:spacing w:after="0"/>
              <w:rPr>
                <w:sz w:val="14"/>
                <w:szCs w:val="14"/>
                <w:color w:val="auto"/>
              </w:rPr>
            </w:pPr>
          </w:p>
        </w:tc>
        <w:tc>
          <w:tcPr>
            <w:tcW w:w="13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Square Feet</w:t>
            </w:r>
          </w:p>
        </w:tc>
        <w:tc>
          <w:tcPr>
            <w:tcW w:w="4200" w:type="dxa"/>
            <w:vAlign w:val="bottom"/>
          </w:tcPr>
          <w:p>
            <w:pPr>
              <w:ind w:left="480"/>
              <w:spacing w:after="0"/>
              <w:rPr>
                <w:sz w:val="20"/>
                <w:szCs w:val="20"/>
                <w:color w:val="auto"/>
              </w:rPr>
            </w:pPr>
            <w:r>
              <w:rPr>
                <w:rFonts w:ascii="Courier New" w:cs="Courier New" w:eastAsia="Courier New" w:hAnsi="Courier New"/>
                <w:sz w:val="15"/>
                <w:szCs w:val="15"/>
                <w:color w:val="auto"/>
              </w:rPr>
              <w:t>Products Manufactured/Use</w:t>
            </w:r>
          </w:p>
        </w:tc>
      </w:tr>
      <w:tr>
        <w:trPr>
          <w:trHeight w:val="171"/>
        </w:trPr>
        <w:tc>
          <w:tcPr>
            <w:tcW w:w="1720" w:type="dxa"/>
            <w:vAlign w:val="bottom"/>
            <w:gridSpan w:val="2"/>
          </w:tcPr>
          <w:p>
            <w:pPr>
              <w:spacing w:after="0"/>
              <w:rPr>
                <w:sz w:val="20"/>
                <w:szCs w:val="20"/>
                <w:color w:val="auto"/>
              </w:rPr>
            </w:pPr>
            <w:r>
              <w:rPr>
                <w:rFonts w:ascii="Courier New" w:cs="Courier New" w:eastAsia="Courier New" w:hAnsi="Courier New"/>
                <w:sz w:val="15"/>
                <w:szCs w:val="15"/>
                <w:color w:val="auto"/>
                <w:w w:val="72"/>
              </w:rPr>
              <w:t>- - - - ------------------</w:t>
            </w:r>
          </w:p>
        </w:tc>
        <w:tc>
          <w:tcPr>
            <w:tcW w:w="5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512"/>
        </w:trPr>
        <w:tc>
          <w:tcPr>
            <w:tcW w:w="1240" w:type="dxa"/>
            <w:vAlign w:val="bottom"/>
          </w:tcPr>
          <w:p>
            <w:pPr>
              <w:spacing w:after="0"/>
              <w:rPr>
                <w:sz w:val="20"/>
                <w:szCs w:val="20"/>
                <w:color w:val="auto"/>
              </w:rPr>
            </w:pPr>
            <w:r>
              <w:rPr>
                <w:rFonts w:ascii="Courier New" w:cs="Courier New" w:eastAsia="Courier New" w:hAnsi="Courier New"/>
                <w:sz w:val="15"/>
                <w:szCs w:val="15"/>
                <w:color w:val="auto"/>
              </w:rPr>
              <w:t>Plymouth, WI</w:t>
            </w:r>
          </w:p>
        </w:tc>
        <w:tc>
          <w:tcPr>
            <w:tcW w:w="480" w:type="dxa"/>
            <w:vAlign w:val="bottom"/>
          </w:tcPr>
          <w:p>
            <w:pPr>
              <w:spacing w:after="0"/>
              <w:rPr>
                <w:sz w:val="24"/>
                <w:szCs w:val="24"/>
                <w:color w:val="auto"/>
              </w:rPr>
            </w:pP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463,000</w:t>
            </w:r>
          </w:p>
        </w:tc>
        <w:tc>
          <w:tcPr>
            <w:tcW w:w="4200" w:type="dxa"/>
            <w:vAlign w:val="bottom"/>
          </w:tcPr>
          <w:p>
            <w:pPr>
              <w:ind w:left="220"/>
              <w:spacing w:after="0"/>
              <w:rPr>
                <w:sz w:val="20"/>
                <w:szCs w:val="20"/>
                <w:color w:val="auto"/>
              </w:rPr>
            </w:pPr>
            <w:r>
              <w:rPr>
                <w:rFonts w:ascii="Courier New" w:cs="Courier New" w:eastAsia="Courier New" w:hAnsi="Courier New"/>
                <w:sz w:val="15"/>
                <w:szCs w:val="15"/>
                <w:color w:val="auto"/>
              </w:rPr>
              <w:t>Parts distribution center, office</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Tomah, WI</w:t>
            </w:r>
          </w:p>
        </w:tc>
        <w:tc>
          <w:tcPr>
            <w:tcW w:w="480" w:type="dxa"/>
            <w:vAlign w:val="bottom"/>
          </w:tcPr>
          <w:p>
            <w:pPr>
              <w:spacing w:after="0"/>
              <w:rPr>
                <w:sz w:val="14"/>
                <w:szCs w:val="14"/>
                <w:color w:val="auto"/>
              </w:rPr>
            </w:pP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274,000</w:t>
            </w:r>
          </w:p>
        </w:tc>
        <w:tc>
          <w:tcPr>
            <w:tcW w:w="4200" w:type="dxa"/>
            <w:vAlign w:val="bottom"/>
          </w:tcPr>
          <w:p>
            <w:pPr>
              <w:ind w:left="220"/>
              <w:spacing w:after="0"/>
              <w:rPr>
                <w:sz w:val="20"/>
                <w:szCs w:val="20"/>
                <w:color w:val="auto"/>
              </w:rPr>
            </w:pPr>
            <w:r>
              <w:rPr>
                <w:rFonts w:ascii="Courier New" w:cs="Courier New" w:eastAsia="Courier New" w:hAnsi="Courier New"/>
                <w:sz w:val="15"/>
                <w:szCs w:val="15"/>
                <w:color w:val="auto"/>
              </w:rPr>
              <w:t>Consumer and Commercial products</w:t>
            </w:r>
          </w:p>
        </w:tc>
      </w:tr>
      <w:tr>
        <w:trPr>
          <w:trHeight w:val="171"/>
        </w:trPr>
        <w:tc>
          <w:tcPr>
            <w:tcW w:w="1720" w:type="dxa"/>
            <w:vAlign w:val="bottom"/>
            <w:gridSpan w:val="2"/>
          </w:tcPr>
          <w:p>
            <w:pPr>
              <w:spacing w:after="0"/>
              <w:rPr>
                <w:sz w:val="20"/>
                <w:szCs w:val="20"/>
                <w:color w:val="auto"/>
              </w:rPr>
            </w:pPr>
            <w:r>
              <w:rPr>
                <w:rFonts w:ascii="Courier New" w:cs="Courier New" w:eastAsia="Courier New" w:hAnsi="Courier New"/>
                <w:sz w:val="15"/>
                <w:szCs w:val="15"/>
                <w:color w:val="auto"/>
              </w:rPr>
              <w:t>Bloomington, MN</w:t>
            </w: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244,000</w:t>
            </w:r>
          </w:p>
        </w:tc>
        <w:tc>
          <w:tcPr>
            <w:tcW w:w="4200" w:type="dxa"/>
            <w:vAlign w:val="bottom"/>
          </w:tcPr>
          <w:p>
            <w:pPr>
              <w:ind w:left="220"/>
              <w:spacing w:after="0"/>
              <w:rPr>
                <w:sz w:val="20"/>
                <w:szCs w:val="20"/>
                <w:color w:val="auto"/>
              </w:rPr>
            </w:pPr>
            <w:r>
              <w:rPr>
                <w:rFonts w:ascii="Courier New" w:cs="Courier New" w:eastAsia="Courier New" w:hAnsi="Courier New"/>
                <w:sz w:val="15"/>
                <w:szCs w:val="15"/>
                <w:color w:val="auto"/>
              </w:rPr>
              <w:t>Corporate headquarters</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Riverside, CA</w:t>
            </w:r>
          </w:p>
        </w:tc>
        <w:tc>
          <w:tcPr>
            <w:tcW w:w="480" w:type="dxa"/>
            <w:vAlign w:val="bottom"/>
          </w:tcPr>
          <w:p>
            <w:pPr>
              <w:spacing w:after="0"/>
              <w:rPr>
                <w:sz w:val="14"/>
                <w:szCs w:val="14"/>
                <w:color w:val="auto"/>
              </w:rPr>
            </w:pP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222,000</w:t>
            </w:r>
          </w:p>
        </w:tc>
        <w:tc>
          <w:tcPr>
            <w:tcW w:w="4200" w:type="dxa"/>
            <w:vAlign w:val="bottom"/>
          </w:tcPr>
          <w:p>
            <w:pPr>
              <w:ind w:left="220"/>
              <w:spacing w:after="0"/>
              <w:rPr>
                <w:sz w:val="20"/>
                <w:szCs w:val="20"/>
                <w:color w:val="auto"/>
              </w:rPr>
            </w:pPr>
            <w:r>
              <w:rPr>
                <w:rFonts w:ascii="Courier New" w:cs="Courier New" w:eastAsia="Courier New" w:hAnsi="Courier New"/>
                <w:sz w:val="15"/>
                <w:szCs w:val="15"/>
                <w:color w:val="auto"/>
              </w:rPr>
              <w:t>Irrigation products</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Sardis, MS</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244,000</w:t>
            </w:r>
          </w:p>
        </w:tc>
        <w:tc>
          <w:tcPr>
            <w:tcW w:w="4200" w:type="dxa"/>
            <w:vAlign w:val="bottom"/>
          </w:tcPr>
          <w:p>
            <w:pPr>
              <w:ind w:left="220"/>
              <w:spacing w:after="0"/>
              <w:rPr>
                <w:sz w:val="20"/>
                <w:szCs w:val="20"/>
                <w:color w:val="auto"/>
              </w:rPr>
            </w:pPr>
            <w:r>
              <w:rPr>
                <w:rFonts w:ascii="Courier New" w:cs="Courier New" w:eastAsia="Courier New" w:hAnsi="Courier New"/>
                <w:sz w:val="15"/>
                <w:szCs w:val="15"/>
                <w:color w:val="auto"/>
              </w:rPr>
              <w:t>Consumer products</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Windom, MN</w:t>
            </w:r>
          </w:p>
        </w:tc>
        <w:tc>
          <w:tcPr>
            <w:tcW w:w="480" w:type="dxa"/>
            <w:vAlign w:val="bottom"/>
          </w:tcPr>
          <w:p>
            <w:pPr>
              <w:spacing w:after="0"/>
              <w:rPr>
                <w:sz w:val="14"/>
                <w:szCs w:val="14"/>
                <w:color w:val="auto"/>
              </w:rPr>
            </w:pP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253,000</w:t>
            </w:r>
          </w:p>
        </w:tc>
        <w:tc>
          <w:tcPr>
            <w:tcW w:w="4200" w:type="dxa"/>
            <w:vAlign w:val="bottom"/>
          </w:tcPr>
          <w:p>
            <w:pPr>
              <w:ind w:left="220"/>
              <w:spacing w:after="0"/>
              <w:rPr>
                <w:sz w:val="20"/>
                <w:szCs w:val="20"/>
                <w:color w:val="auto"/>
              </w:rPr>
            </w:pPr>
            <w:r>
              <w:rPr>
                <w:rFonts w:ascii="Courier New" w:cs="Courier New" w:eastAsia="Courier New" w:hAnsi="Courier New"/>
                <w:sz w:val="15"/>
                <w:szCs w:val="15"/>
                <w:color w:val="auto"/>
              </w:rPr>
              <w:t>Consumer components and products</w:t>
            </w:r>
          </w:p>
        </w:tc>
      </w:tr>
      <w:tr>
        <w:trPr>
          <w:trHeight w:val="171"/>
        </w:trPr>
        <w:tc>
          <w:tcPr>
            <w:tcW w:w="1720" w:type="dxa"/>
            <w:vAlign w:val="bottom"/>
            <w:gridSpan w:val="2"/>
          </w:tcPr>
          <w:p>
            <w:pPr>
              <w:spacing w:after="0"/>
              <w:rPr>
                <w:sz w:val="20"/>
                <w:szCs w:val="20"/>
                <w:color w:val="auto"/>
              </w:rPr>
            </w:pPr>
            <w:r>
              <w:rPr>
                <w:rFonts w:ascii="Courier New" w:cs="Courier New" w:eastAsia="Courier New" w:hAnsi="Courier New"/>
                <w:sz w:val="15"/>
                <w:szCs w:val="15"/>
                <w:color w:val="auto"/>
              </w:rPr>
              <w:t>South Bend, IN(b)</w:t>
            </w: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226,000</w:t>
            </w:r>
          </w:p>
        </w:tc>
        <w:tc>
          <w:tcPr>
            <w:tcW w:w="4200" w:type="dxa"/>
            <w:vAlign w:val="bottom"/>
          </w:tcPr>
          <w:p>
            <w:pPr>
              <w:ind w:left="220"/>
              <w:spacing w:after="0"/>
              <w:rPr>
                <w:sz w:val="20"/>
                <w:szCs w:val="20"/>
                <w:color w:val="auto"/>
              </w:rPr>
            </w:pPr>
            <w:r>
              <w:rPr>
                <w:rFonts w:ascii="Courier New" w:cs="Courier New" w:eastAsia="Courier New" w:hAnsi="Courier New"/>
                <w:sz w:val="15"/>
                <w:szCs w:val="15"/>
                <w:color w:val="auto"/>
              </w:rPr>
              <w:t>Closed facility</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Shakopee, MN</w:t>
            </w:r>
          </w:p>
        </w:tc>
        <w:tc>
          <w:tcPr>
            <w:tcW w:w="480" w:type="dxa"/>
            <w:vAlign w:val="bottom"/>
          </w:tcPr>
          <w:p>
            <w:pPr>
              <w:spacing w:after="0"/>
              <w:rPr>
                <w:sz w:val="14"/>
                <w:szCs w:val="14"/>
                <w:color w:val="auto"/>
              </w:rPr>
            </w:pP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146,000</w:t>
            </w:r>
          </w:p>
        </w:tc>
        <w:tc>
          <w:tcPr>
            <w:tcW w:w="4200" w:type="dxa"/>
            <w:vAlign w:val="bottom"/>
          </w:tcPr>
          <w:p>
            <w:pPr>
              <w:ind w:left="220"/>
              <w:spacing w:after="0"/>
              <w:rPr>
                <w:sz w:val="20"/>
                <w:szCs w:val="20"/>
                <w:color w:val="auto"/>
              </w:rPr>
            </w:pPr>
            <w:r>
              <w:rPr>
                <w:rFonts w:ascii="Courier New" w:cs="Courier New" w:eastAsia="Courier New" w:hAnsi="Courier New"/>
                <w:sz w:val="15"/>
                <w:szCs w:val="15"/>
                <w:color w:val="auto"/>
              </w:rPr>
              <w:t>Components for consumer and commercial</w:t>
            </w:r>
          </w:p>
        </w:tc>
      </w:tr>
      <w:tr>
        <w:trPr>
          <w:trHeight w:val="171"/>
        </w:trPr>
        <w:tc>
          <w:tcPr>
            <w:tcW w:w="1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0" w:type="dxa"/>
            <w:vAlign w:val="bottom"/>
          </w:tcPr>
          <w:p>
            <w:pPr>
              <w:ind w:left="220"/>
              <w:spacing w:after="0"/>
              <w:rPr>
                <w:sz w:val="20"/>
                <w:szCs w:val="20"/>
                <w:color w:val="auto"/>
              </w:rPr>
            </w:pPr>
            <w:r>
              <w:rPr>
                <w:rFonts w:ascii="Courier New" w:cs="Courier New" w:eastAsia="Courier New" w:hAnsi="Courier New"/>
                <w:sz w:val="15"/>
                <w:szCs w:val="15"/>
                <w:color w:val="auto"/>
              </w:rPr>
              <w:t>products</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Oxford, MS</w:t>
            </w:r>
          </w:p>
        </w:tc>
        <w:tc>
          <w:tcPr>
            <w:tcW w:w="480" w:type="dxa"/>
            <w:vAlign w:val="bottom"/>
          </w:tcPr>
          <w:p>
            <w:pPr>
              <w:spacing w:after="0"/>
              <w:rPr>
                <w:sz w:val="14"/>
                <w:szCs w:val="14"/>
                <w:color w:val="auto"/>
              </w:rPr>
            </w:pP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64,000</w:t>
            </w:r>
          </w:p>
        </w:tc>
        <w:tc>
          <w:tcPr>
            <w:tcW w:w="4200" w:type="dxa"/>
            <w:vAlign w:val="bottom"/>
          </w:tcPr>
          <w:p>
            <w:pPr>
              <w:ind w:left="220"/>
              <w:spacing w:after="0"/>
              <w:rPr>
                <w:sz w:val="20"/>
                <w:szCs w:val="20"/>
                <w:color w:val="auto"/>
              </w:rPr>
            </w:pPr>
            <w:r>
              <w:rPr>
                <w:rFonts w:ascii="Courier New" w:cs="Courier New" w:eastAsia="Courier New" w:hAnsi="Courier New"/>
                <w:sz w:val="15"/>
                <w:szCs w:val="15"/>
                <w:color w:val="auto"/>
              </w:rPr>
              <w:t>Components for consumer products</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w w:val="96"/>
              </w:rPr>
              <w:t>Oevel, Belgium</w:t>
            </w:r>
          </w:p>
        </w:tc>
        <w:tc>
          <w:tcPr>
            <w:tcW w:w="480" w:type="dxa"/>
            <w:vAlign w:val="bottom"/>
          </w:tcPr>
          <w:p>
            <w:pPr>
              <w:spacing w:after="0"/>
              <w:rPr>
                <w:sz w:val="14"/>
                <w:szCs w:val="14"/>
                <w:color w:val="auto"/>
              </w:rPr>
            </w:pP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63,000</w:t>
            </w:r>
          </w:p>
        </w:tc>
        <w:tc>
          <w:tcPr>
            <w:tcW w:w="4200" w:type="dxa"/>
            <w:vAlign w:val="bottom"/>
          </w:tcPr>
          <w:p>
            <w:pPr>
              <w:ind w:left="220"/>
              <w:spacing w:after="0"/>
              <w:rPr>
                <w:sz w:val="20"/>
                <w:szCs w:val="20"/>
                <w:color w:val="auto"/>
              </w:rPr>
            </w:pPr>
            <w:r>
              <w:rPr>
                <w:rFonts w:ascii="Courier New" w:cs="Courier New" w:eastAsia="Courier New" w:hAnsi="Courier New"/>
                <w:sz w:val="15"/>
                <w:szCs w:val="15"/>
                <w:color w:val="auto"/>
              </w:rPr>
              <w:t>Consumer products</w:t>
            </w:r>
          </w:p>
        </w:tc>
      </w:tr>
      <w:tr>
        <w:trPr>
          <w:trHeight w:val="171"/>
        </w:trPr>
        <w:tc>
          <w:tcPr>
            <w:tcW w:w="1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4200" w:type="dxa"/>
            <w:vAlign w:val="bottom"/>
          </w:tcPr>
          <w:p>
            <w:pPr>
              <w:spacing w:after="0"/>
              <w:rPr>
                <w:sz w:val="14"/>
                <w:szCs w:val="14"/>
                <w:color w:val="auto"/>
              </w:rPr>
            </w:pPr>
          </w:p>
        </w:tc>
      </w:tr>
      <w:tr>
        <w:trPr>
          <w:trHeight w:val="171"/>
        </w:trPr>
        <w:tc>
          <w:tcPr>
            <w:tcW w:w="17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Total Square Feet</w:t>
            </w: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2,199,000</w:t>
            </w:r>
          </w:p>
        </w:tc>
        <w:tc>
          <w:tcPr>
            <w:tcW w:w="4200" w:type="dxa"/>
            <w:vAlign w:val="bottom"/>
          </w:tcPr>
          <w:p>
            <w:pPr>
              <w:spacing w:after="0"/>
              <w:rPr>
                <w:sz w:val="14"/>
                <w:szCs w:val="14"/>
                <w:color w:val="auto"/>
              </w:rPr>
            </w:pPr>
          </w:p>
        </w:tc>
      </w:tr>
      <w:tr>
        <w:trPr>
          <w:trHeight w:val="171"/>
        </w:trPr>
        <w:tc>
          <w:tcPr>
            <w:tcW w:w="1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4200" w:type="dxa"/>
            <w:vAlign w:val="bottom"/>
          </w:tcPr>
          <w:p>
            <w:pPr>
              <w:spacing w:after="0"/>
              <w:rPr>
                <w:sz w:val="14"/>
                <w:szCs w:val="14"/>
                <w:color w:val="auto"/>
              </w:rPr>
            </w:pPr>
          </w:p>
        </w:tc>
      </w:tr>
      <w:tr>
        <w:trPr>
          <w:trHeight w:val="171"/>
        </w:trPr>
        <w:tc>
          <w:tcPr>
            <w:tcW w:w="1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4200" w:type="dxa"/>
            <w:vAlign w:val="bottom"/>
          </w:tcPr>
          <w:p>
            <w:pPr>
              <w:spacing w:after="0"/>
              <w:rPr>
                <w:sz w:val="14"/>
                <w:szCs w:val="14"/>
                <w:color w:val="auto"/>
              </w:rPr>
            </w:pPr>
          </w:p>
        </w:tc>
      </w:tr>
    </w:tbl>
    <w:p>
      <w:pPr>
        <w:spacing w:after="0" w:line="200" w:lineRule="exact"/>
        <w:rPr>
          <w:sz w:val="20"/>
          <w:szCs w:val="20"/>
          <w:color w:val="auto"/>
        </w:rPr>
      </w:pPr>
    </w:p>
    <w:p>
      <w:pPr>
        <w:spacing w:after="0" w:line="315" w:lineRule="exact"/>
        <w:rPr>
          <w:sz w:val="20"/>
          <w:szCs w:val="20"/>
          <w:color w:val="auto"/>
        </w:rPr>
      </w:pPr>
    </w:p>
    <w:p>
      <w:pPr>
        <w:ind w:left="780" w:right="3579" w:hanging="345"/>
        <w:spacing w:after="0" w:line="238" w:lineRule="auto"/>
        <w:tabs>
          <w:tab w:leader="none" w:pos="7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Facility closed in 1993 due to restructuring. Will be reopened in 1995.</w:t>
      </w:r>
    </w:p>
    <w:p>
      <w:pPr>
        <w:spacing w:after="0" w:line="1" w:lineRule="exact"/>
        <w:rPr>
          <w:rFonts w:ascii="Courier New" w:cs="Courier New" w:eastAsia="Courier New" w:hAnsi="Courier New"/>
          <w:sz w:val="15"/>
          <w:szCs w:val="15"/>
          <w:color w:val="auto"/>
        </w:rPr>
      </w:pPr>
    </w:p>
    <w:p>
      <w:pPr>
        <w:ind w:left="780" w:hanging="345"/>
        <w:spacing w:after="0"/>
        <w:tabs>
          <w:tab w:leader="none" w:pos="7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Facility closed in 1993 due to restructuring.   Building held for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In 1994, the company leased the following warehouse space for its finished good distribution centers: 304,000 square feet in Lakeville, Minnesota and 228,000 square feet in Baraboo, Wisconsin. The company also leased manufacturing space of 145,000 square feet in Mound, Minnesota and 176,000 square feet in Olathe, Kansas. Other leased office and warehouse space located in various cities in the United States, Australia, Canada, France, Singapore and United Kingdom totaled approximately 92,000 square feet.</w:t>
      </w:r>
    </w:p>
    <w:p>
      <w:pPr>
        <w:spacing w:after="0" w:line="17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ITEM 3. LEGAL PROCEEDINGS</w:t>
      </w:r>
    </w:p>
    <w:p>
      <w:pPr>
        <w:spacing w:after="0" w:line="174"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The company is routinely a party to various litigation in the ordinary course of its business. This ongoing litigation primarily involves claims for damages arising out of the use of the company's products, some of which include claims for punitive as well as compensatory damages. The company is also subject to administrative proceedings in respect of certain claims involving the discharge of hazardous substances into the environment. Certain of these claims assert damages and liability for remedial investigations and clean up costs.</w:t>
      </w:r>
    </w:p>
    <w:p>
      <w:pPr>
        <w:spacing w:after="0" w:line="1"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Management is of the opinion that the amounts which may be awarded or assessed in connection with these matters will not have a material effect on the company's financial position. Further, the company maintains insurance against product liability losses (other than for punitive damages). Such insurance presently covers claims in excess of $1,000,000 per claim or $2,000,000 in the aggregate during any fiscal year. The company regularly reviews these dollar limits.</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ITEM 4. SUBMISSIONS OF MATTERS TO A VOTE OF THE SECURITY HOLDERS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- 6 -</w:t>
      </w:r>
    </w:p>
    <w:p>
      <w:pPr>
        <w:sectPr>
          <w:pgSz w:w="11900" w:h="16838" w:orient="portrait"/>
          <w:cols w:equalWidth="0" w:num="1">
            <w:col w:w="10219"/>
          </w:cols>
          <w:pgMar w:left="240" w:top="628" w:right="1440" w:bottom="1440" w:gutter="0" w:footer="0" w:header="0"/>
        </w:sectPr>
      </w:pPr>
    </w:p>
    <w:bookmarkStart w:id="6" w:name="page7"/>
    <w:bookmarkEnd w:id="6"/>
    <w:p>
      <w:pPr>
        <w:ind w:left="5940"/>
        <w:spacing w:after="0"/>
        <w:rPr>
          <w:sz w:val="20"/>
          <w:szCs w:val="20"/>
          <w:color w:val="auto"/>
        </w:rPr>
      </w:pPr>
      <w:r>
        <w:rPr>
          <w:rFonts w:ascii="Courier New" w:cs="Courier New" w:eastAsia="Courier New" w:hAnsi="Courier New"/>
          <w:sz w:val="15"/>
          <w:szCs w:val="15"/>
          <w:color w:val="auto"/>
        </w:rPr>
        <w:t>PART II</w:t>
      </w:r>
    </w:p>
    <w:p>
      <w:pPr>
        <w:spacing w:after="0" w:line="200" w:lineRule="exact"/>
        <w:rPr>
          <w:sz w:val="20"/>
          <w:szCs w:val="20"/>
          <w:color w:val="auto"/>
        </w:rPr>
      </w:pPr>
    </w:p>
    <w:p>
      <w:pPr>
        <w:spacing w:after="0" w:line="315" w:lineRule="exact"/>
        <w:rPr>
          <w:sz w:val="20"/>
          <w:szCs w:val="20"/>
          <w:color w:val="auto"/>
        </w:rPr>
      </w:pPr>
    </w:p>
    <w:p>
      <w:pPr>
        <w:jc w:val="both"/>
        <w:ind w:right="3399"/>
        <w:spacing w:after="0" w:line="239" w:lineRule="auto"/>
        <w:rPr>
          <w:sz w:val="20"/>
          <w:szCs w:val="20"/>
          <w:color w:val="auto"/>
        </w:rPr>
      </w:pPr>
      <w:r>
        <w:rPr>
          <w:rFonts w:ascii="Courier New" w:cs="Courier New" w:eastAsia="Courier New" w:hAnsi="Courier New"/>
          <w:sz w:val="15"/>
          <w:szCs w:val="15"/>
          <w:color w:val="auto"/>
        </w:rPr>
        <w:t>All information incorporated herein by reference in this Part II is from the Registrant's Annual Report to Stockholders for the fiscal year ended July 31, 1994 ("Annual Report").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5. MARKET FOR THE REGISTRANT'S COMMON STOCK AND RELATED STOCKHOLDER MATTERS</w:t>
      </w:r>
    </w:p>
    <w:p>
      <w:pPr>
        <w:spacing w:after="0" w:line="183"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Toro common stock (including related Preferred Share Purchase Rights) is listed for trading on the New York Stock Exchange. The number of common stockholders of record as of July 31, 1994 was 7,541.</w:t>
      </w:r>
    </w:p>
    <w:p>
      <w:pPr>
        <w:spacing w:after="0" w:line="175" w:lineRule="exact"/>
        <w:rPr>
          <w:sz w:val="20"/>
          <w:szCs w:val="20"/>
          <w:color w:val="auto"/>
        </w:rPr>
      </w:pPr>
    </w:p>
    <w:p>
      <w:pPr>
        <w:ind w:right="3479"/>
        <w:spacing w:after="0" w:line="239" w:lineRule="auto"/>
        <w:rPr>
          <w:sz w:val="20"/>
          <w:szCs w:val="20"/>
          <w:color w:val="auto"/>
        </w:rPr>
      </w:pPr>
      <w:r>
        <w:rPr>
          <w:rFonts w:ascii="Courier New" w:cs="Courier New" w:eastAsia="Courier New" w:hAnsi="Courier New"/>
          <w:sz w:val="15"/>
          <w:szCs w:val="15"/>
          <w:color w:val="auto"/>
        </w:rPr>
        <w:t>See "Quarterly Financial Data" on page 28 of the Annual Report for dividends paid and range of high and low quotations, which are incorporated herein by reference.</w:t>
      </w:r>
    </w:p>
    <w:p>
      <w:pPr>
        <w:spacing w:after="0" w:line="17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ITEM 6. SELECTED FINANCIAL DATA</w:t>
      </w:r>
    </w:p>
    <w:p>
      <w:pPr>
        <w:spacing w:after="0" w:line="174" w:lineRule="exact"/>
        <w:rPr>
          <w:sz w:val="20"/>
          <w:szCs w:val="20"/>
          <w:color w:val="auto"/>
        </w:rPr>
      </w:pPr>
    </w:p>
    <w:p>
      <w:pPr>
        <w:ind w:right="3119"/>
        <w:spacing w:after="0" w:line="264" w:lineRule="auto"/>
        <w:rPr>
          <w:sz w:val="20"/>
          <w:szCs w:val="20"/>
          <w:color w:val="auto"/>
        </w:rPr>
      </w:pPr>
      <w:r>
        <w:rPr>
          <w:rFonts w:ascii="Courier New" w:cs="Courier New" w:eastAsia="Courier New" w:hAnsi="Courier New"/>
          <w:sz w:val="14"/>
          <w:szCs w:val="14"/>
          <w:color w:val="auto"/>
        </w:rPr>
        <w:t>See financial data for fiscal years 1994, 1993, 1992, 1991 and 1990 included in "Eleven-Year Selected Financial Data" on pages 12 and 13 of the Annual Report which information for this five-year period is incorporated herein by reference.</w:t>
      </w:r>
    </w:p>
    <w:p>
      <w:pPr>
        <w:spacing w:after="0" w:line="159" w:lineRule="exact"/>
        <w:rPr>
          <w:sz w:val="20"/>
          <w:szCs w:val="20"/>
          <w:color w:val="auto"/>
        </w:rPr>
      </w:pPr>
    </w:p>
    <w:p>
      <w:pPr>
        <w:ind w:left="780" w:right="3119" w:hanging="709"/>
        <w:spacing w:after="0" w:line="238"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175"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See "Management's Discussion and Analysis of Financial Condition and Results of Operations" on pages 14 through 18 of the Annual Report which is incorporated herein by reference.</w:t>
      </w:r>
    </w:p>
    <w:p>
      <w:pPr>
        <w:spacing w:after="0" w:line="172"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174" w:lineRule="exact"/>
        <w:rPr>
          <w:sz w:val="20"/>
          <w:szCs w:val="20"/>
          <w:color w:val="auto"/>
        </w:rPr>
      </w:pPr>
    </w:p>
    <w:p>
      <w:pPr>
        <w:ind w:right="4199"/>
        <w:spacing w:after="0" w:line="238" w:lineRule="auto"/>
        <w:rPr>
          <w:sz w:val="20"/>
          <w:szCs w:val="20"/>
          <w:color w:val="auto"/>
        </w:rPr>
      </w:pPr>
      <w:r>
        <w:rPr>
          <w:rFonts w:ascii="Courier New" w:cs="Courier New" w:eastAsia="Courier New" w:hAnsi="Courier New"/>
          <w:sz w:val="15"/>
          <w:szCs w:val="15"/>
          <w:color w:val="auto"/>
        </w:rPr>
        <w:t>The financial statements described in Item 14(a)1 of this report are incorporated herein by reference.</w:t>
      </w:r>
    </w:p>
    <w:p>
      <w:pPr>
        <w:spacing w:after="0" w:line="175"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See "Quarterly Financial Data" appearing on page 28 of the Annual Report which is incorporated herein by reference.</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ITEM 9. DISAGREEMENTS ON ACCOUNTING AND FINANCIAL DISCLOSURE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7" w:right="1440" w:bottom="1440" w:gutter="0" w:footer="0" w:header="0"/>
        </w:sectPr>
      </w:pPr>
    </w:p>
    <w:bookmarkStart w:id="7" w:name="page8"/>
    <w:bookmarkEnd w:id="7"/>
    <w:p>
      <w:pPr>
        <w:ind w:left="5840"/>
        <w:spacing w:after="0"/>
        <w:rPr>
          <w:sz w:val="20"/>
          <w:szCs w:val="20"/>
          <w:color w:val="auto"/>
        </w:rPr>
      </w:pPr>
      <w:r>
        <w:rPr>
          <w:rFonts w:ascii="Courier New" w:cs="Courier New" w:eastAsia="Courier New" w:hAnsi="Courier New"/>
          <w:sz w:val="15"/>
          <w:szCs w:val="15"/>
          <w:color w:val="auto"/>
        </w:rPr>
        <w:t>PART III</w:t>
      </w:r>
    </w:p>
    <w:p>
      <w:pPr>
        <w:spacing w:after="0" w:line="342"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74" w:lineRule="exact"/>
        <w:rPr>
          <w:sz w:val="20"/>
          <w:szCs w:val="20"/>
          <w:color w:val="auto"/>
        </w:rPr>
      </w:pPr>
    </w:p>
    <w:p>
      <w:pPr>
        <w:ind w:right="3219"/>
        <w:spacing w:after="0" w:line="262" w:lineRule="auto"/>
        <w:rPr>
          <w:sz w:val="20"/>
          <w:szCs w:val="20"/>
          <w:color w:val="auto"/>
        </w:rPr>
      </w:pPr>
      <w:r>
        <w:rPr>
          <w:rFonts w:ascii="Courier New" w:cs="Courier New" w:eastAsia="Courier New" w:hAnsi="Courier New"/>
          <w:sz w:val="14"/>
          <w:szCs w:val="14"/>
          <w:color w:val="auto"/>
        </w:rPr>
        <w:t>Information regarding the directors of The Toro Company contained in the Proxy Statement for the Annual Meeting of Stockholders to be held December 15, 1994, is incorporated herein by reference to such proxy statement which will be filed within 120 days after the end of the fiscal year covered by this Form 10-K.</w:t>
      </w:r>
    </w:p>
    <w:p>
      <w:pPr>
        <w:spacing w:after="0" w:line="161"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EXECUTIVE OFFICERS - A complete list of all officers of the company is found on the inside back cover of the Registrant's Annual Report for the year ended July 31, 1994. Those persons deemed "EXECUTIVE OFFICERS" are listed below in alphabetical order. The list below includes their age and position with the company as of October 17, 1994, and positions held by them during the last five years. Officers are elected or appointed annually. Additional information regarding certain of the executive officers is contained in the Proxy Statement for the Annual Meeting of Stockholders to be held December 15, 1994.</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20" w:type="dxa"/>
            <w:vAlign w:val="bottom"/>
          </w:tcPr>
          <w:p>
            <w:pPr>
              <w:spacing w:after="0"/>
              <w:rPr>
                <w:sz w:val="20"/>
                <w:szCs w:val="20"/>
                <w:color w:val="auto"/>
              </w:rPr>
            </w:pPr>
            <w:r>
              <w:rPr>
                <w:rFonts w:ascii="Courier New" w:cs="Courier New" w:eastAsia="Courier New" w:hAnsi="Courier New"/>
                <w:sz w:val="15"/>
                <w:szCs w:val="15"/>
                <w:color w:val="auto"/>
              </w:rPr>
              <w:t>Name, Age and Position</w:t>
            </w:r>
          </w:p>
        </w:tc>
        <w:tc>
          <w:tcPr>
            <w:tcW w:w="7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1"/>
        </w:trPr>
        <w:tc>
          <w:tcPr>
            <w:tcW w:w="2120" w:type="dxa"/>
            <w:vAlign w:val="bottom"/>
          </w:tcPr>
          <w:p>
            <w:pPr>
              <w:ind w:left="260"/>
              <w:spacing w:after="0"/>
              <w:rPr>
                <w:sz w:val="20"/>
                <w:szCs w:val="20"/>
                <w:color w:val="auto"/>
              </w:rPr>
            </w:pPr>
            <w:r>
              <w:rPr>
                <w:rFonts w:ascii="Courier New" w:cs="Courier New" w:eastAsia="Courier New" w:hAnsi="Courier New"/>
                <w:sz w:val="15"/>
                <w:szCs w:val="15"/>
                <w:color w:val="auto"/>
              </w:rPr>
              <w:t>with the Company</w:t>
            </w:r>
          </w:p>
        </w:tc>
        <w:tc>
          <w:tcPr>
            <w:tcW w:w="49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Business Experience During the Last Five Years</w:t>
            </w:r>
          </w:p>
        </w:tc>
      </w:tr>
      <w:tr>
        <w:trPr>
          <w:trHeight w:val="171"/>
        </w:trPr>
        <w:tc>
          <w:tcPr>
            <w:tcW w:w="2840" w:type="dxa"/>
            <w:vAlign w:val="bottom"/>
            <w:gridSpan w:val="2"/>
          </w:tcPr>
          <w:p>
            <w:pPr>
              <w:spacing w:after="0"/>
              <w:rPr>
                <w:sz w:val="20"/>
                <w:szCs w:val="20"/>
                <w:color w:val="auto"/>
              </w:rPr>
            </w:pPr>
            <w:r>
              <w:rPr>
                <w:rFonts w:ascii="Courier New" w:cs="Courier New" w:eastAsia="Courier New" w:hAnsi="Courier New"/>
                <w:sz w:val="15"/>
                <w:szCs w:val="15"/>
                <w:color w:val="auto"/>
              </w:rPr>
              <w:t>- - - - ----------------------</w:t>
            </w:r>
          </w:p>
        </w:tc>
        <w:tc>
          <w:tcPr>
            <w:tcW w:w="4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120" w:type="dxa"/>
            <w:vAlign w:val="bottom"/>
          </w:tcPr>
          <w:p>
            <w:pPr>
              <w:spacing w:after="0"/>
              <w:rPr>
                <w:sz w:val="20"/>
                <w:szCs w:val="20"/>
                <w:color w:val="auto"/>
              </w:rPr>
            </w:pPr>
            <w:r>
              <w:rPr>
                <w:rFonts w:ascii="Courier New" w:cs="Courier New" w:eastAsia="Courier New" w:hAnsi="Courier New"/>
                <w:sz w:val="15"/>
                <w:szCs w:val="15"/>
                <w:color w:val="auto"/>
              </w:rPr>
              <w:t>Calvin R. Hendrix</w:t>
            </w:r>
          </w:p>
        </w:tc>
        <w:tc>
          <w:tcPr>
            <w:tcW w:w="49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Appointed Vice President, Irrigation Division in</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43, Vice President and</w:t>
            </w:r>
          </w:p>
        </w:tc>
        <w:tc>
          <w:tcPr>
            <w:tcW w:w="49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September 1993.  From 1988 to September 1993, held</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General Manager</w:t>
            </w:r>
          </w:p>
        </w:tc>
        <w:tc>
          <w:tcPr>
            <w:tcW w:w="49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various management positions with Masco Corporation.</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Irrigation Products</w:t>
            </w:r>
          </w:p>
        </w:tc>
        <w:tc>
          <w:tcPr>
            <w:tcW w:w="7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41"/>
        </w:trPr>
        <w:tc>
          <w:tcPr>
            <w:tcW w:w="2120" w:type="dxa"/>
            <w:vAlign w:val="bottom"/>
          </w:tcPr>
          <w:p>
            <w:pPr>
              <w:spacing w:after="0"/>
              <w:rPr>
                <w:sz w:val="20"/>
                <w:szCs w:val="20"/>
                <w:color w:val="auto"/>
              </w:rPr>
            </w:pPr>
            <w:r>
              <w:rPr>
                <w:rFonts w:ascii="Courier New" w:cs="Courier New" w:eastAsia="Courier New" w:hAnsi="Courier New"/>
                <w:sz w:val="15"/>
                <w:szCs w:val="15"/>
                <w:color w:val="auto"/>
              </w:rPr>
              <w:t>Randy B. James</w:t>
            </w:r>
          </w:p>
        </w:tc>
        <w:tc>
          <w:tcPr>
            <w:tcW w:w="498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8"/>
              </w:rPr>
              <w:t>Appointed Vice President, Controller in December 1988.</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51, Vice President,</w:t>
            </w:r>
          </w:p>
        </w:tc>
        <w:tc>
          <w:tcPr>
            <w:tcW w:w="49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Previously held various management positions within</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Controller</w:t>
            </w:r>
          </w:p>
        </w:tc>
        <w:tc>
          <w:tcPr>
            <w:tcW w:w="34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the company.</w:t>
            </w:r>
          </w:p>
        </w:tc>
        <w:tc>
          <w:tcPr>
            <w:tcW w:w="1520" w:type="dxa"/>
            <w:vAlign w:val="bottom"/>
          </w:tcPr>
          <w:p>
            <w:pPr>
              <w:spacing w:after="0"/>
              <w:rPr>
                <w:sz w:val="14"/>
                <w:szCs w:val="14"/>
                <w:color w:val="auto"/>
              </w:rPr>
            </w:pPr>
          </w:p>
        </w:tc>
      </w:tr>
      <w:tr>
        <w:trPr>
          <w:trHeight w:val="341"/>
        </w:trPr>
        <w:tc>
          <w:tcPr>
            <w:tcW w:w="2120" w:type="dxa"/>
            <w:vAlign w:val="bottom"/>
          </w:tcPr>
          <w:p>
            <w:pPr>
              <w:spacing w:after="0"/>
              <w:rPr>
                <w:sz w:val="20"/>
                <w:szCs w:val="20"/>
                <w:color w:val="auto"/>
              </w:rPr>
            </w:pPr>
            <w:r>
              <w:rPr>
                <w:rFonts w:ascii="Courier New" w:cs="Courier New" w:eastAsia="Courier New" w:hAnsi="Courier New"/>
                <w:sz w:val="15"/>
                <w:szCs w:val="15"/>
                <w:color w:val="auto"/>
              </w:rPr>
              <w:t>Gerald T. Knight</w:t>
            </w:r>
          </w:p>
        </w:tc>
        <w:tc>
          <w:tcPr>
            <w:tcW w:w="49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Elected Vice President-Finance in April 1992. From</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47, Vice President-</w:t>
            </w:r>
          </w:p>
        </w:tc>
        <w:tc>
          <w:tcPr>
            <w:tcW w:w="49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December 1990 to April 1992, was Executive Director -</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Finance, Chief</w:t>
            </w:r>
          </w:p>
        </w:tc>
        <w:tc>
          <w:tcPr>
            <w:tcW w:w="34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Finance and Corporate Controller of</w:t>
            </w:r>
          </w:p>
        </w:tc>
        <w:tc>
          <w:tcPr>
            <w:tcW w:w="1520" w:type="dxa"/>
            <w:vAlign w:val="bottom"/>
          </w:tcPr>
          <w:p>
            <w:pPr>
              <w:spacing w:after="0"/>
              <w:rPr>
                <w:sz w:val="14"/>
                <w:szCs w:val="14"/>
                <w:color w:val="auto"/>
              </w:rPr>
            </w:pP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Financial Officer</w:t>
            </w:r>
          </w:p>
        </w:tc>
        <w:tc>
          <w:tcPr>
            <w:tcW w:w="49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NeXT Computer, Inc. Prior to December 1990, held</w:t>
            </w:r>
          </w:p>
        </w:tc>
      </w:tr>
      <w:tr>
        <w:trPr>
          <w:trHeight w:val="171"/>
        </w:trPr>
        <w:tc>
          <w:tcPr>
            <w:tcW w:w="2120" w:type="dxa"/>
            <w:vAlign w:val="bottom"/>
          </w:tcPr>
          <w:p>
            <w:pPr>
              <w:spacing w:after="0"/>
              <w:rPr>
                <w:sz w:val="14"/>
                <w:szCs w:val="14"/>
                <w:color w:val="auto"/>
              </w:rPr>
            </w:pPr>
          </w:p>
        </w:tc>
        <w:tc>
          <w:tcPr>
            <w:tcW w:w="49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various management positions with The Pillsbury</w:t>
            </w:r>
          </w:p>
        </w:tc>
      </w:tr>
      <w:tr>
        <w:trPr>
          <w:trHeight w:val="171"/>
        </w:trPr>
        <w:tc>
          <w:tcPr>
            <w:tcW w:w="2120" w:type="dxa"/>
            <w:vAlign w:val="bottom"/>
          </w:tcPr>
          <w:p>
            <w:pPr>
              <w:spacing w:after="0"/>
              <w:rPr>
                <w:sz w:val="14"/>
                <w:szCs w:val="14"/>
                <w:color w:val="auto"/>
              </w:rPr>
            </w:pPr>
          </w:p>
        </w:tc>
        <w:tc>
          <w:tcPr>
            <w:tcW w:w="49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Company (a subsidiary of Grand Metropolitan).</w:t>
            </w:r>
          </w:p>
        </w:tc>
      </w:tr>
      <w:tr>
        <w:trPr>
          <w:trHeight w:val="341"/>
        </w:trPr>
        <w:tc>
          <w:tcPr>
            <w:tcW w:w="2120" w:type="dxa"/>
            <w:vAlign w:val="bottom"/>
          </w:tcPr>
          <w:p>
            <w:pPr>
              <w:spacing w:after="0"/>
              <w:rPr>
                <w:sz w:val="20"/>
                <w:szCs w:val="20"/>
                <w:color w:val="auto"/>
              </w:rPr>
            </w:pPr>
            <w:r>
              <w:rPr>
                <w:rFonts w:ascii="Courier New" w:cs="Courier New" w:eastAsia="Courier New" w:hAnsi="Courier New"/>
                <w:sz w:val="15"/>
                <w:szCs w:val="15"/>
                <w:color w:val="auto"/>
              </w:rPr>
              <w:t>Charles B. Lounsbury</w:t>
            </w:r>
          </w:p>
        </w:tc>
        <w:tc>
          <w:tcPr>
            <w:tcW w:w="49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Appointed Vice President, Distribution Parts and</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51, Vice President,</w:t>
            </w:r>
          </w:p>
        </w:tc>
        <w:tc>
          <w:tcPr>
            <w:tcW w:w="34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Debris Management in November 1993.</w:t>
            </w:r>
          </w:p>
        </w:tc>
        <w:tc>
          <w:tcPr>
            <w:tcW w:w="1520" w:type="dxa"/>
            <w:vAlign w:val="bottom"/>
          </w:tcPr>
          <w:p>
            <w:pPr>
              <w:spacing w:after="0"/>
              <w:rPr>
                <w:sz w:val="20"/>
                <w:szCs w:val="20"/>
                <w:color w:val="auto"/>
              </w:rPr>
            </w:pPr>
            <w:r>
              <w:rPr>
                <w:rFonts w:ascii="Courier New" w:cs="Courier New" w:eastAsia="Courier New" w:hAnsi="Courier New"/>
                <w:sz w:val="15"/>
                <w:szCs w:val="15"/>
                <w:color w:val="auto"/>
              </w:rPr>
              <w:t>From</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Distribution, Parts</w:t>
            </w:r>
          </w:p>
        </w:tc>
        <w:tc>
          <w:tcPr>
            <w:tcW w:w="49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May 1991 to November 1993 was President and Chief</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and Debris Management</w:t>
            </w:r>
          </w:p>
        </w:tc>
        <w:tc>
          <w:tcPr>
            <w:tcW w:w="49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Operating Officer of Leaseway Transportation</w:t>
            </w:r>
          </w:p>
        </w:tc>
      </w:tr>
      <w:tr>
        <w:trPr>
          <w:trHeight w:val="171"/>
        </w:trPr>
        <w:tc>
          <w:tcPr>
            <w:tcW w:w="2120" w:type="dxa"/>
            <w:vAlign w:val="bottom"/>
          </w:tcPr>
          <w:p>
            <w:pPr>
              <w:spacing w:after="0"/>
              <w:rPr>
                <w:sz w:val="14"/>
                <w:szCs w:val="14"/>
                <w:color w:val="auto"/>
              </w:rPr>
            </w:pPr>
          </w:p>
        </w:tc>
        <w:tc>
          <w:tcPr>
            <w:tcW w:w="49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Corporation. While Mr. Lounsbury served as</w:t>
            </w:r>
          </w:p>
        </w:tc>
      </w:tr>
      <w:tr>
        <w:trPr>
          <w:trHeight w:val="171"/>
        </w:trPr>
        <w:tc>
          <w:tcPr>
            <w:tcW w:w="2120" w:type="dxa"/>
            <w:vAlign w:val="bottom"/>
          </w:tcPr>
          <w:p>
            <w:pPr>
              <w:spacing w:after="0"/>
              <w:rPr>
                <w:sz w:val="14"/>
                <w:szCs w:val="14"/>
                <w:color w:val="auto"/>
              </w:rPr>
            </w:pPr>
          </w:p>
        </w:tc>
        <w:tc>
          <w:tcPr>
            <w:tcW w:w="49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President and a director of Leaseway, it filed for</w:t>
            </w:r>
          </w:p>
        </w:tc>
      </w:tr>
      <w:tr>
        <w:trPr>
          <w:trHeight w:val="171"/>
        </w:trPr>
        <w:tc>
          <w:tcPr>
            <w:tcW w:w="2120" w:type="dxa"/>
            <w:vAlign w:val="bottom"/>
          </w:tcPr>
          <w:p>
            <w:pPr>
              <w:spacing w:after="0"/>
              <w:rPr>
                <w:sz w:val="14"/>
                <w:szCs w:val="14"/>
                <w:color w:val="auto"/>
              </w:rPr>
            </w:pPr>
          </w:p>
        </w:tc>
        <w:tc>
          <w:tcPr>
            <w:tcW w:w="49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protection under Chapter 11 and was, during that</w:t>
            </w:r>
          </w:p>
        </w:tc>
      </w:tr>
      <w:tr>
        <w:trPr>
          <w:trHeight w:val="171"/>
        </w:trPr>
        <w:tc>
          <w:tcPr>
            <w:tcW w:w="2120" w:type="dxa"/>
            <w:vAlign w:val="bottom"/>
          </w:tcPr>
          <w:p>
            <w:pPr>
              <w:spacing w:after="0"/>
              <w:rPr>
                <w:sz w:val="14"/>
                <w:szCs w:val="14"/>
                <w:color w:val="auto"/>
              </w:rPr>
            </w:pPr>
          </w:p>
        </w:tc>
        <w:tc>
          <w:tcPr>
            <w:tcW w:w="49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period, discharged.  From August 1987 to May 1991</w:t>
            </w:r>
          </w:p>
        </w:tc>
      </w:tr>
      <w:tr>
        <w:trPr>
          <w:trHeight w:val="171"/>
        </w:trPr>
        <w:tc>
          <w:tcPr>
            <w:tcW w:w="2120" w:type="dxa"/>
            <w:vAlign w:val="bottom"/>
          </w:tcPr>
          <w:p>
            <w:pPr>
              <w:spacing w:after="0"/>
              <w:rPr>
                <w:sz w:val="14"/>
                <w:szCs w:val="14"/>
                <w:color w:val="auto"/>
              </w:rPr>
            </w:pPr>
          </w:p>
        </w:tc>
        <w:tc>
          <w:tcPr>
            <w:tcW w:w="34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was Senior Vice President of Leaseway</w:t>
            </w:r>
          </w:p>
        </w:tc>
        <w:tc>
          <w:tcPr>
            <w:tcW w:w="1520" w:type="dxa"/>
            <w:vAlign w:val="bottom"/>
          </w:tcPr>
          <w:p>
            <w:pPr>
              <w:spacing w:after="0"/>
              <w:rPr>
                <w:sz w:val="14"/>
                <w:szCs w:val="14"/>
                <w:color w:val="auto"/>
              </w:rPr>
            </w:pPr>
          </w:p>
        </w:tc>
      </w:tr>
      <w:tr>
        <w:trPr>
          <w:trHeight w:val="171"/>
        </w:trPr>
        <w:tc>
          <w:tcPr>
            <w:tcW w:w="2120" w:type="dxa"/>
            <w:vAlign w:val="bottom"/>
          </w:tcPr>
          <w:p>
            <w:pPr>
              <w:spacing w:after="0"/>
              <w:rPr>
                <w:sz w:val="14"/>
                <w:szCs w:val="14"/>
                <w:color w:val="auto"/>
              </w:rPr>
            </w:pPr>
          </w:p>
        </w:tc>
        <w:tc>
          <w:tcPr>
            <w:tcW w:w="34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Transportation Corporation.</w:t>
            </w:r>
          </w:p>
        </w:tc>
        <w:tc>
          <w:tcPr>
            <w:tcW w:w="1520" w:type="dxa"/>
            <w:vAlign w:val="bottom"/>
          </w:tcPr>
          <w:p>
            <w:pPr>
              <w:spacing w:after="0"/>
              <w:rPr>
                <w:sz w:val="14"/>
                <w:szCs w:val="14"/>
                <w:color w:val="auto"/>
              </w:rPr>
            </w:pPr>
          </w:p>
        </w:tc>
      </w:tr>
      <w:tr>
        <w:trPr>
          <w:trHeight w:val="341"/>
        </w:trPr>
        <w:tc>
          <w:tcPr>
            <w:tcW w:w="2120" w:type="dxa"/>
            <w:vAlign w:val="bottom"/>
          </w:tcPr>
          <w:p>
            <w:pPr>
              <w:spacing w:after="0"/>
              <w:rPr>
                <w:sz w:val="20"/>
                <w:szCs w:val="20"/>
                <w:color w:val="auto"/>
              </w:rPr>
            </w:pPr>
            <w:r>
              <w:rPr>
                <w:rFonts w:ascii="Courier New" w:cs="Courier New" w:eastAsia="Courier New" w:hAnsi="Courier New"/>
                <w:sz w:val="15"/>
                <w:szCs w:val="15"/>
                <w:color w:val="auto"/>
              </w:rPr>
              <w:t>J. David McIntosh</w:t>
            </w:r>
          </w:p>
        </w:tc>
        <w:tc>
          <w:tcPr>
            <w:tcW w:w="49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Appointed Vice President, Consumer Division in</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51, Vice President</w:t>
            </w:r>
          </w:p>
        </w:tc>
        <w:tc>
          <w:tcPr>
            <w:tcW w:w="49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February 1992. Appointed Vice President and General</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and General Manager,</w:t>
            </w:r>
          </w:p>
        </w:tc>
        <w:tc>
          <w:tcPr>
            <w:tcW w:w="49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Manager, Home Improvement Division in May 1986.</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Consumer Products</w:t>
            </w:r>
          </w:p>
        </w:tc>
        <w:tc>
          <w:tcPr>
            <w:tcW w:w="7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512"/>
        </w:trPr>
        <w:tc>
          <w:tcPr>
            <w:tcW w:w="2120" w:type="dxa"/>
            <w:vAlign w:val="bottom"/>
          </w:tcPr>
          <w:p>
            <w:pPr>
              <w:spacing w:after="0"/>
              <w:rPr>
                <w:sz w:val="20"/>
                <w:szCs w:val="20"/>
                <w:color w:val="auto"/>
              </w:rPr>
            </w:pPr>
            <w:r>
              <w:rPr>
                <w:rFonts w:ascii="Courier New" w:cs="Courier New" w:eastAsia="Courier New" w:hAnsi="Courier New"/>
                <w:sz w:val="15"/>
                <w:szCs w:val="15"/>
                <w:color w:val="auto"/>
              </w:rPr>
              <w:t>J. Lawrence McIntyre</w:t>
            </w:r>
          </w:p>
        </w:tc>
        <w:tc>
          <w:tcPr>
            <w:tcW w:w="34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Elected Vice President in July 1993.</w:t>
            </w:r>
          </w:p>
        </w:tc>
        <w:tc>
          <w:tcPr>
            <w:tcW w:w="1520" w:type="dxa"/>
            <w:vAlign w:val="bottom"/>
          </w:tcPr>
          <w:p>
            <w:pPr>
              <w:spacing w:after="0"/>
              <w:rPr>
                <w:sz w:val="20"/>
                <w:szCs w:val="20"/>
                <w:color w:val="auto"/>
              </w:rPr>
            </w:pPr>
            <w:r>
              <w:rPr>
                <w:rFonts w:ascii="Courier New" w:cs="Courier New" w:eastAsia="Courier New" w:hAnsi="Courier New"/>
                <w:sz w:val="15"/>
                <w:szCs w:val="15"/>
                <w:color w:val="auto"/>
                <w:w w:val="98"/>
              </w:rPr>
              <w:t>Elected Secretary</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52, Vice President,</w:t>
            </w:r>
          </w:p>
        </w:tc>
        <w:tc>
          <w:tcPr>
            <w:tcW w:w="34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and General Counsel in August 1993.</w:t>
            </w:r>
          </w:p>
        </w:tc>
        <w:tc>
          <w:tcPr>
            <w:tcW w:w="1520" w:type="dxa"/>
            <w:vAlign w:val="bottom"/>
          </w:tcPr>
          <w:p>
            <w:pPr>
              <w:spacing w:after="0"/>
              <w:rPr>
                <w:sz w:val="20"/>
                <w:szCs w:val="20"/>
                <w:color w:val="auto"/>
              </w:rPr>
            </w:pPr>
            <w:r>
              <w:rPr>
                <w:rFonts w:ascii="Courier New" w:cs="Courier New" w:eastAsia="Courier New" w:hAnsi="Courier New"/>
                <w:sz w:val="15"/>
                <w:szCs w:val="15"/>
                <w:color w:val="auto"/>
              </w:rPr>
              <w:t>Prior to</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Secretary and</w:t>
            </w:r>
          </w:p>
        </w:tc>
        <w:tc>
          <w:tcPr>
            <w:tcW w:w="34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July 1993, was a shareholder with</w:t>
            </w:r>
          </w:p>
        </w:tc>
        <w:tc>
          <w:tcPr>
            <w:tcW w:w="1520" w:type="dxa"/>
            <w:vAlign w:val="bottom"/>
          </w:tcPr>
          <w:p>
            <w:pPr>
              <w:spacing w:after="0"/>
              <w:rPr>
                <w:sz w:val="14"/>
                <w:szCs w:val="14"/>
                <w:color w:val="auto"/>
              </w:rPr>
            </w:pP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General Counsel</w:t>
            </w:r>
          </w:p>
        </w:tc>
        <w:tc>
          <w:tcPr>
            <w:tcW w:w="49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Doherty, Rumble &amp; Butler Professional Association.</w:t>
            </w:r>
          </w:p>
        </w:tc>
      </w:tr>
      <w:tr>
        <w:trPr>
          <w:trHeight w:val="512"/>
        </w:trPr>
        <w:tc>
          <w:tcPr>
            <w:tcW w:w="2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740" w:type="dxa"/>
            <w:vAlign w:val="bottom"/>
          </w:tcPr>
          <w:p>
            <w:pPr>
              <w:jc w:val="right"/>
              <w:ind w:right="1786"/>
              <w:spacing w:after="0"/>
              <w:rPr>
                <w:sz w:val="20"/>
                <w:szCs w:val="20"/>
                <w:color w:val="auto"/>
              </w:rPr>
            </w:pPr>
            <w:r>
              <w:rPr>
                <w:rFonts w:ascii="Courier New" w:cs="Courier New" w:eastAsia="Courier New" w:hAnsi="Courier New"/>
                <w:sz w:val="15"/>
                <w:szCs w:val="15"/>
                <w:color w:val="auto"/>
              </w:rPr>
              <w:t>-8-</w:t>
            </w:r>
          </w:p>
        </w:tc>
        <w:tc>
          <w:tcPr>
            <w:tcW w:w="152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rPr>
              <w:t>Name, Age and Position</w:t>
            </w:r>
          </w:p>
        </w:tc>
        <w:tc>
          <w:tcPr>
            <w:tcW w:w="680" w:type="dxa"/>
            <w:vAlign w:val="bottom"/>
          </w:tcPr>
          <w:p>
            <w:pPr>
              <w:spacing w:after="0"/>
              <w:rPr>
                <w:sz w:val="14"/>
                <w:szCs w:val="14"/>
                <w:color w:val="auto"/>
              </w:rPr>
            </w:pPr>
          </w:p>
        </w:tc>
        <w:tc>
          <w:tcPr>
            <w:tcW w:w="4260" w:type="dxa"/>
            <w:vAlign w:val="bottom"/>
          </w:tcPr>
          <w:p>
            <w:pPr>
              <w:spacing w:after="0"/>
              <w:rPr>
                <w:sz w:val="14"/>
                <w:szCs w:val="14"/>
                <w:color w:val="auto"/>
              </w:rPr>
            </w:pPr>
          </w:p>
        </w:tc>
      </w:tr>
      <w:tr>
        <w:trPr>
          <w:trHeight w:val="171"/>
        </w:trPr>
        <w:tc>
          <w:tcPr>
            <w:tcW w:w="2160" w:type="dxa"/>
            <w:vAlign w:val="bottom"/>
          </w:tcPr>
          <w:p>
            <w:pPr>
              <w:ind w:left="260"/>
              <w:spacing w:after="0"/>
              <w:rPr>
                <w:sz w:val="20"/>
                <w:szCs w:val="20"/>
                <w:color w:val="auto"/>
              </w:rPr>
            </w:pPr>
            <w:r>
              <w:rPr>
                <w:rFonts w:ascii="Courier New" w:cs="Courier New" w:eastAsia="Courier New" w:hAnsi="Courier New"/>
                <w:sz w:val="15"/>
                <w:szCs w:val="15"/>
                <w:color w:val="auto"/>
              </w:rPr>
              <w:t>with the Company</w:t>
            </w:r>
          </w:p>
        </w:tc>
        <w:tc>
          <w:tcPr>
            <w:tcW w:w="49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Business Experience During the Last Five Years</w:t>
            </w:r>
          </w:p>
        </w:tc>
      </w:tr>
      <w:tr>
        <w:trPr>
          <w:trHeight w:val="171"/>
        </w:trPr>
        <w:tc>
          <w:tcPr>
            <w:tcW w:w="2840" w:type="dxa"/>
            <w:vAlign w:val="bottom"/>
            <w:gridSpan w:val="2"/>
          </w:tcPr>
          <w:p>
            <w:pPr>
              <w:spacing w:after="0"/>
              <w:rPr>
                <w:sz w:val="20"/>
                <w:szCs w:val="20"/>
                <w:color w:val="auto"/>
              </w:rPr>
            </w:pPr>
            <w:r>
              <w:rPr>
                <w:rFonts w:ascii="Courier New" w:cs="Courier New" w:eastAsia="Courier New" w:hAnsi="Courier New"/>
                <w:sz w:val="15"/>
                <w:szCs w:val="15"/>
                <w:color w:val="auto"/>
              </w:rPr>
              <w:t>- - - - ----------------------</w:t>
            </w:r>
          </w:p>
        </w:tc>
        <w:tc>
          <w:tcPr>
            <w:tcW w:w="4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160" w:type="dxa"/>
            <w:vAlign w:val="bottom"/>
          </w:tcPr>
          <w:p>
            <w:pPr>
              <w:spacing w:after="0"/>
              <w:rPr>
                <w:sz w:val="20"/>
                <w:szCs w:val="20"/>
                <w:color w:val="auto"/>
              </w:rPr>
            </w:pPr>
            <w:r>
              <w:rPr>
                <w:rFonts w:ascii="Courier New" w:cs="Courier New" w:eastAsia="Courier New" w:hAnsi="Courier New"/>
                <w:sz w:val="15"/>
                <w:szCs w:val="15"/>
                <w:color w:val="auto"/>
              </w:rPr>
              <w:t>Kendrick B. Melrose</w:t>
            </w:r>
          </w:p>
        </w:tc>
        <w:tc>
          <w:tcPr>
            <w:tcW w:w="49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Elected Chairman of the Board in December 1987.</w:t>
            </w:r>
          </w:p>
        </w:tc>
      </w:tr>
      <w:tr>
        <w:trPr>
          <w:trHeight w:val="171"/>
        </w:trPr>
        <w:tc>
          <w:tcPr>
            <w:tcW w:w="2160" w:type="dxa"/>
            <w:vAlign w:val="bottom"/>
          </w:tcPr>
          <w:p>
            <w:pPr>
              <w:spacing w:after="0"/>
              <w:rPr>
                <w:sz w:val="20"/>
                <w:szCs w:val="20"/>
                <w:color w:val="auto"/>
              </w:rPr>
            </w:pPr>
            <w:r>
              <w:rPr>
                <w:rFonts w:ascii="Courier New" w:cs="Courier New" w:eastAsia="Courier New" w:hAnsi="Courier New"/>
                <w:sz w:val="15"/>
                <w:szCs w:val="15"/>
                <w:color w:val="auto"/>
              </w:rPr>
              <w:t>54, Chairman of the</w:t>
            </w:r>
          </w:p>
        </w:tc>
        <w:tc>
          <w:tcPr>
            <w:tcW w:w="49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Elected Chief Executive Officer in December 1983.</w:t>
            </w:r>
          </w:p>
        </w:tc>
      </w:tr>
      <w:tr>
        <w:trPr>
          <w:trHeight w:val="171"/>
        </w:trPr>
        <w:tc>
          <w:tcPr>
            <w:tcW w:w="2160" w:type="dxa"/>
            <w:vAlign w:val="bottom"/>
          </w:tcPr>
          <w:p>
            <w:pPr>
              <w:spacing w:after="0"/>
              <w:rPr>
                <w:sz w:val="20"/>
                <w:szCs w:val="20"/>
                <w:color w:val="auto"/>
              </w:rPr>
            </w:pPr>
            <w:r>
              <w:rPr>
                <w:rFonts w:ascii="Courier New" w:cs="Courier New" w:eastAsia="Courier New" w:hAnsi="Courier New"/>
                <w:sz w:val="15"/>
                <w:szCs w:val="15"/>
                <w:color w:val="auto"/>
              </w:rPr>
              <w:t>Board and Chief</w:t>
            </w:r>
          </w:p>
        </w:tc>
        <w:tc>
          <w:tcPr>
            <w:tcW w:w="680" w:type="dxa"/>
            <w:vAlign w:val="bottom"/>
          </w:tcPr>
          <w:p>
            <w:pPr>
              <w:spacing w:after="0"/>
              <w:rPr>
                <w:sz w:val="14"/>
                <w:szCs w:val="14"/>
                <w:color w:val="auto"/>
              </w:rPr>
            </w:pPr>
          </w:p>
        </w:tc>
        <w:tc>
          <w:tcPr>
            <w:tcW w:w="4260" w:type="dxa"/>
            <w:vAlign w:val="bottom"/>
          </w:tcPr>
          <w:p>
            <w:pPr>
              <w:spacing w:after="0"/>
              <w:rPr>
                <w:sz w:val="14"/>
                <w:szCs w:val="14"/>
                <w:color w:val="auto"/>
              </w:rPr>
            </w:pPr>
          </w:p>
        </w:tc>
      </w:tr>
      <w:tr>
        <w:trPr>
          <w:trHeight w:val="171"/>
        </w:trPr>
        <w:tc>
          <w:tcPr>
            <w:tcW w:w="2160" w:type="dxa"/>
            <w:vAlign w:val="bottom"/>
          </w:tcPr>
          <w:p>
            <w:pPr>
              <w:spacing w:after="0"/>
              <w:rPr>
                <w:sz w:val="20"/>
                <w:szCs w:val="20"/>
                <w:color w:val="auto"/>
              </w:rPr>
            </w:pPr>
            <w:r>
              <w:rPr>
                <w:rFonts w:ascii="Courier New" w:cs="Courier New" w:eastAsia="Courier New" w:hAnsi="Courier New"/>
                <w:sz w:val="15"/>
                <w:szCs w:val="15"/>
                <w:color w:val="auto"/>
              </w:rPr>
              <w:t>Executive Officer</w:t>
            </w:r>
          </w:p>
        </w:tc>
        <w:tc>
          <w:tcPr>
            <w:tcW w:w="680" w:type="dxa"/>
            <w:vAlign w:val="bottom"/>
          </w:tcPr>
          <w:p>
            <w:pPr>
              <w:spacing w:after="0"/>
              <w:rPr>
                <w:sz w:val="14"/>
                <w:szCs w:val="14"/>
                <w:color w:val="auto"/>
              </w:rPr>
            </w:pPr>
          </w:p>
        </w:tc>
        <w:tc>
          <w:tcPr>
            <w:tcW w:w="4260" w:type="dxa"/>
            <w:vAlign w:val="bottom"/>
          </w:tcPr>
          <w:p>
            <w:pPr>
              <w:spacing w:after="0"/>
              <w:rPr>
                <w:sz w:val="14"/>
                <w:szCs w:val="14"/>
                <w:color w:val="auto"/>
              </w:rPr>
            </w:pPr>
          </w:p>
        </w:tc>
      </w:tr>
      <w:tr>
        <w:trPr>
          <w:trHeight w:val="512"/>
        </w:trPr>
        <w:tc>
          <w:tcPr>
            <w:tcW w:w="2160" w:type="dxa"/>
            <w:vAlign w:val="bottom"/>
          </w:tcPr>
          <w:p>
            <w:pPr>
              <w:spacing w:after="0"/>
              <w:rPr>
                <w:sz w:val="20"/>
                <w:szCs w:val="20"/>
                <w:color w:val="auto"/>
              </w:rPr>
            </w:pPr>
            <w:r>
              <w:rPr>
                <w:rFonts w:ascii="Courier New" w:cs="Courier New" w:eastAsia="Courier New" w:hAnsi="Courier New"/>
                <w:sz w:val="15"/>
                <w:szCs w:val="15"/>
                <w:color w:val="auto"/>
              </w:rPr>
              <w:t>Karen M. Meyer</w:t>
            </w:r>
          </w:p>
        </w:tc>
        <w:tc>
          <w:tcPr>
            <w:tcW w:w="49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8"/>
              </w:rPr>
              <w:t>Elected Vice President, Human Resources/Administrative</w:t>
            </w:r>
          </w:p>
        </w:tc>
      </w:tr>
      <w:tr>
        <w:trPr>
          <w:trHeight w:val="171"/>
        </w:trPr>
        <w:tc>
          <w:tcPr>
            <w:tcW w:w="2160" w:type="dxa"/>
            <w:vAlign w:val="bottom"/>
          </w:tcPr>
          <w:p>
            <w:pPr>
              <w:spacing w:after="0"/>
              <w:rPr>
                <w:sz w:val="20"/>
                <w:szCs w:val="20"/>
                <w:color w:val="auto"/>
              </w:rPr>
            </w:pPr>
            <w:r>
              <w:rPr>
                <w:rFonts w:ascii="Courier New" w:cs="Courier New" w:eastAsia="Courier New" w:hAnsi="Courier New"/>
                <w:sz w:val="15"/>
                <w:szCs w:val="15"/>
                <w:color w:val="auto"/>
              </w:rPr>
              <w:t>44, Vice President</w:t>
            </w:r>
          </w:p>
        </w:tc>
        <w:tc>
          <w:tcPr>
            <w:tcW w:w="49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Services in December 1991.  Appointed Vice President,</w:t>
            </w:r>
          </w:p>
        </w:tc>
      </w:tr>
      <w:tr>
        <w:trPr>
          <w:trHeight w:val="171"/>
        </w:trPr>
        <w:tc>
          <w:tcPr>
            <w:tcW w:w="2160" w:type="dxa"/>
            <w:vAlign w:val="bottom"/>
          </w:tcPr>
          <w:p>
            <w:pPr>
              <w:spacing w:after="0"/>
              <w:rPr>
                <w:sz w:val="20"/>
                <w:szCs w:val="20"/>
                <w:color w:val="auto"/>
              </w:rPr>
            </w:pPr>
            <w:r>
              <w:rPr>
                <w:rFonts w:ascii="Courier New" w:cs="Courier New" w:eastAsia="Courier New" w:hAnsi="Courier New"/>
                <w:sz w:val="15"/>
                <w:szCs w:val="15"/>
                <w:color w:val="auto"/>
              </w:rPr>
              <w:t>Human Resources/</w:t>
            </w:r>
          </w:p>
        </w:tc>
        <w:tc>
          <w:tcPr>
            <w:tcW w:w="49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Human Resources/Administrative Services in December,</w:t>
            </w:r>
          </w:p>
        </w:tc>
      </w:tr>
      <w:tr>
        <w:trPr>
          <w:trHeight w:val="171"/>
        </w:trPr>
        <w:tc>
          <w:tcPr>
            <w:tcW w:w="2160" w:type="dxa"/>
            <w:vAlign w:val="bottom"/>
          </w:tcPr>
          <w:p>
            <w:pPr>
              <w:spacing w:after="0"/>
              <w:rPr>
                <w:sz w:val="20"/>
                <w:szCs w:val="20"/>
                <w:color w:val="auto"/>
              </w:rPr>
            </w:pPr>
            <w:r>
              <w:rPr>
                <w:rFonts w:ascii="Courier New" w:cs="Courier New" w:eastAsia="Courier New" w:hAnsi="Courier New"/>
                <w:sz w:val="15"/>
                <w:szCs w:val="15"/>
                <w:color w:val="auto"/>
              </w:rPr>
              <w:t>Administrative Services</w:t>
            </w:r>
          </w:p>
        </w:tc>
        <w:tc>
          <w:tcPr>
            <w:tcW w:w="680" w:type="dxa"/>
            <w:vAlign w:val="bottom"/>
          </w:tcPr>
          <w:p>
            <w:pPr>
              <w:ind w:left="140"/>
              <w:spacing w:after="0"/>
              <w:rPr>
                <w:sz w:val="20"/>
                <w:szCs w:val="20"/>
                <w:color w:val="auto"/>
              </w:rPr>
            </w:pPr>
            <w:r>
              <w:rPr>
                <w:rFonts w:ascii="Courier New" w:cs="Courier New" w:eastAsia="Courier New" w:hAnsi="Courier New"/>
                <w:sz w:val="15"/>
                <w:szCs w:val="15"/>
                <w:color w:val="auto"/>
              </w:rPr>
              <w:t>1988.</w:t>
            </w:r>
          </w:p>
        </w:tc>
        <w:tc>
          <w:tcPr>
            <w:tcW w:w="426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9"/>
              </w:rPr>
              <w:t>Previously held various management positions</w:t>
            </w:r>
          </w:p>
        </w:tc>
      </w:tr>
      <w:tr>
        <w:trPr>
          <w:trHeight w:val="171"/>
        </w:trPr>
        <w:tc>
          <w:tcPr>
            <w:tcW w:w="2160" w:type="dxa"/>
            <w:vAlign w:val="bottom"/>
          </w:tcPr>
          <w:p>
            <w:pPr>
              <w:spacing w:after="0"/>
              <w:rPr>
                <w:sz w:val="14"/>
                <w:szCs w:val="14"/>
                <w:color w:val="auto"/>
              </w:rPr>
            </w:pPr>
          </w:p>
        </w:tc>
        <w:tc>
          <w:tcPr>
            <w:tcW w:w="49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within the company.</w:t>
            </w:r>
          </w:p>
        </w:tc>
      </w:tr>
      <w:tr>
        <w:trPr>
          <w:trHeight w:val="341"/>
        </w:trPr>
        <w:tc>
          <w:tcPr>
            <w:tcW w:w="2160" w:type="dxa"/>
            <w:vAlign w:val="bottom"/>
          </w:tcPr>
          <w:p>
            <w:pPr>
              <w:spacing w:after="0"/>
              <w:rPr>
                <w:sz w:val="20"/>
                <w:szCs w:val="20"/>
                <w:color w:val="auto"/>
              </w:rPr>
            </w:pPr>
            <w:r>
              <w:rPr>
                <w:rFonts w:ascii="Courier New" w:cs="Courier New" w:eastAsia="Courier New" w:hAnsi="Courier New"/>
                <w:sz w:val="15"/>
                <w:szCs w:val="15"/>
                <w:color w:val="auto"/>
              </w:rPr>
              <w:t>David H. Morris</w:t>
            </w:r>
          </w:p>
        </w:tc>
        <w:tc>
          <w:tcPr>
            <w:tcW w:w="49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Elected President in December 1988. Elected Chief</w:t>
            </w:r>
          </w:p>
        </w:tc>
      </w:tr>
      <w:tr>
        <w:trPr>
          <w:trHeight w:val="171"/>
        </w:trPr>
        <w:tc>
          <w:tcPr>
            <w:tcW w:w="2160" w:type="dxa"/>
            <w:vAlign w:val="bottom"/>
          </w:tcPr>
          <w:p>
            <w:pPr>
              <w:spacing w:after="0"/>
              <w:rPr>
                <w:sz w:val="20"/>
                <w:szCs w:val="20"/>
                <w:color w:val="auto"/>
              </w:rPr>
            </w:pPr>
            <w:r>
              <w:rPr>
                <w:rFonts w:ascii="Courier New" w:cs="Courier New" w:eastAsia="Courier New" w:hAnsi="Courier New"/>
                <w:sz w:val="15"/>
                <w:szCs w:val="15"/>
                <w:color w:val="auto"/>
              </w:rPr>
              <w:t>53, President and</w:t>
            </w:r>
          </w:p>
        </w:tc>
        <w:tc>
          <w:tcPr>
            <w:tcW w:w="49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Operating Officer in August 1988.</w:t>
            </w:r>
          </w:p>
        </w:tc>
      </w:tr>
      <w:tr>
        <w:trPr>
          <w:trHeight w:val="171"/>
        </w:trPr>
        <w:tc>
          <w:tcPr>
            <w:tcW w:w="2160" w:type="dxa"/>
            <w:vAlign w:val="bottom"/>
          </w:tcPr>
          <w:p>
            <w:pPr>
              <w:spacing w:after="0"/>
              <w:rPr>
                <w:sz w:val="20"/>
                <w:szCs w:val="20"/>
                <w:color w:val="auto"/>
              </w:rPr>
            </w:pPr>
            <w:r>
              <w:rPr>
                <w:rFonts w:ascii="Courier New" w:cs="Courier New" w:eastAsia="Courier New" w:hAnsi="Courier New"/>
                <w:sz w:val="15"/>
                <w:szCs w:val="15"/>
                <w:color w:val="auto"/>
              </w:rPr>
              <w:t>Chief Operating Officer</w:t>
            </w:r>
          </w:p>
        </w:tc>
        <w:tc>
          <w:tcPr>
            <w:tcW w:w="680" w:type="dxa"/>
            <w:vAlign w:val="bottom"/>
          </w:tcPr>
          <w:p>
            <w:pPr>
              <w:spacing w:after="0"/>
              <w:rPr>
                <w:sz w:val="14"/>
                <w:szCs w:val="14"/>
                <w:color w:val="auto"/>
              </w:rPr>
            </w:pPr>
          </w:p>
        </w:tc>
        <w:tc>
          <w:tcPr>
            <w:tcW w:w="4260" w:type="dxa"/>
            <w:vAlign w:val="bottom"/>
          </w:tcPr>
          <w:p>
            <w:pPr>
              <w:spacing w:after="0"/>
              <w:rPr>
                <w:sz w:val="14"/>
                <w:szCs w:val="14"/>
                <w:color w:val="auto"/>
              </w:rPr>
            </w:pPr>
          </w:p>
        </w:tc>
      </w:tr>
      <w:tr>
        <w:trPr>
          <w:trHeight w:val="341"/>
        </w:trPr>
        <w:tc>
          <w:tcPr>
            <w:tcW w:w="2160" w:type="dxa"/>
            <w:vAlign w:val="bottom"/>
          </w:tcPr>
          <w:p>
            <w:pPr>
              <w:spacing w:after="0"/>
              <w:rPr>
                <w:sz w:val="20"/>
                <w:szCs w:val="20"/>
                <w:color w:val="auto"/>
              </w:rPr>
            </w:pPr>
            <w:r>
              <w:rPr>
                <w:rFonts w:ascii="Courier New" w:cs="Courier New" w:eastAsia="Courier New" w:hAnsi="Courier New"/>
                <w:sz w:val="15"/>
                <w:szCs w:val="15"/>
                <w:color w:val="auto"/>
              </w:rPr>
              <w:t>Richard R. Pollick</w:t>
            </w:r>
          </w:p>
        </w:tc>
        <w:tc>
          <w:tcPr>
            <w:tcW w:w="49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Appointed Vice President, International Division in</w:t>
            </w:r>
          </w:p>
        </w:tc>
      </w:tr>
      <w:tr>
        <w:trPr>
          <w:trHeight w:val="171"/>
        </w:trPr>
        <w:tc>
          <w:tcPr>
            <w:tcW w:w="2160" w:type="dxa"/>
            <w:vAlign w:val="bottom"/>
          </w:tcPr>
          <w:p>
            <w:pPr>
              <w:spacing w:after="0"/>
              <w:rPr>
                <w:sz w:val="20"/>
                <w:szCs w:val="20"/>
                <w:color w:val="auto"/>
              </w:rPr>
            </w:pPr>
            <w:r>
              <w:rPr>
                <w:rFonts w:ascii="Courier New" w:cs="Courier New" w:eastAsia="Courier New" w:hAnsi="Courier New"/>
                <w:sz w:val="15"/>
                <w:szCs w:val="15"/>
                <w:color w:val="auto"/>
              </w:rPr>
              <w:t>55, Vice President and</w:t>
            </w:r>
          </w:p>
        </w:tc>
        <w:tc>
          <w:tcPr>
            <w:tcW w:w="49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March 1990.  Previously held various management</w:t>
            </w:r>
          </w:p>
        </w:tc>
      </w:tr>
      <w:tr>
        <w:trPr>
          <w:trHeight w:val="171"/>
        </w:trPr>
        <w:tc>
          <w:tcPr>
            <w:tcW w:w="2160" w:type="dxa"/>
            <w:vAlign w:val="bottom"/>
          </w:tcPr>
          <w:p>
            <w:pPr>
              <w:spacing w:after="0"/>
              <w:rPr>
                <w:sz w:val="20"/>
                <w:szCs w:val="20"/>
                <w:color w:val="auto"/>
              </w:rPr>
            </w:pPr>
            <w:r>
              <w:rPr>
                <w:rFonts w:ascii="Courier New" w:cs="Courier New" w:eastAsia="Courier New" w:hAnsi="Courier New"/>
                <w:sz w:val="15"/>
                <w:szCs w:val="15"/>
                <w:color w:val="auto"/>
              </w:rPr>
              <w:t>General Manager</w:t>
            </w:r>
          </w:p>
        </w:tc>
        <w:tc>
          <w:tcPr>
            <w:tcW w:w="49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positions within the company.</w:t>
            </w:r>
          </w:p>
        </w:tc>
      </w:tr>
      <w:tr>
        <w:trPr>
          <w:trHeight w:val="171"/>
        </w:trPr>
        <w:tc>
          <w:tcPr>
            <w:tcW w:w="2160" w:type="dxa"/>
            <w:vAlign w:val="bottom"/>
          </w:tcPr>
          <w:p>
            <w:pPr>
              <w:spacing w:after="0"/>
              <w:rPr>
                <w:sz w:val="20"/>
                <w:szCs w:val="20"/>
                <w:color w:val="auto"/>
              </w:rPr>
            </w:pPr>
            <w:r>
              <w:rPr>
                <w:rFonts w:ascii="Courier New" w:cs="Courier New" w:eastAsia="Courier New" w:hAnsi="Courier New"/>
                <w:sz w:val="15"/>
                <w:szCs w:val="15"/>
                <w:color w:val="auto"/>
              </w:rPr>
              <w:t>International Equipment</w:t>
            </w:r>
          </w:p>
        </w:tc>
        <w:tc>
          <w:tcPr>
            <w:tcW w:w="680" w:type="dxa"/>
            <w:vAlign w:val="bottom"/>
          </w:tcPr>
          <w:p>
            <w:pPr>
              <w:spacing w:after="0"/>
              <w:rPr>
                <w:sz w:val="14"/>
                <w:szCs w:val="14"/>
                <w:color w:val="auto"/>
              </w:rPr>
            </w:pPr>
          </w:p>
        </w:tc>
        <w:tc>
          <w:tcPr>
            <w:tcW w:w="4260" w:type="dxa"/>
            <w:vAlign w:val="bottom"/>
          </w:tcPr>
          <w:p>
            <w:pPr>
              <w:spacing w:after="0"/>
              <w:rPr>
                <w:sz w:val="14"/>
                <w:szCs w:val="14"/>
                <w:color w:val="auto"/>
              </w:rPr>
            </w:pPr>
          </w:p>
        </w:tc>
      </w:tr>
      <w:tr>
        <w:trPr>
          <w:trHeight w:val="341"/>
        </w:trPr>
        <w:tc>
          <w:tcPr>
            <w:tcW w:w="2160" w:type="dxa"/>
            <w:vAlign w:val="bottom"/>
          </w:tcPr>
          <w:p>
            <w:pPr>
              <w:spacing w:after="0"/>
              <w:rPr>
                <w:sz w:val="20"/>
                <w:szCs w:val="20"/>
                <w:color w:val="auto"/>
              </w:rPr>
            </w:pPr>
            <w:r>
              <w:rPr>
                <w:rFonts w:ascii="Courier New" w:cs="Courier New" w:eastAsia="Courier New" w:hAnsi="Courier New"/>
                <w:sz w:val="15"/>
                <w:szCs w:val="15"/>
                <w:color w:val="auto"/>
              </w:rPr>
              <w:t>John G. Szafranski</w:t>
            </w:r>
          </w:p>
        </w:tc>
        <w:tc>
          <w:tcPr>
            <w:tcW w:w="49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Appointed Vice President, Commercial Products in</w:t>
            </w:r>
          </w:p>
        </w:tc>
      </w:tr>
      <w:tr>
        <w:trPr>
          <w:trHeight w:val="171"/>
        </w:trPr>
        <w:tc>
          <w:tcPr>
            <w:tcW w:w="2160" w:type="dxa"/>
            <w:vAlign w:val="bottom"/>
          </w:tcPr>
          <w:p>
            <w:pPr>
              <w:spacing w:after="0"/>
              <w:rPr>
                <w:sz w:val="20"/>
                <w:szCs w:val="20"/>
                <w:color w:val="auto"/>
              </w:rPr>
            </w:pPr>
            <w:r>
              <w:rPr>
                <w:rFonts w:ascii="Courier New" w:cs="Courier New" w:eastAsia="Courier New" w:hAnsi="Courier New"/>
                <w:sz w:val="15"/>
                <w:szCs w:val="15"/>
                <w:color w:val="auto"/>
              </w:rPr>
              <w:t>59, Vice President</w:t>
            </w:r>
          </w:p>
        </w:tc>
        <w:tc>
          <w:tcPr>
            <w:tcW w:w="49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December 1984.</w:t>
            </w:r>
          </w:p>
        </w:tc>
      </w:tr>
      <w:tr>
        <w:trPr>
          <w:trHeight w:val="171"/>
        </w:trPr>
        <w:tc>
          <w:tcPr>
            <w:tcW w:w="2160" w:type="dxa"/>
            <w:vAlign w:val="bottom"/>
          </w:tcPr>
          <w:p>
            <w:pPr>
              <w:spacing w:after="0"/>
              <w:rPr>
                <w:sz w:val="20"/>
                <w:szCs w:val="20"/>
                <w:color w:val="auto"/>
              </w:rPr>
            </w:pPr>
            <w:r>
              <w:rPr>
                <w:rFonts w:ascii="Courier New" w:cs="Courier New" w:eastAsia="Courier New" w:hAnsi="Courier New"/>
                <w:sz w:val="15"/>
                <w:szCs w:val="15"/>
                <w:color w:val="auto"/>
              </w:rPr>
              <w:t>and General Manager,</w:t>
            </w:r>
          </w:p>
        </w:tc>
        <w:tc>
          <w:tcPr>
            <w:tcW w:w="680" w:type="dxa"/>
            <w:vAlign w:val="bottom"/>
          </w:tcPr>
          <w:p>
            <w:pPr>
              <w:spacing w:after="0"/>
              <w:rPr>
                <w:sz w:val="14"/>
                <w:szCs w:val="14"/>
                <w:color w:val="auto"/>
              </w:rPr>
            </w:pPr>
          </w:p>
        </w:tc>
        <w:tc>
          <w:tcPr>
            <w:tcW w:w="4260" w:type="dxa"/>
            <w:vAlign w:val="bottom"/>
          </w:tcPr>
          <w:p>
            <w:pPr>
              <w:spacing w:after="0"/>
              <w:rPr>
                <w:sz w:val="14"/>
                <w:szCs w:val="14"/>
                <w:color w:val="auto"/>
              </w:rPr>
            </w:pPr>
          </w:p>
        </w:tc>
      </w:tr>
      <w:tr>
        <w:trPr>
          <w:trHeight w:val="171"/>
        </w:trPr>
        <w:tc>
          <w:tcPr>
            <w:tcW w:w="2160" w:type="dxa"/>
            <w:vAlign w:val="bottom"/>
          </w:tcPr>
          <w:p>
            <w:pPr>
              <w:spacing w:after="0"/>
              <w:rPr>
                <w:sz w:val="20"/>
                <w:szCs w:val="20"/>
                <w:color w:val="auto"/>
              </w:rPr>
            </w:pPr>
            <w:r>
              <w:rPr>
                <w:rFonts w:ascii="Courier New" w:cs="Courier New" w:eastAsia="Courier New" w:hAnsi="Courier New"/>
                <w:sz w:val="15"/>
                <w:szCs w:val="15"/>
                <w:color w:val="auto"/>
              </w:rPr>
              <w:t>Commercial Equipment</w:t>
            </w:r>
          </w:p>
        </w:tc>
        <w:tc>
          <w:tcPr>
            <w:tcW w:w="680" w:type="dxa"/>
            <w:vAlign w:val="bottom"/>
          </w:tcPr>
          <w:p>
            <w:pPr>
              <w:spacing w:after="0"/>
              <w:rPr>
                <w:sz w:val="14"/>
                <w:szCs w:val="14"/>
                <w:color w:val="auto"/>
              </w:rPr>
            </w:pPr>
          </w:p>
        </w:tc>
        <w:tc>
          <w:tcPr>
            <w:tcW w:w="4260" w:type="dxa"/>
            <w:vAlign w:val="bottom"/>
          </w:tcPr>
          <w:p>
            <w:pPr>
              <w:spacing w:after="0"/>
              <w:rPr>
                <w:sz w:val="14"/>
                <w:szCs w:val="14"/>
                <w:color w:val="auto"/>
              </w:rPr>
            </w:pPr>
          </w:p>
        </w:tc>
      </w:tr>
    </w:tbl>
    <w:p>
      <w:pPr>
        <w:spacing w:after="0" w:line="34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ITEM 11. EXECUTIVE COMPENSATION</w:t>
      </w:r>
    </w:p>
    <w:p>
      <w:pPr>
        <w:spacing w:after="0" w:line="174" w:lineRule="exact"/>
        <w:rPr>
          <w:sz w:val="20"/>
          <w:szCs w:val="20"/>
          <w:color w:val="auto"/>
        </w:rPr>
      </w:pPr>
    </w:p>
    <w:p>
      <w:pPr>
        <w:ind w:right="3399"/>
        <w:spacing w:after="0" w:line="262" w:lineRule="auto"/>
        <w:rPr>
          <w:sz w:val="20"/>
          <w:szCs w:val="20"/>
          <w:color w:val="auto"/>
        </w:rPr>
      </w:pPr>
      <w:r>
        <w:rPr>
          <w:rFonts w:ascii="Courier New" w:cs="Courier New" w:eastAsia="Courier New" w:hAnsi="Courier New"/>
          <w:sz w:val="14"/>
          <w:szCs w:val="14"/>
          <w:color w:val="auto"/>
        </w:rPr>
        <w:t>Information contained under the heading "Compensation" in the Proxy Statement for the Annual Meeting of the Stockholders to be held December 15, 1994, is incorporated herein by reference to such proxy statement which will be filed within 120 days after the end of the fiscal year covered by this Form 10-K.</w:t>
      </w:r>
    </w:p>
    <w:p>
      <w:pPr>
        <w:spacing w:after="0" w:line="32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Information regarding the security ownership of certain beneficial owners and management of The Toro Company contained in the Proxy Statement for the Annual Meeting of the Stockholders to be held December 15, 1994, is incorporated herein by reference to such proxy statement which will be filed within 120 days after the end of the fiscal year covered by this Form 10-K.</w:t>
      </w:r>
    </w:p>
    <w:p>
      <w:pPr>
        <w:spacing w:after="0" w:line="172"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- 9 -</w:t>
      </w:r>
    </w:p>
    <w:p>
      <w:pPr>
        <w:sectPr>
          <w:pgSz w:w="11900" w:h="16838" w:orient="portrait"/>
          <w:cols w:equalWidth="0" w:num="1">
            <w:col w:w="10219"/>
          </w:cols>
          <w:pgMar w:left="240" w:top="799" w:right="1440" w:bottom="1440" w:gutter="0" w:footer="0" w:header="0"/>
        </w:sectPr>
      </w:pPr>
    </w:p>
    <w:bookmarkStart w:id="9" w:name="page10"/>
    <w:bookmarkEnd w:id="9"/>
    <w:p>
      <w:pPr>
        <w:jc w:val="right"/>
        <w:ind w:right="3119"/>
        <w:spacing w:after="0"/>
        <w:rPr>
          <w:sz w:val="20"/>
          <w:szCs w:val="20"/>
          <w:color w:val="auto"/>
        </w:rPr>
      </w:pPr>
      <w:r>
        <w:rPr>
          <w:rFonts w:ascii="Courier New" w:cs="Courier New" w:eastAsia="Courier New" w:hAnsi="Courier New"/>
          <w:sz w:val="15"/>
          <w:szCs w:val="15"/>
          <w:color w:val="auto"/>
        </w:rPr>
        <w:t>PART IV</w:t>
      </w:r>
    </w:p>
    <w:p>
      <w:pPr>
        <w:spacing w:after="0" w:line="200" w:lineRule="exact"/>
        <w:rPr>
          <w:sz w:val="20"/>
          <w:szCs w:val="20"/>
          <w:color w:val="auto"/>
        </w:rPr>
      </w:pPr>
    </w:p>
    <w:p>
      <w:pPr>
        <w:spacing w:after="0" w:line="313"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345" w:lineRule="exact"/>
        <w:rPr>
          <w:sz w:val="20"/>
          <w:szCs w:val="20"/>
          <w:color w:val="auto"/>
        </w:rPr>
      </w:pPr>
    </w:p>
    <w:p>
      <w:pPr>
        <w:ind w:left="9" w:right="4719" w:hanging="9"/>
        <w:spacing w:after="0" w:line="516" w:lineRule="auto"/>
        <w:tabs>
          <w:tab w:leader="none" w:pos="453"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1. INDEX TO CONSOLIDATED FINANCIAL STATEMENTS Incorporated by reference into Part II, Item 8 of this report:</w:t>
      </w:r>
    </w:p>
    <w:p>
      <w:pPr>
        <w:spacing w:after="0" w:line="1" w:lineRule="exact"/>
        <w:rPr>
          <w:sz w:val="20"/>
          <w:szCs w:val="20"/>
          <w:color w:val="auto"/>
        </w:rPr>
      </w:pPr>
    </w:p>
    <w:p>
      <w:pPr>
        <w:jc w:val="center"/>
        <w:ind w:left="1000"/>
        <w:spacing w:after="0"/>
        <w:rPr>
          <w:sz w:val="20"/>
          <w:szCs w:val="20"/>
          <w:color w:val="auto"/>
        </w:rPr>
      </w:pPr>
      <w:r>
        <w:rPr>
          <w:rFonts w:ascii="Courier New" w:cs="Courier New" w:eastAsia="Courier New" w:hAnsi="Courier New"/>
          <w:sz w:val="14"/>
          <w:szCs w:val="14"/>
          <w:color w:val="auto"/>
        </w:rPr>
        <w:t>Pages in Fiscal 1994</w:t>
      </w:r>
    </w:p>
    <w:p>
      <w:pPr>
        <w:spacing w:after="0" w:line="9" w:lineRule="exact"/>
        <w:rPr>
          <w:sz w:val="20"/>
          <w:szCs w:val="20"/>
          <w:color w:val="auto"/>
        </w:rPr>
      </w:pPr>
    </w:p>
    <w:p>
      <w:pPr>
        <w:jc w:val="center"/>
        <w:ind w:left="900"/>
        <w:spacing w:after="0"/>
        <w:rPr>
          <w:sz w:val="20"/>
          <w:szCs w:val="20"/>
          <w:color w:val="auto"/>
        </w:rPr>
      </w:pPr>
      <w:r>
        <w:rPr>
          <w:rFonts w:ascii="Courier New" w:cs="Courier New" w:eastAsia="Courier New" w:hAnsi="Courier New"/>
          <w:sz w:val="15"/>
          <w:szCs w:val="15"/>
          <w:color w:val="auto"/>
        </w:rPr>
        <w:t>Annual Report</w:t>
      </w:r>
    </w:p>
    <w:p>
      <w:pPr>
        <w:spacing w:after="0" w:line="1" w:lineRule="exact"/>
        <w:rPr>
          <w:sz w:val="20"/>
          <w:szCs w:val="20"/>
          <w:color w:val="auto"/>
        </w:rPr>
      </w:pPr>
    </w:p>
    <w:p>
      <w:pPr>
        <w:jc w:val="center"/>
        <w:ind w:left="900"/>
        <w:spacing w:after="0"/>
        <w:rPr>
          <w:sz w:val="20"/>
          <w:szCs w:val="20"/>
          <w:color w:val="auto"/>
        </w:rPr>
      </w:pPr>
      <w:r>
        <w:rPr>
          <w:rFonts w:ascii="Courier New" w:cs="Courier New" w:eastAsia="Courier New" w:hAnsi="Courier New"/>
          <w:sz w:val="15"/>
          <w:szCs w:val="15"/>
          <w:color w:val="auto"/>
        </w:rPr>
        <w:t>to Stockholders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Independent Auditors' Report . . . . . . . . . . . . . . . . . . . . . . 19</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6"/>
              </w:rPr>
              <w:t>Consolidated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Statements</w:t>
            </w:r>
          </w:p>
        </w:tc>
        <w:tc>
          <w:tcPr>
            <w:tcW w:w="4340" w:type="dxa"/>
            <w:vAlign w:val="bottom"/>
          </w:tcPr>
          <w:p>
            <w:pPr>
              <w:ind w:left="40"/>
              <w:spacing w:after="0"/>
              <w:rPr>
                <w:sz w:val="20"/>
                <w:szCs w:val="20"/>
                <w:color w:val="auto"/>
              </w:rPr>
            </w:pPr>
            <w:r>
              <w:rPr>
                <w:rFonts w:ascii="Courier New" w:cs="Courier New" w:eastAsia="Courier New" w:hAnsi="Courier New"/>
                <w:sz w:val="15"/>
                <w:szCs w:val="15"/>
                <w:color w:val="auto"/>
              </w:rPr>
              <w:t>of Operations for the years ended</w:t>
            </w:r>
          </w:p>
        </w:tc>
        <w:tc>
          <w:tcPr>
            <w:tcW w:w="220" w:type="dxa"/>
            <w:vAlign w:val="bottom"/>
          </w:tcPr>
          <w:p>
            <w:pPr>
              <w:spacing w:after="0"/>
              <w:rPr>
                <w:sz w:val="14"/>
                <w:szCs w:val="14"/>
                <w:color w:val="auto"/>
              </w:rPr>
            </w:pP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July 31,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1994, 1993</w:t>
            </w:r>
          </w:p>
        </w:tc>
        <w:tc>
          <w:tcPr>
            <w:tcW w:w="4340" w:type="dxa"/>
            <w:vAlign w:val="bottom"/>
          </w:tcPr>
          <w:p>
            <w:pPr>
              <w:ind w:left="40"/>
              <w:spacing w:after="0"/>
              <w:rPr>
                <w:sz w:val="20"/>
                <w:szCs w:val="20"/>
                <w:color w:val="auto"/>
              </w:rPr>
            </w:pPr>
            <w:r>
              <w:rPr>
                <w:rFonts w:ascii="Courier New" w:cs="Courier New" w:eastAsia="Courier New" w:hAnsi="Courier New"/>
                <w:sz w:val="15"/>
                <w:szCs w:val="15"/>
                <w:color w:val="auto"/>
                <w:w w:val="99"/>
              </w:rPr>
              <w:t>and 1992 . . . .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34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6"/>
              </w:rPr>
              <w:t>Consolidated</w:t>
            </w:r>
          </w:p>
        </w:tc>
        <w:tc>
          <w:tcPr>
            <w:tcW w:w="53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Balance Sheets</w:t>
            </w:r>
          </w:p>
        </w:tc>
        <w:tc>
          <w:tcPr>
            <w:tcW w:w="220" w:type="dxa"/>
            <w:vAlign w:val="bottom"/>
          </w:tcPr>
          <w:p>
            <w:pPr>
              <w:spacing w:after="0"/>
              <w:rPr>
                <w:sz w:val="24"/>
                <w:szCs w:val="24"/>
                <w:color w:val="auto"/>
              </w:rPr>
            </w:pPr>
          </w:p>
        </w:tc>
      </w:tr>
      <w:tr>
        <w:trPr>
          <w:trHeight w:val="171"/>
        </w:trPr>
        <w:tc>
          <w:tcPr>
            <w:tcW w:w="2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of July 31, 1994</w:t>
            </w:r>
          </w:p>
        </w:tc>
        <w:tc>
          <w:tcPr>
            <w:tcW w:w="4340" w:type="dxa"/>
            <w:vAlign w:val="bottom"/>
          </w:tcPr>
          <w:p>
            <w:pPr>
              <w:ind w:left="40"/>
              <w:spacing w:after="0"/>
              <w:rPr>
                <w:sz w:val="20"/>
                <w:szCs w:val="20"/>
                <w:color w:val="auto"/>
              </w:rPr>
            </w:pPr>
            <w:r>
              <w:rPr>
                <w:rFonts w:ascii="Courier New" w:cs="Courier New" w:eastAsia="Courier New" w:hAnsi="Courier New"/>
                <w:sz w:val="15"/>
                <w:szCs w:val="15"/>
                <w:color w:val="auto"/>
                <w:w w:val="99"/>
              </w:rPr>
              <w:t>and 1993 . . . .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34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6"/>
              </w:rPr>
              <w:t>Consolidated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Statements</w:t>
            </w:r>
          </w:p>
        </w:tc>
        <w:tc>
          <w:tcPr>
            <w:tcW w:w="4340" w:type="dxa"/>
            <w:vAlign w:val="bottom"/>
          </w:tcPr>
          <w:p>
            <w:pPr>
              <w:ind w:left="40"/>
              <w:spacing w:after="0"/>
              <w:rPr>
                <w:sz w:val="20"/>
                <w:szCs w:val="20"/>
                <w:color w:val="auto"/>
              </w:rPr>
            </w:pPr>
            <w:r>
              <w:rPr>
                <w:rFonts w:ascii="Courier New" w:cs="Courier New" w:eastAsia="Courier New" w:hAnsi="Courier New"/>
                <w:sz w:val="15"/>
                <w:szCs w:val="15"/>
                <w:color w:val="auto"/>
              </w:rPr>
              <w:t>of Cash Flows for the</w:t>
            </w:r>
          </w:p>
        </w:tc>
        <w:tc>
          <w:tcPr>
            <w:tcW w:w="220" w:type="dxa"/>
            <w:vAlign w:val="bottom"/>
          </w:tcPr>
          <w:p>
            <w:pPr>
              <w:spacing w:after="0"/>
              <w:rPr>
                <w:sz w:val="24"/>
                <w:szCs w:val="24"/>
                <w:color w:val="auto"/>
              </w:rPr>
            </w:pPr>
          </w:p>
        </w:tc>
      </w:tr>
      <w:tr>
        <w:trPr>
          <w:trHeight w:val="171"/>
        </w:trPr>
        <w:tc>
          <w:tcPr>
            <w:tcW w:w="6420" w:type="dxa"/>
            <w:vAlign w:val="bottom"/>
            <w:gridSpan w:val="3"/>
          </w:tcPr>
          <w:p>
            <w:pPr>
              <w:ind w:left="340"/>
              <w:spacing w:after="0"/>
              <w:rPr>
                <w:sz w:val="20"/>
                <w:szCs w:val="20"/>
                <w:color w:val="auto"/>
              </w:rPr>
            </w:pPr>
            <w:r>
              <w:rPr>
                <w:rFonts w:ascii="Courier New" w:cs="Courier New" w:eastAsia="Courier New" w:hAnsi="Courier New"/>
                <w:sz w:val="15"/>
                <w:szCs w:val="15"/>
                <w:color w:val="auto"/>
                <w:w w:val="99"/>
              </w:rPr>
              <w:t>years ended July 31, 1994, 1993 and 1992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bl>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Notes to Consolidated Financial Statements . . . . . . . . . . . . . . . 22-28</w:t>
      </w:r>
    </w:p>
    <w:p>
      <w:pPr>
        <w:spacing w:after="0" w:line="174" w:lineRule="exact"/>
        <w:rPr>
          <w:sz w:val="20"/>
          <w:szCs w:val="20"/>
          <w:color w:val="auto"/>
        </w:rPr>
      </w:pPr>
    </w:p>
    <w:p>
      <w:pPr>
        <w:ind w:left="9" w:right="4899" w:hanging="9"/>
        <w:spacing w:after="0" w:line="478" w:lineRule="auto"/>
        <w:tabs>
          <w:tab w:leader="none" w:pos="453"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2. INDEX TO CONSOLIDATED FINANCIAL STATEMENT SCHEDULES Included in Part IV of this report:</w:t>
      </w:r>
    </w:p>
    <w:p>
      <w:pPr>
        <w:spacing w:after="0" w:line="3"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Independent Auditors' Report . . . . . . . . . . . . . . . . . . . . 13</w:t>
      </w:r>
    </w:p>
    <w:p>
      <w:pPr>
        <w:spacing w:after="0" w:line="17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Schedule VIII - Valuation and Qualifying Accounts. . . . . . . . . . 14</w:t>
      </w:r>
    </w:p>
    <w:p>
      <w:pPr>
        <w:spacing w:after="0" w:line="17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Schedule IX - Short-term Borrowing . . . . . . . . . . . . . . . . . 15</w:t>
      </w:r>
    </w:p>
    <w:p>
      <w:pPr>
        <w:spacing w:after="0" w:line="17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Schedule X - Supplementary Income Statement Information. . . . . . . 16</w:t>
      </w:r>
    </w:p>
    <w:p>
      <w:pPr>
        <w:spacing w:after="0" w:line="174"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All other schedules are omitted as the required information is inapplicable or the information is presented in the consolidated financial statements or related notes.</w:t>
      </w:r>
    </w:p>
    <w:p>
      <w:pPr>
        <w:spacing w:after="0" w:line="172" w:lineRule="exact"/>
        <w:rPr>
          <w:sz w:val="20"/>
          <w:szCs w:val="20"/>
          <w:color w:val="auto"/>
        </w:rPr>
      </w:pPr>
    </w:p>
    <w:p>
      <w:pPr>
        <w:ind w:left="449" w:hanging="449"/>
        <w:spacing w:after="0"/>
        <w:tabs>
          <w:tab w:leader="none" w:pos="4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3.  EXHIBITS</w:t>
      </w:r>
    </w:p>
    <w:p>
      <w:pPr>
        <w:spacing w:after="0" w:line="174" w:lineRule="exact"/>
        <w:rPr>
          <w:sz w:val="20"/>
          <w:szCs w:val="20"/>
          <w:color w:val="auto"/>
        </w:rPr>
      </w:pPr>
    </w:p>
    <w:p>
      <w:pPr>
        <w:jc w:val="both"/>
        <w:ind w:left="1769" w:right="3119" w:hanging="1596"/>
        <w:spacing w:after="0" w:line="264" w:lineRule="auto"/>
        <w:tabs>
          <w:tab w:leader="none" w:pos="1749" w:val="left"/>
        </w:tabs>
        <w:rPr>
          <w:sz w:val="20"/>
          <w:szCs w:val="20"/>
          <w:color w:val="auto"/>
        </w:rPr>
      </w:pPr>
      <w:r>
        <w:rPr>
          <w:rFonts w:ascii="Courier New" w:cs="Courier New" w:eastAsia="Courier New" w:hAnsi="Courier New"/>
          <w:sz w:val="15"/>
          <w:szCs w:val="15"/>
          <w:color w:val="auto"/>
        </w:rPr>
        <w:t>3(i)(a) and 4(a)</w:t>
      </w:r>
      <w:r>
        <w:rPr>
          <w:sz w:val="20"/>
          <w:szCs w:val="20"/>
          <w:color w:val="auto"/>
        </w:rPr>
        <w:tab/>
      </w:r>
      <w:r>
        <w:rPr>
          <w:rFonts w:ascii="Courier New" w:cs="Courier New" w:eastAsia="Courier New" w:hAnsi="Courier New"/>
          <w:sz w:val="14"/>
          <w:szCs w:val="14"/>
          <w:color w:val="auto"/>
        </w:rPr>
        <w:t>Certificate of Incorporation of the Registrant (incorporated by reference to Exhibit 4.2 to the Registrant's Registration Statement on Form S-3, Registration No. 33-16125).</w:t>
      </w:r>
    </w:p>
    <w:p>
      <w:pPr>
        <w:spacing w:after="0" w:line="159" w:lineRule="exact"/>
        <w:rPr>
          <w:sz w:val="20"/>
          <w:szCs w:val="20"/>
          <w:color w:val="auto"/>
        </w:rPr>
      </w:pPr>
    </w:p>
    <w:p>
      <w:pPr>
        <w:ind w:left="1769" w:right="3119" w:hanging="1596"/>
        <w:spacing w:after="0"/>
        <w:tabs>
          <w:tab w:leader="none" w:pos="1749" w:val="left"/>
        </w:tabs>
        <w:rPr>
          <w:sz w:val="20"/>
          <w:szCs w:val="20"/>
          <w:color w:val="auto"/>
        </w:rPr>
      </w:pPr>
      <w:r>
        <w:rPr>
          <w:rFonts w:ascii="Courier New" w:cs="Courier New" w:eastAsia="Courier New" w:hAnsi="Courier New"/>
          <w:sz w:val="15"/>
          <w:szCs w:val="15"/>
          <w:color w:val="auto"/>
        </w:rPr>
        <w:t>3(i)(b) and 4(b)</w:t>
        <w:tab/>
        <w:t>Certificate of Amendment to Certificate of Incorporation of the Registrant dated December 9, 1986 (incorporated by reference to Exhibit 3 to Registrant's Quarterly Report on Form 10-Q for the quarter ended January 30, 1987, Commission file No. 1-8649).</w:t>
      </w:r>
    </w:p>
    <w:p>
      <w:pPr>
        <w:spacing w:after="0" w:line="174" w:lineRule="exact"/>
        <w:rPr>
          <w:sz w:val="20"/>
          <w:szCs w:val="20"/>
          <w:color w:val="auto"/>
        </w:rPr>
      </w:pPr>
    </w:p>
    <w:p>
      <w:pPr>
        <w:ind w:left="1769" w:right="3219" w:hanging="1596"/>
        <w:spacing w:after="0"/>
        <w:tabs>
          <w:tab w:leader="none" w:pos="1749" w:val="left"/>
        </w:tabs>
        <w:rPr>
          <w:sz w:val="20"/>
          <w:szCs w:val="20"/>
          <w:color w:val="auto"/>
        </w:rPr>
      </w:pPr>
      <w:r>
        <w:rPr>
          <w:rFonts w:ascii="Courier New" w:cs="Courier New" w:eastAsia="Courier New" w:hAnsi="Courier New"/>
          <w:sz w:val="15"/>
          <w:szCs w:val="15"/>
          <w:color w:val="auto"/>
        </w:rPr>
        <w:t>3(i)(c) and 4(c)</w:t>
        <w:tab/>
        <w:t>Certificate of Amendment to Certificate of Incorporation of the Registrant dated December 8, 1987 (incorporated by reference to Exhibit 3 to the Registrant's Quarterly Report on Form 10-Q for the quarter ended January 29, 1988, Commission File No. 1-8649).</w:t>
      </w:r>
    </w:p>
    <w:p>
      <w:pPr>
        <w:spacing w:after="0" w:line="342"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- 10 -</w:t>
      </w:r>
    </w:p>
    <w:p>
      <w:pPr>
        <w:sectPr>
          <w:pgSz w:w="11900" w:h="16838" w:orient="portrait"/>
          <w:cols w:equalWidth="0" w:num="1">
            <w:col w:w="10228"/>
          </w:cols>
          <w:pgMar w:left="231" w:top="628" w:right="1440" w:bottom="1440" w:gutter="0" w:footer="0" w:header="0"/>
        </w:sectPr>
      </w:pPr>
    </w:p>
    <w:bookmarkStart w:id="10" w:name="page11"/>
    <w:bookmarkEnd w:id="10"/>
    <w:tbl>
      <w:tblPr>
        <w:tblLayout w:type="fixed"/>
        <w:tblInd w:w="169" w:type="dxa"/>
        <w:tblCellMar>
          <w:top w:w="0" w:type="dxa"/>
          <w:left w:w="0" w:type="dxa"/>
          <w:bottom w:w="0" w:type="dxa"/>
          <w:right w:w="0" w:type="dxa"/>
        </w:tblCellMar>
      </w:tblPr>
      <w:tr>
        <w:trPr>
          <w:trHeight w:val="170"/>
        </w:trPr>
        <w:tc>
          <w:tcPr>
            <w:tcW w:w="1420" w:type="dxa"/>
            <w:vAlign w:val="bottom"/>
          </w:tcPr>
          <w:p>
            <w:pPr>
              <w:spacing w:after="0"/>
              <w:rPr>
                <w:sz w:val="20"/>
                <w:szCs w:val="20"/>
                <w:color w:val="auto"/>
              </w:rPr>
            </w:pPr>
            <w:r>
              <w:rPr>
                <w:rFonts w:ascii="Courier New" w:cs="Courier New" w:eastAsia="Courier New" w:hAnsi="Courier New"/>
                <w:sz w:val="15"/>
                <w:szCs w:val="15"/>
                <w:color w:val="auto"/>
              </w:rPr>
              <w:t>3(ii) and 4(d)</w:t>
            </w:r>
          </w:p>
        </w:tc>
        <w:tc>
          <w:tcPr>
            <w:tcW w:w="5520" w:type="dxa"/>
            <w:vAlign w:val="bottom"/>
          </w:tcPr>
          <w:p>
            <w:pPr>
              <w:ind w:left="180"/>
              <w:spacing w:after="0"/>
              <w:rPr>
                <w:sz w:val="20"/>
                <w:szCs w:val="20"/>
                <w:color w:val="auto"/>
              </w:rPr>
            </w:pPr>
            <w:r>
              <w:rPr>
                <w:rFonts w:ascii="Courier New" w:cs="Courier New" w:eastAsia="Courier New" w:hAnsi="Courier New"/>
                <w:sz w:val="15"/>
                <w:szCs w:val="15"/>
                <w:color w:val="auto"/>
              </w:rPr>
              <w:t>Bylaws of the Registrant (incorporated by reference to</w:t>
            </w:r>
          </w:p>
        </w:tc>
      </w:tr>
      <w:tr>
        <w:trPr>
          <w:trHeight w:val="171"/>
        </w:trPr>
        <w:tc>
          <w:tcPr>
            <w:tcW w:w="1420" w:type="dxa"/>
            <w:vAlign w:val="bottom"/>
          </w:tcPr>
          <w:p>
            <w:pPr>
              <w:spacing w:after="0"/>
              <w:rPr>
                <w:sz w:val="14"/>
                <w:szCs w:val="14"/>
                <w:color w:val="auto"/>
              </w:rPr>
            </w:pPr>
          </w:p>
        </w:tc>
        <w:tc>
          <w:tcPr>
            <w:tcW w:w="5520" w:type="dxa"/>
            <w:vAlign w:val="bottom"/>
          </w:tcPr>
          <w:p>
            <w:pPr>
              <w:ind w:left="180"/>
              <w:spacing w:after="0"/>
              <w:rPr>
                <w:sz w:val="20"/>
                <w:szCs w:val="20"/>
                <w:color w:val="auto"/>
              </w:rPr>
            </w:pPr>
            <w:r>
              <w:rPr>
                <w:rFonts w:ascii="Courier New" w:cs="Courier New" w:eastAsia="Courier New" w:hAnsi="Courier New"/>
                <w:sz w:val="15"/>
                <w:szCs w:val="15"/>
                <w:color w:val="auto"/>
              </w:rPr>
              <w:t>Exhibit 3.3 to the Registrant's Annual Report on Form 10-K</w:t>
            </w:r>
          </w:p>
        </w:tc>
      </w:tr>
      <w:tr>
        <w:trPr>
          <w:trHeight w:val="171"/>
        </w:trPr>
        <w:tc>
          <w:tcPr>
            <w:tcW w:w="1420" w:type="dxa"/>
            <w:vAlign w:val="bottom"/>
          </w:tcPr>
          <w:p>
            <w:pPr>
              <w:spacing w:after="0"/>
              <w:rPr>
                <w:sz w:val="14"/>
                <w:szCs w:val="14"/>
                <w:color w:val="auto"/>
              </w:rPr>
            </w:pPr>
          </w:p>
        </w:tc>
        <w:tc>
          <w:tcPr>
            <w:tcW w:w="5520" w:type="dxa"/>
            <w:vAlign w:val="bottom"/>
          </w:tcPr>
          <w:p>
            <w:pPr>
              <w:ind w:left="180"/>
              <w:spacing w:after="0"/>
              <w:rPr>
                <w:sz w:val="20"/>
                <w:szCs w:val="20"/>
                <w:color w:val="auto"/>
              </w:rPr>
            </w:pPr>
            <w:r>
              <w:rPr>
                <w:rFonts w:ascii="Courier New" w:cs="Courier New" w:eastAsia="Courier New" w:hAnsi="Courier New"/>
                <w:sz w:val="15"/>
                <w:szCs w:val="15"/>
                <w:color w:val="auto"/>
              </w:rPr>
              <w:t>for the year ended July 31, 1991, Commission file</w:t>
            </w:r>
          </w:p>
        </w:tc>
      </w:tr>
      <w:tr>
        <w:trPr>
          <w:trHeight w:val="171"/>
        </w:trPr>
        <w:tc>
          <w:tcPr>
            <w:tcW w:w="1420" w:type="dxa"/>
            <w:vAlign w:val="bottom"/>
          </w:tcPr>
          <w:p>
            <w:pPr>
              <w:spacing w:after="0"/>
              <w:rPr>
                <w:sz w:val="14"/>
                <w:szCs w:val="14"/>
                <w:color w:val="auto"/>
              </w:rPr>
            </w:pPr>
          </w:p>
        </w:tc>
        <w:tc>
          <w:tcPr>
            <w:tcW w:w="5520" w:type="dxa"/>
            <w:vAlign w:val="bottom"/>
          </w:tcPr>
          <w:p>
            <w:pPr>
              <w:ind w:left="180"/>
              <w:spacing w:after="0"/>
              <w:rPr>
                <w:sz w:val="20"/>
                <w:szCs w:val="20"/>
                <w:color w:val="auto"/>
              </w:rPr>
            </w:pPr>
            <w:r>
              <w:rPr>
                <w:rFonts w:ascii="Courier New" w:cs="Courier New" w:eastAsia="Courier New" w:hAnsi="Courier New"/>
                <w:sz w:val="15"/>
                <w:szCs w:val="15"/>
                <w:color w:val="auto"/>
              </w:rPr>
              <w:t>No. 1-8649)</w:t>
            </w:r>
          </w:p>
        </w:tc>
      </w:tr>
      <w:tr>
        <w:trPr>
          <w:trHeight w:val="341"/>
        </w:trPr>
        <w:tc>
          <w:tcPr>
            <w:tcW w:w="1420" w:type="dxa"/>
            <w:vAlign w:val="bottom"/>
          </w:tcPr>
          <w:p>
            <w:pPr>
              <w:spacing w:after="0"/>
              <w:rPr>
                <w:sz w:val="20"/>
                <w:szCs w:val="20"/>
                <w:color w:val="auto"/>
              </w:rPr>
            </w:pPr>
            <w:r>
              <w:rPr>
                <w:rFonts w:ascii="Courier New" w:cs="Courier New" w:eastAsia="Courier New" w:hAnsi="Courier New"/>
                <w:sz w:val="15"/>
                <w:szCs w:val="15"/>
                <w:color w:val="auto"/>
              </w:rPr>
              <w:t>4(e)</w:t>
            </w:r>
          </w:p>
        </w:tc>
        <w:tc>
          <w:tcPr>
            <w:tcW w:w="5520" w:type="dxa"/>
            <w:vAlign w:val="bottom"/>
          </w:tcPr>
          <w:p>
            <w:pPr>
              <w:ind w:left="180"/>
              <w:spacing w:after="0"/>
              <w:rPr>
                <w:sz w:val="20"/>
                <w:szCs w:val="20"/>
                <w:color w:val="auto"/>
              </w:rPr>
            </w:pPr>
            <w:r>
              <w:rPr>
                <w:rFonts w:ascii="Courier New" w:cs="Courier New" w:eastAsia="Courier New" w:hAnsi="Courier New"/>
                <w:sz w:val="15"/>
                <w:szCs w:val="15"/>
                <w:color w:val="auto"/>
              </w:rPr>
              <w:t>Specimen form of Common Stock certificate (incorporated by</w:t>
            </w:r>
          </w:p>
        </w:tc>
      </w:tr>
      <w:tr>
        <w:trPr>
          <w:trHeight w:val="171"/>
        </w:trPr>
        <w:tc>
          <w:tcPr>
            <w:tcW w:w="1420" w:type="dxa"/>
            <w:vAlign w:val="bottom"/>
          </w:tcPr>
          <w:p>
            <w:pPr>
              <w:spacing w:after="0"/>
              <w:rPr>
                <w:sz w:val="14"/>
                <w:szCs w:val="14"/>
                <w:color w:val="auto"/>
              </w:rPr>
            </w:pPr>
          </w:p>
        </w:tc>
        <w:tc>
          <w:tcPr>
            <w:tcW w:w="5520" w:type="dxa"/>
            <w:vAlign w:val="bottom"/>
          </w:tcPr>
          <w:p>
            <w:pPr>
              <w:ind w:left="180"/>
              <w:spacing w:after="0"/>
              <w:rPr>
                <w:sz w:val="20"/>
                <w:szCs w:val="20"/>
                <w:color w:val="auto"/>
              </w:rPr>
            </w:pPr>
            <w:r>
              <w:rPr>
                <w:rFonts w:ascii="Courier New" w:cs="Courier New" w:eastAsia="Courier New" w:hAnsi="Courier New"/>
                <w:sz w:val="15"/>
                <w:szCs w:val="15"/>
                <w:color w:val="auto"/>
              </w:rPr>
              <w:t>reference to Exhibit 4(c) to the Registrant's Registration</w:t>
            </w:r>
          </w:p>
        </w:tc>
      </w:tr>
      <w:tr>
        <w:trPr>
          <w:trHeight w:val="171"/>
        </w:trPr>
        <w:tc>
          <w:tcPr>
            <w:tcW w:w="1420" w:type="dxa"/>
            <w:vAlign w:val="bottom"/>
          </w:tcPr>
          <w:p>
            <w:pPr>
              <w:spacing w:after="0"/>
              <w:rPr>
                <w:sz w:val="14"/>
                <w:szCs w:val="14"/>
                <w:color w:val="auto"/>
              </w:rPr>
            </w:pPr>
          </w:p>
        </w:tc>
        <w:tc>
          <w:tcPr>
            <w:tcW w:w="5520" w:type="dxa"/>
            <w:vAlign w:val="bottom"/>
          </w:tcPr>
          <w:p>
            <w:pPr>
              <w:ind w:left="180"/>
              <w:spacing w:after="0"/>
              <w:rPr>
                <w:sz w:val="20"/>
                <w:szCs w:val="20"/>
                <w:color w:val="auto"/>
              </w:rPr>
            </w:pPr>
            <w:r>
              <w:rPr>
                <w:rFonts w:ascii="Courier New" w:cs="Courier New" w:eastAsia="Courier New" w:hAnsi="Courier New"/>
                <w:sz w:val="15"/>
                <w:szCs w:val="15"/>
                <w:color w:val="auto"/>
              </w:rPr>
              <w:t>Statement on Form S-8, Registration No. 2-94417).</w:t>
            </w:r>
          </w:p>
        </w:tc>
      </w:tr>
      <w:tr>
        <w:trPr>
          <w:trHeight w:val="341"/>
        </w:trPr>
        <w:tc>
          <w:tcPr>
            <w:tcW w:w="1420" w:type="dxa"/>
            <w:vAlign w:val="bottom"/>
          </w:tcPr>
          <w:p>
            <w:pPr>
              <w:spacing w:after="0"/>
              <w:rPr>
                <w:sz w:val="20"/>
                <w:szCs w:val="20"/>
                <w:color w:val="auto"/>
              </w:rPr>
            </w:pPr>
            <w:r>
              <w:rPr>
                <w:rFonts w:ascii="Courier New" w:cs="Courier New" w:eastAsia="Courier New" w:hAnsi="Courier New"/>
                <w:sz w:val="15"/>
                <w:szCs w:val="15"/>
                <w:color w:val="auto"/>
              </w:rPr>
              <w:t>4(f)</w:t>
            </w:r>
          </w:p>
        </w:tc>
        <w:tc>
          <w:tcPr>
            <w:tcW w:w="5520" w:type="dxa"/>
            <w:vAlign w:val="bottom"/>
          </w:tcPr>
          <w:p>
            <w:pPr>
              <w:ind w:left="180"/>
              <w:spacing w:after="0"/>
              <w:rPr>
                <w:sz w:val="20"/>
                <w:szCs w:val="20"/>
                <w:color w:val="auto"/>
              </w:rPr>
            </w:pPr>
            <w:r>
              <w:rPr>
                <w:rFonts w:ascii="Courier New" w:cs="Courier New" w:eastAsia="Courier New" w:hAnsi="Courier New"/>
                <w:sz w:val="15"/>
                <w:szCs w:val="15"/>
                <w:color w:val="auto"/>
              </w:rPr>
              <w:t>Rights Agreement dated as of June 14, 1988, between the</w:t>
            </w:r>
          </w:p>
        </w:tc>
      </w:tr>
      <w:tr>
        <w:trPr>
          <w:trHeight w:val="171"/>
        </w:trPr>
        <w:tc>
          <w:tcPr>
            <w:tcW w:w="1420" w:type="dxa"/>
            <w:vAlign w:val="bottom"/>
          </w:tcPr>
          <w:p>
            <w:pPr>
              <w:spacing w:after="0"/>
              <w:rPr>
                <w:sz w:val="14"/>
                <w:szCs w:val="14"/>
                <w:color w:val="auto"/>
              </w:rPr>
            </w:pPr>
          </w:p>
        </w:tc>
        <w:tc>
          <w:tcPr>
            <w:tcW w:w="5520" w:type="dxa"/>
            <w:vAlign w:val="bottom"/>
          </w:tcPr>
          <w:p>
            <w:pPr>
              <w:ind w:left="180"/>
              <w:spacing w:after="0"/>
              <w:rPr>
                <w:sz w:val="20"/>
                <w:szCs w:val="20"/>
                <w:color w:val="auto"/>
              </w:rPr>
            </w:pPr>
            <w:r>
              <w:rPr>
                <w:rFonts w:ascii="Courier New" w:cs="Courier New" w:eastAsia="Courier New" w:hAnsi="Courier New"/>
                <w:sz w:val="15"/>
                <w:szCs w:val="15"/>
                <w:color w:val="auto"/>
              </w:rPr>
              <w:t>Registrant and Norwest Bank Minnesota, National Association</w:t>
            </w:r>
          </w:p>
        </w:tc>
      </w:tr>
      <w:tr>
        <w:trPr>
          <w:trHeight w:val="171"/>
        </w:trPr>
        <w:tc>
          <w:tcPr>
            <w:tcW w:w="1420" w:type="dxa"/>
            <w:vAlign w:val="bottom"/>
          </w:tcPr>
          <w:p>
            <w:pPr>
              <w:spacing w:after="0"/>
              <w:rPr>
                <w:sz w:val="14"/>
                <w:szCs w:val="14"/>
                <w:color w:val="auto"/>
              </w:rPr>
            </w:pPr>
          </w:p>
        </w:tc>
        <w:tc>
          <w:tcPr>
            <w:tcW w:w="5520" w:type="dxa"/>
            <w:vAlign w:val="bottom"/>
          </w:tcPr>
          <w:p>
            <w:pPr>
              <w:ind w:left="180"/>
              <w:spacing w:after="0"/>
              <w:rPr>
                <w:sz w:val="20"/>
                <w:szCs w:val="20"/>
                <w:color w:val="auto"/>
              </w:rPr>
            </w:pPr>
            <w:r>
              <w:rPr>
                <w:rFonts w:ascii="Courier New" w:cs="Courier New" w:eastAsia="Courier New" w:hAnsi="Courier New"/>
                <w:sz w:val="15"/>
                <w:szCs w:val="15"/>
                <w:color w:val="auto"/>
                <w:w w:val="98"/>
              </w:rPr>
              <w:t>relating to rights to purchase Series B Junior Participating</w:t>
            </w:r>
          </w:p>
        </w:tc>
      </w:tr>
      <w:tr>
        <w:trPr>
          <w:trHeight w:val="171"/>
        </w:trPr>
        <w:tc>
          <w:tcPr>
            <w:tcW w:w="1420" w:type="dxa"/>
            <w:vAlign w:val="bottom"/>
          </w:tcPr>
          <w:p>
            <w:pPr>
              <w:spacing w:after="0"/>
              <w:rPr>
                <w:sz w:val="14"/>
                <w:szCs w:val="14"/>
                <w:color w:val="auto"/>
              </w:rPr>
            </w:pPr>
          </w:p>
        </w:tc>
        <w:tc>
          <w:tcPr>
            <w:tcW w:w="5520" w:type="dxa"/>
            <w:vAlign w:val="bottom"/>
          </w:tcPr>
          <w:p>
            <w:pPr>
              <w:ind w:left="180"/>
              <w:spacing w:after="0"/>
              <w:rPr>
                <w:sz w:val="20"/>
                <w:szCs w:val="20"/>
                <w:color w:val="auto"/>
              </w:rPr>
            </w:pPr>
            <w:r>
              <w:rPr>
                <w:rFonts w:ascii="Courier New" w:cs="Courier New" w:eastAsia="Courier New" w:hAnsi="Courier New"/>
                <w:sz w:val="15"/>
                <w:szCs w:val="15"/>
                <w:color w:val="auto"/>
              </w:rPr>
              <w:t>Voting Preferred Stock, as amended (incorporated by</w:t>
            </w:r>
          </w:p>
        </w:tc>
      </w:tr>
      <w:tr>
        <w:trPr>
          <w:trHeight w:val="171"/>
        </w:trPr>
        <w:tc>
          <w:tcPr>
            <w:tcW w:w="1420" w:type="dxa"/>
            <w:vAlign w:val="bottom"/>
          </w:tcPr>
          <w:p>
            <w:pPr>
              <w:spacing w:after="0"/>
              <w:rPr>
                <w:sz w:val="14"/>
                <w:szCs w:val="14"/>
                <w:color w:val="auto"/>
              </w:rPr>
            </w:pPr>
          </w:p>
        </w:tc>
        <w:tc>
          <w:tcPr>
            <w:tcW w:w="5520" w:type="dxa"/>
            <w:vAlign w:val="bottom"/>
          </w:tcPr>
          <w:p>
            <w:pPr>
              <w:ind w:left="180"/>
              <w:spacing w:after="0"/>
              <w:rPr>
                <w:sz w:val="20"/>
                <w:szCs w:val="20"/>
                <w:color w:val="auto"/>
              </w:rPr>
            </w:pPr>
            <w:r>
              <w:rPr>
                <w:rFonts w:ascii="Courier New" w:cs="Courier New" w:eastAsia="Courier New" w:hAnsi="Courier New"/>
                <w:sz w:val="15"/>
                <w:szCs w:val="15"/>
                <w:color w:val="auto"/>
              </w:rPr>
              <w:t>reference to Exhibit 1 to Registrant's Registration</w:t>
            </w:r>
          </w:p>
        </w:tc>
      </w:tr>
      <w:tr>
        <w:trPr>
          <w:trHeight w:val="171"/>
        </w:trPr>
        <w:tc>
          <w:tcPr>
            <w:tcW w:w="1420" w:type="dxa"/>
            <w:vAlign w:val="bottom"/>
          </w:tcPr>
          <w:p>
            <w:pPr>
              <w:spacing w:after="0"/>
              <w:rPr>
                <w:sz w:val="14"/>
                <w:szCs w:val="14"/>
                <w:color w:val="auto"/>
              </w:rPr>
            </w:pPr>
          </w:p>
        </w:tc>
        <w:tc>
          <w:tcPr>
            <w:tcW w:w="5520" w:type="dxa"/>
            <w:vAlign w:val="bottom"/>
          </w:tcPr>
          <w:p>
            <w:pPr>
              <w:ind w:left="180"/>
              <w:spacing w:after="0"/>
              <w:rPr>
                <w:sz w:val="20"/>
                <w:szCs w:val="20"/>
                <w:color w:val="auto"/>
              </w:rPr>
            </w:pPr>
            <w:r>
              <w:rPr>
                <w:rFonts w:ascii="Courier New" w:cs="Courier New" w:eastAsia="Courier New" w:hAnsi="Courier New"/>
                <w:sz w:val="15"/>
                <w:szCs w:val="15"/>
                <w:color w:val="auto"/>
              </w:rPr>
              <w:t>Statement on Form 8-A dated June 17, 1988, Commission File</w:t>
            </w:r>
          </w:p>
        </w:tc>
      </w:tr>
      <w:tr>
        <w:trPr>
          <w:trHeight w:val="171"/>
        </w:trPr>
        <w:tc>
          <w:tcPr>
            <w:tcW w:w="1420" w:type="dxa"/>
            <w:vAlign w:val="bottom"/>
          </w:tcPr>
          <w:p>
            <w:pPr>
              <w:spacing w:after="0"/>
              <w:rPr>
                <w:sz w:val="14"/>
                <w:szCs w:val="14"/>
                <w:color w:val="auto"/>
              </w:rPr>
            </w:pPr>
          </w:p>
        </w:tc>
        <w:tc>
          <w:tcPr>
            <w:tcW w:w="5520" w:type="dxa"/>
            <w:vAlign w:val="bottom"/>
          </w:tcPr>
          <w:p>
            <w:pPr>
              <w:ind w:left="180"/>
              <w:spacing w:after="0"/>
              <w:rPr>
                <w:sz w:val="20"/>
                <w:szCs w:val="20"/>
                <w:color w:val="auto"/>
              </w:rPr>
            </w:pPr>
            <w:r>
              <w:rPr>
                <w:rFonts w:ascii="Courier New" w:cs="Courier New" w:eastAsia="Courier New" w:hAnsi="Courier New"/>
                <w:sz w:val="15"/>
                <w:szCs w:val="15"/>
                <w:color w:val="auto"/>
              </w:rPr>
              <w:t>No. 1-8649, as amended).</w:t>
            </w:r>
          </w:p>
        </w:tc>
      </w:tr>
      <w:tr>
        <w:trPr>
          <w:trHeight w:val="341"/>
        </w:trPr>
        <w:tc>
          <w:tcPr>
            <w:tcW w:w="1420" w:type="dxa"/>
            <w:vAlign w:val="bottom"/>
          </w:tcPr>
          <w:p>
            <w:pPr>
              <w:spacing w:after="0"/>
              <w:rPr>
                <w:sz w:val="20"/>
                <w:szCs w:val="20"/>
                <w:color w:val="auto"/>
              </w:rPr>
            </w:pPr>
            <w:r>
              <w:rPr>
                <w:rFonts w:ascii="Courier New" w:cs="Courier New" w:eastAsia="Courier New" w:hAnsi="Courier New"/>
                <w:sz w:val="15"/>
                <w:szCs w:val="15"/>
                <w:color w:val="auto"/>
              </w:rPr>
              <w:t>4(g)</w:t>
            </w:r>
          </w:p>
        </w:tc>
        <w:tc>
          <w:tcPr>
            <w:tcW w:w="5520" w:type="dxa"/>
            <w:vAlign w:val="bottom"/>
          </w:tcPr>
          <w:p>
            <w:pPr>
              <w:ind w:left="180"/>
              <w:spacing w:after="0"/>
              <w:rPr>
                <w:sz w:val="20"/>
                <w:szCs w:val="20"/>
                <w:color w:val="auto"/>
              </w:rPr>
            </w:pPr>
            <w:r>
              <w:rPr>
                <w:rFonts w:ascii="Courier New" w:cs="Courier New" w:eastAsia="Courier New" w:hAnsi="Courier New"/>
                <w:sz w:val="15"/>
                <w:szCs w:val="15"/>
                <w:color w:val="auto"/>
              </w:rPr>
              <w:t>Indenture dated as of July 15, 1987, between the Registrant</w:t>
            </w:r>
          </w:p>
        </w:tc>
      </w:tr>
      <w:tr>
        <w:trPr>
          <w:trHeight w:val="171"/>
        </w:trPr>
        <w:tc>
          <w:tcPr>
            <w:tcW w:w="1420" w:type="dxa"/>
            <w:vAlign w:val="bottom"/>
          </w:tcPr>
          <w:p>
            <w:pPr>
              <w:spacing w:after="0"/>
              <w:rPr>
                <w:sz w:val="14"/>
                <w:szCs w:val="14"/>
                <w:color w:val="auto"/>
              </w:rPr>
            </w:pPr>
          </w:p>
        </w:tc>
        <w:tc>
          <w:tcPr>
            <w:tcW w:w="5520" w:type="dxa"/>
            <w:vAlign w:val="bottom"/>
          </w:tcPr>
          <w:p>
            <w:pPr>
              <w:ind w:left="180"/>
              <w:spacing w:after="0"/>
              <w:rPr>
                <w:sz w:val="20"/>
                <w:szCs w:val="20"/>
                <w:color w:val="auto"/>
              </w:rPr>
            </w:pPr>
            <w:r>
              <w:rPr>
                <w:rFonts w:ascii="Courier New" w:cs="Courier New" w:eastAsia="Courier New" w:hAnsi="Courier New"/>
                <w:sz w:val="15"/>
                <w:szCs w:val="15"/>
                <w:color w:val="auto"/>
              </w:rPr>
              <w:t>and Manufacturers Hanover Trust Company, Trustee, relating</w:t>
            </w:r>
          </w:p>
        </w:tc>
      </w:tr>
      <w:tr>
        <w:trPr>
          <w:trHeight w:val="171"/>
        </w:trPr>
        <w:tc>
          <w:tcPr>
            <w:tcW w:w="1420" w:type="dxa"/>
            <w:vAlign w:val="bottom"/>
          </w:tcPr>
          <w:p>
            <w:pPr>
              <w:spacing w:after="0"/>
              <w:rPr>
                <w:sz w:val="14"/>
                <w:szCs w:val="14"/>
                <w:color w:val="auto"/>
              </w:rPr>
            </w:pPr>
          </w:p>
        </w:tc>
        <w:tc>
          <w:tcPr>
            <w:tcW w:w="5520" w:type="dxa"/>
            <w:vAlign w:val="bottom"/>
          </w:tcPr>
          <w:p>
            <w:pPr>
              <w:ind w:left="180"/>
              <w:spacing w:after="0"/>
              <w:rPr>
                <w:sz w:val="20"/>
                <w:szCs w:val="20"/>
                <w:color w:val="auto"/>
              </w:rPr>
            </w:pPr>
            <w:r>
              <w:rPr>
                <w:rFonts w:ascii="Courier New" w:cs="Courier New" w:eastAsia="Courier New" w:hAnsi="Courier New"/>
                <w:sz w:val="15"/>
                <w:szCs w:val="15"/>
                <w:color w:val="auto"/>
              </w:rPr>
              <w:t>to the Registrant's 11% Sinking Fund Debentures Due August</w:t>
            </w:r>
          </w:p>
        </w:tc>
      </w:tr>
      <w:tr>
        <w:trPr>
          <w:trHeight w:val="171"/>
        </w:trPr>
        <w:tc>
          <w:tcPr>
            <w:tcW w:w="1420" w:type="dxa"/>
            <w:vAlign w:val="bottom"/>
          </w:tcPr>
          <w:p>
            <w:pPr>
              <w:spacing w:after="0"/>
              <w:rPr>
                <w:sz w:val="14"/>
                <w:szCs w:val="14"/>
                <w:color w:val="auto"/>
              </w:rPr>
            </w:pPr>
          </w:p>
        </w:tc>
        <w:tc>
          <w:tcPr>
            <w:tcW w:w="5520" w:type="dxa"/>
            <w:vAlign w:val="bottom"/>
          </w:tcPr>
          <w:p>
            <w:pPr>
              <w:ind w:left="180"/>
              <w:spacing w:after="0"/>
              <w:rPr>
                <w:sz w:val="20"/>
                <w:szCs w:val="20"/>
                <w:color w:val="auto"/>
              </w:rPr>
            </w:pPr>
            <w:r>
              <w:rPr>
                <w:rFonts w:ascii="Courier New" w:cs="Courier New" w:eastAsia="Courier New" w:hAnsi="Courier New"/>
                <w:sz w:val="15"/>
                <w:szCs w:val="15"/>
                <w:color w:val="auto"/>
              </w:rPr>
              <w:t>1, 2017 (incorporated by reference to Exhibit 4 to the</w:t>
            </w:r>
          </w:p>
        </w:tc>
      </w:tr>
      <w:tr>
        <w:trPr>
          <w:trHeight w:val="171"/>
        </w:trPr>
        <w:tc>
          <w:tcPr>
            <w:tcW w:w="1420" w:type="dxa"/>
            <w:vAlign w:val="bottom"/>
          </w:tcPr>
          <w:p>
            <w:pPr>
              <w:spacing w:after="0"/>
              <w:rPr>
                <w:sz w:val="14"/>
                <w:szCs w:val="14"/>
                <w:color w:val="auto"/>
              </w:rPr>
            </w:pPr>
          </w:p>
        </w:tc>
        <w:tc>
          <w:tcPr>
            <w:tcW w:w="5520" w:type="dxa"/>
            <w:vAlign w:val="bottom"/>
          </w:tcPr>
          <w:p>
            <w:pPr>
              <w:ind w:left="180"/>
              <w:spacing w:after="0"/>
              <w:rPr>
                <w:sz w:val="20"/>
                <w:szCs w:val="20"/>
                <w:color w:val="auto"/>
              </w:rPr>
            </w:pPr>
            <w:r>
              <w:rPr>
                <w:rFonts w:ascii="Courier New" w:cs="Courier New" w:eastAsia="Courier New" w:hAnsi="Courier New"/>
                <w:sz w:val="15"/>
                <w:szCs w:val="15"/>
                <w:color w:val="auto"/>
              </w:rPr>
              <w:t>Registrant's Registration Statement on Form S-3,</w:t>
            </w:r>
          </w:p>
        </w:tc>
      </w:tr>
      <w:tr>
        <w:trPr>
          <w:trHeight w:val="171"/>
        </w:trPr>
        <w:tc>
          <w:tcPr>
            <w:tcW w:w="1420" w:type="dxa"/>
            <w:vAlign w:val="bottom"/>
          </w:tcPr>
          <w:p>
            <w:pPr>
              <w:spacing w:after="0"/>
              <w:rPr>
                <w:sz w:val="14"/>
                <w:szCs w:val="14"/>
                <w:color w:val="auto"/>
              </w:rPr>
            </w:pPr>
          </w:p>
        </w:tc>
        <w:tc>
          <w:tcPr>
            <w:tcW w:w="5520" w:type="dxa"/>
            <w:vAlign w:val="bottom"/>
          </w:tcPr>
          <w:p>
            <w:pPr>
              <w:ind w:left="180"/>
              <w:spacing w:after="0"/>
              <w:rPr>
                <w:sz w:val="20"/>
                <w:szCs w:val="20"/>
                <w:color w:val="auto"/>
              </w:rPr>
            </w:pPr>
            <w:r>
              <w:rPr>
                <w:rFonts w:ascii="Courier New" w:cs="Courier New" w:eastAsia="Courier New" w:hAnsi="Courier New"/>
                <w:sz w:val="15"/>
                <w:szCs w:val="15"/>
                <w:color w:val="auto"/>
              </w:rPr>
              <w:t>Registration No. 44-16175).</w:t>
            </w:r>
          </w:p>
        </w:tc>
      </w:tr>
      <w:tr>
        <w:trPr>
          <w:trHeight w:val="341"/>
        </w:trPr>
        <w:tc>
          <w:tcPr>
            <w:tcW w:w="1420" w:type="dxa"/>
            <w:vAlign w:val="bottom"/>
          </w:tcPr>
          <w:p>
            <w:pPr>
              <w:spacing w:after="0"/>
              <w:rPr>
                <w:sz w:val="20"/>
                <w:szCs w:val="20"/>
                <w:color w:val="auto"/>
              </w:rPr>
            </w:pPr>
            <w:r>
              <w:rPr>
                <w:rFonts w:ascii="Courier New" w:cs="Courier New" w:eastAsia="Courier New" w:hAnsi="Courier New"/>
                <w:sz w:val="15"/>
                <w:szCs w:val="15"/>
                <w:color w:val="auto"/>
              </w:rPr>
              <w:t>10(a)</w:t>
            </w:r>
          </w:p>
        </w:tc>
        <w:tc>
          <w:tcPr>
            <w:tcW w:w="5520" w:type="dxa"/>
            <w:vAlign w:val="bottom"/>
          </w:tcPr>
          <w:p>
            <w:pPr>
              <w:ind w:left="180"/>
              <w:spacing w:after="0"/>
              <w:rPr>
                <w:sz w:val="20"/>
                <w:szCs w:val="20"/>
                <w:color w:val="auto"/>
              </w:rPr>
            </w:pPr>
            <w:r>
              <w:rPr>
                <w:rFonts w:ascii="Courier New" w:cs="Courier New" w:eastAsia="Courier New" w:hAnsi="Courier New"/>
                <w:sz w:val="15"/>
                <w:szCs w:val="15"/>
                <w:color w:val="auto"/>
              </w:rPr>
              <w:t>Form of Employment Agreement in effect for certain officers</w:t>
            </w:r>
          </w:p>
        </w:tc>
      </w:tr>
      <w:tr>
        <w:trPr>
          <w:trHeight w:val="171"/>
        </w:trPr>
        <w:tc>
          <w:tcPr>
            <w:tcW w:w="1420" w:type="dxa"/>
            <w:vAlign w:val="bottom"/>
          </w:tcPr>
          <w:p>
            <w:pPr>
              <w:spacing w:after="0"/>
              <w:rPr>
                <w:sz w:val="14"/>
                <w:szCs w:val="14"/>
                <w:color w:val="auto"/>
              </w:rPr>
            </w:pPr>
          </w:p>
        </w:tc>
        <w:tc>
          <w:tcPr>
            <w:tcW w:w="5520" w:type="dxa"/>
            <w:vAlign w:val="bottom"/>
          </w:tcPr>
          <w:p>
            <w:pPr>
              <w:ind w:left="180"/>
              <w:spacing w:after="0"/>
              <w:rPr>
                <w:sz w:val="20"/>
                <w:szCs w:val="20"/>
                <w:color w:val="auto"/>
              </w:rPr>
            </w:pPr>
            <w:r>
              <w:rPr>
                <w:rFonts w:ascii="Courier New" w:cs="Courier New" w:eastAsia="Courier New" w:hAnsi="Courier New"/>
                <w:sz w:val="15"/>
                <w:szCs w:val="15"/>
                <w:color w:val="auto"/>
              </w:rPr>
              <w:t>of the Registrant (incorporated by reference to Exhibit</w:t>
            </w:r>
          </w:p>
        </w:tc>
      </w:tr>
      <w:tr>
        <w:trPr>
          <w:trHeight w:val="171"/>
        </w:trPr>
        <w:tc>
          <w:tcPr>
            <w:tcW w:w="1420" w:type="dxa"/>
            <w:vAlign w:val="bottom"/>
          </w:tcPr>
          <w:p>
            <w:pPr>
              <w:spacing w:after="0"/>
              <w:rPr>
                <w:sz w:val="14"/>
                <w:szCs w:val="14"/>
                <w:color w:val="auto"/>
              </w:rPr>
            </w:pPr>
          </w:p>
        </w:tc>
        <w:tc>
          <w:tcPr>
            <w:tcW w:w="5520" w:type="dxa"/>
            <w:vAlign w:val="bottom"/>
          </w:tcPr>
          <w:p>
            <w:pPr>
              <w:ind w:left="180"/>
              <w:spacing w:after="0"/>
              <w:rPr>
                <w:sz w:val="20"/>
                <w:szCs w:val="20"/>
                <w:color w:val="auto"/>
              </w:rPr>
            </w:pPr>
            <w:r>
              <w:rPr>
                <w:rFonts w:ascii="Courier New" w:cs="Courier New" w:eastAsia="Courier New" w:hAnsi="Courier New"/>
                <w:sz w:val="15"/>
                <w:szCs w:val="15"/>
                <w:color w:val="auto"/>
                <w:w w:val="98"/>
              </w:rPr>
              <w:t>10(a) to the Registrant's Annual Report on Form 10-K for the</w:t>
            </w:r>
          </w:p>
        </w:tc>
      </w:tr>
      <w:tr>
        <w:trPr>
          <w:trHeight w:val="171"/>
        </w:trPr>
        <w:tc>
          <w:tcPr>
            <w:tcW w:w="1420" w:type="dxa"/>
            <w:vAlign w:val="bottom"/>
          </w:tcPr>
          <w:p>
            <w:pPr>
              <w:spacing w:after="0"/>
              <w:rPr>
                <w:sz w:val="14"/>
                <w:szCs w:val="14"/>
                <w:color w:val="auto"/>
              </w:rPr>
            </w:pPr>
          </w:p>
        </w:tc>
        <w:tc>
          <w:tcPr>
            <w:tcW w:w="5520" w:type="dxa"/>
            <w:vAlign w:val="bottom"/>
          </w:tcPr>
          <w:p>
            <w:pPr>
              <w:ind w:left="180"/>
              <w:spacing w:after="0"/>
              <w:rPr>
                <w:sz w:val="20"/>
                <w:szCs w:val="20"/>
                <w:color w:val="auto"/>
              </w:rPr>
            </w:pPr>
            <w:r>
              <w:rPr>
                <w:rFonts w:ascii="Courier New" w:cs="Courier New" w:eastAsia="Courier New" w:hAnsi="Courier New"/>
                <w:sz w:val="15"/>
                <w:szCs w:val="15"/>
                <w:color w:val="auto"/>
              </w:rPr>
              <w:t>year ended July 31, 1993).</w:t>
            </w:r>
          </w:p>
        </w:tc>
      </w:tr>
      <w:tr>
        <w:trPr>
          <w:trHeight w:val="341"/>
        </w:trPr>
        <w:tc>
          <w:tcPr>
            <w:tcW w:w="1420" w:type="dxa"/>
            <w:vAlign w:val="bottom"/>
          </w:tcPr>
          <w:p>
            <w:pPr>
              <w:spacing w:after="0"/>
              <w:rPr>
                <w:sz w:val="20"/>
                <w:szCs w:val="20"/>
                <w:color w:val="auto"/>
              </w:rPr>
            </w:pPr>
            <w:r>
              <w:rPr>
                <w:rFonts w:ascii="Courier New" w:cs="Courier New" w:eastAsia="Courier New" w:hAnsi="Courier New"/>
                <w:sz w:val="15"/>
                <w:szCs w:val="15"/>
                <w:color w:val="auto"/>
              </w:rPr>
              <w:t>10(b)</w:t>
            </w:r>
          </w:p>
        </w:tc>
        <w:tc>
          <w:tcPr>
            <w:tcW w:w="5520" w:type="dxa"/>
            <w:vAlign w:val="bottom"/>
          </w:tcPr>
          <w:p>
            <w:pPr>
              <w:ind w:left="180"/>
              <w:spacing w:after="0"/>
              <w:rPr>
                <w:sz w:val="20"/>
                <w:szCs w:val="20"/>
                <w:color w:val="auto"/>
              </w:rPr>
            </w:pPr>
            <w:r>
              <w:rPr>
                <w:rFonts w:ascii="Courier New" w:cs="Courier New" w:eastAsia="Courier New" w:hAnsi="Courier New"/>
                <w:sz w:val="15"/>
                <w:szCs w:val="15"/>
                <w:color w:val="auto"/>
                <w:w w:val="98"/>
              </w:rPr>
              <w:t>1985 Incentive Stock Option Plan and 1989 Stock Option Plan,</w:t>
            </w:r>
          </w:p>
        </w:tc>
      </w:tr>
      <w:tr>
        <w:trPr>
          <w:trHeight w:val="171"/>
        </w:trPr>
        <w:tc>
          <w:tcPr>
            <w:tcW w:w="1420" w:type="dxa"/>
            <w:vAlign w:val="bottom"/>
          </w:tcPr>
          <w:p>
            <w:pPr>
              <w:spacing w:after="0"/>
              <w:rPr>
                <w:sz w:val="14"/>
                <w:szCs w:val="14"/>
                <w:color w:val="auto"/>
              </w:rPr>
            </w:pPr>
          </w:p>
        </w:tc>
        <w:tc>
          <w:tcPr>
            <w:tcW w:w="5520" w:type="dxa"/>
            <w:vAlign w:val="bottom"/>
          </w:tcPr>
          <w:p>
            <w:pPr>
              <w:ind w:left="180"/>
              <w:spacing w:after="0"/>
              <w:rPr>
                <w:sz w:val="20"/>
                <w:szCs w:val="20"/>
                <w:color w:val="auto"/>
              </w:rPr>
            </w:pPr>
            <w:r>
              <w:rPr>
                <w:rFonts w:ascii="Courier New" w:cs="Courier New" w:eastAsia="Courier New" w:hAnsi="Courier New"/>
                <w:sz w:val="15"/>
                <w:szCs w:val="15"/>
                <w:color w:val="auto"/>
              </w:rPr>
              <w:t>both as amended (incorporated by reference Exhibit 10(b) to</w:t>
            </w:r>
          </w:p>
        </w:tc>
      </w:tr>
      <w:tr>
        <w:trPr>
          <w:trHeight w:val="171"/>
        </w:trPr>
        <w:tc>
          <w:tcPr>
            <w:tcW w:w="1420" w:type="dxa"/>
            <w:vAlign w:val="bottom"/>
          </w:tcPr>
          <w:p>
            <w:pPr>
              <w:spacing w:after="0"/>
              <w:rPr>
                <w:sz w:val="14"/>
                <w:szCs w:val="14"/>
                <w:color w:val="auto"/>
              </w:rPr>
            </w:pPr>
          </w:p>
        </w:tc>
        <w:tc>
          <w:tcPr>
            <w:tcW w:w="5520" w:type="dxa"/>
            <w:vAlign w:val="bottom"/>
          </w:tcPr>
          <w:p>
            <w:pPr>
              <w:ind w:left="180"/>
              <w:spacing w:after="0"/>
              <w:rPr>
                <w:sz w:val="20"/>
                <w:szCs w:val="20"/>
                <w:color w:val="auto"/>
              </w:rPr>
            </w:pPr>
            <w:r>
              <w:rPr>
                <w:rFonts w:ascii="Courier New" w:cs="Courier New" w:eastAsia="Courier New" w:hAnsi="Courier New"/>
                <w:sz w:val="15"/>
                <w:szCs w:val="15"/>
                <w:color w:val="auto"/>
              </w:rPr>
              <w:t>the Registrant's Annual Report on Form 10-K for the year</w:t>
            </w:r>
          </w:p>
        </w:tc>
      </w:tr>
      <w:tr>
        <w:trPr>
          <w:trHeight w:val="171"/>
        </w:trPr>
        <w:tc>
          <w:tcPr>
            <w:tcW w:w="1420" w:type="dxa"/>
            <w:vAlign w:val="bottom"/>
          </w:tcPr>
          <w:p>
            <w:pPr>
              <w:spacing w:after="0"/>
              <w:rPr>
                <w:sz w:val="14"/>
                <w:szCs w:val="14"/>
                <w:color w:val="auto"/>
              </w:rPr>
            </w:pPr>
          </w:p>
        </w:tc>
        <w:tc>
          <w:tcPr>
            <w:tcW w:w="5520" w:type="dxa"/>
            <w:vAlign w:val="bottom"/>
          </w:tcPr>
          <w:p>
            <w:pPr>
              <w:ind w:left="180"/>
              <w:spacing w:after="0"/>
              <w:rPr>
                <w:sz w:val="20"/>
                <w:szCs w:val="20"/>
                <w:color w:val="auto"/>
              </w:rPr>
            </w:pPr>
            <w:r>
              <w:rPr>
                <w:rFonts w:ascii="Courier New" w:cs="Courier New" w:eastAsia="Courier New" w:hAnsi="Courier New"/>
                <w:sz w:val="15"/>
                <w:szCs w:val="15"/>
                <w:color w:val="auto"/>
              </w:rPr>
              <w:t>ended July 31, 1993).</w:t>
            </w:r>
          </w:p>
        </w:tc>
      </w:tr>
      <w:tr>
        <w:trPr>
          <w:trHeight w:val="341"/>
        </w:trPr>
        <w:tc>
          <w:tcPr>
            <w:tcW w:w="1420" w:type="dxa"/>
            <w:vAlign w:val="bottom"/>
          </w:tcPr>
          <w:p>
            <w:pPr>
              <w:spacing w:after="0"/>
              <w:rPr>
                <w:sz w:val="20"/>
                <w:szCs w:val="20"/>
                <w:color w:val="auto"/>
              </w:rPr>
            </w:pPr>
            <w:r>
              <w:rPr>
                <w:rFonts w:ascii="Courier New" w:cs="Courier New" w:eastAsia="Courier New" w:hAnsi="Courier New"/>
                <w:sz w:val="15"/>
                <w:szCs w:val="15"/>
                <w:color w:val="auto"/>
              </w:rPr>
              <w:t>10(c)</w:t>
            </w:r>
          </w:p>
        </w:tc>
        <w:tc>
          <w:tcPr>
            <w:tcW w:w="5520" w:type="dxa"/>
            <w:vAlign w:val="bottom"/>
          </w:tcPr>
          <w:p>
            <w:pPr>
              <w:ind w:left="180"/>
              <w:spacing w:after="0"/>
              <w:rPr>
                <w:sz w:val="20"/>
                <w:szCs w:val="20"/>
                <w:color w:val="auto"/>
              </w:rPr>
            </w:pPr>
            <w:r>
              <w:rPr>
                <w:rFonts w:ascii="Courier New" w:cs="Courier New" w:eastAsia="Courier New" w:hAnsi="Courier New"/>
                <w:sz w:val="15"/>
                <w:szCs w:val="15"/>
                <w:color w:val="auto"/>
              </w:rPr>
              <w:t>The Toro Company Matching Stock Purchase Plan (incorporated</w:t>
            </w:r>
          </w:p>
        </w:tc>
      </w:tr>
      <w:tr>
        <w:trPr>
          <w:trHeight w:val="171"/>
        </w:trPr>
        <w:tc>
          <w:tcPr>
            <w:tcW w:w="1420" w:type="dxa"/>
            <w:vAlign w:val="bottom"/>
          </w:tcPr>
          <w:p>
            <w:pPr>
              <w:spacing w:after="0"/>
              <w:rPr>
                <w:sz w:val="14"/>
                <w:szCs w:val="14"/>
                <w:color w:val="auto"/>
              </w:rPr>
            </w:pPr>
          </w:p>
        </w:tc>
        <w:tc>
          <w:tcPr>
            <w:tcW w:w="5520" w:type="dxa"/>
            <w:vAlign w:val="bottom"/>
          </w:tcPr>
          <w:p>
            <w:pPr>
              <w:ind w:left="180"/>
              <w:spacing w:after="0"/>
              <w:rPr>
                <w:sz w:val="20"/>
                <w:szCs w:val="20"/>
                <w:color w:val="auto"/>
              </w:rPr>
            </w:pPr>
            <w:r>
              <w:rPr>
                <w:rFonts w:ascii="Courier New" w:cs="Courier New" w:eastAsia="Courier New" w:hAnsi="Courier New"/>
                <w:sz w:val="15"/>
                <w:szCs w:val="15"/>
                <w:color w:val="auto"/>
              </w:rPr>
              <w:t>by reference to Exhibit 28 to the Registrant's Registration</w:t>
            </w:r>
          </w:p>
        </w:tc>
      </w:tr>
      <w:tr>
        <w:trPr>
          <w:trHeight w:val="171"/>
        </w:trPr>
        <w:tc>
          <w:tcPr>
            <w:tcW w:w="1420" w:type="dxa"/>
            <w:vAlign w:val="bottom"/>
          </w:tcPr>
          <w:p>
            <w:pPr>
              <w:spacing w:after="0"/>
              <w:rPr>
                <w:sz w:val="14"/>
                <w:szCs w:val="14"/>
                <w:color w:val="auto"/>
              </w:rPr>
            </w:pPr>
          </w:p>
        </w:tc>
        <w:tc>
          <w:tcPr>
            <w:tcW w:w="5520" w:type="dxa"/>
            <w:vAlign w:val="bottom"/>
          </w:tcPr>
          <w:p>
            <w:pPr>
              <w:ind w:left="180"/>
              <w:spacing w:after="0"/>
              <w:rPr>
                <w:sz w:val="20"/>
                <w:szCs w:val="20"/>
                <w:color w:val="auto"/>
              </w:rPr>
            </w:pPr>
            <w:r>
              <w:rPr>
                <w:rFonts w:ascii="Courier New" w:cs="Courier New" w:eastAsia="Courier New" w:hAnsi="Courier New"/>
                <w:sz w:val="15"/>
                <w:szCs w:val="15"/>
                <w:color w:val="auto"/>
              </w:rPr>
              <w:t>Statement on Form S-8, Registration No. 33-22469).</w:t>
            </w:r>
          </w:p>
        </w:tc>
      </w:tr>
      <w:tr>
        <w:trPr>
          <w:trHeight w:val="341"/>
        </w:trPr>
        <w:tc>
          <w:tcPr>
            <w:tcW w:w="1420" w:type="dxa"/>
            <w:vAlign w:val="bottom"/>
          </w:tcPr>
          <w:p>
            <w:pPr>
              <w:spacing w:after="0"/>
              <w:rPr>
                <w:sz w:val="20"/>
                <w:szCs w:val="20"/>
                <w:color w:val="auto"/>
              </w:rPr>
            </w:pPr>
            <w:r>
              <w:rPr>
                <w:rFonts w:ascii="Courier New" w:cs="Courier New" w:eastAsia="Courier New" w:hAnsi="Courier New"/>
                <w:sz w:val="15"/>
                <w:szCs w:val="15"/>
                <w:color w:val="auto"/>
              </w:rPr>
              <w:t>10(d)</w:t>
            </w:r>
          </w:p>
        </w:tc>
        <w:tc>
          <w:tcPr>
            <w:tcW w:w="5520" w:type="dxa"/>
            <w:vAlign w:val="bottom"/>
          </w:tcPr>
          <w:p>
            <w:pPr>
              <w:ind w:left="180"/>
              <w:spacing w:after="0"/>
              <w:rPr>
                <w:sz w:val="20"/>
                <w:szCs w:val="20"/>
                <w:color w:val="auto"/>
              </w:rPr>
            </w:pPr>
            <w:r>
              <w:rPr>
                <w:rFonts w:ascii="Courier New" w:cs="Courier New" w:eastAsia="Courier New" w:hAnsi="Courier New"/>
                <w:sz w:val="15"/>
                <w:szCs w:val="15"/>
                <w:color w:val="auto"/>
                <w:w w:val="98"/>
              </w:rPr>
              <w:t>1993 Stock Option Plan (incorporated by reference to Exhibit</w:t>
            </w:r>
          </w:p>
        </w:tc>
      </w:tr>
      <w:tr>
        <w:trPr>
          <w:trHeight w:val="171"/>
        </w:trPr>
        <w:tc>
          <w:tcPr>
            <w:tcW w:w="1420" w:type="dxa"/>
            <w:vAlign w:val="bottom"/>
          </w:tcPr>
          <w:p>
            <w:pPr>
              <w:spacing w:after="0"/>
              <w:rPr>
                <w:sz w:val="14"/>
                <w:szCs w:val="14"/>
                <w:color w:val="auto"/>
              </w:rPr>
            </w:pPr>
          </w:p>
        </w:tc>
        <w:tc>
          <w:tcPr>
            <w:tcW w:w="5520" w:type="dxa"/>
            <w:vAlign w:val="bottom"/>
          </w:tcPr>
          <w:p>
            <w:pPr>
              <w:ind w:left="180"/>
              <w:spacing w:after="0"/>
              <w:rPr>
                <w:sz w:val="20"/>
                <w:szCs w:val="20"/>
                <w:color w:val="auto"/>
              </w:rPr>
            </w:pPr>
            <w:r>
              <w:rPr>
                <w:rFonts w:ascii="Courier New" w:cs="Courier New" w:eastAsia="Courier New" w:hAnsi="Courier New"/>
                <w:sz w:val="15"/>
                <w:szCs w:val="15"/>
                <w:color w:val="auto"/>
              </w:rPr>
              <w:t>A to Registrant's Proxy Statement dated October 29, 1993).</w:t>
            </w:r>
          </w:p>
        </w:tc>
      </w:tr>
      <w:tr>
        <w:trPr>
          <w:trHeight w:val="341"/>
        </w:trPr>
        <w:tc>
          <w:tcPr>
            <w:tcW w:w="1420" w:type="dxa"/>
            <w:vAlign w:val="bottom"/>
          </w:tcPr>
          <w:p>
            <w:pPr>
              <w:spacing w:after="0"/>
              <w:rPr>
                <w:sz w:val="20"/>
                <w:szCs w:val="20"/>
                <w:color w:val="auto"/>
              </w:rPr>
            </w:pPr>
            <w:r>
              <w:rPr>
                <w:rFonts w:ascii="Courier New" w:cs="Courier New" w:eastAsia="Courier New" w:hAnsi="Courier New"/>
                <w:sz w:val="15"/>
                <w:szCs w:val="15"/>
                <w:color w:val="auto"/>
              </w:rPr>
              <w:t>10(e)</w:t>
            </w:r>
          </w:p>
        </w:tc>
        <w:tc>
          <w:tcPr>
            <w:tcW w:w="5520" w:type="dxa"/>
            <w:vAlign w:val="bottom"/>
          </w:tcPr>
          <w:p>
            <w:pPr>
              <w:ind w:left="180"/>
              <w:spacing w:after="0"/>
              <w:rPr>
                <w:sz w:val="20"/>
                <w:szCs w:val="20"/>
                <w:color w:val="auto"/>
              </w:rPr>
            </w:pPr>
            <w:r>
              <w:rPr>
                <w:rFonts w:ascii="Courier New" w:cs="Courier New" w:eastAsia="Courier New" w:hAnsi="Courier New"/>
                <w:sz w:val="15"/>
                <w:szCs w:val="15"/>
                <w:color w:val="auto"/>
                <w:w w:val="98"/>
              </w:rPr>
              <w:t>Continuous Performance Award Plan (incorporated by reference</w:t>
            </w:r>
          </w:p>
        </w:tc>
      </w:tr>
      <w:tr>
        <w:trPr>
          <w:trHeight w:val="171"/>
        </w:trPr>
        <w:tc>
          <w:tcPr>
            <w:tcW w:w="1420" w:type="dxa"/>
            <w:vAlign w:val="bottom"/>
          </w:tcPr>
          <w:p>
            <w:pPr>
              <w:spacing w:after="0"/>
              <w:rPr>
                <w:sz w:val="14"/>
                <w:szCs w:val="14"/>
                <w:color w:val="auto"/>
              </w:rPr>
            </w:pPr>
          </w:p>
        </w:tc>
        <w:tc>
          <w:tcPr>
            <w:tcW w:w="5520" w:type="dxa"/>
            <w:vAlign w:val="bottom"/>
          </w:tcPr>
          <w:p>
            <w:pPr>
              <w:ind w:left="180"/>
              <w:spacing w:after="0"/>
              <w:rPr>
                <w:sz w:val="20"/>
                <w:szCs w:val="20"/>
                <w:color w:val="auto"/>
              </w:rPr>
            </w:pPr>
            <w:r>
              <w:rPr>
                <w:rFonts w:ascii="Courier New" w:cs="Courier New" w:eastAsia="Courier New" w:hAnsi="Courier New"/>
                <w:sz w:val="15"/>
                <w:szCs w:val="15"/>
                <w:color w:val="auto"/>
              </w:rPr>
              <w:t>to Exhibit A to Registrant's Proxy Statement dated</w:t>
            </w:r>
          </w:p>
        </w:tc>
      </w:tr>
      <w:tr>
        <w:trPr>
          <w:trHeight w:val="171"/>
        </w:trPr>
        <w:tc>
          <w:tcPr>
            <w:tcW w:w="1420" w:type="dxa"/>
            <w:vAlign w:val="bottom"/>
          </w:tcPr>
          <w:p>
            <w:pPr>
              <w:spacing w:after="0"/>
              <w:rPr>
                <w:sz w:val="14"/>
                <w:szCs w:val="14"/>
                <w:color w:val="auto"/>
              </w:rPr>
            </w:pPr>
          </w:p>
        </w:tc>
        <w:tc>
          <w:tcPr>
            <w:tcW w:w="5520" w:type="dxa"/>
            <w:vAlign w:val="bottom"/>
          </w:tcPr>
          <w:p>
            <w:pPr>
              <w:ind w:left="180"/>
              <w:spacing w:after="0"/>
              <w:rPr>
                <w:sz w:val="20"/>
                <w:szCs w:val="20"/>
                <w:color w:val="auto"/>
              </w:rPr>
            </w:pPr>
            <w:r>
              <w:rPr>
                <w:rFonts w:ascii="Courier New" w:cs="Courier New" w:eastAsia="Courier New" w:hAnsi="Courier New"/>
                <w:sz w:val="15"/>
                <w:szCs w:val="15"/>
                <w:color w:val="auto"/>
              </w:rPr>
              <w:t>October 31, 1991).</w:t>
            </w:r>
          </w:p>
        </w:tc>
      </w:tr>
    </w:tbl>
    <w:p>
      <w:pPr>
        <w:spacing w:after="0" w:line="174" w:lineRule="exact"/>
        <w:rPr>
          <w:sz w:val="20"/>
          <w:szCs w:val="20"/>
          <w:color w:val="auto"/>
        </w:rPr>
      </w:pPr>
    </w:p>
    <w:p>
      <w:pPr>
        <w:ind w:left="1769" w:right="3119" w:hanging="1591"/>
        <w:spacing w:after="0" w:line="238" w:lineRule="auto"/>
        <w:tabs>
          <w:tab w:leader="none" w:pos="176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Computation of Earnings (Loss) per Share of Common Stock and Common Stock Equivalent (page 17 of this report).</w:t>
      </w:r>
    </w:p>
    <w:p>
      <w:pPr>
        <w:spacing w:after="0" w:line="172"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900" w:type="dxa"/>
            <w:vAlign w:val="bottom"/>
          </w:tcPr>
          <w:p>
            <w:pPr>
              <w:jc w:val="right"/>
              <w:ind w:right="646"/>
              <w:spacing w:after="0"/>
              <w:rPr>
                <w:sz w:val="20"/>
                <w:szCs w:val="20"/>
                <w:color w:val="auto"/>
              </w:rPr>
            </w:pPr>
            <w:r>
              <w:rPr>
                <w:rFonts w:ascii="Courier New" w:cs="Courier New" w:eastAsia="Courier New" w:hAnsi="Courier New"/>
                <w:sz w:val="15"/>
                <w:szCs w:val="15"/>
                <w:color w:val="auto"/>
                <w:w w:val="88"/>
              </w:rPr>
              <w:t>13</w:t>
            </w:r>
          </w:p>
        </w:tc>
        <w:tc>
          <w:tcPr>
            <w:tcW w:w="1820" w:type="dxa"/>
            <w:vAlign w:val="bottom"/>
          </w:tcPr>
          <w:p>
            <w:pPr>
              <w:ind w:left="700"/>
              <w:spacing w:after="0"/>
              <w:rPr>
                <w:sz w:val="20"/>
                <w:szCs w:val="20"/>
                <w:color w:val="auto"/>
              </w:rPr>
            </w:pPr>
            <w:r>
              <w:rPr>
                <w:rFonts w:ascii="Courier New" w:cs="Courier New" w:eastAsia="Courier New" w:hAnsi="Courier New"/>
                <w:sz w:val="15"/>
                <w:szCs w:val="15"/>
                <w:color w:val="auto"/>
              </w:rPr>
              <w:t>Registrant's</w:t>
            </w:r>
          </w:p>
        </w:tc>
        <w:tc>
          <w:tcPr>
            <w:tcW w:w="2300" w:type="dxa"/>
            <w:vAlign w:val="bottom"/>
          </w:tcPr>
          <w:p>
            <w:pPr>
              <w:ind w:left="40"/>
              <w:spacing w:after="0"/>
              <w:rPr>
                <w:sz w:val="20"/>
                <w:szCs w:val="20"/>
                <w:color w:val="auto"/>
              </w:rPr>
            </w:pPr>
            <w:r>
              <w:rPr>
                <w:rFonts w:ascii="Courier New" w:cs="Courier New" w:eastAsia="Courier New" w:hAnsi="Courier New"/>
                <w:sz w:val="15"/>
                <w:szCs w:val="15"/>
                <w:color w:val="auto"/>
                <w:w w:val="99"/>
              </w:rPr>
              <w:t>Fiscal 1994 Annual Report</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w w:val="97"/>
              </w:rPr>
              <w:t>to Stockholders.</w:t>
            </w:r>
          </w:p>
        </w:tc>
      </w:tr>
      <w:tr>
        <w:trPr>
          <w:trHeight w:val="341"/>
        </w:trPr>
        <w:tc>
          <w:tcPr>
            <w:tcW w:w="900" w:type="dxa"/>
            <w:vAlign w:val="bottom"/>
          </w:tcPr>
          <w:p>
            <w:pPr>
              <w:jc w:val="right"/>
              <w:ind w:right="646"/>
              <w:spacing w:after="0"/>
              <w:rPr>
                <w:sz w:val="20"/>
                <w:szCs w:val="20"/>
                <w:color w:val="auto"/>
              </w:rPr>
            </w:pPr>
            <w:r>
              <w:rPr>
                <w:rFonts w:ascii="Courier New" w:cs="Courier New" w:eastAsia="Courier New" w:hAnsi="Courier New"/>
                <w:sz w:val="15"/>
                <w:szCs w:val="15"/>
                <w:color w:val="auto"/>
                <w:w w:val="88"/>
              </w:rPr>
              <w:t>21</w:t>
            </w:r>
          </w:p>
        </w:tc>
        <w:tc>
          <w:tcPr>
            <w:tcW w:w="1820" w:type="dxa"/>
            <w:vAlign w:val="bottom"/>
          </w:tcPr>
          <w:p>
            <w:pPr>
              <w:ind w:left="700"/>
              <w:spacing w:after="0"/>
              <w:rPr>
                <w:sz w:val="20"/>
                <w:szCs w:val="20"/>
                <w:color w:val="auto"/>
              </w:rPr>
            </w:pPr>
            <w:r>
              <w:rPr>
                <w:rFonts w:ascii="Courier New" w:cs="Courier New" w:eastAsia="Courier New" w:hAnsi="Courier New"/>
                <w:sz w:val="15"/>
                <w:szCs w:val="15"/>
                <w:color w:val="auto"/>
              </w:rPr>
              <w:t>Subsidiaries</w:t>
            </w:r>
          </w:p>
        </w:tc>
        <w:tc>
          <w:tcPr>
            <w:tcW w:w="2300" w:type="dxa"/>
            <w:vAlign w:val="bottom"/>
          </w:tcPr>
          <w:p>
            <w:pPr>
              <w:ind w:left="40"/>
              <w:spacing w:after="0"/>
              <w:rPr>
                <w:sz w:val="20"/>
                <w:szCs w:val="20"/>
                <w:color w:val="auto"/>
              </w:rPr>
            </w:pPr>
            <w:r>
              <w:rPr>
                <w:rFonts w:ascii="Courier New" w:cs="Courier New" w:eastAsia="Courier New" w:hAnsi="Courier New"/>
                <w:sz w:val="15"/>
                <w:szCs w:val="15"/>
                <w:color w:val="auto"/>
                <w:w w:val="99"/>
              </w:rPr>
              <w:t>of Registrant (page 18 of</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this report).</w:t>
            </w:r>
          </w:p>
        </w:tc>
      </w:tr>
    </w:tbl>
    <w:p>
      <w:pPr>
        <w:spacing w:after="0" w:line="171" w:lineRule="exact"/>
        <w:rPr>
          <w:sz w:val="20"/>
          <w:szCs w:val="20"/>
          <w:color w:val="auto"/>
        </w:rPr>
      </w:pPr>
    </w:p>
    <w:p>
      <w:pPr>
        <w:ind w:left="1769" w:hanging="1591"/>
        <w:spacing w:after="0"/>
        <w:tabs>
          <w:tab w:leader="none" w:pos="1769"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Independent Auditors' Consent (page 19 of this report).</w:t>
      </w:r>
    </w:p>
    <w:p>
      <w:pPr>
        <w:spacing w:after="0" w:line="342"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None.</w:t>
      </w:r>
    </w:p>
    <w:p>
      <w:pPr>
        <w:spacing w:after="0" w:line="342"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- 11 -</w:t>
      </w:r>
    </w:p>
    <w:p>
      <w:pPr>
        <w:sectPr>
          <w:pgSz w:w="11900" w:h="16838" w:orient="portrait"/>
          <w:cols w:equalWidth="0" w:num="1">
            <w:col w:w="10228"/>
          </w:cols>
          <w:pgMar w:left="231" w:top="628" w:right="1440" w:bottom="1440" w:gutter="0" w:footer="0" w:header="0"/>
        </w:sectPr>
      </w:pPr>
    </w:p>
    <w:bookmarkStart w:id="11" w:name="page12"/>
    <w:bookmarkEnd w:id="11"/>
    <w:p>
      <w:pPr>
        <w:ind w:left="2569"/>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ind w:left="9" w:right="3219" w:firstLine="178"/>
        <w:spacing w:after="0" w:line="239"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caused this report to be signed on its behalf by the undersigned, thereunto duly authorized.</w:t>
      </w:r>
    </w:p>
    <w:p>
      <w:pPr>
        <w:spacing w:after="0" w:line="172"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THE TORO COMPANY</w:t>
      </w:r>
    </w:p>
    <w:p>
      <w:pPr>
        <w:spacing w:after="0" w:line="1"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069"/>
        <w:spacing w:after="0"/>
        <w:rPr>
          <w:sz w:val="20"/>
          <w:szCs w:val="20"/>
          <w:color w:val="auto"/>
        </w:rPr>
      </w:pPr>
      <w:r>
        <w:rPr>
          <w:rFonts w:ascii="Courier New" w:cs="Courier New" w:eastAsia="Courier New" w:hAnsi="Courier New"/>
          <w:sz w:val="15"/>
          <w:szCs w:val="15"/>
          <w:color w:val="auto"/>
        </w:rPr>
        <w:t>(Registrant)</w:t>
      </w:r>
    </w:p>
    <w:p>
      <w:pPr>
        <w:spacing w:after="0" w:line="171" w:lineRule="exact"/>
        <w:rPr>
          <w:sz w:val="20"/>
          <w:szCs w:val="20"/>
          <w:color w:val="auto"/>
        </w:rPr>
      </w:pPr>
    </w:p>
    <w:p>
      <w:pPr>
        <w:ind w:left="4609"/>
        <w:spacing w:after="0"/>
        <w:rPr>
          <w:sz w:val="20"/>
          <w:szCs w:val="20"/>
          <w:color w:val="auto"/>
        </w:rPr>
      </w:pPr>
      <w:r>
        <w:rPr>
          <w:rFonts w:ascii="Courier New" w:cs="Courier New" w:eastAsia="Courier New" w:hAnsi="Courier New"/>
          <w:sz w:val="15"/>
          <w:szCs w:val="15"/>
          <w:color w:val="auto"/>
        </w:rPr>
        <w:t>Dated: October 18, 1994</w:t>
      </w:r>
    </w:p>
    <w:p>
      <w:pPr>
        <w:spacing w:after="0" w:line="171"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/s/ Gerald T. Knight</w:t>
      </w:r>
    </w:p>
    <w:p>
      <w:pPr>
        <w:spacing w:after="0" w:line="1"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Gerald T. Knight</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Vice President - Finance</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Chief Financial Officer</w:t>
      </w:r>
    </w:p>
    <w:p>
      <w:pPr>
        <w:spacing w:after="0" w:line="174" w:lineRule="exact"/>
        <w:rPr>
          <w:sz w:val="20"/>
          <w:szCs w:val="20"/>
          <w:color w:val="auto"/>
        </w:rPr>
      </w:pPr>
    </w:p>
    <w:p>
      <w:pPr>
        <w:ind w:left="9" w:right="3479" w:firstLine="266"/>
        <w:spacing w:after="0" w:line="239"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dates indicated.</w:t>
      </w:r>
    </w:p>
    <w:p>
      <w:pPr>
        <w:spacing w:after="0" w:line="17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480" w:type="dxa"/>
            <w:vAlign w:val="bottom"/>
          </w:tcPr>
          <w:p>
            <w:pPr>
              <w:ind w:left="520"/>
              <w:spacing w:after="0"/>
              <w:rPr>
                <w:sz w:val="20"/>
                <w:szCs w:val="20"/>
                <w:color w:val="auto"/>
              </w:rPr>
            </w:pPr>
            <w:r>
              <w:rPr>
                <w:rFonts w:ascii="Courier New" w:cs="Courier New" w:eastAsia="Courier New" w:hAnsi="Courier New"/>
                <w:sz w:val="15"/>
                <w:szCs w:val="15"/>
                <w:color w:val="auto"/>
              </w:rPr>
              <w:t>Signature</w:t>
            </w:r>
          </w:p>
        </w:tc>
        <w:tc>
          <w:tcPr>
            <w:tcW w:w="2920" w:type="dxa"/>
            <w:vAlign w:val="bottom"/>
          </w:tcPr>
          <w:p>
            <w:pPr>
              <w:ind w:left="700"/>
              <w:spacing w:after="0"/>
              <w:rPr>
                <w:sz w:val="20"/>
                <w:szCs w:val="20"/>
                <w:color w:val="auto"/>
              </w:rPr>
            </w:pPr>
            <w:r>
              <w:rPr>
                <w:rFonts w:ascii="Courier New" w:cs="Courier New" w:eastAsia="Courier New" w:hAnsi="Courier New"/>
                <w:sz w:val="15"/>
                <w:szCs w:val="15"/>
                <w:color w:val="auto"/>
              </w:rPr>
              <w:t>Title</w:t>
            </w:r>
          </w:p>
        </w:tc>
        <w:tc>
          <w:tcPr>
            <w:tcW w:w="1600" w:type="dxa"/>
            <w:vAlign w:val="bottom"/>
          </w:tcPr>
          <w:p>
            <w:pPr>
              <w:ind w:left="540"/>
              <w:spacing w:after="0"/>
              <w:rPr>
                <w:sz w:val="20"/>
                <w:szCs w:val="20"/>
                <w:color w:val="auto"/>
              </w:rPr>
            </w:pPr>
            <w:r>
              <w:rPr>
                <w:rFonts w:ascii="Courier New" w:cs="Courier New" w:eastAsia="Courier New" w:hAnsi="Courier New"/>
                <w:sz w:val="15"/>
                <w:szCs w:val="15"/>
                <w:color w:val="auto"/>
              </w:rPr>
              <w:t>Date</w:t>
            </w:r>
          </w:p>
        </w:tc>
      </w:tr>
      <w:tr>
        <w:trPr>
          <w:trHeight w:val="171"/>
        </w:trPr>
        <w:tc>
          <w:tcPr>
            <w:tcW w:w="248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292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r>
      <w:tr>
        <w:trPr>
          <w:trHeight w:val="341"/>
        </w:trPr>
        <w:tc>
          <w:tcPr>
            <w:tcW w:w="2480" w:type="dxa"/>
            <w:vAlign w:val="bottom"/>
          </w:tcPr>
          <w:p>
            <w:pPr>
              <w:spacing w:after="0"/>
              <w:rPr>
                <w:sz w:val="20"/>
                <w:szCs w:val="20"/>
                <w:color w:val="auto"/>
              </w:rPr>
            </w:pPr>
            <w:r>
              <w:rPr>
                <w:rFonts w:ascii="Courier New" w:cs="Courier New" w:eastAsia="Courier New" w:hAnsi="Courier New"/>
                <w:sz w:val="15"/>
                <w:szCs w:val="15"/>
                <w:color w:val="auto"/>
              </w:rPr>
              <w:t>/s/ Kendrick B. Melrose</w:t>
            </w:r>
          </w:p>
        </w:tc>
        <w:tc>
          <w:tcPr>
            <w:tcW w:w="2920" w:type="dxa"/>
            <w:vAlign w:val="bottom"/>
          </w:tcPr>
          <w:p>
            <w:pPr>
              <w:spacing w:after="0"/>
              <w:rPr>
                <w:sz w:val="20"/>
                <w:szCs w:val="20"/>
                <w:color w:val="auto"/>
              </w:rPr>
            </w:pPr>
            <w:r>
              <w:rPr>
                <w:rFonts w:ascii="Courier New" w:cs="Courier New" w:eastAsia="Courier New" w:hAnsi="Courier New"/>
                <w:sz w:val="15"/>
                <w:szCs w:val="15"/>
                <w:color w:val="auto"/>
              </w:rPr>
              <w:t>Chairman, Chief Executive</w:t>
            </w:r>
          </w:p>
        </w:tc>
        <w:tc>
          <w:tcPr>
            <w:tcW w:w="1600" w:type="dxa"/>
            <w:vAlign w:val="bottom"/>
          </w:tcPr>
          <w:p>
            <w:pPr>
              <w:ind w:left="180"/>
              <w:spacing w:after="0"/>
              <w:rPr>
                <w:sz w:val="20"/>
                <w:szCs w:val="20"/>
                <w:color w:val="auto"/>
              </w:rPr>
            </w:pPr>
            <w:r>
              <w:rPr>
                <w:rFonts w:ascii="Courier New" w:cs="Courier New" w:eastAsia="Courier New" w:hAnsi="Courier New"/>
                <w:sz w:val="15"/>
                <w:szCs w:val="15"/>
                <w:color w:val="auto"/>
                <w:w w:val="97"/>
              </w:rPr>
              <w:t>October 18, 1994</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w w:val="82"/>
              </w:rPr>
              <w:t>- - - - -------------------------</w:t>
            </w:r>
          </w:p>
        </w:tc>
        <w:tc>
          <w:tcPr>
            <w:tcW w:w="2920" w:type="dxa"/>
            <w:vAlign w:val="bottom"/>
          </w:tcPr>
          <w:p>
            <w:pPr>
              <w:ind w:left="700"/>
              <w:spacing w:after="0"/>
              <w:rPr>
                <w:sz w:val="20"/>
                <w:szCs w:val="20"/>
                <w:color w:val="auto"/>
              </w:rPr>
            </w:pPr>
            <w:r>
              <w:rPr>
                <w:rFonts w:ascii="Courier New" w:cs="Courier New" w:eastAsia="Courier New" w:hAnsi="Courier New"/>
                <w:sz w:val="15"/>
                <w:szCs w:val="15"/>
                <w:color w:val="auto"/>
              </w:rPr>
              <w:t>Officer and Director</w:t>
            </w:r>
          </w:p>
        </w:tc>
        <w:tc>
          <w:tcPr>
            <w:tcW w:w="1600" w:type="dxa"/>
            <w:vAlign w:val="bottom"/>
          </w:tcPr>
          <w:p>
            <w:pPr>
              <w:spacing w:after="0"/>
              <w:rPr>
                <w:sz w:val="14"/>
                <w:szCs w:val="14"/>
                <w:color w:val="auto"/>
              </w:rPr>
            </w:pP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Kendrick B. Melrose</w:t>
            </w:r>
          </w:p>
        </w:tc>
        <w:tc>
          <w:tcPr>
            <w:tcW w:w="2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41"/>
        </w:trPr>
        <w:tc>
          <w:tcPr>
            <w:tcW w:w="2480" w:type="dxa"/>
            <w:vAlign w:val="bottom"/>
          </w:tcPr>
          <w:p>
            <w:pPr>
              <w:spacing w:after="0"/>
              <w:rPr>
                <w:sz w:val="20"/>
                <w:szCs w:val="20"/>
                <w:color w:val="auto"/>
              </w:rPr>
            </w:pPr>
            <w:r>
              <w:rPr>
                <w:rFonts w:ascii="Courier New" w:cs="Courier New" w:eastAsia="Courier New" w:hAnsi="Courier New"/>
                <w:sz w:val="15"/>
                <w:szCs w:val="15"/>
                <w:color w:val="auto"/>
              </w:rPr>
              <w:t>/s/ David H. Morris</w:t>
            </w:r>
          </w:p>
        </w:tc>
        <w:tc>
          <w:tcPr>
            <w:tcW w:w="2920" w:type="dxa"/>
            <w:vAlign w:val="bottom"/>
          </w:tcPr>
          <w:p>
            <w:pPr>
              <w:spacing w:after="0"/>
              <w:rPr>
                <w:sz w:val="20"/>
                <w:szCs w:val="20"/>
                <w:color w:val="auto"/>
              </w:rPr>
            </w:pPr>
            <w:r>
              <w:rPr>
                <w:rFonts w:ascii="Courier New" w:cs="Courier New" w:eastAsia="Courier New" w:hAnsi="Courier New"/>
                <w:sz w:val="15"/>
                <w:szCs w:val="15"/>
                <w:color w:val="auto"/>
              </w:rPr>
              <w:t>President, Chief Operating</w:t>
            </w:r>
          </w:p>
        </w:tc>
        <w:tc>
          <w:tcPr>
            <w:tcW w:w="1600" w:type="dxa"/>
            <w:vAlign w:val="bottom"/>
          </w:tcPr>
          <w:p>
            <w:pPr>
              <w:ind w:left="180"/>
              <w:spacing w:after="0"/>
              <w:rPr>
                <w:sz w:val="20"/>
                <w:szCs w:val="20"/>
                <w:color w:val="auto"/>
              </w:rPr>
            </w:pPr>
            <w:r>
              <w:rPr>
                <w:rFonts w:ascii="Courier New" w:cs="Courier New" w:eastAsia="Courier New" w:hAnsi="Courier New"/>
                <w:sz w:val="15"/>
                <w:szCs w:val="15"/>
                <w:color w:val="auto"/>
                <w:w w:val="97"/>
              </w:rPr>
              <w:t>October 18, 1994</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w w:val="82"/>
              </w:rPr>
              <w:t>- - - - -------------------------</w:t>
            </w:r>
          </w:p>
        </w:tc>
        <w:tc>
          <w:tcPr>
            <w:tcW w:w="2920" w:type="dxa"/>
            <w:vAlign w:val="bottom"/>
          </w:tcPr>
          <w:p>
            <w:pPr>
              <w:ind w:left="700"/>
              <w:spacing w:after="0"/>
              <w:rPr>
                <w:sz w:val="20"/>
                <w:szCs w:val="20"/>
                <w:color w:val="auto"/>
              </w:rPr>
            </w:pPr>
            <w:r>
              <w:rPr>
                <w:rFonts w:ascii="Courier New" w:cs="Courier New" w:eastAsia="Courier New" w:hAnsi="Courier New"/>
                <w:sz w:val="15"/>
                <w:szCs w:val="15"/>
                <w:color w:val="auto"/>
              </w:rPr>
              <w:t>Officer and Director</w:t>
            </w:r>
          </w:p>
        </w:tc>
        <w:tc>
          <w:tcPr>
            <w:tcW w:w="1600" w:type="dxa"/>
            <w:vAlign w:val="bottom"/>
          </w:tcPr>
          <w:p>
            <w:pPr>
              <w:spacing w:after="0"/>
              <w:rPr>
                <w:sz w:val="14"/>
                <w:szCs w:val="14"/>
                <w:color w:val="auto"/>
              </w:rPr>
            </w:pP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David H. Morris</w:t>
            </w:r>
          </w:p>
        </w:tc>
        <w:tc>
          <w:tcPr>
            <w:tcW w:w="2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41"/>
        </w:trPr>
        <w:tc>
          <w:tcPr>
            <w:tcW w:w="2480" w:type="dxa"/>
            <w:vAlign w:val="bottom"/>
          </w:tcPr>
          <w:p>
            <w:pPr>
              <w:spacing w:after="0"/>
              <w:rPr>
                <w:sz w:val="20"/>
                <w:szCs w:val="20"/>
                <w:color w:val="auto"/>
              </w:rPr>
            </w:pPr>
            <w:r>
              <w:rPr>
                <w:rFonts w:ascii="Courier New" w:cs="Courier New" w:eastAsia="Courier New" w:hAnsi="Courier New"/>
                <w:sz w:val="15"/>
                <w:szCs w:val="15"/>
                <w:color w:val="auto"/>
              </w:rPr>
              <w:t>/s/ Gerald T. Knight</w:t>
            </w:r>
          </w:p>
        </w:tc>
        <w:tc>
          <w:tcPr>
            <w:tcW w:w="2920" w:type="dxa"/>
            <w:vAlign w:val="bottom"/>
          </w:tcPr>
          <w:p>
            <w:pPr>
              <w:spacing w:after="0"/>
              <w:rPr>
                <w:sz w:val="20"/>
                <w:szCs w:val="20"/>
                <w:color w:val="auto"/>
              </w:rPr>
            </w:pPr>
            <w:r>
              <w:rPr>
                <w:rFonts w:ascii="Courier New" w:cs="Courier New" w:eastAsia="Courier New" w:hAnsi="Courier New"/>
                <w:sz w:val="15"/>
                <w:szCs w:val="15"/>
                <w:color w:val="auto"/>
              </w:rPr>
              <w:t>Vice President - Finance,</w:t>
            </w:r>
          </w:p>
        </w:tc>
        <w:tc>
          <w:tcPr>
            <w:tcW w:w="1600" w:type="dxa"/>
            <w:vAlign w:val="bottom"/>
          </w:tcPr>
          <w:p>
            <w:pPr>
              <w:ind w:left="180"/>
              <w:spacing w:after="0"/>
              <w:rPr>
                <w:sz w:val="20"/>
                <w:szCs w:val="20"/>
                <w:color w:val="auto"/>
              </w:rPr>
            </w:pPr>
            <w:r>
              <w:rPr>
                <w:rFonts w:ascii="Courier New" w:cs="Courier New" w:eastAsia="Courier New" w:hAnsi="Courier New"/>
                <w:sz w:val="15"/>
                <w:szCs w:val="15"/>
                <w:color w:val="auto"/>
                <w:w w:val="97"/>
              </w:rPr>
              <w:t>October 18, 1994</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w w:val="82"/>
              </w:rPr>
              <w:t>- - - - -------------------------</w:t>
            </w:r>
          </w:p>
        </w:tc>
        <w:tc>
          <w:tcPr>
            <w:tcW w:w="2920" w:type="dxa"/>
            <w:vAlign w:val="bottom"/>
          </w:tcPr>
          <w:p>
            <w:pPr>
              <w:ind w:left="700"/>
              <w:spacing w:after="0"/>
              <w:rPr>
                <w:sz w:val="20"/>
                <w:szCs w:val="20"/>
                <w:color w:val="auto"/>
              </w:rPr>
            </w:pPr>
            <w:r>
              <w:rPr>
                <w:rFonts w:ascii="Courier New" w:cs="Courier New" w:eastAsia="Courier New" w:hAnsi="Courier New"/>
                <w:sz w:val="15"/>
                <w:szCs w:val="15"/>
                <w:color w:val="auto"/>
              </w:rPr>
              <w:t>Chief Financial Officer</w:t>
            </w:r>
          </w:p>
        </w:tc>
        <w:tc>
          <w:tcPr>
            <w:tcW w:w="1600" w:type="dxa"/>
            <w:vAlign w:val="bottom"/>
          </w:tcPr>
          <w:p>
            <w:pPr>
              <w:spacing w:after="0"/>
              <w:rPr>
                <w:sz w:val="14"/>
                <w:szCs w:val="14"/>
                <w:color w:val="auto"/>
              </w:rPr>
            </w:pP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Gerald T. Knight</w:t>
            </w:r>
          </w:p>
        </w:tc>
        <w:tc>
          <w:tcPr>
            <w:tcW w:w="2920" w:type="dxa"/>
            <w:vAlign w:val="bottom"/>
          </w:tcPr>
          <w:p>
            <w:pPr>
              <w:spacing w:after="0"/>
              <w:rPr>
                <w:sz w:val="20"/>
                <w:szCs w:val="20"/>
                <w:color w:val="auto"/>
              </w:rPr>
            </w:pPr>
            <w:r>
              <w:rPr>
                <w:rFonts w:ascii="Courier New" w:cs="Courier New" w:eastAsia="Courier New" w:hAnsi="Courier New"/>
                <w:sz w:val="15"/>
                <w:szCs w:val="15"/>
                <w:color w:val="auto"/>
              </w:rPr>
              <w:t>(principal financial officer)</w:t>
            </w:r>
          </w:p>
        </w:tc>
        <w:tc>
          <w:tcPr>
            <w:tcW w:w="1600" w:type="dxa"/>
            <w:vAlign w:val="bottom"/>
          </w:tcPr>
          <w:p>
            <w:pPr>
              <w:spacing w:after="0"/>
              <w:rPr>
                <w:sz w:val="14"/>
                <w:szCs w:val="14"/>
                <w:color w:val="auto"/>
              </w:rPr>
            </w:pPr>
          </w:p>
        </w:tc>
      </w:tr>
      <w:tr>
        <w:trPr>
          <w:trHeight w:val="512"/>
        </w:trPr>
        <w:tc>
          <w:tcPr>
            <w:tcW w:w="2480" w:type="dxa"/>
            <w:vAlign w:val="bottom"/>
          </w:tcPr>
          <w:p>
            <w:pPr>
              <w:spacing w:after="0"/>
              <w:rPr>
                <w:sz w:val="20"/>
                <w:szCs w:val="20"/>
                <w:color w:val="auto"/>
              </w:rPr>
            </w:pPr>
            <w:r>
              <w:rPr>
                <w:rFonts w:ascii="Courier New" w:cs="Courier New" w:eastAsia="Courier New" w:hAnsi="Courier New"/>
                <w:sz w:val="15"/>
                <w:szCs w:val="15"/>
                <w:color w:val="auto"/>
              </w:rPr>
              <w:t>/s/ Randy B. James</w:t>
            </w:r>
          </w:p>
        </w:tc>
        <w:tc>
          <w:tcPr>
            <w:tcW w:w="2920" w:type="dxa"/>
            <w:vAlign w:val="bottom"/>
          </w:tcPr>
          <w:p>
            <w:pPr>
              <w:spacing w:after="0"/>
              <w:rPr>
                <w:sz w:val="20"/>
                <w:szCs w:val="20"/>
                <w:color w:val="auto"/>
              </w:rPr>
            </w:pPr>
            <w:r>
              <w:rPr>
                <w:rFonts w:ascii="Courier New" w:cs="Courier New" w:eastAsia="Courier New" w:hAnsi="Courier New"/>
                <w:sz w:val="15"/>
                <w:szCs w:val="15"/>
                <w:color w:val="auto"/>
              </w:rPr>
              <w:t>Vice President, Controller</w:t>
            </w:r>
          </w:p>
        </w:tc>
        <w:tc>
          <w:tcPr>
            <w:tcW w:w="1600" w:type="dxa"/>
            <w:vAlign w:val="bottom"/>
          </w:tcPr>
          <w:p>
            <w:pPr>
              <w:ind w:left="180"/>
              <w:spacing w:after="0"/>
              <w:rPr>
                <w:sz w:val="20"/>
                <w:szCs w:val="20"/>
                <w:color w:val="auto"/>
              </w:rPr>
            </w:pPr>
            <w:r>
              <w:rPr>
                <w:rFonts w:ascii="Courier New" w:cs="Courier New" w:eastAsia="Courier New" w:hAnsi="Courier New"/>
                <w:sz w:val="15"/>
                <w:szCs w:val="15"/>
                <w:color w:val="auto"/>
                <w:w w:val="97"/>
              </w:rPr>
              <w:t>October 18, 1994</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w w:val="82"/>
              </w:rPr>
              <w:t>- - - - -------------------------</w:t>
            </w:r>
          </w:p>
        </w:tc>
        <w:tc>
          <w:tcPr>
            <w:tcW w:w="45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(principal accounting officer)</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Randy B. James</w:t>
            </w:r>
          </w:p>
        </w:tc>
        <w:tc>
          <w:tcPr>
            <w:tcW w:w="2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41"/>
        </w:trPr>
        <w:tc>
          <w:tcPr>
            <w:tcW w:w="2480" w:type="dxa"/>
            <w:vAlign w:val="bottom"/>
          </w:tcPr>
          <w:p>
            <w:pPr>
              <w:spacing w:after="0"/>
              <w:rPr>
                <w:sz w:val="20"/>
                <w:szCs w:val="20"/>
                <w:color w:val="auto"/>
              </w:rPr>
            </w:pPr>
            <w:r>
              <w:rPr>
                <w:rFonts w:ascii="Courier New" w:cs="Courier New" w:eastAsia="Courier New" w:hAnsi="Courier New"/>
                <w:sz w:val="15"/>
                <w:szCs w:val="15"/>
                <w:color w:val="auto"/>
              </w:rPr>
              <w:t>/s/ Janet K. Cooper</w:t>
            </w:r>
          </w:p>
        </w:tc>
        <w:tc>
          <w:tcPr>
            <w:tcW w:w="292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600" w:type="dxa"/>
            <w:vAlign w:val="bottom"/>
          </w:tcPr>
          <w:p>
            <w:pPr>
              <w:ind w:left="180"/>
              <w:spacing w:after="0"/>
              <w:rPr>
                <w:sz w:val="20"/>
                <w:szCs w:val="20"/>
                <w:color w:val="auto"/>
              </w:rPr>
            </w:pPr>
            <w:r>
              <w:rPr>
                <w:rFonts w:ascii="Courier New" w:cs="Courier New" w:eastAsia="Courier New" w:hAnsi="Courier New"/>
                <w:sz w:val="15"/>
                <w:szCs w:val="15"/>
                <w:color w:val="auto"/>
                <w:w w:val="97"/>
              </w:rPr>
              <w:t>October 18, 1994</w:t>
            </w:r>
          </w:p>
        </w:tc>
      </w:tr>
    </w:tbl>
    <w:p>
      <w:pPr>
        <w:spacing w:after="0" w:line="1" w:lineRule="exact"/>
        <w:rPr>
          <w:sz w:val="20"/>
          <w:szCs w:val="20"/>
          <w:color w:val="auto"/>
        </w:rPr>
      </w:pPr>
    </w:p>
    <w:p>
      <w:pPr>
        <w:ind w:left="169" w:hanging="169"/>
        <w:spacing w:after="0"/>
        <w:tabs>
          <w:tab w:leader="none" w:pos="16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Janet K. Cooper</w:t>
      </w:r>
    </w:p>
    <w:p>
      <w:pPr>
        <w:spacing w:after="0" w:line="171" w:lineRule="exact"/>
        <w:rPr>
          <w:sz w:val="20"/>
          <w:szCs w:val="20"/>
          <w:color w:val="auto"/>
        </w:rPr>
      </w:pPr>
    </w:p>
    <w:p>
      <w:pPr>
        <w:ind w:left="9"/>
        <w:spacing w:after="0"/>
        <w:tabs>
          <w:tab w:leader="none" w:pos="2469" w:val="left"/>
          <w:tab w:leader="none" w:pos="5569" w:val="left"/>
        </w:tabs>
        <w:rPr>
          <w:sz w:val="20"/>
          <w:szCs w:val="20"/>
          <w:color w:val="auto"/>
        </w:rPr>
      </w:pPr>
      <w:r>
        <w:rPr>
          <w:rFonts w:ascii="Courier New" w:cs="Courier New" w:eastAsia="Courier New" w:hAnsi="Courier New"/>
          <w:sz w:val="15"/>
          <w:szCs w:val="15"/>
          <w:color w:val="auto"/>
        </w:rPr>
        <w:t>/s/ William W. George</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October 18, 1994</w:t>
      </w:r>
    </w:p>
    <w:p>
      <w:pPr>
        <w:spacing w:after="0" w:line="1" w:lineRule="exact"/>
        <w:rPr>
          <w:sz w:val="20"/>
          <w:szCs w:val="20"/>
          <w:color w:val="auto"/>
        </w:rPr>
      </w:pPr>
    </w:p>
    <w:p>
      <w:pPr>
        <w:ind w:left="169" w:hanging="169"/>
        <w:spacing w:after="0"/>
        <w:tabs>
          <w:tab w:leader="none" w:pos="16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William W. George</w:t>
      </w:r>
    </w:p>
    <w:p>
      <w:pPr>
        <w:spacing w:after="0" w:line="171" w:lineRule="exact"/>
        <w:rPr>
          <w:sz w:val="20"/>
          <w:szCs w:val="20"/>
          <w:color w:val="auto"/>
        </w:rPr>
      </w:pPr>
    </w:p>
    <w:p>
      <w:pPr>
        <w:ind w:left="9"/>
        <w:spacing w:after="0"/>
        <w:tabs>
          <w:tab w:leader="none" w:pos="2469" w:val="left"/>
          <w:tab w:leader="none" w:pos="5569" w:val="left"/>
        </w:tabs>
        <w:rPr>
          <w:sz w:val="20"/>
          <w:szCs w:val="20"/>
          <w:color w:val="auto"/>
        </w:rPr>
      </w:pPr>
      <w:r>
        <w:rPr>
          <w:rFonts w:ascii="Courier New" w:cs="Courier New" w:eastAsia="Courier New" w:hAnsi="Courier New"/>
          <w:sz w:val="15"/>
          <w:szCs w:val="15"/>
          <w:color w:val="auto"/>
        </w:rPr>
        <w:t>/s/ Alex A. Meyer</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October 18, 1994</w:t>
      </w:r>
    </w:p>
    <w:p>
      <w:pPr>
        <w:spacing w:after="0" w:line="1" w:lineRule="exact"/>
        <w:rPr>
          <w:sz w:val="20"/>
          <w:szCs w:val="20"/>
          <w:color w:val="auto"/>
        </w:rPr>
      </w:pPr>
    </w:p>
    <w:p>
      <w:pPr>
        <w:ind w:left="169" w:hanging="169"/>
        <w:spacing w:after="0"/>
        <w:tabs>
          <w:tab w:leader="none" w:pos="16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Alex A. Meyer</w:t>
      </w:r>
    </w:p>
    <w:p>
      <w:pPr>
        <w:spacing w:after="0" w:line="171" w:lineRule="exact"/>
        <w:rPr>
          <w:sz w:val="20"/>
          <w:szCs w:val="20"/>
          <w:color w:val="auto"/>
        </w:rPr>
      </w:pPr>
    </w:p>
    <w:p>
      <w:pPr>
        <w:ind w:left="9"/>
        <w:spacing w:after="0"/>
        <w:tabs>
          <w:tab w:leader="none" w:pos="2469" w:val="left"/>
          <w:tab w:leader="none" w:pos="5569" w:val="left"/>
        </w:tabs>
        <w:rPr>
          <w:sz w:val="20"/>
          <w:szCs w:val="20"/>
          <w:color w:val="auto"/>
        </w:rPr>
      </w:pPr>
      <w:r>
        <w:rPr>
          <w:rFonts w:ascii="Courier New" w:cs="Courier New" w:eastAsia="Courier New" w:hAnsi="Courier New"/>
          <w:sz w:val="15"/>
          <w:szCs w:val="15"/>
          <w:color w:val="auto"/>
        </w:rPr>
        <w:t>/s/ Robert H. Nassau</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October 18, 1994</w:t>
      </w:r>
    </w:p>
    <w:p>
      <w:pPr>
        <w:spacing w:after="0" w:line="1" w:lineRule="exact"/>
        <w:rPr>
          <w:sz w:val="20"/>
          <w:szCs w:val="20"/>
          <w:color w:val="auto"/>
        </w:rPr>
      </w:pPr>
    </w:p>
    <w:p>
      <w:pPr>
        <w:ind w:left="169" w:hanging="169"/>
        <w:spacing w:after="0"/>
        <w:tabs>
          <w:tab w:leader="none" w:pos="16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Robert H. Nassau</w:t>
      </w:r>
    </w:p>
    <w:p>
      <w:pPr>
        <w:spacing w:after="0" w:line="171" w:lineRule="exact"/>
        <w:rPr>
          <w:sz w:val="20"/>
          <w:szCs w:val="20"/>
          <w:color w:val="auto"/>
        </w:rPr>
      </w:pPr>
    </w:p>
    <w:p>
      <w:pPr>
        <w:ind w:left="9"/>
        <w:spacing w:after="0"/>
        <w:tabs>
          <w:tab w:leader="none" w:pos="2469" w:val="left"/>
          <w:tab w:leader="none" w:pos="5569" w:val="left"/>
        </w:tabs>
        <w:rPr>
          <w:sz w:val="20"/>
          <w:szCs w:val="20"/>
          <w:color w:val="auto"/>
        </w:rPr>
      </w:pPr>
      <w:r>
        <w:rPr>
          <w:rFonts w:ascii="Courier New" w:cs="Courier New" w:eastAsia="Courier New" w:hAnsi="Courier New"/>
          <w:sz w:val="15"/>
          <w:szCs w:val="15"/>
          <w:color w:val="auto"/>
        </w:rPr>
        <w:t>/s/ Dale R. Olseth</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October 18, 1994</w:t>
      </w:r>
    </w:p>
    <w:p>
      <w:pPr>
        <w:spacing w:after="0" w:line="1" w:lineRule="exact"/>
        <w:rPr>
          <w:sz w:val="20"/>
          <w:szCs w:val="20"/>
          <w:color w:val="auto"/>
        </w:rPr>
      </w:pPr>
    </w:p>
    <w:p>
      <w:pPr>
        <w:ind w:left="169" w:hanging="169"/>
        <w:spacing w:after="0"/>
        <w:tabs>
          <w:tab w:leader="none" w:pos="16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Dale R. Olseth</w:t>
      </w:r>
    </w:p>
    <w:p>
      <w:pPr>
        <w:spacing w:after="0" w:line="171" w:lineRule="exact"/>
        <w:rPr>
          <w:sz w:val="20"/>
          <w:szCs w:val="20"/>
          <w:color w:val="auto"/>
        </w:rPr>
      </w:pPr>
    </w:p>
    <w:p>
      <w:pPr>
        <w:ind w:left="9"/>
        <w:spacing w:after="0"/>
        <w:tabs>
          <w:tab w:leader="none" w:pos="2469" w:val="left"/>
          <w:tab w:leader="none" w:pos="5569" w:val="left"/>
        </w:tabs>
        <w:rPr>
          <w:sz w:val="20"/>
          <w:szCs w:val="20"/>
          <w:color w:val="auto"/>
        </w:rPr>
      </w:pPr>
      <w:r>
        <w:rPr>
          <w:rFonts w:ascii="Courier New" w:cs="Courier New" w:eastAsia="Courier New" w:hAnsi="Courier New"/>
          <w:sz w:val="15"/>
          <w:szCs w:val="15"/>
          <w:color w:val="auto"/>
        </w:rPr>
        <w:t>/s/ Dale W. Turnbull</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October 18, 1994</w:t>
      </w:r>
    </w:p>
    <w:p>
      <w:pPr>
        <w:spacing w:after="0" w:line="1" w:lineRule="exact"/>
        <w:rPr>
          <w:sz w:val="20"/>
          <w:szCs w:val="20"/>
          <w:color w:val="auto"/>
        </w:rPr>
      </w:pPr>
    </w:p>
    <w:p>
      <w:pPr>
        <w:ind w:left="169" w:hanging="169"/>
        <w:spacing w:after="0"/>
        <w:tabs>
          <w:tab w:leader="none" w:pos="16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Dale W. Turnbull</w:t>
      </w:r>
    </w:p>
    <w:p>
      <w:pPr>
        <w:spacing w:after="0" w:line="171" w:lineRule="exact"/>
        <w:rPr>
          <w:sz w:val="20"/>
          <w:szCs w:val="20"/>
          <w:color w:val="auto"/>
        </w:rPr>
      </w:pPr>
    </w:p>
    <w:p>
      <w:pPr>
        <w:ind w:left="9"/>
        <w:spacing w:after="0"/>
        <w:tabs>
          <w:tab w:leader="none" w:pos="2469" w:val="left"/>
          <w:tab w:leader="none" w:pos="5569" w:val="left"/>
        </w:tabs>
        <w:rPr>
          <w:sz w:val="20"/>
          <w:szCs w:val="20"/>
          <w:color w:val="auto"/>
        </w:rPr>
      </w:pPr>
      <w:r>
        <w:rPr>
          <w:rFonts w:ascii="Courier New" w:cs="Courier New" w:eastAsia="Courier New" w:hAnsi="Courier New"/>
          <w:sz w:val="15"/>
          <w:szCs w:val="15"/>
          <w:color w:val="auto"/>
        </w:rPr>
        <w:t>/s/ Edwin H. Wingate</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October 18, 1994</w:t>
      </w:r>
    </w:p>
    <w:p>
      <w:pPr>
        <w:spacing w:after="0" w:line="1" w:lineRule="exact"/>
        <w:rPr>
          <w:sz w:val="20"/>
          <w:szCs w:val="20"/>
          <w:color w:val="auto"/>
        </w:rPr>
      </w:pPr>
    </w:p>
    <w:p>
      <w:pPr>
        <w:ind w:left="169" w:hanging="169"/>
        <w:spacing w:after="0"/>
        <w:tabs>
          <w:tab w:leader="none" w:pos="16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Edwin H. Wingate</w:t>
      </w:r>
    </w:p>
    <w:p>
      <w:pPr>
        <w:spacing w:after="0" w:line="171"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- 12 -</w:t>
      </w:r>
    </w:p>
    <w:p>
      <w:pPr>
        <w:sectPr>
          <w:pgSz w:w="11900" w:h="16838" w:orient="portrait"/>
          <w:cols w:equalWidth="0" w:num="1">
            <w:col w:w="10228"/>
          </w:cols>
          <w:pgMar w:left="231" w:top="287" w:right="1440" w:bottom="1440" w:gutter="0" w:footer="0" w:header="0"/>
        </w:sectPr>
      </w:pPr>
    </w:p>
    <w:bookmarkStart w:id="12" w:name="page13"/>
    <w:bookmarkEnd w:id="12"/>
    <w:p>
      <w:pPr>
        <w:ind w:left="2040"/>
        <w:spacing w:after="0"/>
        <w:rPr>
          <w:sz w:val="20"/>
          <w:szCs w:val="20"/>
          <w:color w:val="auto"/>
        </w:rPr>
      </w:pPr>
      <w:r>
        <w:rPr>
          <w:rFonts w:ascii="Courier New" w:cs="Courier New" w:eastAsia="Courier New" w:hAnsi="Courier New"/>
          <w:sz w:val="15"/>
          <w:szCs w:val="15"/>
          <w:color w:val="auto"/>
        </w:rPr>
        <w:t>[KPMG Peat Marwick LLP Letterhead]</w:t>
      </w:r>
    </w:p>
    <w:p>
      <w:pPr>
        <w:spacing w:after="0" w:line="200" w:lineRule="exact"/>
        <w:rPr>
          <w:sz w:val="20"/>
          <w:szCs w:val="20"/>
          <w:color w:val="auto"/>
        </w:rPr>
      </w:pPr>
    </w:p>
    <w:p>
      <w:pPr>
        <w:spacing w:after="0" w:line="313"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INDEPENDENT AUDITORS'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Toro Company:</w:t>
      </w:r>
    </w:p>
    <w:p>
      <w:pPr>
        <w:spacing w:after="0" w:line="34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Under date of September 8, 1994, we reported on the consolidated balance sheets of The Toro Company and subsidiaries as of July 31, 1994 and 1993, and the related consolidated statements of operations and cash flows for each of the years in the three-year period ended July 31, 1994, as contained in the 1994 annual report to stockholders. These consolidated financial statements and our report thereon are incorporated by reference in the annual report on Form 10-K for the fiscal year 1994. In connection with our audits of the aforementioned consolidated financial statements, we also have audited the related financial statement schedules as listed in the accompanying index. These financial statement schedules are the responsibility of the Company's management. Our responsibility is to express an opinion on these financial statement schedules based on our audits.</w:t>
      </w:r>
    </w:p>
    <w:p>
      <w:pPr>
        <w:spacing w:after="0" w:line="180"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In our opinion, such financial statement schedules, when considered in relation to the basic consolidated financial statements taken as a whole, present fairly, in all material respects, the information set forth therein.</w:t>
      </w:r>
    </w:p>
    <w:p>
      <w:pPr>
        <w:spacing w:after="0" w:line="34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/s/ KPMG Peat Marwick LLP</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KPMG Peat Marwick LLP</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Minneapolis, Minnesota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8, 1994</w:t>
      </w:r>
    </w:p>
    <w:p>
      <w:pPr>
        <w:sectPr>
          <w:pgSz w:w="11900" w:h="16838" w:orient="portrait"/>
          <w:cols w:equalWidth="0" w:num="1">
            <w:col w:w="10219"/>
          </w:cols>
          <w:pgMar w:left="240" w:top="628" w:right="1440" w:bottom="1440" w:gutter="0" w:footer="0" w:header="0"/>
        </w:sectPr>
      </w:pPr>
    </w:p>
    <w:bookmarkStart w:id="13" w:name="page14"/>
    <w:bookmarkEnd w:id="13"/>
    <w:p>
      <w:pPr>
        <w:ind w:left="5580"/>
        <w:spacing w:after="0"/>
        <w:rPr>
          <w:sz w:val="20"/>
          <w:szCs w:val="20"/>
          <w:color w:val="auto"/>
        </w:rPr>
      </w:pPr>
      <w:r>
        <w:rPr>
          <w:rFonts w:ascii="Courier New" w:cs="Courier New" w:eastAsia="Courier New" w:hAnsi="Courier New"/>
          <w:sz w:val="14"/>
          <w:szCs w:val="14"/>
          <w:color w:val="auto"/>
        </w:rPr>
        <w:t>Schedule VIII</w:t>
      </w:r>
    </w:p>
    <w:p>
      <w:pPr>
        <w:spacing w:after="0" w:line="200" w:lineRule="exact"/>
        <w:rPr>
          <w:sz w:val="20"/>
          <w:szCs w:val="20"/>
          <w:color w:val="auto"/>
        </w:rPr>
      </w:pPr>
    </w:p>
    <w:p>
      <w:pPr>
        <w:spacing w:after="0" w:line="32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THE TORO COMPANY AND SUBSIDIARIES</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VALUATION AND QUALIFYING ACCOUNTS</w:t>
      </w:r>
    </w:p>
    <w:p>
      <w:pPr>
        <w:sectPr>
          <w:pgSz w:w="11900" w:h="16838" w:orient="portrait"/>
          <w:cols w:equalWidth="0" w:num="1">
            <w:col w:w="10219"/>
          </w:cols>
          <w:pgMar w:left="240" w:top="6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line="238" w:lineRule="auto"/>
        <w:rPr>
          <w:sz w:val="20"/>
          <w:szCs w:val="20"/>
          <w:color w:val="auto"/>
        </w:rPr>
      </w:pPr>
      <w:r>
        <w:rPr>
          <w:rFonts w:ascii="Courier New" w:cs="Courier New" w:eastAsia="Courier New" w:hAnsi="Courier New"/>
          <w:sz w:val="15"/>
          <w:szCs w:val="15"/>
          <w:color w:val="auto"/>
        </w:rPr>
        <w:t>DESCRIPTION - - -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80"/>
        <w:spacing w:after="0"/>
        <w:tabs>
          <w:tab w:leader="none" w:pos="1400" w:val="left"/>
        </w:tabs>
        <w:rPr>
          <w:sz w:val="20"/>
          <w:szCs w:val="20"/>
          <w:color w:val="auto"/>
        </w:rPr>
      </w:pPr>
      <w:r>
        <w:rPr>
          <w:rFonts w:ascii="Courier New" w:cs="Courier New" w:eastAsia="Courier New" w:hAnsi="Courier New"/>
          <w:sz w:val="15"/>
          <w:szCs w:val="15"/>
          <w:color w:val="auto"/>
        </w:rPr>
        <w:t>BALANCE AT</w:t>
      </w:r>
      <w:r>
        <w:rPr>
          <w:sz w:val="20"/>
          <w:szCs w:val="20"/>
          <w:color w:val="auto"/>
        </w:rPr>
        <w:tab/>
      </w:r>
      <w:r>
        <w:rPr>
          <w:rFonts w:ascii="Courier New" w:cs="Courier New" w:eastAsia="Courier New" w:hAnsi="Courier New"/>
          <w:sz w:val="14"/>
          <w:szCs w:val="14"/>
          <w:color w:val="auto"/>
        </w:rPr>
        <w:t>CHARGED TO</w:t>
      </w:r>
    </w:p>
    <w:p>
      <w:pPr>
        <w:spacing w:after="0" w:line="1" w:lineRule="exact"/>
        <w:rPr>
          <w:sz w:val="20"/>
          <w:szCs w:val="20"/>
          <w:color w:val="auto"/>
        </w:rPr>
      </w:pPr>
    </w:p>
    <w:p>
      <w:pPr>
        <w:spacing w:after="0"/>
        <w:tabs>
          <w:tab w:leader="none" w:pos="1400" w:val="left"/>
          <w:tab w:leader="none" w:pos="5300" w:val="left"/>
        </w:tabs>
        <w:rPr>
          <w:sz w:val="20"/>
          <w:szCs w:val="20"/>
          <w:color w:val="auto"/>
        </w:rPr>
      </w:pPr>
      <w:r>
        <w:rPr>
          <w:rFonts w:ascii="Courier New" w:cs="Courier New" w:eastAsia="Courier New" w:hAnsi="Courier New"/>
          <w:sz w:val="15"/>
          <w:szCs w:val="15"/>
          <w:color w:val="auto"/>
        </w:rPr>
        <w:t>BEGINNING OF</w:t>
      </w:r>
      <w:r>
        <w:rPr>
          <w:sz w:val="20"/>
          <w:szCs w:val="20"/>
          <w:color w:val="auto"/>
        </w:rPr>
        <w:tab/>
      </w:r>
      <w:r>
        <w:rPr>
          <w:rFonts w:ascii="Courier New" w:cs="Courier New" w:eastAsia="Courier New" w:hAnsi="Courier New"/>
          <w:sz w:val="15"/>
          <w:szCs w:val="15"/>
          <w:color w:val="auto"/>
        </w:rPr>
        <w:t>COSTS AND</w:t>
      </w:r>
      <w:r>
        <w:rPr>
          <w:sz w:val="20"/>
          <w:szCs w:val="20"/>
          <w:color w:val="auto"/>
        </w:rPr>
        <w:tab/>
      </w:r>
      <w:r>
        <w:rPr>
          <w:rFonts w:ascii="Courier New" w:cs="Courier New" w:eastAsia="Courier New" w:hAnsi="Courier New"/>
          <w:sz w:val="14"/>
          <w:szCs w:val="14"/>
          <w:color w:val="auto"/>
        </w:rPr>
        <w:t>BALANCE AT</w:t>
      </w:r>
    </w:p>
    <w:p>
      <w:pPr>
        <w:spacing w:after="0" w:line="1" w:lineRule="exact"/>
        <w:rPr>
          <w:sz w:val="20"/>
          <w:szCs w:val="20"/>
          <w:color w:val="auto"/>
        </w:rPr>
      </w:pPr>
    </w:p>
    <w:p>
      <w:pPr>
        <w:ind w:left="360"/>
        <w:spacing w:after="0"/>
        <w:tabs>
          <w:tab w:leader="none" w:pos="1480" w:val="left"/>
          <w:tab w:leader="none" w:pos="2740" w:val="left"/>
          <w:tab w:leader="none" w:pos="3880" w:val="left"/>
          <w:tab w:leader="none" w:pos="5400" w:val="left"/>
        </w:tabs>
        <w:rPr>
          <w:sz w:val="20"/>
          <w:szCs w:val="20"/>
          <w:color w:val="auto"/>
        </w:rPr>
      </w:pPr>
      <w:r>
        <w:rPr>
          <w:rFonts w:ascii="Courier New" w:cs="Courier New" w:eastAsia="Courier New" w:hAnsi="Courier New"/>
          <w:sz w:val="15"/>
          <w:szCs w:val="15"/>
          <w:color w:val="auto"/>
        </w:rPr>
        <w:t>YEAR</w:t>
      </w:r>
      <w:r>
        <w:rPr>
          <w:sz w:val="20"/>
          <w:szCs w:val="20"/>
          <w:color w:val="auto"/>
        </w:rPr>
        <w:tab/>
      </w:r>
      <w:r>
        <w:rPr>
          <w:rFonts w:ascii="Courier New" w:cs="Courier New" w:eastAsia="Courier New" w:hAnsi="Courier New"/>
          <w:sz w:val="15"/>
          <w:szCs w:val="15"/>
          <w:color w:val="auto"/>
        </w:rPr>
        <w:t>EXPENSES</w:t>
      </w:r>
      <w:r>
        <w:rPr>
          <w:sz w:val="20"/>
          <w:szCs w:val="20"/>
          <w:color w:val="auto"/>
        </w:rPr>
        <w:tab/>
      </w:r>
      <w:r>
        <w:rPr>
          <w:rFonts w:ascii="Courier New" w:cs="Courier New" w:eastAsia="Courier New" w:hAnsi="Courier New"/>
          <w:sz w:val="15"/>
          <w:szCs w:val="15"/>
          <w:color w:val="auto"/>
        </w:rPr>
        <w:t>OTHER (a)</w:t>
      </w:r>
      <w:r>
        <w:rPr>
          <w:sz w:val="20"/>
          <w:szCs w:val="20"/>
          <w:color w:val="auto"/>
        </w:rPr>
        <w:tab/>
      </w:r>
      <w:r>
        <w:rPr>
          <w:rFonts w:ascii="Courier New" w:cs="Courier New" w:eastAsia="Courier New" w:hAnsi="Courier New"/>
          <w:sz w:val="15"/>
          <w:szCs w:val="15"/>
          <w:color w:val="auto"/>
        </w:rPr>
        <w:t>DEDUCTIONS (b)</w:t>
      </w:r>
      <w:r>
        <w:rPr>
          <w:sz w:val="20"/>
          <w:szCs w:val="20"/>
          <w:color w:val="auto"/>
        </w:rPr>
        <w:tab/>
      </w:r>
      <w:r>
        <w:rPr>
          <w:rFonts w:ascii="Courier New" w:cs="Courier New" w:eastAsia="Courier New" w:hAnsi="Courier New"/>
          <w:sz w:val="14"/>
          <w:szCs w:val="14"/>
          <w:color w:val="auto"/>
        </w:rPr>
        <w:t>END OF YEAR</w:t>
      </w:r>
    </w:p>
    <w:p>
      <w:pPr>
        <w:spacing w:after="0" w:line="1" w:lineRule="exact"/>
        <w:rPr>
          <w:sz w:val="20"/>
          <w:szCs w:val="20"/>
          <w:color w:val="auto"/>
        </w:rPr>
      </w:pPr>
    </w:p>
    <w:p>
      <w:pPr>
        <w:ind w:left="720"/>
        <w:spacing w:after="0"/>
        <w:tabs>
          <w:tab w:leader="none" w:pos="2020" w:val="left"/>
          <w:tab w:leader="none" w:pos="3180" w:val="left"/>
          <w:tab w:leader="none" w:pos="6020" w:val="left"/>
        </w:tabs>
        <w:rPr>
          <w:sz w:val="20"/>
          <w:szCs w:val="20"/>
          <w:color w:val="auto"/>
        </w:rPr>
      </w:pPr>
      <w:r>
        <w:rPr>
          <w:rFonts w:ascii="Courier New" w:cs="Courier New" w:eastAsia="Courier New" w:hAnsi="Courier New"/>
          <w:sz w:val="15"/>
          <w:szCs w:val="15"/>
          <w:color w:val="auto"/>
        </w:rPr>
        <w:t>-------------</w:t>
        <w:tab/>
        <w:t>-----------</w:t>
        <w:tab/>
        <w:t>------------- ---------------</w:t>
      </w:r>
      <w:r>
        <w:rPr>
          <w:sz w:val="20"/>
          <w:szCs w:val="20"/>
          <w:color w:val="auto"/>
        </w:rPr>
        <w:tab/>
      </w: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1760" w:space="360"/>
            <w:col w:w="8099"/>
          </w:cols>
          <w:pgMar w:left="240" w:top="631" w:right="1440" w:bottom="1440" w:gutter="0" w:footer="0" w:header="0"/>
          <w:type w:val="continuous"/>
        </w:sectPr>
      </w:pPr>
    </w:p>
    <w:p>
      <w:pPr>
        <w:ind w:left="160"/>
        <w:spacing w:after="0"/>
        <w:rPr>
          <w:sz w:val="20"/>
          <w:szCs w:val="20"/>
          <w:color w:val="auto"/>
        </w:rPr>
      </w:pPr>
      <w:r>
        <w:rPr>
          <w:rFonts w:ascii="Courier New" w:cs="Courier New" w:eastAsia="Courier New" w:hAnsi="Courier New"/>
          <w:sz w:val="15"/>
          <w:szCs w:val="15"/>
          <w:color w:val="auto"/>
        </w:rPr>
        <w:t>Year Ended July 31, 1994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8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Allowance</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for doubtful</w:t>
      </w:r>
    </w:p>
    <w:p>
      <w:pPr>
        <w:sectPr>
          <w:pgSz w:w="11900" w:h="16838" w:orient="portrait"/>
          <w:cols w:equalWidth="0" w:num="1">
            <w:col w:w="10219"/>
          </w:cols>
          <w:pgMar w:left="240" w:top="631" w:right="1440" w:bottom="1440" w:gutter="0" w:footer="0" w:header="0"/>
          <w:type w:val="continuous"/>
        </w:sectPr>
      </w:pP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accounts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5"/>
          <w:szCs w:val="15"/>
          <w:color w:val="auto"/>
        </w:rPr>
        <w:t>$5,589,000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firstLine="89"/>
        <w:spacing w:after="0" w:line="271" w:lineRule="auto"/>
        <w:rPr>
          <w:sz w:val="20"/>
          <w:szCs w:val="20"/>
          <w:color w:val="auto"/>
        </w:rPr>
      </w:pPr>
      <w:r>
        <w:rPr>
          <w:rFonts w:ascii="Courier New" w:cs="Courier New" w:eastAsia="Courier New" w:hAnsi="Courier New"/>
          <w:sz w:val="14"/>
          <w:szCs w:val="14"/>
          <w:color w:val="auto"/>
        </w:rPr>
        <w:t>$3,032,000 -----------</w:t>
      </w:r>
    </w:p>
    <w:p>
      <w:pPr>
        <w:spacing w:after="0" w:line="20" w:lineRule="exact"/>
        <w:rPr>
          <w:sz w:val="20"/>
          <w:szCs w:val="20"/>
          <w:color w:val="auto"/>
        </w:rPr>
      </w:pPr>
      <w:r>
        <w:rPr>
          <w:sz w:val="20"/>
          <w:szCs w:val="20"/>
          <w:color w:val="auto"/>
        </w:rPr>
        <w:br w:type="column"/>
      </w:r>
    </w:p>
    <w:p>
      <w:pPr>
        <w:jc w:val="center"/>
        <w:spacing w:after="0" w:line="271" w:lineRule="auto"/>
        <w:rPr>
          <w:sz w:val="20"/>
          <w:szCs w:val="20"/>
          <w:color w:val="auto"/>
        </w:rPr>
      </w:pPr>
      <w:r>
        <w:rPr>
          <w:rFonts w:ascii="Courier New" w:cs="Courier New" w:eastAsia="Courier New" w:hAnsi="Courier New"/>
          <w:sz w:val="14"/>
          <w:szCs w:val="14"/>
          <w:color w:val="auto"/>
        </w:rPr>
        <w:t>$    765,000  $   1,684,000 ------------- ---------------</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5"/>
          <w:szCs w:val="15"/>
          <w:color w:val="auto"/>
        </w:rPr>
        <w:t>$7,702,000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28" w:lineRule="exact"/>
        <w:rPr>
          <w:sz w:val="20"/>
          <w:szCs w:val="20"/>
          <w:color w:val="auto"/>
        </w:rPr>
      </w:pPr>
    </w:p>
    <w:p>
      <w:pPr>
        <w:sectPr>
          <w:pgSz w:w="11900" w:h="16838" w:orient="portrait"/>
          <w:cols w:equalWidth="0" w:num="5">
            <w:col w:w="1400" w:space="720"/>
            <w:col w:w="1160" w:space="180"/>
            <w:col w:w="960" w:space="180"/>
            <w:col w:w="2580" w:space="260"/>
            <w:col w:w="2779"/>
          </w:cols>
          <w:pgMar w:left="240" w:top="631" w:right="1440" w:bottom="1440" w:gutter="0" w:footer="0" w:header="0"/>
          <w:type w:val="continuous"/>
        </w:sectPr>
      </w:pPr>
    </w:p>
    <w:p>
      <w:pPr>
        <w:spacing w:after="0" w:line="29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Year Ended July 31, 1993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8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Allowance</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for doubtful</w:t>
      </w:r>
    </w:p>
    <w:p>
      <w:pPr>
        <w:sectPr>
          <w:pgSz w:w="11900" w:h="16838" w:orient="portrait"/>
          <w:cols w:equalWidth="0" w:num="1">
            <w:col w:w="10219"/>
          </w:cols>
          <w:pgMar w:left="240" w:top="631" w:right="1440" w:bottom="1440" w:gutter="0" w:footer="0" w:header="0"/>
          <w:type w:val="continuous"/>
        </w:sectPr>
      </w:pP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accounts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5"/>
          <w:szCs w:val="15"/>
          <w:color w:val="auto"/>
        </w:rPr>
        <w:t>$6,358,000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firstLine="89"/>
        <w:spacing w:after="0" w:line="271" w:lineRule="auto"/>
        <w:rPr>
          <w:sz w:val="20"/>
          <w:szCs w:val="20"/>
          <w:color w:val="auto"/>
        </w:rPr>
      </w:pPr>
      <w:r>
        <w:rPr>
          <w:rFonts w:ascii="Courier New" w:cs="Courier New" w:eastAsia="Courier New" w:hAnsi="Courier New"/>
          <w:sz w:val="14"/>
          <w:szCs w:val="14"/>
          <w:color w:val="auto"/>
        </w:rPr>
        <w:t>$2,500,000 -----------</w:t>
      </w:r>
    </w:p>
    <w:p>
      <w:pPr>
        <w:spacing w:after="0" w:line="20" w:lineRule="exact"/>
        <w:rPr>
          <w:sz w:val="20"/>
          <w:szCs w:val="20"/>
          <w:color w:val="auto"/>
        </w:rPr>
      </w:pPr>
      <w:r>
        <w:rPr>
          <w:sz w:val="20"/>
          <w:szCs w:val="20"/>
          <w:color w:val="auto"/>
        </w:rPr>
        <w:br w:type="column"/>
      </w:r>
    </w:p>
    <w:p>
      <w:pPr>
        <w:jc w:val="center"/>
        <w:spacing w:after="0" w:line="271" w:lineRule="auto"/>
        <w:rPr>
          <w:sz w:val="20"/>
          <w:szCs w:val="20"/>
          <w:color w:val="auto"/>
        </w:rPr>
      </w:pPr>
      <w:r>
        <w:rPr>
          <w:rFonts w:ascii="Courier New" w:cs="Courier New" w:eastAsia="Courier New" w:hAnsi="Courier New"/>
          <w:sz w:val="14"/>
          <w:szCs w:val="14"/>
          <w:color w:val="auto"/>
        </w:rPr>
        <w:t>$      -      $   3,269,000 ------------- ---------------</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5"/>
          <w:szCs w:val="15"/>
          <w:color w:val="auto"/>
        </w:rPr>
        <w:t>$5,589,000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9" w:lineRule="exact"/>
        <w:rPr>
          <w:sz w:val="20"/>
          <w:szCs w:val="20"/>
          <w:color w:val="auto"/>
        </w:rPr>
      </w:pPr>
    </w:p>
    <w:p>
      <w:pPr>
        <w:sectPr>
          <w:pgSz w:w="11900" w:h="16838" w:orient="portrait"/>
          <w:cols w:equalWidth="0" w:num="5">
            <w:col w:w="1400" w:space="720"/>
            <w:col w:w="1160" w:space="180"/>
            <w:col w:w="960" w:space="180"/>
            <w:col w:w="2580" w:space="260"/>
            <w:col w:w="2779"/>
          </w:cols>
          <w:pgMar w:left="240" w:top="631" w:right="1440" w:bottom="1440" w:gutter="0" w:footer="0" w:header="0"/>
          <w:type w:val="continuous"/>
        </w:sectPr>
      </w:pPr>
    </w:p>
    <w:p>
      <w:pPr>
        <w:ind w:left="80"/>
        <w:spacing w:after="0"/>
        <w:rPr>
          <w:sz w:val="20"/>
          <w:szCs w:val="20"/>
          <w:color w:val="auto"/>
        </w:rPr>
      </w:pPr>
      <w:r>
        <w:rPr>
          <w:rFonts w:ascii="Courier New" w:cs="Courier New" w:eastAsia="Courier New" w:hAnsi="Courier New"/>
          <w:sz w:val="15"/>
          <w:szCs w:val="15"/>
          <w:color w:val="auto"/>
        </w:rPr>
        <w:t>Year Ended July 31, 1992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8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Allowance</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for doubtful</w:t>
      </w:r>
    </w:p>
    <w:p>
      <w:pPr>
        <w:sectPr>
          <w:pgSz w:w="11900" w:h="16838" w:orient="portrait"/>
          <w:cols w:equalWidth="0" w:num="1">
            <w:col w:w="10219"/>
          </w:cols>
          <w:pgMar w:left="240" w:top="631" w:right="1440" w:bottom="1440" w:gutter="0" w:footer="0" w:header="0"/>
          <w:type w:val="continuous"/>
        </w:sectPr>
      </w:pP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accounts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5"/>
          <w:szCs w:val="15"/>
          <w:color w:val="auto"/>
        </w:rPr>
        <w:t>$3,564,000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firstLine="89"/>
        <w:spacing w:after="0" w:line="271" w:lineRule="auto"/>
        <w:rPr>
          <w:sz w:val="20"/>
          <w:szCs w:val="20"/>
          <w:color w:val="auto"/>
        </w:rPr>
      </w:pPr>
      <w:r>
        <w:rPr>
          <w:rFonts w:ascii="Courier New" w:cs="Courier New" w:eastAsia="Courier New" w:hAnsi="Courier New"/>
          <w:sz w:val="14"/>
          <w:szCs w:val="14"/>
          <w:color w:val="auto"/>
        </w:rPr>
        <w:t>$4,083,000 -----------</w:t>
      </w:r>
    </w:p>
    <w:p>
      <w:pPr>
        <w:spacing w:after="0" w:line="20" w:lineRule="exact"/>
        <w:rPr>
          <w:sz w:val="20"/>
          <w:szCs w:val="20"/>
          <w:color w:val="auto"/>
        </w:rPr>
      </w:pPr>
      <w:r>
        <w:rPr>
          <w:sz w:val="20"/>
          <w:szCs w:val="20"/>
          <w:color w:val="auto"/>
        </w:rPr>
        <w:br w:type="column"/>
      </w:r>
    </w:p>
    <w:p>
      <w:pPr>
        <w:jc w:val="center"/>
        <w:spacing w:after="0" w:line="271" w:lineRule="auto"/>
        <w:rPr>
          <w:sz w:val="20"/>
          <w:szCs w:val="20"/>
          <w:color w:val="auto"/>
        </w:rPr>
      </w:pPr>
      <w:r>
        <w:rPr>
          <w:rFonts w:ascii="Courier New" w:cs="Courier New" w:eastAsia="Courier New" w:hAnsi="Courier New"/>
          <w:sz w:val="14"/>
          <w:szCs w:val="14"/>
          <w:color w:val="auto"/>
        </w:rPr>
        <w:t>$      -      $   1,289,000 ------------- ---------------</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5"/>
          <w:szCs w:val="15"/>
          <w:color w:val="auto"/>
        </w:rPr>
        <w:t>$6,358,000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28" w:lineRule="exact"/>
        <w:rPr>
          <w:sz w:val="20"/>
          <w:szCs w:val="20"/>
          <w:color w:val="auto"/>
        </w:rPr>
      </w:pPr>
    </w:p>
    <w:p>
      <w:pPr>
        <w:sectPr>
          <w:pgSz w:w="11900" w:h="16838" w:orient="portrait"/>
          <w:cols w:equalWidth="0" w:num="5">
            <w:col w:w="1400" w:space="720"/>
            <w:col w:w="1160" w:space="180"/>
            <w:col w:w="960" w:space="180"/>
            <w:col w:w="2580" w:space="260"/>
            <w:col w:w="2779"/>
          </w:cols>
          <w:pgMar w:left="240" w:top="631" w:right="1440" w:bottom="1440" w:gutter="0" w:footer="0" w:header="0"/>
          <w:type w:val="continuous"/>
        </w:sectPr>
      </w:pPr>
    </w:p>
    <w:p>
      <w:pPr>
        <w:spacing w:after="0" w:line="200" w:lineRule="exact"/>
        <w:rPr>
          <w:sz w:val="20"/>
          <w:szCs w:val="20"/>
          <w:color w:val="auto"/>
        </w:rPr>
      </w:pPr>
    </w:p>
    <w:p>
      <w:pPr>
        <w:spacing w:after="0" w:line="266" w:lineRule="exact"/>
        <w:rPr>
          <w:sz w:val="20"/>
          <w:szCs w:val="20"/>
          <w:color w:val="auto"/>
        </w:rPr>
      </w:pPr>
    </w:p>
    <w:p>
      <w:pPr>
        <w:ind w:left="880" w:right="3759" w:hanging="445"/>
        <w:spacing w:after="0" w:line="238" w:lineRule="auto"/>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Additions to allowance for doubtful accounts during 1995 due to reclassification and acquisitions.</w:t>
      </w:r>
    </w:p>
    <w:p>
      <w:pPr>
        <w:spacing w:after="0" w:line="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Uncollectible accounts charged off, net of recoveries.</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3460" w:hanging="185"/>
        <w:spacing w:after="0"/>
        <w:tabs>
          <w:tab w:leader="none" w:pos="346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14 -</w:t>
      </w:r>
    </w:p>
    <w:p>
      <w:pPr>
        <w:sectPr>
          <w:pgSz w:w="11900" w:h="16838" w:orient="portrait"/>
          <w:cols w:equalWidth="0" w:num="1">
            <w:col w:w="10219"/>
          </w:cols>
          <w:pgMar w:left="240" w:top="631" w:right="1440" w:bottom="1440" w:gutter="0" w:footer="0" w:header="0"/>
          <w:type w:val="continuous"/>
        </w:sectPr>
      </w:pPr>
    </w:p>
    <w:bookmarkStart w:id="14" w:name="page15"/>
    <w:bookmarkEnd w:id="14"/>
    <w:p>
      <w:pPr>
        <w:ind w:left="5760"/>
        <w:spacing w:after="0"/>
        <w:rPr>
          <w:sz w:val="20"/>
          <w:szCs w:val="20"/>
          <w:color w:val="auto"/>
        </w:rPr>
      </w:pPr>
      <w:r>
        <w:rPr>
          <w:rFonts w:ascii="Courier New" w:cs="Courier New" w:eastAsia="Courier New" w:hAnsi="Courier New"/>
          <w:sz w:val="15"/>
          <w:szCs w:val="15"/>
          <w:color w:val="auto"/>
        </w:rPr>
        <w:t>Schedule IX</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THE TORO COMPANY AND SUBSIDIARIES</w:t>
      </w:r>
    </w:p>
    <w:p>
      <w:pPr>
        <w:spacing w:after="0" w:line="1"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Short-term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5"/>
          <w:szCs w:val="15"/>
          <w:color w:val="auto"/>
        </w:rPr>
        <w:t>Year Ended July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30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3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1994</w:t>
            </w:r>
          </w:p>
        </w:tc>
        <w:tc>
          <w:tcPr>
            <w:tcW w:w="500" w:type="dxa"/>
            <w:vAlign w:val="bottom"/>
          </w:tcPr>
          <w:p>
            <w:pPr>
              <w:spacing w:after="0"/>
              <w:rPr>
                <w:sz w:val="24"/>
                <w:szCs w:val="24"/>
                <w:color w:val="auto"/>
              </w:rPr>
            </w:pPr>
          </w:p>
        </w:tc>
        <w:tc>
          <w:tcPr>
            <w:tcW w:w="8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1993</w:t>
            </w:r>
          </w:p>
        </w:tc>
      </w:tr>
      <w:tr>
        <w:trPr>
          <w:trHeight w:val="171"/>
        </w:trPr>
        <w:tc>
          <w:tcPr>
            <w:tcW w:w="3640" w:type="dxa"/>
            <w:vAlign w:val="bottom"/>
          </w:tcPr>
          <w:p>
            <w:pPr>
              <w:spacing w:after="0"/>
              <w:rPr>
                <w:sz w:val="14"/>
                <w:szCs w:val="14"/>
                <w:color w:val="auto"/>
              </w:rPr>
            </w:pPr>
          </w:p>
        </w:tc>
        <w:tc>
          <w:tcPr>
            <w:tcW w:w="16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3640" w:type="dxa"/>
            <w:vAlign w:val="bottom"/>
          </w:tcPr>
          <w:p>
            <w:pPr>
              <w:spacing w:after="0"/>
              <w:rPr>
                <w:sz w:val="20"/>
                <w:szCs w:val="20"/>
                <w:color w:val="auto"/>
              </w:rPr>
            </w:pPr>
            <w:r>
              <w:rPr>
                <w:rFonts w:ascii="Courier New" w:cs="Courier New" w:eastAsia="Courier New" w:hAnsi="Courier New"/>
                <w:sz w:val="15"/>
                <w:szCs w:val="15"/>
                <w:color w:val="auto"/>
              </w:rPr>
              <w:t>Balance at End of Period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640" w:type="dxa"/>
            <w:vAlign w:val="bottom"/>
          </w:tcPr>
          <w:p>
            <w:pPr>
              <w:spacing w:after="0"/>
              <w:rPr>
                <w:sz w:val="14"/>
                <w:szCs w:val="14"/>
                <w:color w:val="auto"/>
              </w:rPr>
            </w:pPr>
          </w:p>
        </w:tc>
        <w:tc>
          <w:tcPr>
            <w:tcW w:w="16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3640" w:type="dxa"/>
            <w:vAlign w:val="bottom"/>
          </w:tcPr>
          <w:p>
            <w:pPr>
              <w:spacing w:after="0"/>
              <w:rPr>
                <w:sz w:val="20"/>
                <w:szCs w:val="20"/>
                <w:color w:val="auto"/>
              </w:rPr>
            </w:pPr>
            <w:r>
              <w:rPr>
                <w:rFonts w:ascii="Courier New" w:cs="Courier New" w:eastAsia="Courier New" w:hAnsi="Courier New"/>
                <w:sz w:val="15"/>
                <w:szCs w:val="15"/>
                <w:color w:val="auto"/>
              </w:rPr>
              <w:t>Weighted Average Interest Rate at End</w:t>
            </w:r>
          </w:p>
        </w:tc>
        <w:tc>
          <w:tcPr>
            <w:tcW w:w="440" w:type="dxa"/>
            <w:vAlign w:val="bottom"/>
          </w:tcPr>
          <w:p>
            <w:pPr>
              <w:spacing w:after="0"/>
              <w:rPr>
                <w:sz w:val="24"/>
                <w:szCs w:val="2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N/A</w:t>
            </w:r>
          </w:p>
        </w:tc>
        <w:tc>
          <w:tcPr>
            <w:tcW w:w="5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171"/>
        </w:trPr>
        <w:tc>
          <w:tcPr>
            <w:tcW w:w="3640" w:type="dxa"/>
            <w:vAlign w:val="bottom"/>
          </w:tcPr>
          <w:p>
            <w:pPr>
              <w:ind w:left="80"/>
              <w:spacing w:after="0"/>
              <w:rPr>
                <w:sz w:val="20"/>
                <w:szCs w:val="20"/>
                <w:color w:val="auto"/>
              </w:rPr>
            </w:pPr>
            <w:r>
              <w:rPr>
                <w:rFonts w:ascii="Courier New" w:cs="Courier New" w:eastAsia="Courier New" w:hAnsi="Courier New"/>
                <w:sz w:val="15"/>
                <w:szCs w:val="15"/>
                <w:color w:val="auto"/>
              </w:rPr>
              <w:t>of Period</w:t>
            </w: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640" w:type="dxa"/>
            <w:vAlign w:val="bottom"/>
          </w:tcPr>
          <w:p>
            <w:pPr>
              <w:spacing w:after="0"/>
              <w:rPr>
                <w:sz w:val="14"/>
                <w:szCs w:val="14"/>
                <w:color w:val="auto"/>
              </w:rPr>
            </w:pPr>
          </w:p>
        </w:tc>
        <w:tc>
          <w:tcPr>
            <w:tcW w:w="16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3640" w:type="dxa"/>
            <w:vAlign w:val="bottom"/>
          </w:tcPr>
          <w:p>
            <w:pPr>
              <w:spacing w:after="0"/>
              <w:rPr>
                <w:sz w:val="20"/>
                <w:szCs w:val="20"/>
                <w:color w:val="auto"/>
              </w:rPr>
            </w:pPr>
            <w:r>
              <w:rPr>
                <w:rFonts w:ascii="Courier New" w:cs="Courier New" w:eastAsia="Courier New" w:hAnsi="Courier New"/>
                <w:sz w:val="15"/>
                <w:szCs w:val="15"/>
                <w:color w:val="auto"/>
              </w:rPr>
              <w:t>Maximum Amount Outstanding During the</w:t>
            </w: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3640" w:type="dxa"/>
            <w:vAlign w:val="bottom"/>
          </w:tcPr>
          <w:p>
            <w:pPr>
              <w:ind w:left="80"/>
              <w:spacing w:after="0"/>
              <w:rPr>
                <w:sz w:val="20"/>
                <w:szCs w:val="20"/>
                <w:color w:val="auto"/>
              </w:rPr>
            </w:pPr>
            <w:r>
              <w:rPr>
                <w:rFonts w:ascii="Courier New" w:cs="Courier New" w:eastAsia="Courier New" w:hAnsi="Courier New"/>
                <w:sz w:val="15"/>
                <w:szCs w:val="15"/>
                <w:color w:val="auto"/>
              </w:rPr>
              <w:t>Period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49,600,000</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$45,500,000</w:t>
            </w:r>
          </w:p>
        </w:tc>
      </w:tr>
      <w:tr>
        <w:trPr>
          <w:trHeight w:val="171"/>
        </w:trPr>
        <w:tc>
          <w:tcPr>
            <w:tcW w:w="3640" w:type="dxa"/>
            <w:vAlign w:val="bottom"/>
          </w:tcPr>
          <w:p>
            <w:pPr>
              <w:spacing w:after="0"/>
              <w:rPr>
                <w:sz w:val="14"/>
                <w:szCs w:val="14"/>
                <w:color w:val="auto"/>
              </w:rPr>
            </w:pPr>
          </w:p>
        </w:tc>
        <w:tc>
          <w:tcPr>
            <w:tcW w:w="16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3640" w:type="dxa"/>
            <w:vAlign w:val="bottom"/>
          </w:tcPr>
          <w:p>
            <w:pPr>
              <w:spacing w:after="0"/>
              <w:rPr>
                <w:sz w:val="20"/>
                <w:szCs w:val="20"/>
                <w:color w:val="auto"/>
              </w:rPr>
            </w:pPr>
            <w:r>
              <w:rPr>
                <w:rFonts w:ascii="Courier New" w:cs="Courier New" w:eastAsia="Courier New" w:hAnsi="Courier New"/>
                <w:sz w:val="15"/>
                <w:szCs w:val="15"/>
                <w:color w:val="auto"/>
              </w:rPr>
              <w:t>Average Amount Outstanding During the</w:t>
            </w: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3640" w:type="dxa"/>
            <w:vAlign w:val="bottom"/>
          </w:tcPr>
          <w:p>
            <w:pPr>
              <w:ind w:left="80"/>
              <w:spacing w:after="0"/>
              <w:rPr>
                <w:sz w:val="20"/>
                <w:szCs w:val="20"/>
                <w:color w:val="auto"/>
              </w:rPr>
            </w:pPr>
            <w:r>
              <w:rPr>
                <w:rFonts w:ascii="Courier New" w:cs="Courier New" w:eastAsia="Courier New" w:hAnsi="Courier New"/>
                <w:sz w:val="15"/>
                <w:szCs w:val="15"/>
                <w:color w:val="auto"/>
              </w:rPr>
              <w:t>Period (1)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12,900,000</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$10,600,000</w:t>
            </w:r>
          </w:p>
        </w:tc>
      </w:tr>
      <w:tr>
        <w:trPr>
          <w:trHeight w:val="171"/>
        </w:trPr>
        <w:tc>
          <w:tcPr>
            <w:tcW w:w="3640" w:type="dxa"/>
            <w:vAlign w:val="bottom"/>
          </w:tcPr>
          <w:p>
            <w:pPr>
              <w:spacing w:after="0"/>
              <w:rPr>
                <w:sz w:val="14"/>
                <w:szCs w:val="14"/>
                <w:color w:val="auto"/>
              </w:rPr>
            </w:pPr>
          </w:p>
        </w:tc>
        <w:tc>
          <w:tcPr>
            <w:tcW w:w="16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3640" w:type="dxa"/>
            <w:vAlign w:val="bottom"/>
          </w:tcPr>
          <w:p>
            <w:pPr>
              <w:spacing w:after="0"/>
              <w:rPr>
                <w:sz w:val="20"/>
                <w:szCs w:val="20"/>
                <w:color w:val="auto"/>
              </w:rPr>
            </w:pPr>
            <w:r>
              <w:rPr>
                <w:rFonts w:ascii="Courier New" w:cs="Courier New" w:eastAsia="Courier New" w:hAnsi="Courier New"/>
                <w:sz w:val="15"/>
                <w:szCs w:val="15"/>
                <w:color w:val="auto"/>
              </w:rPr>
              <w:t>Weighted Average Interest Rate During</w:t>
            </w: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3640" w:type="dxa"/>
            <w:vAlign w:val="bottom"/>
          </w:tcPr>
          <w:p>
            <w:pPr>
              <w:ind w:left="80"/>
              <w:spacing w:after="0"/>
              <w:rPr>
                <w:sz w:val="20"/>
                <w:szCs w:val="20"/>
                <w:color w:val="auto"/>
              </w:rPr>
            </w:pPr>
            <w:r>
              <w:rPr>
                <w:rFonts w:ascii="Courier New" w:cs="Courier New" w:eastAsia="Courier New" w:hAnsi="Courier New"/>
                <w:sz w:val="15"/>
                <w:szCs w:val="15"/>
                <w:color w:val="auto"/>
              </w:rPr>
              <w:t>the Period (2)</w:t>
            </w:r>
          </w:p>
        </w:tc>
        <w:tc>
          <w:tcPr>
            <w:tcW w:w="44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6.45%</w:t>
            </w:r>
          </w:p>
        </w:tc>
        <w:tc>
          <w:tcPr>
            <w:tcW w:w="5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8.08%</w:t>
            </w:r>
          </w:p>
        </w:tc>
      </w:tr>
      <w:tr>
        <w:trPr>
          <w:trHeight w:val="171"/>
        </w:trPr>
        <w:tc>
          <w:tcPr>
            <w:tcW w:w="3640" w:type="dxa"/>
            <w:vAlign w:val="bottom"/>
          </w:tcPr>
          <w:p>
            <w:pPr>
              <w:spacing w:after="0"/>
              <w:rPr>
                <w:sz w:val="14"/>
                <w:szCs w:val="14"/>
                <w:color w:val="auto"/>
              </w:rPr>
            </w:pPr>
          </w:p>
        </w:tc>
        <w:tc>
          <w:tcPr>
            <w:tcW w:w="16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5" w:lineRule="exact"/>
        <w:rPr>
          <w:sz w:val="20"/>
          <w:szCs w:val="20"/>
          <w:color w:val="auto"/>
        </w:rPr>
      </w:pPr>
    </w:p>
    <w:p>
      <w:pPr>
        <w:ind w:left="800" w:right="3579" w:hanging="445"/>
        <w:spacing w:after="0" w:line="238" w:lineRule="auto"/>
        <w:tabs>
          <w:tab w:leader="none" w:pos="8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average amount outstanding during the period represents total monthly borrowing divided by 12 months.</w:t>
      </w:r>
    </w:p>
    <w:p>
      <w:pPr>
        <w:spacing w:after="0" w:line="174" w:lineRule="exact"/>
        <w:rPr>
          <w:rFonts w:ascii="Courier New" w:cs="Courier New" w:eastAsia="Courier New" w:hAnsi="Courier New"/>
          <w:sz w:val="15"/>
          <w:szCs w:val="15"/>
          <w:color w:val="auto"/>
        </w:rPr>
      </w:pPr>
    </w:p>
    <w:p>
      <w:pPr>
        <w:ind w:left="800" w:right="3219" w:hanging="445"/>
        <w:spacing w:after="0" w:line="239" w:lineRule="auto"/>
        <w:tabs>
          <w:tab w:leader="none" w:pos="8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weighted average interest rate represents total annual short-term interest expense, including facility fees, divided by the average daily debt outstanding.</w:t>
      </w:r>
    </w:p>
    <w:p>
      <w:pPr>
        <w:spacing w:after="0" w:line="200" w:lineRule="exact"/>
        <w:rPr>
          <w:sz w:val="20"/>
          <w:szCs w:val="20"/>
          <w:color w:val="auto"/>
        </w:rPr>
      </w:pPr>
    </w:p>
    <w:p>
      <w:pPr>
        <w:spacing w:after="0" w:line="314"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Short-term borrowing are unsecured borrowing under bank lines of credit.</w:t>
      </w:r>
    </w:p>
    <w:p>
      <w:pPr>
        <w:spacing w:after="0" w:line="17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- 15 -</w:t>
      </w:r>
    </w:p>
    <w:p>
      <w:pPr>
        <w:sectPr>
          <w:pgSz w:w="11900" w:h="16838" w:orient="portrait"/>
          <w:cols w:equalWidth="0" w:num="1">
            <w:col w:w="10139"/>
          </w:cols>
          <w:pgMar w:left="320" w:top="628" w:right="1440" w:bottom="1440" w:gutter="0" w:footer="0" w:header="0"/>
        </w:sectPr>
      </w:pPr>
    </w:p>
    <w:bookmarkStart w:id="15" w:name="page16"/>
    <w:bookmarkEnd w:id="15"/>
    <w:p>
      <w:pPr>
        <w:jc w:val="right"/>
        <w:ind w:right="3119"/>
        <w:spacing w:after="0"/>
        <w:rPr>
          <w:sz w:val="20"/>
          <w:szCs w:val="20"/>
          <w:color w:val="auto"/>
        </w:rPr>
      </w:pPr>
      <w:r>
        <w:rPr>
          <w:rFonts w:ascii="Courier New" w:cs="Courier New" w:eastAsia="Courier New" w:hAnsi="Courier New"/>
          <w:sz w:val="15"/>
          <w:szCs w:val="15"/>
          <w:color w:val="auto"/>
        </w:rPr>
        <w:t>Schedule X</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THE TORO COMPANY AND SUBSIDIARIES</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Supplementary Income Statement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Charged to Costs and Expenses:</w:t>
      </w:r>
    </w:p>
    <w:p>
      <w:pPr>
        <w:spacing w:after="0" w:line="1"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Year Ended July 31,</w:t>
      </w:r>
    </w:p>
    <w:p>
      <w:pPr>
        <w:spacing w:after="0" w:line="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39"/>
          </w:cols>
          <w:pgMar w:left="320" w:top="628" w:right="1440" w:bottom="1440" w:gutter="0" w:footer="0" w:header="0"/>
        </w:sectPr>
      </w:pPr>
    </w:p>
    <w:p>
      <w:pPr>
        <w:spacing w:after="0" w:line="180"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1994</w:t>
      </w:r>
    </w:p>
    <w:p>
      <w:pPr>
        <w:spacing w:after="0" w:line="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1993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1992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4180" w:space="440"/>
            <w:col w:w="1140" w:space="180"/>
            <w:col w:w="4199"/>
          </w:cols>
          <w:pgMar w:left="320" w:top="628" w:right="1440" w:bottom="1440" w:gutter="0" w:footer="0" w:header="0"/>
          <w:type w:val="continuous"/>
        </w:sectPr>
      </w:pP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Maintenance and repairs</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$10,650,000</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$ 8,515,000</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$ 7,074,000</w:t>
      </w:r>
    </w:p>
    <w:p>
      <w:pPr>
        <w:spacing w:after="0" w:line="200" w:lineRule="exact"/>
        <w:rPr>
          <w:sz w:val="20"/>
          <w:szCs w:val="20"/>
          <w:color w:val="auto"/>
        </w:rPr>
      </w:pPr>
    </w:p>
    <w:p>
      <w:pPr>
        <w:sectPr>
          <w:pgSz w:w="11900" w:h="16838" w:orient="portrait"/>
          <w:cols w:equalWidth="0" w:num="4">
            <w:col w:w="2480" w:space="720"/>
            <w:col w:w="980" w:space="440"/>
            <w:col w:w="980" w:space="340"/>
            <w:col w:w="4199"/>
          </w:cols>
          <w:pgMar w:left="320" w:top="628" w:right="1440" w:bottom="1440" w:gutter="0" w:footer="0" w:header="0"/>
          <w:type w:val="continuous"/>
        </w:sectPr>
      </w:pP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Depreciation and amortization of</w:t>
      </w:r>
    </w:p>
    <w:p>
      <w:pPr>
        <w:sectPr>
          <w:pgSz w:w="11900" w:h="16838" w:orient="portrait"/>
          <w:cols w:equalWidth="0" w:num="1">
            <w:col w:w="10139"/>
          </w:cols>
          <w:pgMar w:left="320" w:top="628" w:right="1440" w:bottom="1440" w:gutter="0" w:footer="0" w:header="0"/>
          <w:type w:val="continuous"/>
        </w:sectPr>
      </w:pPr>
    </w:p>
    <w:p>
      <w:pPr>
        <w:spacing w:after="0" w:line="1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intangible assets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center"/>
        <w:ind w:right="52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19" w:lineRule="exact"/>
        <w:rPr>
          <w:sz w:val="20"/>
          <w:szCs w:val="20"/>
          <w:color w:val="auto"/>
        </w:rPr>
      </w:pPr>
    </w:p>
    <w:p>
      <w:pPr>
        <w:sectPr>
          <w:pgSz w:w="11900" w:h="16838" w:orient="portrait"/>
          <w:cols w:equalWidth="0" w:num="4">
            <w:col w:w="3180" w:space="720"/>
            <w:col w:w="700" w:space="720"/>
            <w:col w:w="620" w:space="720"/>
            <w:col w:w="3479"/>
          </w:cols>
          <w:pgMar w:left="320" w:top="628" w:right="1440" w:bottom="1440" w:gutter="0" w:footer="0" w:header="0"/>
          <w:type w:val="continuous"/>
        </w:sectPr>
      </w:pP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Taxes, other than payroll and</w:t>
      </w:r>
    </w:p>
    <w:p>
      <w:pPr>
        <w:sectPr>
          <w:pgSz w:w="11900" w:h="16838" w:orient="portrait"/>
          <w:cols w:equalWidth="0" w:num="1">
            <w:col w:w="10139"/>
          </w:cols>
          <w:pgMar w:left="320" w:top="628" w:right="1440" w:bottom="1440" w:gutter="0" w:footer="0" w:header="0"/>
          <w:type w:val="continuous"/>
        </w:sectPr>
      </w:pPr>
    </w:p>
    <w:p>
      <w:pPr>
        <w:spacing w:after="0" w:line="1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income taxes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center"/>
        <w:ind w:right="52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19" w:lineRule="exact"/>
        <w:rPr>
          <w:sz w:val="20"/>
          <w:szCs w:val="20"/>
          <w:color w:val="auto"/>
        </w:rPr>
      </w:pPr>
    </w:p>
    <w:p>
      <w:pPr>
        <w:sectPr>
          <w:pgSz w:w="11900" w:h="16838" w:orient="portrait"/>
          <w:cols w:equalWidth="0" w:num="4">
            <w:col w:w="3180" w:space="720"/>
            <w:col w:w="700" w:space="720"/>
            <w:col w:w="620" w:space="720"/>
            <w:col w:w="3479"/>
          </w:cols>
          <w:pgMar w:left="320" w:top="628" w:right="1440" w:bottom="1440" w:gutter="0" w:footer="0" w:header="0"/>
          <w:type w:val="continuous"/>
        </w:sectPr>
      </w:pP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Royalties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center"/>
        <w:ind w:right="52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19" w:lineRule="exact"/>
        <w:rPr>
          <w:sz w:val="20"/>
          <w:szCs w:val="20"/>
          <w:color w:val="auto"/>
        </w:rPr>
      </w:pPr>
    </w:p>
    <w:p>
      <w:pPr>
        <w:sectPr>
          <w:pgSz w:w="11900" w:h="16838" w:orient="portrait"/>
          <w:cols w:equalWidth="0" w:num="4">
            <w:col w:w="3180" w:space="720"/>
            <w:col w:w="700" w:space="720"/>
            <w:col w:w="620" w:space="720"/>
            <w:col w:w="3479"/>
          </w:cols>
          <w:pgMar w:left="320" w:top="628" w:right="1440" w:bottom="1440" w:gutter="0" w:footer="0" w:header="0"/>
          <w:type w:val="continuous"/>
        </w:sectPr>
      </w:pP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Advertising</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$26,282,000</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$17,248,000</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$22,058,000</w:t>
      </w:r>
    </w:p>
    <w:p>
      <w:pPr>
        <w:spacing w:after="0" w:line="200" w:lineRule="exact"/>
        <w:rPr>
          <w:sz w:val="20"/>
          <w:szCs w:val="20"/>
          <w:color w:val="auto"/>
        </w:rPr>
      </w:pPr>
    </w:p>
    <w:p>
      <w:pPr>
        <w:sectPr>
          <w:pgSz w:w="11900" w:h="16838" w:orient="portrait"/>
          <w:cols w:equalWidth="0" w:num="4">
            <w:col w:w="2480" w:space="720"/>
            <w:col w:w="980" w:space="440"/>
            <w:col w:w="980" w:space="340"/>
            <w:col w:w="4199"/>
          </w:cols>
          <w:pgMar w:left="320" w:top="628" w:right="1440" w:bottom="1440" w:gutter="0" w:footer="0" w:header="0"/>
          <w:type w:val="continuous"/>
        </w:sectPr>
      </w:pPr>
    </w:p>
    <w:p>
      <w:pPr>
        <w:spacing w:after="0" w:line="324" w:lineRule="exact"/>
        <w:rPr>
          <w:sz w:val="20"/>
          <w:szCs w:val="20"/>
          <w:color w:val="auto"/>
        </w:rPr>
      </w:pPr>
    </w:p>
    <w:p>
      <w:pPr>
        <w:ind w:left="1500" w:hanging="169"/>
        <w:spacing w:after="0"/>
        <w:tabs>
          <w:tab w:leader="none" w:pos="150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 than 1% of net sales for applicable year.</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92" w:lineRule="exact"/>
        <w:rPr>
          <w:rFonts w:ascii="Courier New" w:cs="Courier New" w:eastAsia="Courier New" w:hAnsi="Courier New"/>
          <w:sz w:val="14"/>
          <w:szCs w:val="14"/>
          <w:color w:val="auto"/>
        </w:rPr>
      </w:pPr>
    </w:p>
    <w:p>
      <w:pPr>
        <w:ind w:left="3380" w:hanging="185"/>
        <w:spacing w:after="0"/>
        <w:tabs>
          <w:tab w:leader="none" w:pos="3380"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16 -</w:t>
      </w:r>
    </w:p>
    <w:p>
      <w:pPr>
        <w:sectPr>
          <w:pgSz w:w="11900" w:h="16838" w:orient="portrait"/>
          <w:cols w:equalWidth="0" w:num="1">
            <w:col w:w="10139"/>
          </w:cols>
          <w:pgMar w:left="320" w:top="628" w:right="1440" w:bottom="1440" w:gutter="0" w:footer="0" w:header="0"/>
          <w:type w:val="continuous"/>
        </w:sectPr>
      </w:pPr>
    </w:p>
    <w:bookmarkStart w:id="16" w:name="page17"/>
    <w:bookmarkEnd w:id="16"/>
    <w:tbl>
      <w:tblPr>
        <w:tblLayout w:type="fixed"/>
        <w:tblInd w:w="89" w:type="dxa"/>
        <w:tblCellMar>
          <w:top w:w="0" w:type="dxa"/>
          <w:left w:w="0" w:type="dxa"/>
          <w:bottom w:w="0" w:type="dxa"/>
          <w:right w:w="0" w:type="dxa"/>
        </w:tblCellMar>
      </w:tblPr>
      <w:tr>
        <w:trPr>
          <w:trHeight w:val="170"/>
        </w:trPr>
        <w:tc>
          <w:tcPr>
            <w:tcW w:w="5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Exhibit 11</w:t>
            </w: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41"/>
        </w:trPr>
        <w:tc>
          <w:tcPr>
            <w:tcW w:w="5200" w:type="dxa"/>
            <w:vAlign w:val="bottom"/>
          </w:tcPr>
          <w:p>
            <w:pPr>
              <w:jc w:val="center"/>
              <w:ind w:left="1726"/>
              <w:spacing w:after="0"/>
              <w:rPr>
                <w:sz w:val="20"/>
                <w:szCs w:val="20"/>
                <w:color w:val="auto"/>
              </w:rPr>
            </w:pPr>
            <w:r>
              <w:rPr>
                <w:rFonts w:ascii="Courier New" w:cs="Courier New" w:eastAsia="Courier New" w:hAnsi="Courier New"/>
                <w:sz w:val="15"/>
                <w:szCs w:val="15"/>
                <w:color w:val="auto"/>
                <w:w w:val="98"/>
              </w:rPr>
              <w:t>THE TORO COMPANY AND SUBSIDIARIES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6520" w:type="dxa"/>
            <w:vAlign w:val="bottom"/>
            <w:gridSpan w:val="3"/>
          </w:tcPr>
          <w:p>
            <w:pPr>
              <w:ind w:left="800"/>
              <w:spacing w:after="0"/>
              <w:rPr>
                <w:sz w:val="20"/>
                <w:szCs w:val="20"/>
                <w:color w:val="auto"/>
              </w:rPr>
            </w:pPr>
            <w:r>
              <w:rPr>
                <w:rFonts w:ascii="Courier New" w:cs="Courier New" w:eastAsia="Courier New" w:hAnsi="Courier New"/>
                <w:sz w:val="15"/>
                <w:szCs w:val="15"/>
                <w:color w:val="auto"/>
              </w:rPr>
              <w:t>Computation of Earnings (Loss) per Share of Common Stock and</w:t>
            </w: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200" w:type="dxa"/>
            <w:vAlign w:val="bottom"/>
          </w:tcPr>
          <w:p>
            <w:pPr>
              <w:jc w:val="center"/>
              <w:ind w:left="1726"/>
              <w:spacing w:after="0"/>
              <w:rPr>
                <w:sz w:val="20"/>
                <w:szCs w:val="20"/>
                <w:color w:val="auto"/>
              </w:rPr>
            </w:pPr>
            <w:r>
              <w:rPr>
                <w:rFonts w:ascii="Courier New" w:cs="Courier New" w:eastAsia="Courier New" w:hAnsi="Courier New"/>
                <w:sz w:val="15"/>
                <w:szCs w:val="15"/>
                <w:color w:val="auto"/>
                <w:w w:val="98"/>
              </w:rPr>
              <w:t>Common Stock Equivalent</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500" w:type="dxa"/>
            <w:vAlign w:val="bottom"/>
            <w:gridSpan w:val="2"/>
          </w:tcPr>
          <w:p>
            <w:pPr>
              <w:jc w:val="center"/>
              <w:ind w:left="1426"/>
              <w:spacing w:after="0"/>
              <w:rPr>
                <w:sz w:val="20"/>
                <w:szCs w:val="20"/>
                <w:color w:val="auto"/>
              </w:rPr>
            </w:pPr>
            <w:r>
              <w:rPr>
                <w:rFonts w:ascii="Courier New" w:cs="Courier New" w:eastAsia="Courier New" w:hAnsi="Courier New"/>
                <w:sz w:val="15"/>
                <w:szCs w:val="15"/>
                <w:color w:val="auto"/>
                <w:w w:val="98"/>
              </w:rPr>
              <w:t>(Not Covered by Independent Auditors' Report)</w:t>
            </w: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853"/>
        </w:trPr>
        <w:tc>
          <w:tcPr>
            <w:tcW w:w="5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 Ended July 31,</w:t>
            </w:r>
          </w:p>
        </w:tc>
        <w:tc>
          <w:tcPr>
            <w:tcW w:w="1020" w:type="dxa"/>
            <w:vAlign w:val="bottom"/>
          </w:tcPr>
          <w:p>
            <w:pPr>
              <w:spacing w:after="0"/>
              <w:rPr>
                <w:sz w:val="24"/>
                <w:szCs w:val="24"/>
                <w:color w:val="auto"/>
              </w:rPr>
            </w:pPr>
          </w:p>
        </w:tc>
      </w:tr>
      <w:tr>
        <w:trPr>
          <w:trHeight w:val="171"/>
        </w:trPr>
        <w:tc>
          <w:tcPr>
            <w:tcW w:w="5200" w:type="dxa"/>
            <w:vAlign w:val="bottom"/>
          </w:tcPr>
          <w:p>
            <w:pPr>
              <w:spacing w:after="0"/>
              <w:rPr>
                <w:sz w:val="14"/>
                <w:szCs w:val="14"/>
                <w:color w:val="auto"/>
              </w:rPr>
            </w:pPr>
          </w:p>
        </w:tc>
        <w:tc>
          <w:tcPr>
            <w:tcW w:w="4120" w:type="dxa"/>
            <w:vAlign w:val="bottom"/>
            <w:gridSpan w:val="6"/>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5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1994</w:t>
            </w:r>
          </w:p>
        </w:tc>
        <w:tc>
          <w:tcPr>
            <w:tcW w:w="40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1993</w:t>
            </w:r>
          </w:p>
        </w:tc>
        <w:tc>
          <w:tcPr>
            <w:tcW w:w="320" w:type="dxa"/>
            <w:vAlign w:val="bottom"/>
          </w:tcPr>
          <w:p>
            <w:pPr>
              <w:spacing w:after="0"/>
              <w:rPr>
                <w:sz w:val="14"/>
                <w:szCs w:val="14"/>
                <w:color w:val="auto"/>
              </w:rPr>
            </w:pP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1992</w:t>
            </w:r>
          </w:p>
        </w:tc>
      </w:tr>
      <w:tr>
        <w:trPr>
          <w:trHeight w:val="171"/>
        </w:trPr>
        <w:tc>
          <w:tcPr>
            <w:tcW w:w="5200" w:type="dxa"/>
            <w:vAlign w:val="bottom"/>
          </w:tcPr>
          <w:p>
            <w:pPr>
              <w:spacing w:after="0"/>
              <w:rPr>
                <w:sz w:val="14"/>
                <w:szCs w:val="14"/>
                <w:color w:val="auto"/>
              </w:rPr>
            </w:pPr>
          </w:p>
        </w:tc>
        <w:tc>
          <w:tcPr>
            <w:tcW w:w="13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683"/>
        </w:trPr>
        <w:tc>
          <w:tcPr>
            <w:tcW w:w="5200" w:type="dxa"/>
            <w:vAlign w:val="bottom"/>
          </w:tcPr>
          <w:p>
            <w:pPr>
              <w:spacing w:after="0"/>
              <w:rPr>
                <w:sz w:val="20"/>
                <w:szCs w:val="20"/>
                <w:color w:val="auto"/>
              </w:rPr>
            </w:pPr>
            <w:r>
              <w:rPr>
                <w:rFonts w:ascii="Courier New" w:cs="Courier New" w:eastAsia="Courier New" w:hAnsi="Courier New"/>
                <w:sz w:val="15"/>
                <w:szCs w:val="15"/>
                <w:color w:val="auto"/>
              </w:rPr>
              <w:t>Net earnings (loss)</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22,230,000</w:t>
            </w:r>
          </w:p>
        </w:tc>
        <w:tc>
          <w:tcPr>
            <w:tcW w:w="14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$13,040,000</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$(23,753,000)</w:t>
            </w:r>
          </w:p>
        </w:tc>
      </w:tr>
      <w:tr>
        <w:trPr>
          <w:trHeight w:val="171"/>
        </w:trPr>
        <w:tc>
          <w:tcPr>
            <w:tcW w:w="5200" w:type="dxa"/>
            <w:vAlign w:val="bottom"/>
          </w:tcPr>
          <w:p>
            <w:pPr>
              <w:spacing w:after="0"/>
              <w:rPr>
                <w:sz w:val="14"/>
                <w:szCs w:val="14"/>
                <w:color w:val="auto"/>
              </w:rPr>
            </w:pPr>
          </w:p>
        </w:tc>
        <w:tc>
          <w:tcPr>
            <w:tcW w:w="13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200" w:type="dxa"/>
            <w:vAlign w:val="bottom"/>
          </w:tcPr>
          <w:p>
            <w:pPr>
              <w:spacing w:after="0"/>
              <w:rPr>
                <w:sz w:val="14"/>
                <w:szCs w:val="14"/>
                <w:color w:val="auto"/>
              </w:rPr>
            </w:pPr>
          </w:p>
        </w:tc>
        <w:tc>
          <w:tcPr>
            <w:tcW w:w="13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200" w:type="dxa"/>
            <w:vAlign w:val="bottom"/>
          </w:tcPr>
          <w:p>
            <w:pPr>
              <w:spacing w:after="0"/>
              <w:rPr>
                <w:sz w:val="20"/>
                <w:szCs w:val="20"/>
                <w:color w:val="auto"/>
              </w:rPr>
            </w:pPr>
            <w:r>
              <w:rPr>
                <w:rFonts w:ascii="Courier New" w:cs="Courier New" w:eastAsia="Courier New" w:hAnsi="Courier New"/>
                <w:sz w:val="15"/>
                <w:szCs w:val="15"/>
                <w:color w:val="auto"/>
              </w:rPr>
              <w:t>Primary:</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5200" w:type="dxa"/>
            <w:vAlign w:val="bottom"/>
          </w:tcPr>
          <w:p>
            <w:pPr>
              <w:ind w:left="260"/>
              <w:spacing w:after="0"/>
              <w:rPr>
                <w:sz w:val="20"/>
                <w:szCs w:val="20"/>
                <w:color w:val="auto"/>
              </w:rPr>
            </w:pPr>
            <w:r>
              <w:rPr>
                <w:rFonts w:ascii="Courier New" w:cs="Courier New" w:eastAsia="Courier New" w:hAnsi="Courier New"/>
                <w:sz w:val="15"/>
                <w:szCs w:val="15"/>
                <w:color w:val="auto"/>
              </w:rPr>
              <w:t>Shares of common stock and common</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200" w:type="dxa"/>
            <w:vAlign w:val="bottom"/>
          </w:tcPr>
          <w:p>
            <w:pPr>
              <w:ind w:left="260"/>
              <w:spacing w:after="0"/>
              <w:rPr>
                <w:sz w:val="20"/>
                <w:szCs w:val="20"/>
                <w:color w:val="auto"/>
              </w:rPr>
            </w:pPr>
            <w:r>
              <w:rPr>
                <w:rFonts w:ascii="Courier New" w:cs="Courier New" w:eastAsia="Courier New" w:hAnsi="Courier New"/>
                <w:sz w:val="15"/>
                <w:szCs w:val="15"/>
                <w:color w:val="auto"/>
              </w:rPr>
              <w:t>stock equivalents: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200" w:type="dxa"/>
            <w:vAlign w:val="bottom"/>
          </w:tcPr>
          <w:p>
            <w:pPr>
              <w:ind w:left="620"/>
              <w:spacing w:after="0"/>
              <w:rPr>
                <w:sz w:val="20"/>
                <w:szCs w:val="20"/>
                <w:color w:val="auto"/>
              </w:rPr>
            </w:pPr>
            <w:r>
              <w:rPr>
                <w:rFonts w:ascii="Courier New" w:cs="Courier New" w:eastAsia="Courier New" w:hAnsi="Courier New"/>
                <w:sz w:val="15"/>
                <w:szCs w:val="15"/>
                <w:color w:val="auto"/>
              </w:rPr>
              <w:t>Weighted average number of</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200" w:type="dxa"/>
            <w:vAlign w:val="bottom"/>
          </w:tcPr>
          <w:p>
            <w:pPr>
              <w:ind w:left="800"/>
              <w:spacing w:after="0"/>
              <w:rPr>
                <w:sz w:val="20"/>
                <w:szCs w:val="20"/>
                <w:color w:val="auto"/>
              </w:rPr>
            </w:pPr>
            <w:r>
              <w:rPr>
                <w:rFonts w:ascii="Courier New" w:cs="Courier New" w:eastAsia="Courier New" w:hAnsi="Courier New"/>
                <w:sz w:val="15"/>
                <w:szCs w:val="15"/>
                <w:color w:val="auto"/>
              </w:rPr>
              <w:t>common shares outstanding</w:t>
            </w:r>
          </w:p>
        </w:tc>
        <w:tc>
          <w:tcPr>
            <w:tcW w:w="30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12,472,828</w:t>
            </w:r>
          </w:p>
        </w:tc>
        <w:tc>
          <w:tcPr>
            <w:tcW w:w="40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12,135,399</w:t>
            </w:r>
          </w:p>
        </w:tc>
        <w:tc>
          <w:tcPr>
            <w:tcW w:w="32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11,982,103</w:t>
            </w:r>
          </w:p>
        </w:tc>
      </w:tr>
      <w:tr>
        <w:trPr>
          <w:trHeight w:val="171"/>
        </w:trPr>
        <w:tc>
          <w:tcPr>
            <w:tcW w:w="5200" w:type="dxa"/>
            <w:vAlign w:val="bottom"/>
          </w:tcPr>
          <w:p>
            <w:pPr>
              <w:ind w:left="620"/>
              <w:spacing w:after="0"/>
              <w:rPr>
                <w:sz w:val="20"/>
                <w:szCs w:val="20"/>
                <w:color w:val="auto"/>
              </w:rPr>
            </w:pPr>
            <w:r>
              <w:rPr>
                <w:rFonts w:ascii="Courier New" w:cs="Courier New" w:eastAsia="Courier New" w:hAnsi="Courier New"/>
                <w:sz w:val="15"/>
                <w:szCs w:val="15"/>
                <w:color w:val="auto"/>
              </w:rPr>
              <w:t>Dilutive effect of outstanding</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200" w:type="dxa"/>
            <w:vAlign w:val="bottom"/>
          </w:tcPr>
          <w:p>
            <w:pPr>
              <w:ind w:left="800"/>
              <w:spacing w:after="0"/>
              <w:rPr>
                <w:sz w:val="20"/>
                <w:szCs w:val="20"/>
                <w:color w:val="auto"/>
              </w:rPr>
            </w:pPr>
            <w:r>
              <w:rPr>
                <w:rFonts w:ascii="Courier New" w:cs="Courier New" w:eastAsia="Courier New" w:hAnsi="Courier New"/>
                <w:sz w:val="15"/>
                <w:szCs w:val="15"/>
                <w:color w:val="auto"/>
              </w:rPr>
              <w:t>stock options (1), (3)</w:t>
            </w:r>
          </w:p>
        </w:tc>
        <w:tc>
          <w:tcPr>
            <w:tcW w:w="30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509,538</w:t>
            </w:r>
          </w:p>
        </w:tc>
        <w:tc>
          <w:tcPr>
            <w:tcW w:w="40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248,672</w:t>
            </w:r>
          </w:p>
        </w:tc>
        <w:tc>
          <w:tcPr>
            <w:tcW w:w="32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200" w:type="dxa"/>
            <w:vAlign w:val="bottom"/>
          </w:tcPr>
          <w:p>
            <w:pPr>
              <w:spacing w:after="0"/>
              <w:rPr>
                <w:sz w:val="14"/>
                <w:szCs w:val="14"/>
                <w:color w:val="auto"/>
              </w:rPr>
            </w:pPr>
          </w:p>
        </w:tc>
        <w:tc>
          <w:tcPr>
            <w:tcW w:w="13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12,982,366</w:t>
            </w:r>
          </w:p>
        </w:tc>
        <w:tc>
          <w:tcPr>
            <w:tcW w:w="40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12,384,071</w:t>
            </w:r>
          </w:p>
        </w:tc>
        <w:tc>
          <w:tcPr>
            <w:tcW w:w="32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11,982,103</w:t>
            </w:r>
          </w:p>
        </w:tc>
      </w:tr>
      <w:tr>
        <w:trPr>
          <w:trHeight w:val="171"/>
        </w:trPr>
        <w:tc>
          <w:tcPr>
            <w:tcW w:w="5200" w:type="dxa"/>
            <w:vAlign w:val="bottom"/>
          </w:tcPr>
          <w:p>
            <w:pPr>
              <w:spacing w:after="0"/>
              <w:rPr>
                <w:sz w:val="14"/>
                <w:szCs w:val="14"/>
                <w:color w:val="auto"/>
              </w:rPr>
            </w:pPr>
          </w:p>
        </w:tc>
        <w:tc>
          <w:tcPr>
            <w:tcW w:w="13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200" w:type="dxa"/>
            <w:vAlign w:val="bottom"/>
          </w:tcPr>
          <w:p>
            <w:pPr>
              <w:spacing w:after="0"/>
              <w:rPr>
                <w:sz w:val="14"/>
                <w:szCs w:val="14"/>
                <w:color w:val="auto"/>
              </w:rPr>
            </w:pPr>
          </w:p>
        </w:tc>
        <w:tc>
          <w:tcPr>
            <w:tcW w:w="13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200" w:type="dxa"/>
            <w:vAlign w:val="bottom"/>
          </w:tcPr>
          <w:p>
            <w:pPr>
              <w:ind w:left="360"/>
              <w:spacing w:after="0"/>
              <w:rPr>
                <w:sz w:val="20"/>
                <w:szCs w:val="20"/>
                <w:color w:val="auto"/>
              </w:rPr>
            </w:pPr>
            <w:r>
              <w:rPr>
                <w:rFonts w:ascii="Courier New" w:cs="Courier New" w:eastAsia="Courier New" w:hAnsi="Courier New"/>
                <w:sz w:val="15"/>
                <w:szCs w:val="15"/>
                <w:color w:val="auto"/>
              </w:rPr>
              <w:t>Net earnings (loss) per share of common</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5200" w:type="dxa"/>
            <w:vAlign w:val="bottom"/>
          </w:tcPr>
          <w:p>
            <w:pPr>
              <w:ind w:left="540"/>
              <w:spacing w:after="0"/>
              <w:rPr>
                <w:sz w:val="20"/>
                <w:szCs w:val="20"/>
                <w:color w:val="auto"/>
              </w:rPr>
            </w:pPr>
            <w:r>
              <w:rPr>
                <w:rFonts w:ascii="Courier New" w:cs="Courier New" w:eastAsia="Courier New" w:hAnsi="Courier New"/>
                <w:sz w:val="15"/>
                <w:szCs w:val="15"/>
                <w:color w:val="auto"/>
              </w:rPr>
              <w:t>stock and common stock equivalent</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(1.98)</w:t>
            </w:r>
          </w:p>
        </w:tc>
      </w:tr>
      <w:tr>
        <w:trPr>
          <w:trHeight w:val="171"/>
        </w:trPr>
        <w:tc>
          <w:tcPr>
            <w:tcW w:w="5200" w:type="dxa"/>
            <w:vAlign w:val="bottom"/>
          </w:tcPr>
          <w:p>
            <w:pPr>
              <w:spacing w:after="0"/>
              <w:rPr>
                <w:sz w:val="14"/>
                <w:szCs w:val="14"/>
                <w:color w:val="auto"/>
              </w:rPr>
            </w:pPr>
          </w:p>
        </w:tc>
        <w:tc>
          <w:tcPr>
            <w:tcW w:w="13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200" w:type="dxa"/>
            <w:vAlign w:val="bottom"/>
          </w:tcPr>
          <w:p>
            <w:pPr>
              <w:spacing w:after="0"/>
              <w:rPr>
                <w:sz w:val="14"/>
                <w:szCs w:val="14"/>
                <w:color w:val="auto"/>
              </w:rPr>
            </w:pPr>
          </w:p>
        </w:tc>
        <w:tc>
          <w:tcPr>
            <w:tcW w:w="13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200" w:type="dxa"/>
            <w:vAlign w:val="bottom"/>
          </w:tcPr>
          <w:p>
            <w:pPr>
              <w:spacing w:after="0"/>
              <w:rPr>
                <w:sz w:val="20"/>
                <w:szCs w:val="20"/>
                <w:color w:val="auto"/>
              </w:rPr>
            </w:pPr>
            <w:r>
              <w:rPr>
                <w:rFonts w:ascii="Courier New" w:cs="Courier New" w:eastAsia="Courier New" w:hAnsi="Courier New"/>
                <w:sz w:val="15"/>
                <w:szCs w:val="15"/>
                <w:color w:val="auto"/>
              </w:rPr>
              <w:t>Fully Diluted:</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5200" w:type="dxa"/>
            <w:vAlign w:val="bottom"/>
          </w:tcPr>
          <w:p>
            <w:pPr>
              <w:ind w:left="260"/>
              <w:spacing w:after="0"/>
              <w:rPr>
                <w:sz w:val="20"/>
                <w:szCs w:val="20"/>
                <w:color w:val="auto"/>
              </w:rPr>
            </w:pPr>
            <w:r>
              <w:rPr>
                <w:rFonts w:ascii="Courier New" w:cs="Courier New" w:eastAsia="Courier New" w:hAnsi="Courier New"/>
                <w:sz w:val="15"/>
                <w:szCs w:val="15"/>
                <w:color w:val="auto"/>
              </w:rPr>
              <w:t>Shares of common stock and common</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200" w:type="dxa"/>
            <w:vAlign w:val="bottom"/>
          </w:tcPr>
          <w:p>
            <w:pPr>
              <w:ind w:left="260"/>
              <w:spacing w:after="0"/>
              <w:rPr>
                <w:sz w:val="20"/>
                <w:szCs w:val="20"/>
                <w:color w:val="auto"/>
              </w:rPr>
            </w:pPr>
            <w:r>
              <w:rPr>
                <w:rFonts w:ascii="Courier New" w:cs="Courier New" w:eastAsia="Courier New" w:hAnsi="Courier New"/>
                <w:sz w:val="15"/>
                <w:szCs w:val="15"/>
                <w:color w:val="auto"/>
              </w:rPr>
              <w:t>stock equivalents: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Weighted average number of</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200" w:type="dxa"/>
            <w:vAlign w:val="bottom"/>
          </w:tcPr>
          <w:p>
            <w:pPr>
              <w:ind w:left="620"/>
              <w:spacing w:after="0"/>
              <w:rPr>
                <w:sz w:val="20"/>
                <w:szCs w:val="20"/>
                <w:color w:val="auto"/>
              </w:rPr>
            </w:pPr>
            <w:r>
              <w:rPr>
                <w:rFonts w:ascii="Courier New" w:cs="Courier New" w:eastAsia="Courier New" w:hAnsi="Courier New"/>
                <w:sz w:val="15"/>
                <w:szCs w:val="15"/>
                <w:color w:val="auto"/>
              </w:rPr>
              <w:t>common shares outstanding</w:t>
            </w:r>
          </w:p>
        </w:tc>
        <w:tc>
          <w:tcPr>
            <w:tcW w:w="30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12,472,828</w:t>
            </w:r>
          </w:p>
        </w:tc>
        <w:tc>
          <w:tcPr>
            <w:tcW w:w="40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12,135,399</w:t>
            </w:r>
          </w:p>
        </w:tc>
        <w:tc>
          <w:tcPr>
            <w:tcW w:w="32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11,982,103</w:t>
            </w:r>
          </w:p>
        </w:tc>
      </w:tr>
      <w:tr>
        <w:trPr>
          <w:trHeight w:val="171"/>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Dilutive effect of outstanding</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200" w:type="dxa"/>
            <w:vAlign w:val="bottom"/>
          </w:tcPr>
          <w:p>
            <w:pPr>
              <w:ind w:left="620"/>
              <w:spacing w:after="0"/>
              <w:rPr>
                <w:sz w:val="20"/>
                <w:szCs w:val="20"/>
                <w:color w:val="auto"/>
              </w:rPr>
            </w:pPr>
            <w:r>
              <w:rPr>
                <w:rFonts w:ascii="Courier New" w:cs="Courier New" w:eastAsia="Courier New" w:hAnsi="Courier New"/>
                <w:sz w:val="15"/>
                <w:szCs w:val="15"/>
                <w:color w:val="auto"/>
              </w:rPr>
              <w:t>stock options (2), (3)</w:t>
            </w:r>
          </w:p>
        </w:tc>
        <w:tc>
          <w:tcPr>
            <w:tcW w:w="30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509,538</w:t>
            </w:r>
          </w:p>
        </w:tc>
        <w:tc>
          <w:tcPr>
            <w:tcW w:w="40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395,274</w:t>
            </w:r>
          </w:p>
        </w:tc>
        <w:tc>
          <w:tcPr>
            <w:tcW w:w="32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200" w:type="dxa"/>
            <w:vAlign w:val="bottom"/>
          </w:tcPr>
          <w:p>
            <w:pPr>
              <w:spacing w:after="0"/>
              <w:rPr>
                <w:sz w:val="14"/>
                <w:szCs w:val="14"/>
                <w:color w:val="auto"/>
              </w:rPr>
            </w:pPr>
          </w:p>
        </w:tc>
        <w:tc>
          <w:tcPr>
            <w:tcW w:w="13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12,982,366</w:t>
            </w:r>
          </w:p>
        </w:tc>
        <w:tc>
          <w:tcPr>
            <w:tcW w:w="40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12,530,673</w:t>
            </w:r>
          </w:p>
        </w:tc>
        <w:tc>
          <w:tcPr>
            <w:tcW w:w="32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11,982,103</w:t>
            </w:r>
          </w:p>
        </w:tc>
      </w:tr>
      <w:tr>
        <w:trPr>
          <w:trHeight w:val="171"/>
        </w:trPr>
        <w:tc>
          <w:tcPr>
            <w:tcW w:w="5200" w:type="dxa"/>
            <w:vAlign w:val="bottom"/>
          </w:tcPr>
          <w:p>
            <w:pPr>
              <w:spacing w:after="0"/>
              <w:rPr>
                <w:sz w:val="14"/>
                <w:szCs w:val="14"/>
                <w:color w:val="auto"/>
              </w:rPr>
            </w:pPr>
          </w:p>
        </w:tc>
        <w:tc>
          <w:tcPr>
            <w:tcW w:w="13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200" w:type="dxa"/>
            <w:vAlign w:val="bottom"/>
          </w:tcPr>
          <w:p>
            <w:pPr>
              <w:spacing w:after="0"/>
              <w:rPr>
                <w:sz w:val="14"/>
                <w:szCs w:val="14"/>
                <w:color w:val="auto"/>
              </w:rPr>
            </w:pPr>
          </w:p>
        </w:tc>
        <w:tc>
          <w:tcPr>
            <w:tcW w:w="13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200" w:type="dxa"/>
            <w:vAlign w:val="bottom"/>
          </w:tcPr>
          <w:p>
            <w:pPr>
              <w:ind w:left="360"/>
              <w:spacing w:after="0"/>
              <w:rPr>
                <w:sz w:val="20"/>
                <w:szCs w:val="20"/>
                <w:color w:val="auto"/>
              </w:rPr>
            </w:pPr>
            <w:r>
              <w:rPr>
                <w:rFonts w:ascii="Courier New" w:cs="Courier New" w:eastAsia="Courier New" w:hAnsi="Courier New"/>
                <w:sz w:val="15"/>
                <w:szCs w:val="15"/>
                <w:color w:val="auto"/>
              </w:rPr>
              <w:t>Net earnings (loss) per share of common</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200" w:type="dxa"/>
            <w:vAlign w:val="bottom"/>
          </w:tcPr>
          <w:p>
            <w:pPr>
              <w:ind w:left="540"/>
              <w:spacing w:after="0"/>
              <w:rPr>
                <w:sz w:val="20"/>
                <w:szCs w:val="20"/>
                <w:color w:val="auto"/>
              </w:rPr>
            </w:pPr>
            <w:r>
              <w:rPr>
                <w:rFonts w:ascii="Courier New" w:cs="Courier New" w:eastAsia="Courier New" w:hAnsi="Courier New"/>
                <w:sz w:val="15"/>
                <w:szCs w:val="15"/>
                <w:color w:val="auto"/>
              </w:rPr>
              <w:t>stock and common stock equivalent</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(1.98)</w:t>
            </w:r>
          </w:p>
        </w:tc>
      </w:tr>
      <w:tr>
        <w:trPr>
          <w:trHeight w:val="171"/>
        </w:trPr>
        <w:tc>
          <w:tcPr>
            <w:tcW w:w="5200" w:type="dxa"/>
            <w:vAlign w:val="bottom"/>
          </w:tcPr>
          <w:p>
            <w:pPr>
              <w:spacing w:after="0"/>
              <w:rPr>
                <w:sz w:val="14"/>
                <w:szCs w:val="14"/>
                <w:color w:val="auto"/>
              </w:rPr>
            </w:pPr>
          </w:p>
        </w:tc>
        <w:tc>
          <w:tcPr>
            <w:tcW w:w="13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200" w:type="dxa"/>
            <w:vAlign w:val="bottom"/>
          </w:tcPr>
          <w:p>
            <w:pPr>
              <w:spacing w:after="0"/>
              <w:rPr>
                <w:sz w:val="14"/>
                <w:szCs w:val="14"/>
                <w:color w:val="auto"/>
              </w:rPr>
            </w:pPr>
          </w:p>
        </w:tc>
        <w:tc>
          <w:tcPr>
            <w:tcW w:w="13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49" w:right="3399" w:hanging="349"/>
        <w:spacing w:after="0" w:line="264" w:lineRule="auto"/>
        <w:tabs>
          <w:tab w:leader="none" w:pos="349"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Outstanding stock options and options exercised in the current period are converted to common stock equivalents by the treasury stock method using the average market price of the company's stock during each period.</w:t>
      </w:r>
    </w:p>
    <w:p>
      <w:pPr>
        <w:spacing w:after="0" w:line="159" w:lineRule="exact"/>
        <w:rPr>
          <w:rFonts w:ascii="Courier New" w:cs="Courier New" w:eastAsia="Courier New" w:hAnsi="Courier New"/>
          <w:sz w:val="14"/>
          <w:szCs w:val="14"/>
          <w:color w:val="auto"/>
        </w:rPr>
      </w:pPr>
    </w:p>
    <w:p>
      <w:pPr>
        <w:ind w:left="349" w:right="3219" w:hanging="349"/>
        <w:spacing w:after="0" w:line="239" w:lineRule="auto"/>
        <w:tabs>
          <w:tab w:leader="none" w:pos="34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Outstanding stock options and options exercised in the current period are converted to common stock equivalents by the treasury stock method using the greater of the average market price or the year-end market price of the company's shares during each period.</w:t>
      </w:r>
    </w:p>
    <w:p>
      <w:pPr>
        <w:spacing w:after="0" w:line="176" w:lineRule="exact"/>
        <w:rPr>
          <w:rFonts w:ascii="Courier New" w:cs="Courier New" w:eastAsia="Courier New" w:hAnsi="Courier New"/>
          <w:sz w:val="15"/>
          <w:szCs w:val="15"/>
          <w:color w:val="auto"/>
        </w:rPr>
      </w:pPr>
    </w:p>
    <w:p>
      <w:pPr>
        <w:ind w:left="349" w:right="3219" w:hanging="349"/>
        <w:spacing w:after="0" w:line="239" w:lineRule="auto"/>
        <w:tabs>
          <w:tab w:leader="none" w:pos="34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per share calculations for fiscal 1992 are based on the weighted average number of shares of common stock outstanding excluding common stock equivalents due to their anti-dilutive affect.</w:t>
      </w:r>
    </w:p>
    <w:p>
      <w:pPr>
        <w:sectPr>
          <w:pgSz w:w="11900" w:h="16838" w:orient="portrait"/>
          <w:cols w:equalWidth="0" w:num="1">
            <w:col w:w="10228"/>
          </w:cols>
          <w:pgMar w:left="231" w:top="480" w:right="1440" w:bottom="1440" w:gutter="0" w:footer="0" w:header="0"/>
        </w:sectPr>
      </w:pPr>
    </w:p>
    <w:bookmarkStart w:id="17" w:name="page18"/>
    <w:bookmarkEnd w:id="17"/>
    <w:p>
      <w:pPr>
        <w:ind w:left="9"/>
        <w:spacing w:after="0"/>
        <w:rPr>
          <w:sz w:val="20"/>
          <w:szCs w:val="20"/>
          <w:color w:val="auto"/>
        </w:rPr>
      </w:pPr>
      <w:r>
        <w:rPr>
          <w:rFonts w:ascii="Courier New" w:cs="Courier New" w:eastAsia="Courier New" w:hAnsi="Courier New"/>
          <w:sz w:val="15"/>
          <w:szCs w:val="15"/>
          <w:color w:val="auto"/>
        </w:rPr>
        <w:t>FINANCIAL HIGHLIGHTS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Strong Growth Continues at Toro</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700" w:type="dxa"/>
            <w:vAlign w:val="bottom"/>
          </w:tcPr>
          <w:p>
            <w:pPr>
              <w:spacing w:after="0"/>
              <w:rPr>
                <w:sz w:val="20"/>
                <w:szCs w:val="20"/>
                <w:color w:val="auto"/>
              </w:rPr>
            </w:pPr>
            <w:r>
              <w:rPr>
                <w:rFonts w:ascii="Courier New" w:cs="Courier New" w:eastAsia="Courier New" w:hAnsi="Courier New"/>
                <w:sz w:val="15"/>
                <w:szCs w:val="15"/>
                <w:color w:val="auto"/>
              </w:rPr>
              <w:t>CONTENTS</w:t>
            </w:r>
          </w:p>
        </w:tc>
        <w:tc>
          <w:tcPr>
            <w:tcW w:w="840" w:type="dxa"/>
            <w:vAlign w:val="bottom"/>
          </w:tcPr>
          <w:p>
            <w:pPr>
              <w:spacing w:after="0"/>
              <w:rPr>
                <w:sz w:val="14"/>
                <w:szCs w:val="14"/>
                <w:color w:val="auto"/>
              </w:rPr>
            </w:pP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rPr>
              <w:t>Letter to Stockholders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rPr>
              <w:t>Review of Operations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rPr>
              <w:t>Eleven-Year Selected</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rPr>
              <w:t>Financial Data</w:t>
            </w:r>
          </w:p>
        </w:tc>
        <w:tc>
          <w:tcPr>
            <w:tcW w:w="840" w:type="dxa"/>
            <w:vAlign w:val="bottom"/>
          </w:tcPr>
          <w:p>
            <w:pPr>
              <w:spacing w:after="0"/>
              <w:rPr>
                <w:sz w:val="14"/>
                <w:szCs w:val="14"/>
                <w:color w:val="auto"/>
              </w:rPr>
            </w:pP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rPr>
              <w:t>Management's Discussion</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rPr>
              <w:t>and Analysis</w:t>
            </w:r>
          </w:p>
        </w:tc>
        <w:tc>
          <w:tcPr>
            <w:tcW w:w="840" w:type="dxa"/>
            <w:vAlign w:val="bottom"/>
          </w:tcPr>
          <w:p>
            <w:pPr>
              <w:spacing w:after="0"/>
              <w:rPr>
                <w:sz w:val="14"/>
                <w:szCs w:val="14"/>
                <w:color w:val="auto"/>
              </w:rPr>
            </w:pP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rPr>
              <w:t>Financial Statements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rPr>
              <w:t>Notes to Consolidated</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rPr>
              <w:t>Financial Statements</w:t>
            </w:r>
          </w:p>
        </w:tc>
        <w:tc>
          <w:tcPr>
            <w:tcW w:w="840" w:type="dxa"/>
            <w:vAlign w:val="bottom"/>
          </w:tcPr>
          <w:p>
            <w:pPr>
              <w:spacing w:after="0"/>
              <w:rPr>
                <w:sz w:val="14"/>
                <w:szCs w:val="14"/>
                <w:color w:val="auto"/>
              </w:rPr>
            </w:pP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rPr>
              <w:t>Directors, Officers and</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rPr>
              <w:t>Stockholder Information</w:t>
            </w:r>
          </w:p>
        </w:tc>
        <w:tc>
          <w:tcPr>
            <w:tcW w:w="840" w:type="dxa"/>
            <w:vAlign w:val="bottom"/>
          </w:tcPr>
          <w:p>
            <w:pPr>
              <w:spacing w:after="0"/>
              <w:rPr>
                <w:sz w:val="14"/>
                <w:szCs w:val="14"/>
                <w:color w:val="auto"/>
              </w:rPr>
            </w:pPr>
          </w:p>
        </w:tc>
      </w:tr>
    </w:tbl>
    <w:p>
      <w:pPr>
        <w:spacing w:after="0" w:line="345" w:lineRule="exact"/>
        <w:rPr>
          <w:sz w:val="20"/>
          <w:szCs w:val="20"/>
          <w:color w:val="auto"/>
        </w:rPr>
      </w:pPr>
    </w:p>
    <w:p>
      <w:pPr>
        <w:jc w:val="both"/>
        <w:ind w:left="9" w:right="3119"/>
        <w:spacing w:after="0" w:line="239" w:lineRule="auto"/>
        <w:rPr>
          <w:sz w:val="20"/>
          <w:szCs w:val="20"/>
          <w:color w:val="auto"/>
        </w:rPr>
      </w:pPr>
      <w:r>
        <w:rPr>
          <w:rFonts w:ascii="Courier New" w:cs="Courier New" w:eastAsia="Courier New" w:hAnsi="Courier New"/>
          <w:sz w:val="15"/>
          <w:szCs w:val="15"/>
          <w:color w:val="auto"/>
        </w:rPr>
        <w:t>TORO DELIVERED RECORD SALES AND A 71 PERCENT EARNINGS INCREASE DURING 1994 WHILE ALSO INVESTING HEAVILY FOR THE FUTURE IN KEY ELEMENTS OF THE OPERATION. MOMENTUM CONTINUES TO BUILD INDICATING ANOTHER GOOD YEAR IN 1995.</w:t>
      </w:r>
    </w:p>
    <w:p>
      <w:pPr>
        <w:spacing w:after="0" w:line="175" w:lineRule="exact"/>
        <w:rPr>
          <w:sz w:val="20"/>
          <w:szCs w:val="20"/>
          <w:color w:val="auto"/>
        </w:rPr>
      </w:pPr>
    </w:p>
    <w:p>
      <w:pPr>
        <w:jc w:val="both"/>
        <w:ind w:left="9" w:right="3119"/>
        <w:spacing w:after="0" w:line="238" w:lineRule="auto"/>
        <w:rPr>
          <w:sz w:val="20"/>
          <w:szCs w:val="20"/>
          <w:color w:val="auto"/>
        </w:rPr>
      </w:pPr>
      <w:r>
        <w:rPr>
          <w:rFonts w:ascii="Courier New" w:cs="Courier New" w:eastAsia="Courier New" w:hAnsi="Courier New"/>
          <w:sz w:val="15"/>
          <w:szCs w:val="15"/>
          <w:color w:val="auto"/>
        </w:rPr>
        <w:t>EXPANDED AND ENHANCED DISTRIBUTION CHANNELS BROUGHT TORO CLOSER TO ITS CUSTOMERS AND IMPROVED THE COMPETITIVE POSITION OF ITS PRODUCT LINES.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AGGRESSIVE ADVERTISING AND MARKETING PROGRAMS REINFORCED TORO'S BRAND EQUITY.</w:t>
      </w:r>
    </w:p>
    <w:p>
      <w:pPr>
        <w:spacing w:after="0" w:line="174" w:lineRule="exact"/>
        <w:rPr>
          <w:sz w:val="20"/>
          <w:szCs w:val="20"/>
          <w:color w:val="auto"/>
        </w:rPr>
      </w:pPr>
    </w:p>
    <w:p>
      <w:pPr>
        <w:ind w:left="9" w:right="3399"/>
        <w:spacing w:after="0" w:line="238" w:lineRule="auto"/>
        <w:rPr>
          <w:sz w:val="20"/>
          <w:szCs w:val="20"/>
          <w:color w:val="auto"/>
        </w:rPr>
      </w:pPr>
      <w:r>
        <w:rPr>
          <w:rFonts w:ascii="Courier New" w:cs="Courier New" w:eastAsia="Courier New" w:hAnsi="Courier New"/>
          <w:sz w:val="15"/>
          <w:szCs w:val="15"/>
          <w:color w:val="auto"/>
        </w:rPr>
        <w:t>AGGRESSIVE RESEARCH AND DEVELOPMENT INVESTMENTS CONTINUED TO TRANSLATE TRENDS AND CUSTOMER NEEDS INTO MARKET-LEADING NEW PRODUCTS.</w:t>
      </w:r>
    </w:p>
    <w:p>
      <w:pPr>
        <w:spacing w:after="0" w:line="175" w:lineRule="exact"/>
        <w:rPr>
          <w:sz w:val="20"/>
          <w:szCs w:val="20"/>
          <w:color w:val="auto"/>
        </w:rPr>
      </w:pPr>
    </w:p>
    <w:p>
      <w:pPr>
        <w:ind w:left="9" w:right="3399"/>
        <w:spacing w:after="0" w:line="238" w:lineRule="auto"/>
        <w:rPr>
          <w:sz w:val="20"/>
          <w:szCs w:val="20"/>
          <w:color w:val="auto"/>
        </w:rPr>
      </w:pPr>
      <w:r>
        <w:rPr>
          <w:rFonts w:ascii="Courier New" w:cs="Courier New" w:eastAsia="Courier New" w:hAnsi="Courier New"/>
          <w:sz w:val="15"/>
          <w:szCs w:val="15"/>
          <w:color w:val="auto"/>
        </w:rPr>
        <w:t>TORO'S BALANCE SHEET CONTINUED TO STRENGTHEN AS THE COMPANY REDUCED LONG-TERM DEBT BY $37 MILLION DURING THE YEAR.</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69" w:hanging="169"/>
        <w:spacing w:after="0"/>
        <w:tabs>
          <w:tab w:leader="none" w:pos="169"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(Dollars in thousands, except per-share data)</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180" w:type="dxa"/>
            <w:vAlign w:val="bottom"/>
            <w:gridSpan w:val="3"/>
          </w:tcPr>
          <w:p>
            <w:pPr>
              <w:spacing w:after="0"/>
              <w:rPr>
                <w:sz w:val="20"/>
                <w:szCs w:val="20"/>
                <w:color w:val="auto"/>
              </w:rPr>
            </w:pPr>
            <w:r>
              <w:rPr>
                <w:rFonts w:ascii="Courier New" w:cs="Courier New" w:eastAsia="Courier New" w:hAnsi="Courier New"/>
                <w:sz w:val="15"/>
                <w:szCs w:val="15"/>
                <w:color w:val="auto"/>
              </w:rPr>
              <w:t>Years ended July 31</w:t>
            </w:r>
          </w:p>
        </w:tc>
        <w:tc>
          <w:tcPr>
            <w:tcW w:w="23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1994</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1993</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 Change</w:t>
            </w: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 -</w:t>
            </w:r>
          </w:p>
        </w:tc>
        <w:tc>
          <w:tcPr>
            <w:tcW w:w="750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30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2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sales</w:t>
            </w:r>
          </w:p>
        </w:tc>
        <w:tc>
          <w:tcPr>
            <w:tcW w:w="23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$794,341</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$684,324</w:t>
            </w:r>
          </w:p>
        </w:tc>
        <w:tc>
          <w:tcPr>
            <w:tcW w:w="1560" w:type="dxa"/>
            <w:vAlign w:val="bottom"/>
          </w:tcPr>
          <w:p>
            <w:pPr>
              <w:ind w:left="400"/>
              <w:spacing w:after="0"/>
              <w:rPr>
                <w:sz w:val="20"/>
                <w:szCs w:val="20"/>
                <w:color w:val="auto"/>
              </w:rPr>
            </w:pPr>
            <w:r>
              <w:rPr>
                <w:rFonts w:ascii="Courier New" w:cs="Courier New" w:eastAsia="Courier New" w:hAnsi="Courier New"/>
                <w:sz w:val="15"/>
                <w:szCs w:val="15"/>
                <w:color w:val="auto"/>
              </w:rPr>
              <w:t>16.1%</w:t>
            </w: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2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earnings</w:t>
            </w:r>
          </w:p>
        </w:tc>
        <w:tc>
          <w:tcPr>
            <w:tcW w:w="23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22,230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13,040</w:t>
            </w:r>
          </w:p>
        </w:tc>
        <w:tc>
          <w:tcPr>
            <w:tcW w:w="1560" w:type="dxa"/>
            <w:vAlign w:val="bottom"/>
          </w:tcPr>
          <w:p>
            <w:pPr>
              <w:ind w:left="400"/>
              <w:spacing w:after="0"/>
              <w:rPr>
                <w:sz w:val="20"/>
                <w:szCs w:val="20"/>
                <w:color w:val="auto"/>
              </w:rPr>
            </w:pPr>
            <w:r>
              <w:rPr>
                <w:rFonts w:ascii="Courier New" w:cs="Courier New" w:eastAsia="Courier New" w:hAnsi="Courier New"/>
                <w:sz w:val="15"/>
                <w:szCs w:val="15"/>
                <w:color w:val="auto"/>
              </w:rPr>
              <w:t>70.5</w:t>
            </w:r>
          </w:p>
        </w:tc>
      </w:tr>
      <w:tr>
        <w:trPr>
          <w:trHeight w:val="171"/>
        </w:trPr>
        <w:tc>
          <w:tcPr>
            <w:tcW w:w="660" w:type="dxa"/>
            <w:vAlign w:val="bottom"/>
            <w:gridSpan w:val="2"/>
          </w:tcPr>
          <w:p>
            <w:pPr>
              <w:spacing w:after="0"/>
              <w:rPr>
                <w:sz w:val="20"/>
                <w:szCs w:val="20"/>
                <w:color w:val="auto"/>
              </w:rPr>
            </w:pPr>
            <w:r>
              <w:rPr>
                <w:rFonts w:ascii="Courier New" w:cs="Courier New" w:eastAsia="Courier New" w:hAnsi="Courier New"/>
                <w:sz w:val="15"/>
                <w:szCs w:val="15"/>
                <w:color w:val="auto"/>
              </w:rPr>
              <w:t>Percent</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of net sales</w:t>
            </w:r>
          </w:p>
        </w:tc>
        <w:tc>
          <w:tcPr>
            <w:tcW w:w="23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2.8%</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w:t>
            </w:r>
          </w:p>
        </w:tc>
        <w:tc>
          <w:tcPr>
            <w:tcW w:w="1560" w:type="dxa"/>
            <w:vAlign w:val="bottom"/>
          </w:tcPr>
          <w:p>
            <w:pPr>
              <w:spacing w:after="0"/>
              <w:rPr>
                <w:sz w:val="14"/>
                <w:szCs w:val="14"/>
                <w:color w:val="auto"/>
              </w:rPr>
            </w:pPr>
          </w:p>
        </w:tc>
      </w:tr>
    </w:tbl>
    <w:p>
      <w:pPr>
        <w:spacing w:after="0" w:line="3" w:lineRule="exact"/>
        <w:rPr>
          <w:sz w:val="20"/>
          <w:szCs w:val="20"/>
          <w:color w:val="auto"/>
        </w:rPr>
      </w:pPr>
    </w:p>
    <w:p>
      <w:pPr>
        <w:ind w:left="169" w:hanging="169"/>
        <w:spacing w:after="0"/>
        <w:tabs>
          <w:tab w:leader="none" w:pos="169"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Net earnings per share of common stock and</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520" w:type="dxa"/>
            <w:vAlign w:val="bottom"/>
          </w:tcPr>
          <w:p>
            <w:pPr>
              <w:ind w:left="160"/>
              <w:spacing w:after="0"/>
              <w:rPr>
                <w:sz w:val="20"/>
                <w:szCs w:val="20"/>
                <w:color w:val="auto"/>
              </w:rPr>
            </w:pPr>
            <w:r>
              <w:rPr>
                <w:rFonts w:ascii="Courier New" w:cs="Courier New" w:eastAsia="Courier New" w:hAnsi="Courier New"/>
                <w:sz w:val="15"/>
                <w:szCs w:val="15"/>
                <w:color w:val="auto"/>
              </w:rPr>
              <w:t>common stock equivalent</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$1.71</w:t>
            </w: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62.9</w:t>
            </w:r>
          </w:p>
        </w:tc>
      </w:tr>
      <w:tr>
        <w:trPr>
          <w:trHeight w:val="171"/>
        </w:trPr>
        <w:tc>
          <w:tcPr>
            <w:tcW w:w="4520" w:type="dxa"/>
            <w:vAlign w:val="bottom"/>
          </w:tcPr>
          <w:p>
            <w:pPr>
              <w:spacing w:after="0"/>
              <w:rPr>
                <w:sz w:val="20"/>
                <w:szCs w:val="20"/>
                <w:color w:val="auto"/>
              </w:rPr>
            </w:pPr>
            <w:r>
              <w:rPr>
                <w:rFonts w:ascii="Courier New" w:cs="Courier New" w:eastAsia="Courier New" w:hAnsi="Courier New"/>
                <w:sz w:val="15"/>
                <w:szCs w:val="15"/>
                <w:color w:val="auto"/>
              </w:rPr>
              <w:t>Dividends per share of common stock outstanding</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0.48</w:t>
            </w: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0.48</w:t>
            </w:r>
          </w:p>
        </w:tc>
        <w:tc>
          <w:tcPr>
            <w:tcW w:w="660" w:type="dxa"/>
            <w:vAlign w:val="bottom"/>
          </w:tcPr>
          <w:p>
            <w:pPr>
              <w:spacing w:after="0"/>
              <w:rPr>
                <w:sz w:val="14"/>
                <w:szCs w:val="14"/>
                <w:color w:val="auto"/>
              </w:rPr>
            </w:pPr>
          </w:p>
        </w:tc>
      </w:tr>
    </w:tbl>
    <w:p>
      <w:pPr>
        <w:spacing w:after="0" w:line="3" w:lineRule="exact"/>
        <w:rPr>
          <w:sz w:val="20"/>
          <w:szCs w:val="20"/>
          <w:color w:val="auto"/>
        </w:rPr>
      </w:pPr>
    </w:p>
    <w:p>
      <w:pPr>
        <w:ind w:left="169" w:hanging="169"/>
        <w:spacing w:after="0"/>
        <w:tabs>
          <w:tab w:leader="none" w:pos="169"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Return on:</w:t>
      </w:r>
    </w:p>
    <w:p>
      <w:pPr>
        <w:spacing w:after="0" w:line="1"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Beginning common</w:t>
            </w:r>
          </w:p>
        </w:tc>
        <w:tc>
          <w:tcPr>
            <w:tcW w:w="2560" w:type="dxa"/>
            <w:vAlign w:val="bottom"/>
          </w:tcPr>
          <w:p>
            <w:pPr>
              <w:ind w:left="40"/>
              <w:spacing w:after="0"/>
              <w:rPr>
                <w:sz w:val="20"/>
                <w:szCs w:val="20"/>
                <w:color w:val="auto"/>
              </w:rPr>
            </w:pPr>
            <w:r>
              <w:rPr>
                <w:rFonts w:ascii="Courier New" w:cs="Courier New" w:eastAsia="Courier New" w:hAnsi="Courier New"/>
                <w:sz w:val="15"/>
                <w:szCs w:val="15"/>
                <w:color w:val="auto"/>
              </w:rPr>
              <w:t>stockholders' equity</w:t>
            </w:r>
          </w:p>
        </w:tc>
        <w:tc>
          <w:tcPr>
            <w:tcW w:w="1560" w:type="dxa"/>
            <w:vAlign w:val="bottom"/>
          </w:tcPr>
          <w:p>
            <w:pPr>
              <w:ind w:left="760"/>
              <w:spacing w:after="0"/>
              <w:rPr>
                <w:sz w:val="20"/>
                <w:szCs w:val="20"/>
                <w:color w:val="auto"/>
              </w:rPr>
            </w:pPr>
            <w:r>
              <w:rPr>
                <w:rFonts w:ascii="Courier New" w:cs="Courier New" w:eastAsia="Courier New" w:hAnsi="Courier New"/>
                <w:sz w:val="15"/>
                <w:szCs w:val="15"/>
                <w:color w:val="auto"/>
              </w:rPr>
              <w:t>15.4%</w:t>
            </w:r>
          </w:p>
        </w:tc>
        <w:tc>
          <w:tcPr>
            <w:tcW w:w="700" w:type="dxa"/>
            <w:vAlign w:val="bottom"/>
          </w:tcPr>
          <w:p>
            <w:pPr>
              <w:ind w:left="360"/>
              <w:spacing w:after="0"/>
              <w:rPr>
                <w:sz w:val="20"/>
                <w:szCs w:val="20"/>
                <w:color w:val="auto"/>
              </w:rPr>
            </w:pPr>
            <w:r>
              <w:rPr>
                <w:rFonts w:ascii="Courier New" w:cs="Courier New" w:eastAsia="Courier New" w:hAnsi="Courier New"/>
                <w:sz w:val="15"/>
                <w:szCs w:val="15"/>
                <w:color w:val="auto"/>
                <w:w w:val="88"/>
              </w:rPr>
              <w:t>9.8%</w:t>
            </w:r>
          </w:p>
        </w:tc>
      </w:tr>
      <w:tr>
        <w:trPr>
          <w:trHeight w:val="171"/>
        </w:trPr>
        <w:tc>
          <w:tcPr>
            <w:tcW w:w="4040" w:type="dxa"/>
            <w:vAlign w:val="bottom"/>
            <w:gridSpan w:val="2"/>
          </w:tcPr>
          <w:p>
            <w:pPr>
              <w:spacing w:after="0"/>
              <w:rPr>
                <w:sz w:val="20"/>
                <w:szCs w:val="20"/>
                <w:color w:val="auto"/>
              </w:rPr>
            </w:pPr>
            <w:r>
              <w:rPr>
                <w:rFonts w:ascii="Courier New" w:cs="Courier New" w:eastAsia="Courier New" w:hAnsi="Courier New"/>
                <w:sz w:val="15"/>
                <w:szCs w:val="15"/>
                <w:color w:val="auto"/>
              </w:rPr>
              <w:t>Average common stockholders' equity</w:t>
            </w:r>
          </w:p>
        </w:tc>
        <w:tc>
          <w:tcPr>
            <w:tcW w:w="1560" w:type="dxa"/>
            <w:vAlign w:val="bottom"/>
          </w:tcPr>
          <w:p>
            <w:pPr>
              <w:ind w:left="760"/>
              <w:spacing w:after="0"/>
              <w:rPr>
                <w:sz w:val="20"/>
                <w:szCs w:val="20"/>
                <w:color w:val="auto"/>
              </w:rPr>
            </w:pPr>
            <w:r>
              <w:rPr>
                <w:rFonts w:ascii="Courier New" w:cs="Courier New" w:eastAsia="Courier New" w:hAnsi="Courier New"/>
                <w:sz w:val="15"/>
                <w:szCs w:val="15"/>
                <w:color w:val="auto"/>
              </w:rPr>
              <w:t>14.2</w:t>
            </w:r>
          </w:p>
        </w:tc>
        <w:tc>
          <w:tcPr>
            <w:tcW w:w="700" w:type="dxa"/>
            <w:vAlign w:val="bottom"/>
          </w:tcPr>
          <w:p>
            <w:pPr>
              <w:ind w:left="360"/>
              <w:spacing w:after="0"/>
              <w:rPr>
                <w:sz w:val="20"/>
                <w:szCs w:val="20"/>
                <w:color w:val="auto"/>
              </w:rPr>
            </w:pPr>
            <w:r>
              <w:rPr>
                <w:rFonts w:ascii="Courier New" w:cs="Courier New" w:eastAsia="Courier New" w:hAnsi="Courier New"/>
                <w:sz w:val="15"/>
                <w:szCs w:val="15"/>
                <w:color w:val="auto"/>
              </w:rPr>
              <w:t>9.4</w:t>
            </w:r>
          </w:p>
        </w:tc>
      </w:tr>
      <w:tr>
        <w:trPr>
          <w:trHeight w:val="171"/>
        </w:trPr>
        <w:tc>
          <w:tcPr>
            <w:tcW w:w="1480" w:type="dxa"/>
            <w:vAlign w:val="bottom"/>
          </w:tcPr>
          <w:p>
            <w:pPr>
              <w:spacing w:after="0"/>
              <w:rPr>
                <w:sz w:val="20"/>
                <w:szCs w:val="20"/>
                <w:color w:val="auto"/>
              </w:rPr>
            </w:pPr>
            <w:r>
              <w:rPr>
                <w:rFonts w:ascii="Courier New" w:cs="Courier New" w:eastAsia="Courier New" w:hAnsi="Courier New"/>
                <w:sz w:val="15"/>
                <w:szCs w:val="15"/>
                <w:color w:val="auto"/>
              </w:rPr>
              <w:t>Average invested</w:t>
            </w:r>
          </w:p>
        </w:tc>
        <w:tc>
          <w:tcPr>
            <w:tcW w:w="2560" w:type="dxa"/>
            <w:vAlign w:val="bottom"/>
          </w:tcPr>
          <w:p>
            <w:pPr>
              <w:ind w:left="40"/>
              <w:spacing w:after="0"/>
              <w:rPr>
                <w:sz w:val="20"/>
                <w:szCs w:val="20"/>
                <w:color w:val="auto"/>
              </w:rPr>
            </w:pPr>
            <w:r>
              <w:rPr>
                <w:rFonts w:ascii="Courier New" w:cs="Courier New" w:eastAsia="Courier New" w:hAnsi="Courier New"/>
                <w:sz w:val="15"/>
                <w:szCs w:val="15"/>
                <w:color w:val="auto"/>
              </w:rPr>
              <w:t>capital</w:t>
            </w:r>
          </w:p>
        </w:tc>
        <w:tc>
          <w:tcPr>
            <w:tcW w:w="1560" w:type="dxa"/>
            <w:vAlign w:val="bottom"/>
          </w:tcPr>
          <w:p>
            <w:pPr>
              <w:ind w:left="760"/>
              <w:spacing w:after="0"/>
              <w:rPr>
                <w:sz w:val="20"/>
                <w:szCs w:val="20"/>
                <w:color w:val="auto"/>
              </w:rPr>
            </w:pPr>
            <w:r>
              <w:rPr>
                <w:rFonts w:ascii="Courier New" w:cs="Courier New" w:eastAsia="Courier New" w:hAnsi="Courier New"/>
                <w:sz w:val="15"/>
                <w:szCs w:val="15"/>
                <w:color w:val="auto"/>
              </w:rPr>
              <w:t>10.8</w:t>
            </w:r>
          </w:p>
        </w:tc>
        <w:tc>
          <w:tcPr>
            <w:tcW w:w="700" w:type="dxa"/>
            <w:vAlign w:val="bottom"/>
          </w:tcPr>
          <w:p>
            <w:pPr>
              <w:ind w:left="360"/>
              <w:spacing w:after="0"/>
              <w:rPr>
                <w:sz w:val="20"/>
                <w:szCs w:val="20"/>
                <w:color w:val="auto"/>
              </w:rPr>
            </w:pPr>
            <w:r>
              <w:rPr>
                <w:rFonts w:ascii="Courier New" w:cs="Courier New" w:eastAsia="Courier New" w:hAnsi="Courier New"/>
                <w:sz w:val="15"/>
                <w:szCs w:val="15"/>
                <w:color w:val="auto"/>
              </w:rPr>
              <w:t>7.8</w:t>
            </w:r>
          </w:p>
        </w:tc>
      </w:tr>
    </w:tbl>
    <w:p>
      <w:pPr>
        <w:spacing w:after="0" w:line="3" w:lineRule="exact"/>
        <w:rPr>
          <w:sz w:val="20"/>
          <w:szCs w:val="20"/>
          <w:color w:val="auto"/>
        </w:rPr>
      </w:pPr>
    </w:p>
    <w:p>
      <w:pPr>
        <w:ind w:left="169" w:hanging="169"/>
        <w:spacing w:after="0"/>
        <w:tabs>
          <w:tab w:leader="none" w:pos="169"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AT YEAR END</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Working</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capital</w:t>
            </w:r>
          </w:p>
        </w:tc>
        <w:tc>
          <w:tcPr>
            <w:tcW w:w="1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$175,783</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$193,870</w:t>
            </w:r>
          </w:p>
        </w:tc>
        <w:tc>
          <w:tcPr>
            <w:tcW w:w="15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(9.3)</w:t>
            </w:r>
          </w:p>
        </w:tc>
      </w:tr>
      <w:tr>
        <w:trPr>
          <w:trHeight w:val="171"/>
        </w:trPr>
        <w:tc>
          <w:tcPr>
            <w:tcW w:w="3580" w:type="dxa"/>
            <w:vAlign w:val="bottom"/>
            <w:gridSpan w:val="2"/>
          </w:tcPr>
          <w:p>
            <w:pPr>
              <w:spacing w:after="0"/>
              <w:rPr>
                <w:sz w:val="20"/>
                <w:szCs w:val="20"/>
                <w:color w:val="auto"/>
              </w:rPr>
            </w:pPr>
            <w:r>
              <w:rPr>
                <w:rFonts w:ascii="Courier New" w:cs="Courier New" w:eastAsia="Courier New" w:hAnsi="Courier New"/>
                <w:sz w:val="15"/>
                <w:szCs w:val="15"/>
                <w:color w:val="auto"/>
              </w:rPr>
              <w:t>Total assets</w:t>
            </w:r>
          </w:p>
        </w:tc>
        <w:tc>
          <w:tcPr>
            <w:tcW w:w="1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443,639</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419,203</w:t>
            </w:r>
          </w:p>
        </w:tc>
        <w:tc>
          <w:tcPr>
            <w:tcW w:w="15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5.8</w:t>
            </w:r>
          </w:p>
        </w:tc>
      </w:tr>
      <w:tr>
        <w:trPr>
          <w:trHeight w:val="171"/>
        </w:trPr>
        <w:tc>
          <w:tcPr>
            <w:tcW w:w="3580" w:type="dxa"/>
            <w:vAlign w:val="bottom"/>
            <w:gridSpan w:val="2"/>
          </w:tcPr>
          <w:p>
            <w:pPr>
              <w:spacing w:after="0"/>
              <w:rPr>
                <w:sz w:val="20"/>
                <w:szCs w:val="20"/>
                <w:color w:val="auto"/>
              </w:rPr>
            </w:pPr>
            <w:r>
              <w:rPr>
                <w:rFonts w:ascii="Courier New" w:cs="Courier New" w:eastAsia="Courier New" w:hAnsi="Courier New"/>
                <w:sz w:val="15"/>
                <w:szCs w:val="15"/>
                <w:color w:val="auto"/>
              </w:rPr>
              <w:t>Total debt</w:t>
            </w:r>
          </w:p>
        </w:tc>
        <w:tc>
          <w:tcPr>
            <w:tcW w:w="1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101,325</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137,970</w:t>
            </w:r>
          </w:p>
        </w:tc>
        <w:tc>
          <w:tcPr>
            <w:tcW w:w="15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(26.6)</w:t>
            </w:r>
          </w:p>
        </w:tc>
      </w:tr>
      <w:tr>
        <w:trPr>
          <w:trHeight w:val="171"/>
        </w:trPr>
        <w:tc>
          <w:tcPr>
            <w:tcW w:w="3580" w:type="dxa"/>
            <w:vAlign w:val="bottom"/>
            <w:gridSpan w:val="2"/>
          </w:tcPr>
          <w:p>
            <w:pPr>
              <w:spacing w:after="0"/>
              <w:rPr>
                <w:sz w:val="20"/>
                <w:szCs w:val="20"/>
                <w:color w:val="auto"/>
              </w:rPr>
            </w:pPr>
            <w:r>
              <w:rPr>
                <w:rFonts w:ascii="Courier New" w:cs="Courier New" w:eastAsia="Courier New" w:hAnsi="Courier New"/>
                <w:sz w:val="15"/>
                <w:szCs w:val="15"/>
                <w:color w:val="auto"/>
              </w:rPr>
              <w:t>Common stockholders' equity</w:t>
            </w:r>
          </w:p>
        </w:tc>
        <w:tc>
          <w:tcPr>
            <w:tcW w:w="1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168,652</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144,601</w:t>
            </w:r>
          </w:p>
        </w:tc>
        <w:tc>
          <w:tcPr>
            <w:tcW w:w="15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16.6</w:t>
            </w:r>
          </w:p>
        </w:tc>
      </w:tr>
      <w:tr>
        <w:trPr>
          <w:trHeight w:val="171"/>
        </w:trPr>
        <w:tc>
          <w:tcPr>
            <w:tcW w:w="3580" w:type="dxa"/>
            <w:vAlign w:val="bottom"/>
            <w:gridSpan w:val="2"/>
          </w:tcPr>
          <w:p>
            <w:pPr>
              <w:spacing w:after="0"/>
              <w:rPr>
                <w:sz w:val="20"/>
                <w:szCs w:val="20"/>
                <w:color w:val="auto"/>
              </w:rPr>
            </w:pPr>
            <w:r>
              <w:rPr>
                <w:rFonts w:ascii="Courier New" w:cs="Courier New" w:eastAsia="Courier New" w:hAnsi="Courier New"/>
                <w:sz w:val="15"/>
                <w:szCs w:val="15"/>
                <w:color w:val="auto"/>
              </w:rPr>
              <w:t>Book value per common share</w:t>
            </w:r>
          </w:p>
        </w:tc>
        <w:tc>
          <w:tcPr>
            <w:tcW w:w="1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13.43</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11.78</w:t>
            </w:r>
          </w:p>
        </w:tc>
        <w:tc>
          <w:tcPr>
            <w:tcW w:w="15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14.0</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 - - -</w:t>
            </w:r>
          </w:p>
        </w:tc>
        <w:tc>
          <w:tcPr>
            <w:tcW w:w="750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580" w:type="dxa"/>
            <w:vAlign w:val="bottom"/>
            <w:gridSpan w:val="2"/>
          </w:tcPr>
          <w:p>
            <w:pPr>
              <w:spacing w:after="0"/>
              <w:rPr>
                <w:sz w:val="20"/>
                <w:szCs w:val="20"/>
                <w:color w:val="auto"/>
              </w:rPr>
            </w:pPr>
            <w:r>
              <w:rPr>
                <w:rFonts w:ascii="Courier New" w:cs="Courier New" w:eastAsia="Courier New" w:hAnsi="Courier New"/>
                <w:sz w:val="15"/>
                <w:szCs w:val="15"/>
                <w:color w:val="auto"/>
              </w:rPr>
              <w:t>Number of common stockholders</w:t>
            </w:r>
          </w:p>
        </w:tc>
        <w:tc>
          <w:tcPr>
            <w:tcW w:w="1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7,541</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7,968</w:t>
            </w:r>
          </w:p>
        </w:tc>
        <w:tc>
          <w:tcPr>
            <w:tcW w:w="15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(5.4)</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Average</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number of employees</w:t>
            </w:r>
          </w:p>
        </w:tc>
        <w:tc>
          <w:tcPr>
            <w:tcW w:w="1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3,434</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3,117</w:t>
            </w:r>
          </w:p>
        </w:tc>
        <w:tc>
          <w:tcPr>
            <w:tcW w:w="15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10.2</w:t>
            </w:r>
          </w:p>
        </w:tc>
      </w:tr>
    </w:tbl>
    <w:p>
      <w:pPr>
        <w:spacing w:after="0" w:line="3" w:lineRule="exact"/>
        <w:rPr>
          <w:sz w:val="20"/>
          <w:szCs w:val="20"/>
          <w:color w:val="auto"/>
        </w:rPr>
      </w:pPr>
    </w:p>
    <w:p>
      <w:pPr>
        <w:ind w:left="169" w:hanging="169"/>
        <w:spacing w:after="0"/>
        <w:tabs>
          <w:tab w:leader="none" w:pos="169"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350"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See accompanying notes to consolidated financial statements.</w:t>
      </w:r>
    </w:p>
    <w:p>
      <w:pPr>
        <w:spacing w:after="0" w:line="342" w:lineRule="exact"/>
        <w:rPr>
          <w:sz w:val="20"/>
          <w:szCs w:val="20"/>
          <w:color w:val="auto"/>
        </w:rPr>
      </w:pPr>
    </w:p>
    <w:p>
      <w:pPr>
        <w:ind w:left="3109"/>
        <w:spacing w:after="0"/>
        <w:tabs>
          <w:tab w:leader="none" w:pos="4949" w:val="left"/>
          <w:tab w:leader="none" w:pos="6989" w:val="left"/>
        </w:tabs>
        <w:rPr>
          <w:sz w:val="20"/>
          <w:szCs w:val="20"/>
          <w:color w:val="auto"/>
        </w:rPr>
      </w:pPr>
      <w:r>
        <w:rPr>
          <w:rFonts w:ascii="Courier New" w:cs="Courier New" w:eastAsia="Courier New" w:hAnsi="Courier New"/>
          <w:sz w:val="15"/>
          <w:szCs w:val="15"/>
          <w:color w:val="auto"/>
        </w:rPr>
        <w:t>The Toro Company</w:t>
      </w:r>
      <w:r>
        <w:rPr>
          <w:sz w:val="20"/>
          <w:szCs w:val="20"/>
          <w:color w:val="auto"/>
        </w:rPr>
        <w:tab/>
      </w:r>
      <w:r>
        <w:rPr>
          <w:rFonts w:ascii="Courier New" w:cs="Courier New" w:eastAsia="Courier New" w:hAnsi="Courier New"/>
          <w:sz w:val="15"/>
          <w:szCs w:val="15"/>
          <w:color w:val="auto"/>
        </w:rPr>
        <w:t>1994 Annual Report</w:t>
      </w:r>
      <w:r>
        <w:rPr>
          <w:sz w:val="20"/>
          <w:szCs w:val="20"/>
          <w:color w:val="auto"/>
        </w:rPr>
        <w:tab/>
      </w:r>
      <w:r>
        <w:rPr>
          <w:rFonts w:ascii="Courier New" w:cs="Courier New" w:eastAsia="Courier New" w:hAnsi="Courier New"/>
          <w:sz w:val="15"/>
          <w:szCs w:val="15"/>
          <w:color w:val="auto"/>
        </w:rPr>
        <w:t>1</w:t>
      </w:r>
    </w:p>
    <w:p>
      <w:pPr>
        <w:sectPr>
          <w:pgSz w:w="11900" w:h="16838" w:orient="portrait"/>
          <w:cols w:equalWidth="0" w:num="1">
            <w:col w:w="10228"/>
          </w:cols>
          <w:pgMar w:left="231" w:top="480" w:right="1440" w:bottom="1440" w:gutter="0" w:footer="0" w:header="0"/>
        </w:sectPr>
      </w:pPr>
    </w:p>
    <w:bookmarkStart w:id="18" w:name="page19"/>
    <w:bookmarkEnd w:id="18"/>
    <w:p>
      <w:pPr>
        <w:ind w:left="9"/>
        <w:spacing w:after="0"/>
        <w:rPr>
          <w:sz w:val="20"/>
          <w:szCs w:val="20"/>
          <w:color w:val="auto"/>
        </w:rPr>
      </w:pPr>
      <w:r>
        <w:rPr>
          <w:rFonts w:ascii="Courier New" w:cs="Courier New" w:eastAsia="Courier New" w:hAnsi="Courier New"/>
          <w:sz w:val="15"/>
          <w:szCs w:val="15"/>
          <w:color w:val="auto"/>
        </w:rPr>
        <w:t>THE TORO COMPANY</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Eleven-Year Selected Financial Data</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69" w:hanging="169"/>
        <w:spacing w:after="0"/>
        <w:tabs>
          <w:tab w:leader="none" w:pos="169"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(Dollars in thousands, except per-share data)</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Years ended July 31</w:t>
            </w:r>
          </w:p>
        </w:tc>
        <w:tc>
          <w:tcPr>
            <w:tcW w:w="2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1994</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1993</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1992*</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1990**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000" w:type="dxa"/>
            <w:vAlign w:val="bottom"/>
          </w:tcPr>
          <w:p>
            <w:pPr>
              <w:spacing w:after="0"/>
              <w:rPr>
                <w:sz w:val="20"/>
                <w:szCs w:val="20"/>
                <w:color w:val="auto"/>
              </w:rPr>
            </w:pPr>
            <w:r>
              <w:rPr>
                <w:rFonts w:ascii="Courier New" w:cs="Courier New" w:eastAsia="Courier New" w:hAnsi="Courier New"/>
                <w:sz w:val="15"/>
                <w:szCs w:val="15"/>
                <w:color w:val="auto"/>
              </w:rPr>
              <w:t>OPERATING DATA:</w:t>
            </w: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794,341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684,324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643,748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718,105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750,931</w:t>
            </w:r>
          </w:p>
        </w:tc>
      </w:tr>
      <w:tr>
        <w:trPr>
          <w:trHeight w:val="341"/>
        </w:trPr>
        <w:tc>
          <w:tcPr>
            <w:tcW w:w="5000" w:type="dxa"/>
            <w:vAlign w:val="bottom"/>
          </w:tcPr>
          <w:p>
            <w:pPr>
              <w:spacing w:after="0"/>
              <w:rPr>
                <w:sz w:val="20"/>
                <w:szCs w:val="20"/>
                <w:color w:val="auto"/>
              </w:rPr>
            </w:pPr>
            <w:r>
              <w:rPr>
                <w:rFonts w:ascii="Courier New" w:cs="Courier New" w:eastAsia="Courier New" w:hAnsi="Courier New"/>
                <w:sz w:val="15"/>
                <w:szCs w:val="15"/>
                <w:color w:val="auto"/>
              </w:rPr>
              <w:t>EARNINGS:</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earnings (loss)</w:t>
            </w:r>
          </w:p>
        </w:tc>
        <w:tc>
          <w:tcPr>
            <w:tcW w:w="76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22,230</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13,040</w:t>
            </w:r>
          </w:p>
        </w:tc>
        <w:tc>
          <w:tcPr>
            <w:tcW w:w="2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(23,753)</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9,700</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16,558</w:t>
            </w: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rPr>
              <w:t>Percent of sales</w:t>
            </w:r>
          </w:p>
        </w:tc>
        <w:tc>
          <w:tcPr>
            <w:tcW w:w="76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2.8%</w:t>
            </w:r>
          </w:p>
        </w:tc>
        <w:tc>
          <w:tcPr>
            <w:tcW w:w="2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1.9%</w:t>
            </w:r>
          </w:p>
        </w:tc>
        <w:tc>
          <w:tcPr>
            <w:tcW w:w="2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(3.7)%</w:t>
            </w:r>
          </w:p>
        </w:tc>
        <w:tc>
          <w:tcPr>
            <w:tcW w:w="18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rPr>
              <w:t>Per share of common stock and</w:t>
            </w: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common stock equivalent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0.81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1.55</w:t>
            </w:r>
          </w:p>
        </w:tc>
      </w:tr>
      <w:tr>
        <w:trPr>
          <w:trHeight w:val="341"/>
        </w:trPr>
        <w:tc>
          <w:tcPr>
            <w:tcW w:w="5000" w:type="dxa"/>
            <w:vAlign w:val="bottom"/>
          </w:tcPr>
          <w:p>
            <w:pPr>
              <w:spacing w:after="0"/>
              <w:rPr>
                <w:sz w:val="20"/>
                <w:szCs w:val="20"/>
                <w:color w:val="auto"/>
              </w:rPr>
            </w:pPr>
            <w:r>
              <w:rPr>
                <w:rFonts w:ascii="Courier New" w:cs="Courier New" w:eastAsia="Courier New" w:hAnsi="Courier New"/>
                <w:sz w:val="15"/>
                <w:szCs w:val="15"/>
                <w:color w:val="auto"/>
              </w:rPr>
              <w:t>DIVIDENDS:</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rPr>
              <w:t>On common stock outstanding</w:t>
            </w:r>
          </w:p>
        </w:tc>
        <w:tc>
          <w:tcPr>
            <w:tcW w:w="76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5,993</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5,824</w:t>
            </w:r>
          </w:p>
        </w:tc>
        <w:tc>
          <w:tcPr>
            <w:tcW w:w="22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5,753</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5,700</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4,797</w:t>
            </w: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rPr>
              <w:t>Per share of common stock outstanding</w:t>
            </w:r>
          </w:p>
        </w:tc>
        <w:tc>
          <w:tcPr>
            <w:tcW w:w="76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0.48</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0.48</w:t>
            </w:r>
          </w:p>
        </w:tc>
        <w:tc>
          <w:tcPr>
            <w:tcW w:w="22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0.48</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0.48</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0.48</w:t>
            </w:r>
          </w:p>
        </w:tc>
      </w:tr>
      <w:tr>
        <w:trPr>
          <w:trHeight w:val="341"/>
        </w:trPr>
        <w:tc>
          <w:tcPr>
            <w:tcW w:w="5000" w:type="dxa"/>
            <w:vAlign w:val="bottom"/>
          </w:tcPr>
          <w:p>
            <w:pPr>
              <w:spacing w:after="0"/>
              <w:rPr>
                <w:sz w:val="20"/>
                <w:szCs w:val="20"/>
                <w:color w:val="auto"/>
              </w:rPr>
            </w:pPr>
            <w:r>
              <w:rPr>
                <w:rFonts w:ascii="Courier New" w:cs="Courier New" w:eastAsia="Courier New" w:hAnsi="Courier New"/>
                <w:sz w:val="15"/>
                <w:szCs w:val="15"/>
                <w:color w:val="auto"/>
              </w:rPr>
              <w:t>RETURN ON:</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rPr>
              <w:t>Beginning common stockholders' equity</w:t>
            </w:r>
          </w:p>
        </w:tc>
        <w:tc>
          <w:tcPr>
            <w:tcW w:w="76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15.4%</w:t>
            </w:r>
          </w:p>
        </w:tc>
        <w:tc>
          <w:tcPr>
            <w:tcW w:w="2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9.8%</w:t>
            </w:r>
          </w:p>
        </w:tc>
        <w:tc>
          <w:tcPr>
            <w:tcW w:w="2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(14.8)%</w:t>
            </w:r>
          </w:p>
        </w:tc>
        <w:tc>
          <w:tcPr>
            <w:tcW w:w="18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6.4%</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16.4%</w:t>
            </w: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rPr>
              <w:t>Average common stockholders' equity</w:t>
            </w:r>
          </w:p>
        </w:tc>
        <w:tc>
          <w:tcPr>
            <w:tcW w:w="76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14.2%</w:t>
            </w:r>
          </w:p>
        </w:tc>
        <w:tc>
          <w:tcPr>
            <w:tcW w:w="2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9.4%</w:t>
            </w:r>
          </w:p>
        </w:tc>
        <w:tc>
          <w:tcPr>
            <w:tcW w:w="2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(16.2)%</w:t>
            </w:r>
          </w:p>
        </w:tc>
        <w:tc>
          <w:tcPr>
            <w:tcW w:w="18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6.4%</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14.4%</w:t>
            </w:r>
          </w:p>
        </w:tc>
      </w:tr>
      <w:tr>
        <w:trPr>
          <w:trHeight w:val="341"/>
        </w:trPr>
        <w:tc>
          <w:tcPr>
            <w:tcW w:w="5000" w:type="dxa"/>
            <w:vAlign w:val="bottom"/>
          </w:tcPr>
          <w:p>
            <w:pPr>
              <w:spacing w:after="0"/>
              <w:rPr>
                <w:sz w:val="20"/>
                <w:szCs w:val="20"/>
                <w:color w:val="auto"/>
              </w:rPr>
            </w:pPr>
            <w:r>
              <w:rPr>
                <w:rFonts w:ascii="Courier New" w:cs="Courier New" w:eastAsia="Courier New" w:hAnsi="Courier New"/>
                <w:sz w:val="15"/>
                <w:szCs w:val="15"/>
                <w:color w:val="auto"/>
              </w:rPr>
              <w:t>SUMMARY OF FINANCIAL POSITION:</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364,495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344,130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332,517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318,753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320,204</w:t>
            </w: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76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188,712</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150,260</w:t>
            </w:r>
          </w:p>
        </w:tc>
        <w:tc>
          <w:tcPr>
            <w:tcW w:w="22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122,087</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107,981</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130,452</w:t>
            </w:r>
          </w:p>
        </w:tc>
      </w:tr>
      <w:tr>
        <w:trPr>
          <w:trHeight w:val="171"/>
        </w:trPr>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Working capital</w:t>
            </w:r>
          </w:p>
        </w:tc>
        <w:tc>
          <w:tcPr>
            <w:tcW w:w="76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175,783</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193,870</w:t>
            </w:r>
          </w:p>
        </w:tc>
        <w:tc>
          <w:tcPr>
            <w:tcW w:w="22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210,430</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210,772</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189,752</w:t>
            </w: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rPr>
              <w:t>Non-current assets</w:t>
            </w:r>
          </w:p>
        </w:tc>
        <w:tc>
          <w:tcPr>
            <w:tcW w:w="76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79,144</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75,073</w:t>
            </w:r>
          </w:p>
        </w:tc>
        <w:tc>
          <w:tcPr>
            <w:tcW w:w="22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88,793</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96,551</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103,347</w:t>
            </w:r>
          </w:p>
        </w:tc>
      </w:tr>
      <w:tr>
        <w:trPr>
          <w:trHeight w:val="171"/>
        </w:trPr>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Total assets</w:t>
            </w:r>
          </w:p>
        </w:tc>
        <w:tc>
          <w:tcPr>
            <w:tcW w:w="76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443,639</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419,203</w:t>
            </w:r>
          </w:p>
        </w:tc>
        <w:tc>
          <w:tcPr>
            <w:tcW w:w="22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421,310</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415,304</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423,551</w:t>
            </w: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rPr>
              <w:t>Non-current liabilities, excluding long-term debt</w:t>
            </w:r>
          </w:p>
        </w:tc>
        <w:tc>
          <w:tcPr>
            <w:tcW w:w="76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5,250</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1,372</w:t>
            </w:r>
          </w:p>
        </w:tc>
        <w:tc>
          <w:tcPr>
            <w:tcW w:w="22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2,509</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1,469</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6,112</w:t>
            </w:r>
          </w:p>
        </w:tc>
      </w:tr>
      <w:tr>
        <w:trPr>
          <w:trHeight w:val="341"/>
        </w:trPr>
        <w:tc>
          <w:tcPr>
            <w:tcW w:w="5000" w:type="dxa"/>
            <w:vAlign w:val="bottom"/>
          </w:tcPr>
          <w:p>
            <w:pPr>
              <w:spacing w:after="0"/>
              <w:rPr>
                <w:sz w:val="20"/>
                <w:szCs w:val="20"/>
                <w:color w:val="auto"/>
              </w:rPr>
            </w:pPr>
            <w:r>
              <w:rPr>
                <w:rFonts w:ascii="Courier New" w:cs="Courier New" w:eastAsia="Courier New" w:hAnsi="Courier New"/>
                <w:sz w:val="15"/>
                <w:szCs w:val="15"/>
                <w:color w:val="auto"/>
              </w:rPr>
              <w:t>CAPITALIZATION:</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rPr>
              <w:t>Long-term debt, less current portion</w:t>
            </w:r>
          </w:p>
        </w:tc>
        <w:tc>
          <w:tcPr>
            <w:tcW w:w="76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81,025</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122,970</w:t>
            </w:r>
          </w:p>
        </w:tc>
        <w:tc>
          <w:tcPr>
            <w:tcW w:w="22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164,100</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145,295</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134,400</w:t>
            </w: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rPr>
              <w:t>Redeemable preferred stock</w:t>
            </w:r>
          </w:p>
        </w:tc>
        <w:tc>
          <w:tcPr>
            <w:tcW w:w="76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rPr>
              <w:t>Common stockholders' equity</w:t>
            </w:r>
          </w:p>
        </w:tc>
        <w:tc>
          <w:tcPr>
            <w:tcW w:w="76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168,652</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144,601</w:t>
            </w:r>
          </w:p>
        </w:tc>
        <w:tc>
          <w:tcPr>
            <w:tcW w:w="22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132,614</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160,559</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152,587</w:t>
            </w: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rPr>
              <w:t>Total capitalization</w:t>
            </w:r>
          </w:p>
        </w:tc>
        <w:tc>
          <w:tcPr>
            <w:tcW w:w="76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249,677</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267,571</w:t>
            </w:r>
          </w:p>
        </w:tc>
        <w:tc>
          <w:tcPr>
            <w:tcW w:w="22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296,714</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305,854</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286,987</w:t>
            </w: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rPr>
              <w:t>Book value per common share</w:t>
            </w:r>
          </w:p>
        </w:tc>
        <w:tc>
          <w:tcPr>
            <w:tcW w:w="76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13.43</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11.78</w:t>
            </w:r>
          </w:p>
        </w:tc>
        <w:tc>
          <w:tcPr>
            <w:tcW w:w="22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11.01</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13.48</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12.92</w:t>
            </w:r>
          </w:p>
        </w:tc>
      </w:tr>
      <w:tr>
        <w:trPr>
          <w:trHeight w:val="341"/>
        </w:trPr>
        <w:tc>
          <w:tcPr>
            <w:tcW w:w="5000" w:type="dxa"/>
            <w:vAlign w:val="bottom"/>
          </w:tcPr>
          <w:p>
            <w:pPr>
              <w:spacing w:after="0"/>
              <w:rPr>
                <w:sz w:val="20"/>
                <w:szCs w:val="20"/>
                <w:color w:val="auto"/>
              </w:rPr>
            </w:pPr>
            <w:r>
              <w:rPr>
                <w:rFonts w:ascii="Courier New" w:cs="Courier New" w:eastAsia="Courier New" w:hAnsi="Courier New"/>
                <w:sz w:val="15"/>
                <w:szCs w:val="15"/>
                <w:color w:val="auto"/>
              </w:rPr>
              <w:t>STOCK DATA:</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rPr>
              <w:t>Number of shares of common stock</w:t>
            </w: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outstanding (in thousands)</w:t>
            </w:r>
          </w:p>
        </w:tc>
        <w:tc>
          <w:tcPr>
            <w:tcW w:w="76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12,561</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12,270</w:t>
            </w:r>
          </w:p>
        </w:tc>
        <w:tc>
          <w:tcPr>
            <w:tcW w:w="22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12,042</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11,913</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11,814</w:t>
            </w: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rPr>
              <w:t>Number of common stockholders</w:t>
            </w:r>
          </w:p>
        </w:tc>
        <w:tc>
          <w:tcPr>
            <w:tcW w:w="76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7,541</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7,968</w:t>
            </w:r>
          </w:p>
        </w:tc>
        <w:tc>
          <w:tcPr>
            <w:tcW w:w="22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8,386</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8,503</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7,706</w:t>
            </w: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rPr>
              <w:t>Low price</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 3/4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 3/8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 1/8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 1/2</w:t>
            </w: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rPr>
              <w:t>High price</w:t>
            </w:r>
          </w:p>
        </w:tc>
        <w:tc>
          <w:tcPr>
            <w:tcW w:w="76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 1/2</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 7/8</w:t>
            </w:r>
          </w:p>
        </w:tc>
        <w:tc>
          <w:tcPr>
            <w:tcW w:w="22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 1/2</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 1/4</w:t>
            </w:r>
          </w:p>
        </w:tc>
        <w:tc>
          <w:tcPr>
            <w:tcW w:w="220" w:type="dxa"/>
            <w:vAlign w:val="bottom"/>
          </w:tcPr>
          <w:p>
            <w:pPr>
              <w:spacing w:after="0"/>
              <w:rPr>
                <w:sz w:val="14"/>
                <w:szCs w:val="14"/>
                <w:color w:val="auto"/>
              </w:rPr>
            </w:pPr>
          </w:p>
        </w:tc>
        <w:tc>
          <w:tcPr>
            <w:tcW w:w="7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30</w:t>
            </w: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rPr>
              <w:t>Close price</w:t>
            </w:r>
          </w:p>
        </w:tc>
        <w:tc>
          <w:tcPr>
            <w:tcW w:w="76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 5/8</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 3/4</w:t>
            </w:r>
          </w:p>
        </w:tc>
        <w:tc>
          <w:tcPr>
            <w:tcW w:w="220" w:type="dxa"/>
            <w:vAlign w:val="bottom"/>
          </w:tcPr>
          <w:p>
            <w:pPr>
              <w:spacing w:after="0"/>
              <w:rPr>
                <w:sz w:val="14"/>
                <w:szCs w:val="14"/>
                <w:color w:val="auto"/>
              </w:rPr>
            </w:pPr>
          </w:p>
        </w:tc>
        <w:tc>
          <w:tcPr>
            <w:tcW w:w="9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13</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 3/4</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 1/4</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 --------------------------------------------------------------------------------------------------------------------------</w:t>
      </w:r>
    </w:p>
    <w:p>
      <w:pPr>
        <w:spacing w:after="0" w:line="183" w:lineRule="exact"/>
        <w:rPr>
          <w:sz w:val="20"/>
          <w:szCs w:val="20"/>
          <w:color w:val="auto"/>
        </w:rPr>
      </w:pPr>
    </w:p>
    <w:p>
      <w:pPr>
        <w:ind w:left="89" w:right="5400" w:firstLine="89"/>
        <w:spacing w:after="0" w:line="258" w:lineRule="auto"/>
        <w:rPr>
          <w:sz w:val="20"/>
          <w:szCs w:val="20"/>
          <w:color w:val="auto"/>
        </w:rPr>
      </w:pPr>
      <w:r>
        <w:rPr>
          <w:rFonts w:ascii="Courier New" w:cs="Courier New" w:eastAsia="Courier New" w:hAnsi="Courier New"/>
          <w:sz w:val="14"/>
          <w:szCs w:val="14"/>
          <w:color w:val="auto"/>
        </w:rPr>
        <w:t>*Includes restructuring costs of $24.9 million, or $1.41 per share. **The company's consolidated financial statements include results of</w:t>
      </w:r>
    </w:p>
    <w:p>
      <w:pPr>
        <w:ind w:left="269"/>
        <w:spacing w:after="0" w:line="236" w:lineRule="auto"/>
        <w:rPr>
          <w:sz w:val="20"/>
          <w:szCs w:val="20"/>
          <w:color w:val="auto"/>
        </w:rPr>
      </w:pPr>
      <w:r>
        <w:rPr>
          <w:rFonts w:ascii="Courier New" w:cs="Courier New" w:eastAsia="Courier New" w:hAnsi="Courier New"/>
          <w:sz w:val="15"/>
          <w:szCs w:val="15"/>
          <w:color w:val="auto"/>
        </w:rPr>
        <w:t>operations of Lawn-Boy Inc. from November 7, 1989, the date of acquisition.</w:t>
      </w:r>
    </w:p>
    <w:p>
      <w:pPr>
        <w:spacing w:after="0" w:line="4" w:lineRule="exact"/>
        <w:rPr>
          <w:sz w:val="20"/>
          <w:szCs w:val="20"/>
          <w:color w:val="auto"/>
        </w:rPr>
      </w:pPr>
    </w:p>
    <w:p>
      <w:pPr>
        <w:ind w:left="269" w:right="4520" w:hanging="265"/>
        <w:spacing w:after="0" w:line="239" w:lineRule="auto"/>
        <w:rPr>
          <w:sz w:val="20"/>
          <w:szCs w:val="20"/>
          <w:color w:val="auto"/>
        </w:rPr>
      </w:pPr>
      <w:r>
        <w:rPr>
          <w:rFonts w:ascii="Courier New" w:cs="Courier New" w:eastAsia="Courier New" w:hAnsi="Courier New"/>
          <w:sz w:val="15"/>
          <w:szCs w:val="15"/>
          <w:color w:val="auto"/>
        </w:rPr>
        <w:t>***The company's consolidated financial statements include results of operations of Wheel Horse Products, Inc. from December 19, 1986, the date of acquisition.</w:t>
      </w:r>
    </w:p>
    <w:p>
      <w:pPr>
        <w:spacing w:after="0" w:line="200" w:lineRule="exact"/>
        <w:rPr>
          <w:sz w:val="20"/>
          <w:szCs w:val="20"/>
          <w:color w:val="auto"/>
        </w:rPr>
      </w:pPr>
    </w:p>
    <w:p>
      <w:pPr>
        <w:spacing w:after="0" w:line="314" w:lineRule="exact"/>
        <w:rPr>
          <w:sz w:val="20"/>
          <w:szCs w:val="20"/>
          <w:color w:val="auto"/>
        </w:rPr>
      </w:pPr>
    </w:p>
    <w:p>
      <w:pPr>
        <w:ind w:left="9"/>
        <w:spacing w:after="0"/>
        <w:tabs>
          <w:tab w:leader="none" w:pos="429" w:val="left"/>
          <w:tab w:leader="none" w:pos="2289"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5"/>
          <w:szCs w:val="15"/>
          <w:color w:val="auto"/>
        </w:rPr>
        <w:t>The Toro Company</w:t>
      </w:r>
      <w:r>
        <w:rPr>
          <w:sz w:val="20"/>
          <w:szCs w:val="20"/>
          <w:color w:val="auto"/>
        </w:rPr>
        <w:tab/>
      </w:r>
      <w:r>
        <w:rPr>
          <w:rFonts w:ascii="Courier New" w:cs="Courier New" w:eastAsia="Courier New" w:hAnsi="Courier New"/>
          <w:sz w:val="14"/>
          <w:szCs w:val="14"/>
          <w:color w:val="auto"/>
        </w:rPr>
        <w:t>1994 Annual Report</w:t>
      </w:r>
    </w:p>
    <w:p>
      <w:pPr>
        <w:sectPr>
          <w:pgSz w:w="11900" w:h="16838" w:orient="portrait"/>
          <w:cols w:equalWidth="0" w:num="1">
            <w:col w:w="11529"/>
          </w:cols>
          <w:pgMar w:left="231" w:top="628" w:right="139" w:bottom="1440" w:gutter="0" w:footer="0" w:header="0"/>
        </w:sectPr>
      </w:pPr>
    </w:p>
    <w:bookmarkStart w:id="19" w:name="page20"/>
    <w:bookmarkEnd w:id="19"/>
    <w:p>
      <w:pPr>
        <w:ind w:left="169" w:hanging="169"/>
        <w:spacing w:after="0"/>
        <w:tabs>
          <w:tab w:leader="none" w:pos="169"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(Dollars in thousands, except per-share data)</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320" w:type="dxa"/>
            <w:vAlign w:val="bottom"/>
          </w:tcPr>
          <w:p>
            <w:pPr>
              <w:spacing w:after="0"/>
              <w:rPr>
                <w:sz w:val="20"/>
                <w:szCs w:val="20"/>
                <w:color w:val="auto"/>
              </w:rPr>
            </w:pPr>
            <w:r>
              <w:rPr>
                <w:rFonts w:ascii="Courier New" w:cs="Courier New" w:eastAsia="Courier New" w:hAnsi="Courier New"/>
                <w:sz w:val="15"/>
                <w:szCs w:val="15"/>
                <w:color w:val="auto"/>
              </w:rPr>
              <w:t>Years ended July 31</w:t>
            </w:r>
          </w:p>
        </w:tc>
        <w:tc>
          <w:tcPr>
            <w:tcW w:w="23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1989</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1988</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1987***</w:t>
            </w:r>
          </w:p>
        </w:tc>
        <w:tc>
          <w:tcPr>
            <w:tcW w:w="9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1986</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1985</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1984</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OPERATING DATA:</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643,566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609,205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521,123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406,664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5"/>
              </w:rPr>
              <w:t>336,813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280,249</w:t>
            </w:r>
          </w:p>
        </w:tc>
      </w:tr>
      <w:tr>
        <w:trPr>
          <w:trHeight w:val="341"/>
        </w:trPr>
        <w:tc>
          <w:tcPr>
            <w:tcW w:w="4480" w:type="dxa"/>
            <w:vAlign w:val="bottom"/>
          </w:tcPr>
          <w:p>
            <w:pPr>
              <w:spacing w:after="0"/>
              <w:rPr>
                <w:sz w:val="20"/>
                <w:szCs w:val="20"/>
                <w:color w:val="auto"/>
              </w:rPr>
            </w:pPr>
            <w:r>
              <w:rPr>
                <w:rFonts w:ascii="Courier New" w:cs="Courier New" w:eastAsia="Courier New" w:hAnsi="Courier New"/>
                <w:sz w:val="15"/>
                <w:szCs w:val="15"/>
                <w:color w:val="auto"/>
              </w:rPr>
              <w:t>EARNINGS: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Net earnings (loss)</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22,096</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20,048</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17,032</w:t>
            </w:r>
          </w:p>
        </w:tc>
        <w:tc>
          <w:tcPr>
            <w:tcW w:w="22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15,491</w:t>
            </w:r>
          </w:p>
        </w:tc>
        <w:tc>
          <w:tcPr>
            <w:tcW w:w="280" w:type="dxa"/>
            <w:vAlign w:val="bottom"/>
          </w:tcPr>
          <w:p>
            <w:pPr>
              <w:spacing w:after="0"/>
              <w:rPr>
                <w:sz w:val="14"/>
                <w:szCs w:val="14"/>
                <w:color w:val="auto"/>
              </w:rPr>
            </w:pPr>
          </w:p>
        </w:tc>
        <w:tc>
          <w:tcPr>
            <w:tcW w:w="8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13,224</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8,306</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Percent of sales</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3.4%</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3.3%</w:t>
            </w:r>
          </w:p>
        </w:tc>
        <w:tc>
          <w:tcPr>
            <w:tcW w:w="2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3.3%</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3.9%</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Per share of common stock and</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480" w:type="dxa"/>
            <w:vAlign w:val="bottom"/>
          </w:tcPr>
          <w:p>
            <w:pPr>
              <w:ind w:left="160"/>
              <w:spacing w:after="0"/>
              <w:rPr>
                <w:sz w:val="20"/>
                <w:szCs w:val="20"/>
                <w:color w:val="auto"/>
              </w:rPr>
            </w:pPr>
            <w:r>
              <w:rPr>
                <w:rFonts w:ascii="Courier New" w:cs="Courier New" w:eastAsia="Courier New" w:hAnsi="Courier New"/>
                <w:sz w:val="15"/>
                <w:szCs w:val="15"/>
                <w:color w:val="auto"/>
              </w:rPr>
              <w:t>common stock equivalent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1.34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0.65</w:t>
            </w:r>
          </w:p>
        </w:tc>
      </w:tr>
      <w:tr>
        <w:trPr>
          <w:trHeight w:val="341"/>
        </w:trPr>
        <w:tc>
          <w:tcPr>
            <w:tcW w:w="4480" w:type="dxa"/>
            <w:vAlign w:val="bottom"/>
          </w:tcPr>
          <w:p>
            <w:pPr>
              <w:spacing w:after="0"/>
              <w:rPr>
                <w:sz w:val="20"/>
                <w:szCs w:val="20"/>
                <w:color w:val="auto"/>
              </w:rPr>
            </w:pPr>
            <w:r>
              <w:rPr>
                <w:rFonts w:ascii="Courier New" w:cs="Courier New" w:eastAsia="Courier New" w:hAnsi="Courier New"/>
                <w:sz w:val="15"/>
                <w:szCs w:val="15"/>
                <w:color w:val="auto"/>
              </w:rPr>
              <w:t>DIVIDENDS: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On common stock outstanding</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4,793</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4,410</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3,599</w:t>
            </w:r>
          </w:p>
        </w:tc>
        <w:tc>
          <w:tcPr>
            <w:tcW w:w="22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2,942</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3"/>
              </w:rPr>
              <w:t>2,034</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334</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Per share of common stock outstanding</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0.48</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0.43</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0.35</w:t>
            </w:r>
          </w:p>
        </w:tc>
        <w:tc>
          <w:tcPr>
            <w:tcW w:w="22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0.28</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0.20</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0.03</w:t>
            </w:r>
          </w:p>
        </w:tc>
      </w:tr>
      <w:tr>
        <w:trPr>
          <w:trHeight w:val="341"/>
        </w:trPr>
        <w:tc>
          <w:tcPr>
            <w:tcW w:w="4480" w:type="dxa"/>
            <w:vAlign w:val="bottom"/>
          </w:tcPr>
          <w:p>
            <w:pPr>
              <w:spacing w:after="0"/>
              <w:rPr>
                <w:sz w:val="20"/>
                <w:szCs w:val="20"/>
                <w:color w:val="auto"/>
              </w:rPr>
            </w:pPr>
            <w:r>
              <w:rPr>
                <w:rFonts w:ascii="Courier New" w:cs="Courier New" w:eastAsia="Courier New" w:hAnsi="Courier New"/>
                <w:sz w:val="15"/>
                <w:szCs w:val="15"/>
                <w:color w:val="auto"/>
              </w:rPr>
              <w:t>RETURN ON:</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Beginning common stockholders' equity</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25.8%</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26.3%</w:t>
            </w:r>
          </w:p>
        </w:tc>
        <w:tc>
          <w:tcPr>
            <w:tcW w:w="2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25.1%</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20.4%</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19.3%</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12.4%</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Average common stockholders' equity</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23.8%</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24.4%</w:t>
            </w:r>
          </w:p>
        </w:tc>
        <w:tc>
          <w:tcPr>
            <w:tcW w:w="2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24.0%</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23.1%</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17.4%</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11.8%</w:t>
            </w:r>
          </w:p>
        </w:tc>
      </w:tr>
      <w:tr>
        <w:trPr>
          <w:trHeight w:val="341"/>
        </w:trPr>
        <w:tc>
          <w:tcPr>
            <w:tcW w:w="4480" w:type="dxa"/>
            <w:vAlign w:val="bottom"/>
          </w:tcPr>
          <w:p>
            <w:pPr>
              <w:spacing w:after="0"/>
              <w:rPr>
                <w:sz w:val="20"/>
                <w:szCs w:val="20"/>
                <w:color w:val="auto"/>
              </w:rPr>
            </w:pPr>
            <w:r>
              <w:rPr>
                <w:rFonts w:ascii="Courier New" w:cs="Courier New" w:eastAsia="Courier New" w:hAnsi="Courier New"/>
                <w:sz w:val="15"/>
                <w:szCs w:val="15"/>
                <w:color w:val="auto"/>
              </w:rPr>
              <w:t>SUMMARY OF FINANCIAL POSITION:</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266,176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262,638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245,574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195,635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5"/>
              </w:rPr>
              <w:t>186,678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183,446</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123,377</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126,796</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102,913</w:t>
            </w:r>
          </w:p>
        </w:tc>
        <w:tc>
          <w:tcPr>
            <w:tcW w:w="22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89,382</w:t>
            </w:r>
          </w:p>
        </w:tc>
        <w:tc>
          <w:tcPr>
            <w:tcW w:w="280" w:type="dxa"/>
            <w:vAlign w:val="bottom"/>
          </w:tcPr>
          <w:p>
            <w:pPr>
              <w:spacing w:after="0"/>
              <w:rPr>
                <w:sz w:val="14"/>
                <w:szCs w:val="14"/>
                <w:color w:val="auto"/>
              </w:rPr>
            </w:pPr>
          </w:p>
        </w:tc>
        <w:tc>
          <w:tcPr>
            <w:tcW w:w="8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69,713</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52,658</w:t>
            </w:r>
          </w:p>
        </w:tc>
      </w:tr>
      <w:tr>
        <w:trPr>
          <w:trHeight w:val="171"/>
        </w:trPr>
        <w:tc>
          <w:tcPr>
            <w:tcW w:w="4480" w:type="dxa"/>
            <w:vAlign w:val="bottom"/>
          </w:tcPr>
          <w:p>
            <w:pPr>
              <w:ind w:left="160"/>
              <w:spacing w:after="0"/>
              <w:rPr>
                <w:sz w:val="20"/>
                <w:szCs w:val="20"/>
                <w:color w:val="auto"/>
              </w:rPr>
            </w:pPr>
            <w:r>
              <w:rPr>
                <w:rFonts w:ascii="Courier New" w:cs="Courier New" w:eastAsia="Courier New" w:hAnsi="Courier New"/>
                <w:sz w:val="15"/>
                <w:szCs w:val="15"/>
                <w:color w:val="auto"/>
              </w:rPr>
              <w:t>Working capital</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142,799</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135,842</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142,661</w:t>
            </w:r>
          </w:p>
        </w:tc>
        <w:tc>
          <w:tcPr>
            <w:tcW w:w="22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106,253</w:t>
            </w:r>
          </w:p>
        </w:tc>
        <w:tc>
          <w:tcPr>
            <w:tcW w:w="280" w:type="dxa"/>
            <w:vAlign w:val="bottom"/>
          </w:tcPr>
          <w:p>
            <w:pPr>
              <w:spacing w:after="0"/>
              <w:rPr>
                <w:sz w:val="14"/>
                <w:szCs w:val="14"/>
                <w:color w:val="auto"/>
              </w:rPr>
            </w:pPr>
          </w:p>
        </w:tc>
        <w:tc>
          <w:tcPr>
            <w:tcW w:w="8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5"/>
              </w:rPr>
              <w:t>116,965</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130,788</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Non-current assets</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59,807</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57,430</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53,970</w:t>
            </w:r>
          </w:p>
        </w:tc>
        <w:tc>
          <w:tcPr>
            <w:tcW w:w="22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32,930</w:t>
            </w:r>
          </w:p>
        </w:tc>
        <w:tc>
          <w:tcPr>
            <w:tcW w:w="280" w:type="dxa"/>
            <w:vAlign w:val="bottom"/>
          </w:tcPr>
          <w:p>
            <w:pPr>
              <w:spacing w:after="0"/>
              <w:rPr>
                <w:sz w:val="14"/>
                <w:szCs w:val="14"/>
                <w:color w:val="auto"/>
              </w:rPr>
            </w:pPr>
          </w:p>
        </w:tc>
        <w:tc>
          <w:tcPr>
            <w:tcW w:w="8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29,452</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29,365</w:t>
            </w:r>
          </w:p>
        </w:tc>
      </w:tr>
      <w:tr>
        <w:trPr>
          <w:trHeight w:val="171"/>
        </w:trPr>
        <w:tc>
          <w:tcPr>
            <w:tcW w:w="4480" w:type="dxa"/>
            <w:vAlign w:val="bottom"/>
          </w:tcPr>
          <w:p>
            <w:pPr>
              <w:ind w:left="160"/>
              <w:spacing w:after="0"/>
              <w:rPr>
                <w:sz w:val="20"/>
                <w:szCs w:val="20"/>
                <w:color w:val="auto"/>
              </w:rPr>
            </w:pPr>
            <w:r>
              <w:rPr>
                <w:rFonts w:ascii="Courier New" w:cs="Courier New" w:eastAsia="Courier New" w:hAnsi="Courier New"/>
                <w:sz w:val="15"/>
                <w:szCs w:val="15"/>
                <w:color w:val="auto"/>
              </w:rPr>
              <w:t>Total assets</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325,983</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320,068</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299,544</w:t>
            </w:r>
          </w:p>
        </w:tc>
        <w:tc>
          <w:tcPr>
            <w:tcW w:w="22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228,565</w:t>
            </w:r>
          </w:p>
        </w:tc>
        <w:tc>
          <w:tcPr>
            <w:tcW w:w="280" w:type="dxa"/>
            <w:vAlign w:val="bottom"/>
          </w:tcPr>
          <w:p>
            <w:pPr>
              <w:spacing w:after="0"/>
              <w:rPr>
                <w:sz w:val="14"/>
                <w:szCs w:val="14"/>
                <w:color w:val="auto"/>
              </w:rPr>
            </w:pPr>
          </w:p>
        </w:tc>
        <w:tc>
          <w:tcPr>
            <w:tcW w:w="8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5"/>
              </w:rPr>
              <w:t>216,130</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212,811</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Non-current liabilities, excluding long-term debt</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2,329</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2,887</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3,273</w:t>
            </w:r>
          </w:p>
        </w:tc>
        <w:tc>
          <w:tcPr>
            <w:tcW w:w="22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2,432</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3"/>
              </w:rPr>
              <w:t>3,922</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3,849</w:t>
            </w:r>
          </w:p>
        </w:tc>
      </w:tr>
      <w:tr>
        <w:trPr>
          <w:trHeight w:val="341"/>
        </w:trPr>
        <w:tc>
          <w:tcPr>
            <w:tcW w:w="4480" w:type="dxa"/>
            <w:vAlign w:val="bottom"/>
          </w:tcPr>
          <w:p>
            <w:pPr>
              <w:spacing w:after="0"/>
              <w:rPr>
                <w:sz w:val="20"/>
                <w:szCs w:val="20"/>
                <w:color w:val="auto"/>
              </w:rPr>
            </w:pPr>
            <w:r>
              <w:rPr>
                <w:rFonts w:ascii="Courier New" w:cs="Courier New" w:eastAsia="Courier New" w:hAnsi="Courier New"/>
                <w:sz w:val="15"/>
                <w:szCs w:val="15"/>
                <w:color w:val="auto"/>
              </w:rPr>
              <w:t>CAPITALIZATION:</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Long-term debt, less current portion</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96,730</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99,347</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110,903</w:t>
            </w:r>
          </w:p>
        </w:tc>
        <w:tc>
          <w:tcPr>
            <w:tcW w:w="22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63,198</w:t>
            </w:r>
          </w:p>
        </w:tc>
        <w:tc>
          <w:tcPr>
            <w:tcW w:w="280" w:type="dxa"/>
            <w:vAlign w:val="bottom"/>
          </w:tcPr>
          <w:p>
            <w:pPr>
              <w:spacing w:after="0"/>
              <w:rPr>
                <w:sz w:val="14"/>
                <w:szCs w:val="14"/>
                <w:color w:val="auto"/>
              </w:rPr>
            </w:pPr>
          </w:p>
        </w:tc>
        <w:tc>
          <w:tcPr>
            <w:tcW w:w="8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61,935</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81,526</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Redeemable preferred stock</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6,000</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9,000</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10,500</w:t>
            </w:r>
          </w:p>
        </w:tc>
        <w:tc>
          <w:tcPr>
            <w:tcW w:w="22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10,500</w:t>
            </w:r>
          </w:p>
        </w:tc>
        <w:tc>
          <w:tcPr>
            <w:tcW w:w="280" w:type="dxa"/>
            <w:vAlign w:val="bottom"/>
          </w:tcPr>
          <w:p>
            <w:pPr>
              <w:spacing w:after="0"/>
              <w:rPr>
                <w:sz w:val="14"/>
                <w:szCs w:val="14"/>
                <w:color w:val="auto"/>
              </w:rPr>
            </w:pPr>
          </w:p>
        </w:tc>
        <w:tc>
          <w:tcPr>
            <w:tcW w:w="8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10,500</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14,829</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Common stockholders' equity</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97,547</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82,038</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71,957</w:t>
            </w:r>
          </w:p>
        </w:tc>
        <w:tc>
          <w:tcPr>
            <w:tcW w:w="22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63,053</w:t>
            </w:r>
          </w:p>
        </w:tc>
        <w:tc>
          <w:tcPr>
            <w:tcW w:w="280" w:type="dxa"/>
            <w:vAlign w:val="bottom"/>
          </w:tcPr>
          <w:p>
            <w:pPr>
              <w:spacing w:after="0"/>
              <w:rPr>
                <w:sz w:val="14"/>
                <w:szCs w:val="14"/>
                <w:color w:val="auto"/>
              </w:rPr>
            </w:pPr>
          </w:p>
        </w:tc>
        <w:tc>
          <w:tcPr>
            <w:tcW w:w="8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70,060</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59,949</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Total capitalization</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200,277</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190,385</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193,360</w:t>
            </w:r>
          </w:p>
        </w:tc>
        <w:tc>
          <w:tcPr>
            <w:tcW w:w="22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136,751</w:t>
            </w:r>
          </w:p>
        </w:tc>
        <w:tc>
          <w:tcPr>
            <w:tcW w:w="280" w:type="dxa"/>
            <w:vAlign w:val="bottom"/>
          </w:tcPr>
          <w:p>
            <w:pPr>
              <w:spacing w:after="0"/>
              <w:rPr>
                <w:sz w:val="14"/>
                <w:szCs w:val="14"/>
                <w:color w:val="auto"/>
              </w:rPr>
            </w:pPr>
          </w:p>
        </w:tc>
        <w:tc>
          <w:tcPr>
            <w:tcW w:w="8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5"/>
              </w:rPr>
              <w:t>142,495</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156,304</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Book value per common share</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9.85</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8.16</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7.01</w:t>
            </w:r>
          </w:p>
        </w:tc>
        <w:tc>
          <w:tcPr>
            <w:tcW w:w="22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6.06</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6.84</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5.97</w:t>
            </w:r>
          </w:p>
        </w:tc>
      </w:tr>
      <w:tr>
        <w:trPr>
          <w:trHeight w:val="341"/>
        </w:trPr>
        <w:tc>
          <w:tcPr>
            <w:tcW w:w="4480" w:type="dxa"/>
            <w:vAlign w:val="bottom"/>
          </w:tcPr>
          <w:p>
            <w:pPr>
              <w:spacing w:after="0"/>
              <w:rPr>
                <w:sz w:val="20"/>
                <w:szCs w:val="20"/>
                <w:color w:val="auto"/>
              </w:rPr>
            </w:pPr>
            <w:r>
              <w:rPr>
                <w:rFonts w:ascii="Courier New" w:cs="Courier New" w:eastAsia="Courier New" w:hAnsi="Courier New"/>
                <w:sz w:val="15"/>
                <w:szCs w:val="15"/>
                <w:color w:val="auto"/>
              </w:rPr>
              <w:t>STOCK DATA:</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Number of shares of common stock</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480" w:type="dxa"/>
            <w:vAlign w:val="bottom"/>
          </w:tcPr>
          <w:p>
            <w:pPr>
              <w:ind w:left="160"/>
              <w:spacing w:after="0"/>
              <w:rPr>
                <w:sz w:val="20"/>
                <w:szCs w:val="20"/>
                <w:color w:val="auto"/>
              </w:rPr>
            </w:pPr>
            <w:r>
              <w:rPr>
                <w:rFonts w:ascii="Courier New" w:cs="Courier New" w:eastAsia="Courier New" w:hAnsi="Courier New"/>
                <w:sz w:val="15"/>
                <w:szCs w:val="15"/>
                <w:color w:val="auto"/>
              </w:rPr>
              <w:t>outstanding (in thousands)</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9,902</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10,049</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10,272</w:t>
            </w:r>
          </w:p>
        </w:tc>
        <w:tc>
          <w:tcPr>
            <w:tcW w:w="22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10,401</w:t>
            </w:r>
          </w:p>
        </w:tc>
        <w:tc>
          <w:tcPr>
            <w:tcW w:w="280" w:type="dxa"/>
            <w:vAlign w:val="bottom"/>
          </w:tcPr>
          <w:p>
            <w:pPr>
              <w:spacing w:after="0"/>
              <w:rPr>
                <w:sz w:val="14"/>
                <w:szCs w:val="14"/>
                <w:color w:val="auto"/>
              </w:rPr>
            </w:pPr>
          </w:p>
        </w:tc>
        <w:tc>
          <w:tcPr>
            <w:tcW w:w="8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10,245</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10,041</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Number of common stockholders</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7,527</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6,802</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5,587</w:t>
            </w:r>
          </w:p>
        </w:tc>
        <w:tc>
          <w:tcPr>
            <w:tcW w:w="22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3,821</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3"/>
              </w:rPr>
              <w:t>4,288</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4,136</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Low price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 1/8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 3/8</w:t>
            </w:r>
          </w:p>
        </w:tc>
        <w:tc>
          <w:tcPr>
            <w:tcW w:w="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High price</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 7/8</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 7/8</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 1/4</w:t>
            </w:r>
          </w:p>
        </w:tc>
        <w:tc>
          <w:tcPr>
            <w:tcW w:w="22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19 1/2</w:t>
            </w:r>
          </w:p>
        </w:tc>
        <w:tc>
          <w:tcPr>
            <w:tcW w:w="2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11</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3/8</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 1/8</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Close price</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 1/2</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 1/4</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 5/8</w:t>
            </w:r>
          </w:p>
        </w:tc>
        <w:tc>
          <w:tcPr>
            <w:tcW w:w="22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18 3/4</w:t>
            </w:r>
          </w:p>
        </w:tc>
        <w:tc>
          <w:tcPr>
            <w:tcW w:w="2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10</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 2/3</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 --------------------------------------------------------------------------------------------------------------------------</w:t>
      </w:r>
    </w:p>
    <w:p>
      <w:pPr>
        <w:spacing w:after="0" w:line="200" w:lineRule="exact"/>
        <w:rPr>
          <w:sz w:val="20"/>
          <w:szCs w:val="20"/>
          <w:color w:val="auto"/>
        </w:rPr>
      </w:pPr>
    </w:p>
    <w:p>
      <w:pPr>
        <w:spacing w:after="0" w:line="321" w:lineRule="exact"/>
        <w:rPr>
          <w:sz w:val="20"/>
          <w:szCs w:val="20"/>
          <w:color w:val="auto"/>
        </w:rPr>
      </w:pPr>
    </w:p>
    <w:p>
      <w:pPr>
        <w:ind w:left="3109"/>
        <w:spacing w:after="0"/>
        <w:tabs>
          <w:tab w:leader="none" w:pos="5029" w:val="left"/>
          <w:tab w:leader="none" w:pos="6909" w:val="left"/>
        </w:tabs>
        <w:rPr>
          <w:sz w:val="20"/>
          <w:szCs w:val="20"/>
          <w:color w:val="auto"/>
        </w:rPr>
      </w:pPr>
      <w:r>
        <w:rPr>
          <w:rFonts w:ascii="Courier New" w:cs="Courier New" w:eastAsia="Courier New" w:hAnsi="Courier New"/>
          <w:sz w:val="15"/>
          <w:szCs w:val="15"/>
          <w:color w:val="auto"/>
        </w:rPr>
        <w:t>The Toro Company</w:t>
      </w:r>
      <w:r>
        <w:rPr>
          <w:sz w:val="20"/>
          <w:szCs w:val="20"/>
          <w:color w:val="auto"/>
        </w:rPr>
        <w:tab/>
      </w:r>
      <w:r>
        <w:rPr>
          <w:rFonts w:ascii="Courier New" w:cs="Courier New" w:eastAsia="Courier New" w:hAnsi="Courier New"/>
          <w:sz w:val="15"/>
          <w:szCs w:val="15"/>
          <w:color w:val="auto"/>
        </w:rPr>
        <w:t>1994 Annual Report</w:t>
      </w:r>
      <w:r>
        <w:rPr>
          <w:sz w:val="20"/>
          <w:szCs w:val="20"/>
          <w:color w:val="auto"/>
        </w:rPr>
        <w:tab/>
      </w:r>
      <w:r>
        <w:rPr>
          <w:rFonts w:ascii="Courier New" w:cs="Courier New" w:eastAsia="Courier New" w:hAnsi="Courier New"/>
          <w:sz w:val="15"/>
          <w:szCs w:val="15"/>
          <w:color w:val="auto"/>
        </w:rPr>
        <w:t>13</w:t>
      </w:r>
    </w:p>
    <w:p>
      <w:pPr>
        <w:sectPr>
          <w:pgSz w:w="11900" w:h="16838" w:orient="portrait"/>
          <w:cols w:equalWidth="0" w:num="1">
            <w:col w:w="11529"/>
          </w:cols>
          <w:pgMar w:left="231" w:top="1143" w:right="139" w:bottom="1440" w:gutter="0" w:footer="0" w:header="0"/>
        </w:sectPr>
      </w:pPr>
    </w:p>
    <w:bookmarkStart w:id="20" w:name="page21"/>
    <w:bookmarkEnd w:id="20"/>
    <w:p>
      <w:pPr>
        <w:spacing w:after="0" w:line="5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TORO COMPANY</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Management's Discussion and Analysis of Financial Condition and Results of</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Operations</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Results of Operations</w:t>
      </w:r>
    </w:p>
    <w:p>
      <w:pPr>
        <w:spacing w:after="0" w:line="174"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The company's product, distribution and operational strategies continued to drive the sales and earnings growth in 1994. Worldwide net sales rose to $794.3 million, a 16.1% increase from the $684.3 million in 1993. Net earnings for 1994 were $22.2 million compared to $13.0 million in 1993.</w:t>
      </w:r>
    </w:p>
    <w:p>
      <w:pPr>
        <w:spacing w:after="0" w:line="176" w:lineRule="exact"/>
        <w:rPr>
          <w:sz w:val="20"/>
          <w:szCs w:val="20"/>
          <w:color w:val="auto"/>
        </w:rPr>
      </w:pPr>
    </w:p>
    <w:p>
      <w:pPr>
        <w:ind w:left="9" w:right="3299" w:firstLine="444"/>
        <w:spacing w:after="0" w:line="239" w:lineRule="auto"/>
        <w:rPr>
          <w:sz w:val="20"/>
          <w:szCs w:val="20"/>
          <w:color w:val="auto"/>
        </w:rPr>
      </w:pPr>
      <w:r>
        <w:rPr>
          <w:rFonts w:ascii="Courier New" w:cs="Courier New" w:eastAsia="Courier New" w:hAnsi="Courier New"/>
          <w:sz w:val="15"/>
          <w:szCs w:val="15"/>
          <w:color w:val="auto"/>
        </w:rPr>
        <w:t>The table below summarizes operating results included in the Consolidated Statements of Operations for 1994, 1993 and 1992. A discussion of the changes follows the table.</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SUMMARY</w:t>
      </w:r>
    </w:p>
    <w:p>
      <w:pPr>
        <w:spacing w:after="0" w:line="345" w:lineRule="exact"/>
        <w:rPr>
          <w:sz w:val="20"/>
          <w:szCs w:val="20"/>
          <w:color w:val="auto"/>
        </w:rPr>
      </w:pPr>
    </w:p>
    <w:p>
      <w:pPr>
        <w:ind w:left="169" w:hanging="169"/>
        <w:spacing w:after="0"/>
        <w:tabs>
          <w:tab w:leader="none" w:pos="169"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(Dollars in millions except per share data)</w:t>
      </w:r>
    </w:p>
    <w:p>
      <w:pPr>
        <w:spacing w:after="0" w:line="1" w:lineRule="exact"/>
        <w:rPr>
          <w:sz w:val="20"/>
          <w:szCs w:val="20"/>
          <w:color w:val="auto"/>
        </w:rPr>
      </w:pPr>
    </w:p>
    <w:p>
      <w:pPr>
        <w:ind w:left="9"/>
        <w:spacing w:after="0"/>
        <w:tabs>
          <w:tab w:leader="none" w:pos="2989" w:val="left"/>
          <w:tab w:leader="none" w:pos="3529" w:val="left"/>
          <w:tab w:leader="none" w:pos="4769" w:val="left"/>
          <w:tab w:leader="none" w:pos="5309" w:val="left"/>
          <w:tab w:leader="none" w:pos="6549" w:val="left"/>
        </w:tabs>
        <w:rPr>
          <w:sz w:val="20"/>
          <w:szCs w:val="20"/>
          <w:color w:val="auto"/>
        </w:rPr>
      </w:pPr>
      <w:r>
        <w:rPr>
          <w:rFonts w:ascii="Courier New" w:cs="Courier New" w:eastAsia="Courier New" w:hAnsi="Courier New"/>
          <w:sz w:val="15"/>
          <w:szCs w:val="15"/>
          <w:color w:val="auto"/>
        </w:rPr>
        <w:t>Years ended July 31</w:t>
      </w:r>
      <w:r>
        <w:rPr>
          <w:sz w:val="20"/>
          <w:szCs w:val="20"/>
          <w:color w:val="auto"/>
        </w:rPr>
        <w:tab/>
      </w:r>
      <w:r>
        <w:rPr>
          <w:rFonts w:ascii="Courier New" w:cs="Courier New" w:eastAsia="Courier New" w:hAnsi="Courier New"/>
          <w:sz w:val="15"/>
          <w:szCs w:val="15"/>
          <w:color w:val="auto"/>
        </w:rPr>
        <w:t>1994</w:t>
        <w:tab/>
        <w:t>% Change</w:t>
      </w:r>
      <w:r>
        <w:rPr>
          <w:sz w:val="20"/>
          <w:szCs w:val="20"/>
          <w:color w:val="auto"/>
        </w:rPr>
        <w:tab/>
      </w:r>
      <w:r>
        <w:rPr>
          <w:rFonts w:ascii="Courier New" w:cs="Courier New" w:eastAsia="Courier New" w:hAnsi="Courier New"/>
          <w:sz w:val="15"/>
          <w:szCs w:val="15"/>
          <w:color w:val="auto"/>
        </w:rPr>
        <w:t>1993</w:t>
        <w:tab/>
        <w:t>% Change</w:t>
      </w:r>
      <w:r>
        <w:rPr>
          <w:sz w:val="20"/>
          <w:szCs w:val="20"/>
          <w:color w:val="auto"/>
        </w:rPr>
        <w:tab/>
      </w:r>
      <w:r>
        <w:rPr>
          <w:rFonts w:ascii="Courier New" w:cs="Courier New" w:eastAsia="Courier New" w:hAnsi="Courier New"/>
          <w:sz w:val="15"/>
          <w:szCs w:val="15"/>
          <w:color w:val="auto"/>
        </w:rPr>
        <w:t>1992</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 -</w:t>
            </w:r>
          </w:p>
        </w:tc>
        <w:tc>
          <w:tcPr>
            <w:tcW w:w="7140" w:type="dxa"/>
            <w:vAlign w:val="bottom"/>
            <w:gridSpan w:val="6"/>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30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2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sales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$794.3</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16.1%</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$684.3</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6.3%</w:t>
            </w:r>
          </w:p>
        </w:tc>
        <w:tc>
          <w:tcPr>
            <w:tcW w:w="156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$643.7</w:t>
            </w:r>
          </w:p>
        </w:tc>
      </w:tr>
      <w:tr>
        <w:trPr>
          <w:trHeight w:val="171"/>
        </w:trPr>
        <w:tc>
          <w:tcPr>
            <w:tcW w:w="660" w:type="dxa"/>
            <w:vAlign w:val="bottom"/>
            <w:gridSpan w:val="2"/>
          </w:tcPr>
          <w:p>
            <w:pPr>
              <w:spacing w:after="0"/>
              <w:rPr>
                <w:sz w:val="20"/>
                <w:szCs w:val="20"/>
                <w:color w:val="auto"/>
              </w:rPr>
            </w:pPr>
            <w:r>
              <w:rPr>
                <w:rFonts w:ascii="Courier New" w:cs="Courier New" w:eastAsia="Courier New" w:hAnsi="Courier New"/>
                <w:sz w:val="15"/>
                <w:szCs w:val="15"/>
                <w:color w:val="auto"/>
              </w:rPr>
              <w:t>Cost of</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sales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506.8</w:t>
            </w:r>
          </w:p>
        </w:tc>
        <w:tc>
          <w:tcPr>
            <w:tcW w:w="8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13.8</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445.5</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6.3</w:t>
            </w:r>
          </w:p>
        </w:tc>
        <w:tc>
          <w:tcPr>
            <w:tcW w:w="156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419.1</w:t>
            </w: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 -</w:t>
            </w:r>
          </w:p>
        </w:tc>
        <w:tc>
          <w:tcPr>
            <w:tcW w:w="7140" w:type="dxa"/>
            <w:vAlign w:val="bottom"/>
            <w:gridSpan w:val="6"/>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2480" w:type="dxa"/>
            <w:vAlign w:val="bottom"/>
            <w:gridSpan w:val="3"/>
          </w:tcPr>
          <w:p>
            <w:pPr>
              <w:spacing w:after="0"/>
              <w:rPr>
                <w:sz w:val="20"/>
                <w:szCs w:val="20"/>
                <w:color w:val="auto"/>
              </w:rPr>
            </w:pPr>
            <w:r>
              <w:rPr>
                <w:rFonts w:ascii="Courier New" w:cs="Courier New" w:eastAsia="Courier New" w:hAnsi="Courier New"/>
                <w:sz w:val="15"/>
                <w:szCs w:val="15"/>
                <w:color w:val="auto"/>
              </w:rPr>
              <w:t>Gross profit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287.5</w:t>
            </w:r>
          </w:p>
        </w:tc>
        <w:tc>
          <w:tcPr>
            <w:tcW w:w="8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20.4</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238.8</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6.3</w:t>
            </w:r>
          </w:p>
        </w:tc>
        <w:tc>
          <w:tcPr>
            <w:tcW w:w="156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224.6</w:t>
            </w:r>
          </w:p>
        </w:tc>
      </w:tr>
      <w:tr>
        <w:trPr>
          <w:trHeight w:val="171"/>
        </w:trPr>
        <w:tc>
          <w:tcPr>
            <w:tcW w:w="2480" w:type="dxa"/>
            <w:vAlign w:val="bottom"/>
            <w:gridSpan w:val="3"/>
          </w:tcPr>
          <w:p>
            <w:pPr>
              <w:spacing w:after="0"/>
              <w:rPr>
                <w:sz w:val="20"/>
                <w:szCs w:val="20"/>
                <w:color w:val="auto"/>
              </w:rPr>
            </w:pPr>
            <w:r>
              <w:rPr>
                <w:rFonts w:ascii="Courier New" w:cs="Courier New" w:eastAsia="Courier New" w:hAnsi="Courier New"/>
                <w:sz w:val="15"/>
                <w:szCs w:val="15"/>
                <w:color w:val="auto"/>
              </w:rPr>
              <w:t>Selling, general and</w:t>
            </w: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1"/>
        </w:trPr>
        <w:tc>
          <w:tcPr>
            <w:tcW w:w="24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administrative expense</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244.9</w:t>
            </w:r>
          </w:p>
        </w:tc>
        <w:tc>
          <w:tcPr>
            <w:tcW w:w="8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20.4</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203.4</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(8.9)</w:t>
            </w:r>
          </w:p>
        </w:tc>
        <w:tc>
          <w:tcPr>
            <w:tcW w:w="156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223.2</w:t>
            </w:r>
          </w:p>
        </w:tc>
      </w:tr>
      <w:tr>
        <w:trPr>
          <w:trHeight w:val="171"/>
        </w:trPr>
        <w:tc>
          <w:tcPr>
            <w:tcW w:w="2480" w:type="dxa"/>
            <w:vAlign w:val="bottom"/>
            <w:gridSpan w:val="3"/>
          </w:tcPr>
          <w:p>
            <w:pPr>
              <w:spacing w:after="0"/>
              <w:rPr>
                <w:sz w:val="20"/>
                <w:szCs w:val="20"/>
                <w:color w:val="auto"/>
              </w:rPr>
            </w:pPr>
            <w:r>
              <w:rPr>
                <w:rFonts w:ascii="Courier New" w:cs="Courier New" w:eastAsia="Courier New" w:hAnsi="Courier New"/>
                <w:sz w:val="15"/>
                <w:szCs w:val="15"/>
                <w:color w:val="auto"/>
              </w:rPr>
              <w:t>Restructuring expense</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24.9</w:t>
            </w:r>
          </w:p>
        </w:tc>
      </w:tr>
    </w:tbl>
    <w:p>
      <w:pPr>
        <w:spacing w:after="0" w:line="3" w:lineRule="exact"/>
        <w:rPr>
          <w:sz w:val="20"/>
          <w:szCs w:val="20"/>
          <w:color w:val="auto"/>
        </w:rPr>
      </w:pPr>
    </w:p>
    <w:p>
      <w:pPr>
        <w:ind w:left="169" w:hanging="169"/>
        <w:spacing w:after="0"/>
        <w:tabs>
          <w:tab w:leader="none" w:pos="169"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Earnings (loss) from</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260" w:type="dxa"/>
            <w:vAlign w:val="bottom"/>
          </w:tcPr>
          <w:p>
            <w:pPr>
              <w:ind w:left="160"/>
              <w:spacing w:after="0"/>
              <w:rPr>
                <w:sz w:val="20"/>
                <w:szCs w:val="20"/>
                <w:color w:val="auto"/>
              </w:rPr>
            </w:pPr>
            <w:r>
              <w:rPr>
                <w:rFonts w:ascii="Courier New" w:cs="Courier New" w:eastAsia="Courier New" w:hAnsi="Courier New"/>
                <w:sz w:val="15"/>
                <w:szCs w:val="15"/>
                <w:color w:val="auto"/>
              </w:rPr>
              <w:t>operations</w:t>
            </w:r>
          </w:p>
        </w:tc>
        <w:tc>
          <w:tcPr>
            <w:tcW w:w="1360" w:type="dxa"/>
            <w:vAlign w:val="bottom"/>
          </w:tcPr>
          <w:p>
            <w:pPr>
              <w:ind w:left="740"/>
              <w:spacing w:after="0"/>
              <w:rPr>
                <w:sz w:val="20"/>
                <w:szCs w:val="20"/>
                <w:color w:val="auto"/>
              </w:rPr>
            </w:pPr>
            <w:r>
              <w:rPr>
                <w:rFonts w:ascii="Courier New" w:cs="Courier New" w:eastAsia="Courier New" w:hAnsi="Courier New"/>
                <w:sz w:val="15"/>
                <w:szCs w:val="15"/>
                <w:color w:val="auto"/>
              </w:rPr>
              <w:t>42.6</w:t>
            </w: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20.3</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35.4</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(23.5)</w:t>
            </w:r>
          </w:p>
        </w:tc>
      </w:tr>
      <w:tr>
        <w:trPr>
          <w:trHeight w:val="171"/>
        </w:trPr>
        <w:tc>
          <w:tcPr>
            <w:tcW w:w="226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360" w:type="dxa"/>
            <w:vAlign w:val="bottom"/>
          </w:tcPr>
          <w:p>
            <w:pPr>
              <w:ind w:left="740"/>
              <w:spacing w:after="0"/>
              <w:rPr>
                <w:sz w:val="20"/>
                <w:szCs w:val="20"/>
                <w:color w:val="auto"/>
              </w:rPr>
            </w:pPr>
            <w:r>
              <w:rPr>
                <w:rFonts w:ascii="Courier New" w:cs="Courier New" w:eastAsia="Courier New" w:hAnsi="Courier New"/>
                <w:sz w:val="15"/>
                <w:szCs w:val="15"/>
                <w:color w:val="auto"/>
              </w:rPr>
              <w:t>13.6</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(20.9)</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17.2</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(8.0)</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18.7</w:t>
            </w:r>
          </w:p>
        </w:tc>
      </w:tr>
      <w:tr>
        <w:trPr>
          <w:trHeight w:val="171"/>
        </w:trPr>
        <w:tc>
          <w:tcPr>
            <w:tcW w:w="226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1360" w:type="dxa"/>
            <w:vAlign w:val="bottom"/>
          </w:tcPr>
          <w:p>
            <w:pPr>
              <w:ind w:left="740"/>
              <w:spacing w:after="0"/>
              <w:rPr>
                <w:sz w:val="20"/>
                <w:szCs w:val="20"/>
                <w:color w:val="auto"/>
              </w:rPr>
            </w:pPr>
            <w:r>
              <w:rPr>
                <w:rFonts w:ascii="Courier New" w:cs="Courier New" w:eastAsia="Courier New" w:hAnsi="Courier New"/>
                <w:sz w:val="15"/>
                <w:szCs w:val="15"/>
                <w:color w:val="auto"/>
              </w:rPr>
              <w:t>(8.0)</w:t>
            </w: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158.1</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(3.1)</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(57.5)</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r>
    </w:tbl>
    <w:p>
      <w:pPr>
        <w:spacing w:after="0" w:line="3" w:lineRule="exact"/>
        <w:rPr>
          <w:sz w:val="20"/>
          <w:szCs w:val="20"/>
          <w:color w:val="auto"/>
        </w:rPr>
      </w:pPr>
    </w:p>
    <w:p>
      <w:pPr>
        <w:ind w:left="169" w:hanging="169"/>
        <w:spacing w:after="0"/>
        <w:tabs>
          <w:tab w:leader="none" w:pos="169"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Earnings (loss) before</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4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income taxes</w:t>
            </w:r>
          </w:p>
        </w:tc>
        <w:tc>
          <w:tcPr>
            <w:tcW w:w="11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37.0</w:t>
            </w:r>
          </w:p>
        </w:tc>
        <w:tc>
          <w:tcPr>
            <w:tcW w:w="860" w:type="dxa"/>
            <w:vAlign w:val="bottom"/>
          </w:tcPr>
          <w:p>
            <w:pPr>
              <w:ind w:left="280"/>
              <w:spacing w:after="0"/>
              <w:rPr>
                <w:sz w:val="20"/>
                <w:szCs w:val="20"/>
                <w:color w:val="auto"/>
              </w:rPr>
            </w:pPr>
            <w:r>
              <w:rPr>
                <w:rFonts w:ascii="Courier New" w:cs="Courier New" w:eastAsia="Courier New" w:hAnsi="Courier New"/>
                <w:sz w:val="15"/>
                <w:szCs w:val="15"/>
                <w:color w:val="auto"/>
              </w:rPr>
              <w:t>73.7</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21.3</w:t>
            </w:r>
          </w:p>
        </w:tc>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(34.9)</w:t>
            </w:r>
          </w:p>
        </w:tc>
      </w:tr>
      <w:tr>
        <w:trPr>
          <w:trHeight w:val="171"/>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rPr>
              <w:t>Provision (benefit) for</w:t>
            </w: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1"/>
        </w:trPr>
        <w:tc>
          <w:tcPr>
            <w:tcW w:w="24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income taxes</w:t>
            </w:r>
          </w:p>
        </w:tc>
        <w:tc>
          <w:tcPr>
            <w:tcW w:w="11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14.8</w:t>
            </w:r>
          </w:p>
        </w:tc>
        <w:tc>
          <w:tcPr>
            <w:tcW w:w="860" w:type="dxa"/>
            <w:vAlign w:val="bottom"/>
          </w:tcPr>
          <w:p>
            <w:pPr>
              <w:ind w:left="280"/>
              <w:spacing w:after="0"/>
              <w:rPr>
                <w:sz w:val="20"/>
                <w:szCs w:val="20"/>
                <w:color w:val="auto"/>
              </w:rPr>
            </w:pPr>
            <w:r>
              <w:rPr>
                <w:rFonts w:ascii="Courier New" w:cs="Courier New" w:eastAsia="Courier New" w:hAnsi="Courier New"/>
                <w:sz w:val="15"/>
                <w:szCs w:val="15"/>
                <w:color w:val="auto"/>
              </w:rPr>
              <w:t>78.3</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8.3</w:t>
            </w:r>
          </w:p>
        </w:tc>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(11.1)</w:t>
            </w: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500" w:type="dxa"/>
            <w:vAlign w:val="bottom"/>
            <w:gridSpan w:val="6"/>
          </w:tcPr>
          <w:p>
            <w:pPr>
              <w:ind w:left="40"/>
              <w:spacing w:after="0"/>
              <w:rPr>
                <w:sz w:val="20"/>
                <w:szCs w:val="20"/>
                <w:color w:val="auto"/>
              </w:rPr>
            </w:pPr>
            <w:r>
              <w:rPr>
                <w:rFonts w:ascii="Courier New" w:cs="Courier New" w:eastAsia="Courier New" w:hAnsi="Courier New"/>
                <w:sz w:val="15"/>
                <w:szCs w:val="15"/>
                <w:color w:val="auto"/>
                <w:w w:val="98"/>
              </w:rPr>
              <w:t>- - --------------------------------------------------------------------------------</w:t>
            </w: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2140" w:type="dxa"/>
            <w:vAlign w:val="bottom"/>
          </w:tcPr>
          <w:p>
            <w:pPr>
              <w:ind w:left="40"/>
              <w:spacing w:after="0"/>
              <w:rPr>
                <w:sz w:val="20"/>
                <w:szCs w:val="20"/>
                <w:color w:val="auto"/>
              </w:rPr>
            </w:pPr>
            <w:r>
              <w:rPr>
                <w:rFonts w:ascii="Courier New" w:cs="Courier New" w:eastAsia="Courier New" w:hAnsi="Courier New"/>
                <w:sz w:val="15"/>
                <w:szCs w:val="15"/>
                <w:color w:val="auto"/>
              </w:rPr>
              <w:t>earnings (loss)</w:t>
            </w:r>
          </w:p>
        </w:tc>
        <w:tc>
          <w:tcPr>
            <w:tcW w:w="11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$ 22.2</w:t>
            </w:r>
          </w:p>
        </w:tc>
        <w:tc>
          <w:tcPr>
            <w:tcW w:w="860" w:type="dxa"/>
            <w:vAlign w:val="bottom"/>
          </w:tcPr>
          <w:p>
            <w:pPr>
              <w:ind w:left="280"/>
              <w:spacing w:after="0"/>
              <w:rPr>
                <w:sz w:val="20"/>
                <w:szCs w:val="20"/>
                <w:color w:val="auto"/>
              </w:rPr>
            </w:pPr>
            <w:r>
              <w:rPr>
                <w:rFonts w:ascii="Courier New" w:cs="Courier New" w:eastAsia="Courier New" w:hAnsi="Courier New"/>
                <w:sz w:val="15"/>
                <w:szCs w:val="15"/>
                <w:color w:val="auto"/>
              </w:rPr>
              <w:t>70.8%</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$ 13.0</w:t>
            </w:r>
          </w:p>
        </w:tc>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$(23.8)</w:t>
            </w:r>
          </w:p>
        </w:tc>
      </w:tr>
    </w:tbl>
    <w:p>
      <w:pPr>
        <w:spacing w:after="0" w:line="3" w:lineRule="exact"/>
        <w:rPr>
          <w:sz w:val="20"/>
          <w:szCs w:val="20"/>
          <w:color w:val="auto"/>
        </w:rPr>
      </w:pPr>
    </w:p>
    <w:p>
      <w:pPr>
        <w:ind w:left="169" w:hanging="169"/>
        <w:spacing w:after="0"/>
        <w:tabs>
          <w:tab w:leader="none" w:pos="169"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12" w:lineRule="exact"/>
        <w:rPr>
          <w:rFonts w:ascii="Courier New" w:cs="Courier New" w:eastAsia="Courier New" w:hAnsi="Courier New"/>
          <w:sz w:val="14"/>
          <w:szCs w:val="14"/>
          <w:color w:val="auto"/>
        </w:rPr>
      </w:pPr>
    </w:p>
    <w:p>
      <w:pPr>
        <w:ind w:left="169" w:right="8179" w:hanging="178"/>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earnings (loss) per common and common</w:t>
      </w:r>
    </w:p>
    <w:p>
      <w:pPr>
        <w:ind w:left="169"/>
        <w:spacing w:after="0"/>
        <w:tabs>
          <w:tab w:leader="none" w:pos="2909" w:val="left"/>
          <w:tab w:leader="none" w:pos="3889" w:val="left"/>
          <w:tab w:leader="none" w:pos="4689" w:val="left"/>
          <w:tab w:leader="none" w:pos="5829" w:val="left"/>
          <w:tab w:leader="none" w:pos="6369" w:val="left"/>
        </w:tabs>
        <w:rPr>
          <w:sz w:val="20"/>
          <w:szCs w:val="20"/>
          <w:color w:val="auto"/>
        </w:rPr>
      </w:pPr>
      <w:r>
        <w:rPr>
          <w:rFonts w:ascii="Courier New" w:cs="Courier New" w:eastAsia="Courier New" w:hAnsi="Courier New"/>
          <w:sz w:val="15"/>
          <w:szCs w:val="15"/>
          <w:color w:val="auto"/>
        </w:rPr>
        <w:t>share equivalent*</w:t>
      </w:r>
      <w:r>
        <w:rPr>
          <w:sz w:val="20"/>
          <w:szCs w:val="20"/>
          <w:color w:val="auto"/>
        </w:rPr>
        <w:tab/>
      </w:r>
      <w:r>
        <w:rPr>
          <w:rFonts w:ascii="Courier New" w:cs="Courier New" w:eastAsia="Courier New" w:hAnsi="Courier New"/>
          <w:sz w:val="15"/>
          <w:szCs w:val="15"/>
          <w:color w:val="auto"/>
        </w:rPr>
        <w:t>$1.71</w:t>
      </w:r>
      <w:r>
        <w:rPr>
          <w:sz w:val="20"/>
          <w:szCs w:val="20"/>
          <w:color w:val="auto"/>
        </w:rPr>
        <w:tab/>
      </w:r>
      <w:r>
        <w:rPr>
          <w:rFonts w:ascii="Courier New" w:cs="Courier New" w:eastAsia="Courier New" w:hAnsi="Courier New"/>
          <w:sz w:val="15"/>
          <w:szCs w:val="15"/>
          <w:color w:val="auto"/>
        </w:rPr>
        <w:t>62.9%</w:t>
      </w:r>
      <w:r>
        <w:rPr>
          <w:sz w:val="20"/>
          <w:szCs w:val="20"/>
          <w:color w:val="auto"/>
        </w:rPr>
        <w:tab/>
      </w: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$(1.98)</w:t>
      </w:r>
    </w:p>
    <w:p>
      <w:pPr>
        <w:spacing w:after="0" w:line="4" w:lineRule="exact"/>
        <w:rPr>
          <w:sz w:val="20"/>
          <w:szCs w:val="20"/>
          <w:color w:val="auto"/>
        </w:rPr>
      </w:pPr>
    </w:p>
    <w:p>
      <w:pPr>
        <w:ind w:left="169" w:hanging="169"/>
        <w:spacing w:after="0"/>
        <w:tabs>
          <w:tab w:leader="none" w:pos="169"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183" w:lineRule="exact"/>
        <w:rPr>
          <w:sz w:val="20"/>
          <w:szCs w:val="20"/>
          <w:color w:val="auto"/>
        </w:rPr>
      </w:pPr>
    </w:p>
    <w:p>
      <w:pPr>
        <w:ind w:left="89" w:right="3579" w:hanging="88"/>
        <w:spacing w:after="0" w:line="239" w:lineRule="auto"/>
        <w:rPr>
          <w:sz w:val="20"/>
          <w:szCs w:val="20"/>
          <w:color w:val="auto"/>
        </w:rPr>
      </w:pPr>
      <w:r>
        <w:rPr>
          <w:rFonts w:ascii="Courier New" w:cs="Courier New" w:eastAsia="Courier New" w:hAnsi="Courier New"/>
          <w:sz w:val="15"/>
          <w:szCs w:val="15"/>
          <w:color w:val="auto"/>
        </w:rPr>
        <w:t>*Loss per share calculations for fiscal 1992 are based on weighted average common shares outstanding, excluding common stock equivalents due to their anti-dilutive effect.</w:t>
      </w:r>
    </w:p>
    <w:p>
      <w:pPr>
        <w:spacing w:after="0" w:line="34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SALES</w:t>
      </w:r>
    </w:p>
    <w:p>
      <w:pPr>
        <w:spacing w:after="0" w:line="345" w:lineRule="exact"/>
        <w:rPr>
          <w:sz w:val="20"/>
          <w:szCs w:val="20"/>
          <w:color w:val="auto"/>
        </w:rPr>
      </w:pPr>
    </w:p>
    <w:p>
      <w:pPr>
        <w:ind w:left="169" w:hanging="169"/>
        <w:spacing w:after="0"/>
        <w:tabs>
          <w:tab w:leader="none" w:pos="169"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Net Sales (Dollars in millions)</w:t>
      </w:r>
    </w:p>
    <w:p>
      <w:pPr>
        <w:spacing w:after="0" w:line="1" w:lineRule="exact"/>
        <w:rPr>
          <w:sz w:val="20"/>
          <w:szCs w:val="20"/>
          <w:color w:val="auto"/>
        </w:rPr>
      </w:pPr>
    </w:p>
    <w:p>
      <w:pPr>
        <w:ind w:left="9"/>
        <w:spacing w:after="0"/>
        <w:tabs>
          <w:tab w:leader="none" w:pos="2989" w:val="left"/>
          <w:tab w:leader="none" w:pos="3529" w:val="left"/>
          <w:tab w:leader="none" w:pos="4769" w:val="left"/>
          <w:tab w:leader="none" w:pos="5309" w:val="left"/>
          <w:tab w:leader="none" w:pos="6549" w:val="left"/>
        </w:tabs>
        <w:rPr>
          <w:sz w:val="20"/>
          <w:szCs w:val="20"/>
          <w:color w:val="auto"/>
        </w:rPr>
      </w:pPr>
      <w:r>
        <w:rPr>
          <w:rFonts w:ascii="Courier New" w:cs="Courier New" w:eastAsia="Courier New" w:hAnsi="Courier New"/>
          <w:sz w:val="15"/>
          <w:szCs w:val="15"/>
          <w:color w:val="auto"/>
        </w:rPr>
        <w:t>Years ended July 31</w:t>
      </w:r>
      <w:r>
        <w:rPr>
          <w:sz w:val="20"/>
          <w:szCs w:val="20"/>
          <w:color w:val="auto"/>
        </w:rPr>
        <w:tab/>
      </w:r>
      <w:r>
        <w:rPr>
          <w:rFonts w:ascii="Courier New" w:cs="Courier New" w:eastAsia="Courier New" w:hAnsi="Courier New"/>
          <w:sz w:val="15"/>
          <w:szCs w:val="15"/>
          <w:color w:val="auto"/>
        </w:rPr>
        <w:t>1994</w:t>
        <w:tab/>
        <w:t>% Change</w:t>
      </w:r>
      <w:r>
        <w:rPr>
          <w:sz w:val="20"/>
          <w:szCs w:val="20"/>
          <w:color w:val="auto"/>
        </w:rPr>
        <w:tab/>
      </w:r>
      <w:r>
        <w:rPr>
          <w:rFonts w:ascii="Courier New" w:cs="Courier New" w:eastAsia="Courier New" w:hAnsi="Courier New"/>
          <w:sz w:val="15"/>
          <w:szCs w:val="15"/>
          <w:color w:val="auto"/>
        </w:rPr>
        <w:t>1993</w:t>
        <w:tab/>
        <w:t>% Change</w:t>
      </w:r>
      <w:r>
        <w:rPr>
          <w:sz w:val="20"/>
          <w:szCs w:val="20"/>
          <w:color w:val="auto"/>
        </w:rPr>
        <w:tab/>
      </w:r>
      <w:r>
        <w:rPr>
          <w:rFonts w:ascii="Courier New" w:cs="Courier New" w:eastAsia="Courier New" w:hAnsi="Courier New"/>
          <w:sz w:val="15"/>
          <w:szCs w:val="15"/>
          <w:color w:val="auto"/>
        </w:rPr>
        <w:t>1992</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860" w:type="dxa"/>
            <w:vAlign w:val="bottom"/>
          </w:tcPr>
          <w:p>
            <w:pPr>
              <w:spacing w:after="0"/>
              <w:rPr>
                <w:sz w:val="20"/>
                <w:szCs w:val="20"/>
                <w:color w:val="auto"/>
              </w:rPr>
            </w:pPr>
            <w:r>
              <w:rPr>
                <w:rFonts w:ascii="Courier New" w:cs="Courier New" w:eastAsia="Courier New" w:hAnsi="Courier New"/>
                <w:sz w:val="15"/>
                <w:szCs w:val="15"/>
                <w:color w:val="auto"/>
              </w:rPr>
              <w:t>Consumer</w:t>
            </w:r>
          </w:p>
        </w:tc>
        <w:tc>
          <w:tcPr>
            <w:tcW w:w="17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$425.8</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26.0%</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$338.0</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2.6%</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$329.3</w:t>
            </w:r>
          </w:p>
        </w:tc>
      </w:tr>
      <w:tr>
        <w:trPr>
          <w:trHeight w:val="171"/>
        </w:trPr>
        <w:tc>
          <w:tcPr>
            <w:tcW w:w="1860" w:type="dxa"/>
            <w:vAlign w:val="bottom"/>
          </w:tcPr>
          <w:p>
            <w:pPr>
              <w:spacing w:after="0"/>
              <w:rPr>
                <w:sz w:val="20"/>
                <w:szCs w:val="20"/>
                <w:color w:val="auto"/>
              </w:rPr>
            </w:pPr>
            <w:r>
              <w:rPr>
                <w:rFonts w:ascii="Courier New" w:cs="Courier New" w:eastAsia="Courier New" w:hAnsi="Courier New"/>
                <w:sz w:val="15"/>
                <w:szCs w:val="15"/>
                <w:color w:val="auto"/>
              </w:rPr>
              <w:t>Commercial</w:t>
            </w:r>
          </w:p>
        </w:tc>
        <w:tc>
          <w:tcPr>
            <w:tcW w:w="17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253.2</w:t>
            </w:r>
          </w:p>
        </w:tc>
        <w:tc>
          <w:tcPr>
            <w:tcW w:w="8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8.0</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234.5</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9.2</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214.7</w:t>
            </w:r>
          </w:p>
        </w:tc>
      </w:tr>
      <w:tr>
        <w:trPr>
          <w:trHeight w:val="171"/>
        </w:trPr>
        <w:tc>
          <w:tcPr>
            <w:tcW w:w="1860" w:type="dxa"/>
            <w:vAlign w:val="bottom"/>
          </w:tcPr>
          <w:p>
            <w:pPr>
              <w:spacing w:after="0"/>
              <w:rPr>
                <w:sz w:val="20"/>
                <w:szCs w:val="20"/>
                <w:color w:val="auto"/>
              </w:rPr>
            </w:pPr>
            <w:r>
              <w:rPr>
                <w:rFonts w:ascii="Courier New" w:cs="Courier New" w:eastAsia="Courier New" w:hAnsi="Courier New"/>
                <w:sz w:val="15"/>
                <w:szCs w:val="15"/>
                <w:color w:val="auto"/>
              </w:rPr>
              <w:t>Irrigation</w:t>
            </w:r>
          </w:p>
        </w:tc>
        <w:tc>
          <w:tcPr>
            <w:tcW w:w="17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115.3</w:t>
            </w:r>
          </w:p>
        </w:tc>
        <w:tc>
          <w:tcPr>
            <w:tcW w:w="8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111.8</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12.1</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99.7</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 --------------------------------------------------------------------------------</w:t>
      </w:r>
    </w:p>
    <w:p>
      <w:pPr>
        <w:spacing w:after="0" w:line="9"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16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8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$794.3</w:t>
            </w:r>
          </w:p>
        </w:tc>
        <w:tc>
          <w:tcPr>
            <w:tcW w:w="18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16.1%   $684.3</w:t>
            </w: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6.3%</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$643.7</w:t>
            </w:r>
          </w:p>
        </w:tc>
      </w:tr>
    </w:tbl>
    <w:p>
      <w:pPr>
        <w:spacing w:after="0" w:line="3" w:lineRule="exact"/>
        <w:rPr>
          <w:sz w:val="20"/>
          <w:szCs w:val="20"/>
          <w:color w:val="auto"/>
        </w:rPr>
      </w:pPr>
    </w:p>
    <w:p>
      <w:pPr>
        <w:ind w:left="169" w:hanging="169"/>
        <w:spacing w:after="0"/>
        <w:tabs>
          <w:tab w:leader="none" w:pos="169"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*Includes International</w:t>
      </w:r>
    </w:p>
    <w:p>
      <w:pPr>
        <w:spacing w:after="0" w:line="1"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sales of</w:t>
            </w:r>
          </w:p>
        </w:tc>
        <w:tc>
          <w:tcPr>
            <w:tcW w:w="18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$130.1</w:t>
            </w:r>
          </w:p>
        </w:tc>
        <w:tc>
          <w:tcPr>
            <w:tcW w:w="1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0.5%   $129.4</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(2.1)%  $132.2</w:t>
            </w:r>
          </w:p>
        </w:tc>
      </w:tr>
    </w:tbl>
    <w:p>
      <w:pPr>
        <w:spacing w:after="0" w:line="3" w:lineRule="exact"/>
        <w:rPr>
          <w:sz w:val="20"/>
          <w:szCs w:val="20"/>
          <w:color w:val="auto"/>
        </w:rPr>
      </w:pPr>
    </w:p>
    <w:p>
      <w:pPr>
        <w:ind w:left="169" w:hanging="169"/>
        <w:spacing w:after="0"/>
        <w:tabs>
          <w:tab w:leader="none" w:pos="169"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183" w:lineRule="exact"/>
        <w:rPr>
          <w:sz w:val="20"/>
          <w:szCs w:val="20"/>
          <w:color w:val="auto"/>
        </w:rPr>
      </w:pPr>
    </w:p>
    <w:p>
      <w:pPr>
        <w:ind w:left="9" w:right="3299"/>
        <w:spacing w:after="0" w:line="238" w:lineRule="auto"/>
        <w:rPr>
          <w:sz w:val="20"/>
          <w:szCs w:val="20"/>
          <w:color w:val="auto"/>
        </w:rPr>
      </w:pPr>
      <w:r>
        <w:rPr>
          <w:rFonts w:ascii="Courier New" w:cs="Courier New" w:eastAsia="Courier New" w:hAnsi="Courier New"/>
          <w:sz w:val="15"/>
          <w:szCs w:val="15"/>
          <w:color w:val="auto"/>
        </w:rPr>
        <w:t>Certain prior year sales amounts have been reclassified to reflect the current year presentation.</w:t>
      </w:r>
    </w:p>
    <w:p>
      <w:pPr>
        <w:spacing w:after="0" w:line="200" w:lineRule="exact"/>
        <w:rPr>
          <w:sz w:val="20"/>
          <w:szCs w:val="20"/>
          <w:color w:val="auto"/>
        </w:rPr>
      </w:pPr>
    </w:p>
    <w:p>
      <w:pPr>
        <w:spacing w:after="0" w:line="31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FISCAL 1994 COMPARED TO FISCAL 1993</w:t>
      </w:r>
    </w:p>
    <w:p>
      <w:pPr>
        <w:spacing w:after="0" w:line="174" w:lineRule="exact"/>
        <w:rPr>
          <w:sz w:val="20"/>
          <w:szCs w:val="20"/>
          <w:color w:val="auto"/>
        </w:rPr>
      </w:pPr>
    </w:p>
    <w:p>
      <w:pPr>
        <w:ind w:left="9" w:right="3119"/>
        <w:spacing w:after="0" w:line="238" w:lineRule="auto"/>
        <w:rPr>
          <w:sz w:val="20"/>
          <w:szCs w:val="20"/>
          <w:color w:val="auto"/>
        </w:rPr>
      </w:pPr>
      <w:r>
        <w:rPr>
          <w:rFonts w:ascii="Courier New" w:cs="Courier New" w:eastAsia="Courier New" w:hAnsi="Courier New"/>
          <w:sz w:val="15"/>
          <w:szCs w:val="15"/>
          <w:color w:val="auto"/>
        </w:rPr>
        <w:t>Worldwide sales increased $110.0 million to $794.3 million with increases in all product lines.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CONSUMER PRODUCTS</w:t>
      </w:r>
    </w:p>
    <w:p>
      <w:pPr>
        <w:spacing w:after="0" w:line="3" w:lineRule="exact"/>
        <w:rPr>
          <w:sz w:val="20"/>
          <w:szCs w:val="20"/>
          <w:color w:val="auto"/>
        </w:rPr>
      </w:pPr>
    </w:p>
    <w:p>
      <w:pPr>
        <w:ind w:left="9" w:right="3219"/>
        <w:spacing w:after="0" w:line="239" w:lineRule="auto"/>
        <w:rPr>
          <w:sz w:val="20"/>
          <w:szCs w:val="20"/>
          <w:color w:val="auto"/>
        </w:rPr>
      </w:pPr>
      <w:r>
        <w:rPr>
          <w:rFonts w:ascii="Courier New" w:cs="Courier New" w:eastAsia="Courier New" w:hAnsi="Courier New"/>
          <w:sz w:val="15"/>
          <w:szCs w:val="15"/>
          <w:color w:val="auto"/>
        </w:rPr>
        <w:t>Worldwide consumer sales rose 26.0% to $425.8 million in 1994. Consumer product sales represented 53.6% and 49.4% of consolidated sales for 1994 and 1993, respectively. International sales included in consumer product sales increased $4.4 million from the previous year.</w:t>
      </w:r>
    </w:p>
    <w:p>
      <w:pPr>
        <w:spacing w:after="0" w:line="176" w:lineRule="exact"/>
        <w:rPr>
          <w:sz w:val="20"/>
          <w:szCs w:val="20"/>
          <w:color w:val="auto"/>
        </w:rPr>
      </w:pPr>
    </w:p>
    <w:p>
      <w:pPr>
        <w:ind w:left="9" w:right="3299" w:firstLine="444"/>
        <w:spacing w:after="0" w:line="271" w:lineRule="auto"/>
        <w:rPr>
          <w:sz w:val="20"/>
          <w:szCs w:val="20"/>
          <w:color w:val="auto"/>
        </w:rPr>
      </w:pPr>
      <w:r>
        <w:rPr>
          <w:rFonts w:ascii="Courier New" w:cs="Courier New" w:eastAsia="Courier New" w:hAnsi="Courier New"/>
          <w:sz w:val="14"/>
          <w:szCs w:val="14"/>
          <w:color w:val="auto"/>
        </w:rPr>
        <w:t>There were strong performances in all consumer products. The new lawn and garden tractor lines were well accepted and all snow products sold out. Lawn-</w:t>
      </w:r>
    </w:p>
    <w:p>
      <w:pPr>
        <w:sectPr>
          <w:pgSz w:w="11900" w:h="16891" w:orient="portrait"/>
          <w:cols w:equalWidth="0" w:num="1">
            <w:col w:w="10228"/>
          </w:cols>
          <w:pgMar w:left="231" w:top="628" w:right="1440" w:bottom="0" w:gutter="0" w:footer="0" w:header="0"/>
        </w:sectPr>
      </w:pPr>
    </w:p>
    <w:bookmarkStart w:id="21" w:name="page22"/>
    <w:bookmarkEnd w:id="21"/>
    <w:p>
      <w:pPr>
        <w:ind w:right="3299"/>
        <w:spacing w:after="0" w:line="239" w:lineRule="auto"/>
        <w:rPr>
          <w:sz w:val="20"/>
          <w:szCs w:val="20"/>
          <w:color w:val="auto"/>
        </w:rPr>
      </w:pPr>
      <w:r>
        <w:rPr>
          <w:rFonts w:ascii="Courier New" w:cs="Courier New" w:eastAsia="Courier New" w:hAnsi="Courier New"/>
          <w:sz w:val="15"/>
          <w:szCs w:val="15"/>
          <w:color w:val="auto"/>
        </w:rPr>
        <w:t>Boy-R- walk power mowers were successful because of new product offerings and lower retail price points. Increased sales of electric appliance products including blowers, trimmers and low-voltage lighting were primarily the result of product improvements and retail pricing strategies.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COMMERCIAL PRODUCTS</w:t>
      </w:r>
    </w:p>
    <w:p>
      <w:pPr>
        <w:spacing w:after="0" w:line="3"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Worldwide commercial sales increased $18.7 million over the prior year. Domestic sales rose 11.8%, while international sales declined 1.5%. The domestic increase is attributed to strong golf and commercial turf markets. The improved economy had a positive impact on municipalities and other tax-supported customers as these entities continued to purchase more efficient, labor-saving equipment. Golf sales continued to be strong because of new course openings as well as existing courses updating their maintenance equipment. ProLine-R- sales strengthened compared to the prior year as a result of the improved economy combined with increased market share. Sluggish economies in Europe and Japan had a slightly negative impact on international sales.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IRRIGATION PRODUCTS</w:t>
      </w:r>
    </w:p>
    <w:p>
      <w:pPr>
        <w:spacing w:after="0" w:line="3"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Worldwide irrigation sales rose 3.1% to $115.3 million in 1994. Domestic irrigation sales increased $3.6 million over 1993 while international irrigation sales decreased $0.1 million. During 1994, the company reorganized irrigation distribution to better respond to customer needs.</w:t>
      </w:r>
    </w:p>
    <w:p>
      <w:pPr>
        <w:spacing w:after="0" w:line="344" w:lineRule="exact"/>
        <w:rPr>
          <w:sz w:val="20"/>
          <w:szCs w:val="20"/>
          <w:color w:val="auto"/>
        </w:rPr>
      </w:pPr>
    </w:p>
    <w:p>
      <w:pPr>
        <w:spacing w:after="0"/>
        <w:tabs>
          <w:tab w:leader="none" w:pos="420" w:val="left"/>
          <w:tab w:leader="none" w:pos="2280" w:val="left"/>
        </w:tabs>
        <w:rPr>
          <w:sz w:val="20"/>
          <w:szCs w:val="20"/>
          <w:color w:val="auto"/>
        </w:rPr>
      </w:pPr>
      <w:r>
        <w:rPr>
          <w:rFonts w:ascii="Courier New" w:cs="Courier New" w:eastAsia="Courier New" w:hAnsi="Courier New"/>
          <w:sz w:val="15"/>
          <w:szCs w:val="15"/>
          <w:color w:val="auto"/>
        </w:rPr>
        <w:t>14</w:t>
      </w:r>
      <w:r>
        <w:rPr>
          <w:sz w:val="20"/>
          <w:szCs w:val="20"/>
          <w:color w:val="auto"/>
        </w:rPr>
        <w:tab/>
      </w:r>
      <w:r>
        <w:rPr>
          <w:rFonts w:ascii="Courier New" w:cs="Courier New" w:eastAsia="Courier New" w:hAnsi="Courier New"/>
          <w:sz w:val="15"/>
          <w:szCs w:val="15"/>
          <w:color w:val="auto"/>
        </w:rPr>
        <w:t>The Toro Company</w:t>
      </w:r>
      <w:r>
        <w:rPr>
          <w:sz w:val="20"/>
          <w:szCs w:val="20"/>
          <w:color w:val="auto"/>
        </w:rPr>
        <w:tab/>
      </w:r>
      <w:r>
        <w:rPr>
          <w:rFonts w:ascii="Courier New" w:cs="Courier New" w:eastAsia="Courier New" w:hAnsi="Courier New"/>
          <w:sz w:val="14"/>
          <w:szCs w:val="14"/>
          <w:color w:val="auto"/>
        </w:rPr>
        <w:t>1994 Annual Report</w:t>
      </w:r>
    </w:p>
    <w:p>
      <w:pPr>
        <w:sectPr>
          <w:pgSz w:w="11900" w:h="16838" w:orient="portrait"/>
          <w:cols w:equalWidth="0" w:num="1">
            <w:col w:w="10219"/>
          </w:cols>
          <w:pgMar w:left="240" w:top="141" w:right="1440" w:bottom="1440" w:gutter="0" w:footer="0" w:header="0"/>
        </w:sectPr>
      </w:pPr>
    </w:p>
    <w:bookmarkStart w:id="22" w:name="page23"/>
    <w:bookmarkEnd w:id="22"/>
    <w:p>
      <w:pPr>
        <w:ind w:left="9"/>
        <w:spacing w:after="0"/>
        <w:rPr>
          <w:sz w:val="20"/>
          <w:szCs w:val="20"/>
          <w:color w:val="auto"/>
        </w:rPr>
      </w:pPr>
      <w:r>
        <w:rPr>
          <w:rFonts w:ascii="Courier New" w:cs="Courier New" w:eastAsia="Courier New" w:hAnsi="Courier New"/>
          <w:sz w:val="15"/>
          <w:szCs w:val="15"/>
          <w:color w:val="auto"/>
        </w:rPr>
        <w:t>INTERNATIONAL MARKETS</w:t>
      </w:r>
    </w:p>
    <w:p>
      <w:pPr>
        <w:spacing w:after="0" w:line="3"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International sales are included in the preceding net sales table. International sales have increased 0.5% to $130.1 million in 1994. The majority of the international sales increase was because of the change from a two-step distribution system to a direct distribution system in Canada which resulted in volume increases. Increases in the Pacific Rim were related to the expansion of the golf market. These increases were offset by a decline in European sales because of the continuing weak economy.</w:t>
      </w:r>
    </w:p>
    <w:p>
      <w:pPr>
        <w:spacing w:after="0" w:line="34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FISCAL 1993 COMPARED TO FISCAL 1992</w:t>
      </w:r>
    </w:p>
    <w:p>
      <w:pPr>
        <w:spacing w:after="0" w:line="174" w:lineRule="exact"/>
        <w:rPr>
          <w:sz w:val="20"/>
          <w:szCs w:val="20"/>
          <w:color w:val="auto"/>
        </w:rPr>
      </w:pPr>
    </w:p>
    <w:p>
      <w:pPr>
        <w:ind w:left="9" w:right="3219"/>
        <w:spacing w:after="0" w:line="238" w:lineRule="auto"/>
        <w:rPr>
          <w:sz w:val="20"/>
          <w:szCs w:val="20"/>
          <w:color w:val="auto"/>
        </w:rPr>
      </w:pPr>
      <w:r>
        <w:rPr>
          <w:rFonts w:ascii="Courier New" w:cs="Courier New" w:eastAsia="Courier New" w:hAnsi="Courier New"/>
          <w:sz w:val="15"/>
          <w:szCs w:val="15"/>
          <w:color w:val="auto"/>
        </w:rPr>
        <w:t>Worldwide net sales increased $40.6 million to $684.3 million with increases in all product lines.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CONSUMER PRODUCTS</w:t>
      </w:r>
    </w:p>
    <w:p>
      <w:pPr>
        <w:spacing w:after="0" w:line="3" w:lineRule="exact"/>
        <w:rPr>
          <w:sz w:val="20"/>
          <w:szCs w:val="20"/>
          <w:color w:val="auto"/>
        </w:rPr>
      </w:pPr>
    </w:p>
    <w:p>
      <w:pPr>
        <w:ind w:left="9" w:right="3399"/>
        <w:spacing w:after="0"/>
        <w:rPr>
          <w:sz w:val="20"/>
          <w:szCs w:val="20"/>
          <w:color w:val="auto"/>
        </w:rPr>
      </w:pPr>
      <w:r>
        <w:rPr>
          <w:rFonts w:ascii="Courier New" w:cs="Courier New" w:eastAsia="Courier New" w:hAnsi="Courier New"/>
          <w:sz w:val="15"/>
          <w:szCs w:val="15"/>
          <w:color w:val="auto"/>
        </w:rPr>
        <w:t>Worldwide consumer sales increased $8.7 million to $338.0 million in 1993. Consumer sales represented 49.4% and 51.2% of consolidated sales for 1993 and 1992, respectively. Domestic sales increased 4.2%, while international sales decreased 7.6%. International sales included in consumer sales were down $3.4 million from the previous year.</w:t>
      </w:r>
    </w:p>
    <w:p>
      <w:pPr>
        <w:spacing w:after="0" w:line="174"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The largest sales growth occurred in Lawn-Boy-R- walk power mowers. This growth was the result of expanded distribution in the mass merchant channel and reduced pricing levels on new product introductions.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COMMERCIAL PRODUCTS</w:t>
      </w:r>
    </w:p>
    <w:p>
      <w:pPr>
        <w:spacing w:after="0" w:line="3"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Worldwide commercial sales increased $19.8 million to $234.5 million in 1993. Domestic sales rose 10.0%, while international sales rose 7.4%. The increase is attributed to new product introductions, especially the Workman-R- vehicle line, which was well received and sold out early in the year. Also, overall sales increased over the prior year because of an improving economy which had a positive impact on municipalities and other tax-supported customers as these entities purchased more efficient, labor-saving equipment.</w:t>
      </w:r>
    </w:p>
    <w:p>
      <w:pPr>
        <w:spacing w:after="0" w:line="176" w:lineRule="exact"/>
        <w:rPr>
          <w:sz w:val="20"/>
          <w:szCs w:val="20"/>
          <w:color w:val="auto"/>
        </w:rPr>
      </w:pPr>
    </w:p>
    <w:p>
      <w:pPr>
        <w:ind w:left="9" w:right="3219" w:firstLine="444"/>
        <w:spacing w:after="0" w:line="271" w:lineRule="auto"/>
        <w:rPr>
          <w:sz w:val="20"/>
          <w:szCs w:val="20"/>
          <w:color w:val="auto"/>
        </w:rPr>
      </w:pPr>
      <w:r>
        <w:rPr>
          <w:rFonts w:ascii="Courier New" w:cs="Courier New" w:eastAsia="Courier New" w:hAnsi="Courier New"/>
          <w:sz w:val="14"/>
          <w:szCs w:val="14"/>
          <w:color w:val="auto"/>
        </w:rPr>
        <w:t>ProLine-R- sales increased because of the introduction of new and improved products, and continued growth in the professional lawn service industry.</w:t>
      </w:r>
    </w:p>
    <w:p>
      <w:pPr>
        <w:spacing w:after="0" w:line="15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Golf sales were strong as courses updated their maintenance equipment.</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IRRIGATION PRODUCTS</w:t>
      </w:r>
    </w:p>
    <w:p>
      <w:pPr>
        <w:spacing w:after="0" w:line="3" w:lineRule="exact"/>
        <w:rPr>
          <w:sz w:val="20"/>
          <w:szCs w:val="20"/>
          <w:color w:val="auto"/>
        </w:rPr>
      </w:pPr>
    </w:p>
    <w:p>
      <w:pPr>
        <w:ind w:left="9" w:right="3299"/>
        <w:spacing w:after="0"/>
        <w:rPr>
          <w:sz w:val="20"/>
          <w:szCs w:val="20"/>
          <w:color w:val="auto"/>
        </w:rPr>
      </w:pPr>
      <w:r>
        <w:rPr>
          <w:rFonts w:ascii="Courier New" w:cs="Courier New" w:eastAsia="Courier New" w:hAnsi="Courier New"/>
          <w:sz w:val="15"/>
          <w:szCs w:val="15"/>
          <w:color w:val="auto"/>
        </w:rPr>
        <w:t>Worldwide irrigation sales increased $12.1 million to $111.8 million in 1993. Domestic sales increased $16.1 million over 1992 while international sales declined $4.0 million. The domestic sales increase was the result of unusually low distributor and dealer inventory levels at the beginning of the year, new product introductions, expanded distribution in the mass merchant channel and favorable economic conditions in several key markets.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INTERNATIONAL MARKETS</w:t>
      </w:r>
    </w:p>
    <w:p>
      <w:pPr>
        <w:spacing w:after="0" w:line="3" w:lineRule="exact"/>
        <w:rPr>
          <w:sz w:val="20"/>
          <w:szCs w:val="20"/>
          <w:color w:val="auto"/>
        </w:rPr>
      </w:pPr>
    </w:p>
    <w:p>
      <w:pPr>
        <w:ind w:left="9" w:right="3119"/>
        <w:spacing w:after="0" w:line="260" w:lineRule="auto"/>
        <w:rPr>
          <w:sz w:val="20"/>
          <w:szCs w:val="20"/>
          <w:color w:val="auto"/>
        </w:rPr>
      </w:pPr>
      <w:r>
        <w:rPr>
          <w:rFonts w:ascii="Courier New" w:cs="Courier New" w:eastAsia="Courier New" w:hAnsi="Courier New"/>
          <w:sz w:val="14"/>
          <w:szCs w:val="14"/>
          <w:color w:val="auto"/>
        </w:rPr>
        <w:t>International sales are included in the preceding net sales table. International sales decreased 2.1% to $129.4 million in 1993 primarily because of a strengthened U.S. dollar in the Canadian and European markets. Irrigation sales suffered the greatest decline because of weak economies in the company's key markets which had a negative impact on new golf course construction. Consumer sales were down because of the weak economies in key markets and competitive pressures from locally manufactured brands. Commercial sales were ahead of the prior year by $4.8 million principally because of new product introductions.</w:t>
      </w:r>
    </w:p>
    <w:p>
      <w:pPr>
        <w:spacing w:after="0" w:line="15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COST TRENDS AND PROFIT MARGINS</w:t>
      </w:r>
    </w:p>
    <w:p>
      <w:pPr>
        <w:spacing w:after="0" w:line="345" w:lineRule="exact"/>
        <w:rPr>
          <w:sz w:val="20"/>
          <w:szCs w:val="20"/>
          <w:color w:val="auto"/>
        </w:rPr>
      </w:pPr>
    </w:p>
    <w:p>
      <w:pPr>
        <w:ind w:left="169" w:hanging="169"/>
        <w:spacing w:after="0"/>
        <w:tabs>
          <w:tab w:leader="none" w:pos="169"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Margins (Percent of net sales)</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80" w:type="dxa"/>
            <w:vAlign w:val="bottom"/>
            <w:gridSpan w:val="2"/>
          </w:tcPr>
          <w:p>
            <w:pPr>
              <w:spacing w:after="0"/>
              <w:rPr>
                <w:sz w:val="20"/>
                <w:szCs w:val="20"/>
                <w:color w:val="auto"/>
              </w:rPr>
            </w:pPr>
            <w:r>
              <w:rPr>
                <w:rFonts w:ascii="Courier New" w:cs="Courier New" w:eastAsia="Courier New" w:hAnsi="Courier New"/>
                <w:sz w:val="15"/>
                <w:szCs w:val="15"/>
                <w:color w:val="auto"/>
              </w:rPr>
              <w:t>Years</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ended July 31</w:t>
            </w:r>
          </w:p>
        </w:tc>
        <w:tc>
          <w:tcPr>
            <w:tcW w:w="20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1994</w:t>
            </w:r>
          </w:p>
        </w:tc>
        <w:tc>
          <w:tcPr>
            <w:tcW w:w="9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1993</w:t>
            </w:r>
          </w:p>
        </w:tc>
        <w:tc>
          <w:tcPr>
            <w:tcW w:w="1460" w:type="dxa"/>
            <w:vAlign w:val="bottom"/>
          </w:tcPr>
          <w:p>
            <w:pPr>
              <w:ind w:left="220"/>
              <w:spacing w:after="0"/>
              <w:rPr>
                <w:sz w:val="20"/>
                <w:szCs w:val="20"/>
                <w:color w:val="auto"/>
              </w:rPr>
            </w:pPr>
            <w:r>
              <w:rPr>
                <w:rFonts w:ascii="Courier New" w:cs="Courier New" w:eastAsia="Courier New" w:hAnsi="Courier New"/>
                <w:sz w:val="15"/>
                <w:szCs w:val="15"/>
                <w:color w:val="auto"/>
              </w:rPr>
              <w:t>1992</w:t>
            </w: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32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 --------------------------------------------------------------------------------</w:t>
            </w:r>
          </w:p>
        </w:tc>
      </w:tr>
      <w:tr>
        <w:trPr>
          <w:trHeight w:val="341"/>
        </w:trPr>
        <w:tc>
          <w:tcPr>
            <w:tcW w:w="3400" w:type="dxa"/>
            <w:vAlign w:val="bottom"/>
            <w:gridSpan w:val="3"/>
          </w:tcPr>
          <w:p>
            <w:pPr>
              <w:spacing w:after="0"/>
              <w:rPr>
                <w:sz w:val="20"/>
                <w:szCs w:val="20"/>
                <w:color w:val="auto"/>
              </w:rPr>
            </w:pPr>
            <w:r>
              <w:rPr>
                <w:rFonts w:ascii="Courier New" w:cs="Courier New" w:eastAsia="Courier New" w:hAnsi="Courier New"/>
                <w:sz w:val="15"/>
                <w:szCs w:val="15"/>
                <w:color w:val="auto"/>
              </w:rPr>
              <w:t>Gross profit</w:t>
            </w:r>
          </w:p>
        </w:tc>
        <w:tc>
          <w:tcPr>
            <w:tcW w:w="20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36.2%</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34.9%</w:t>
            </w:r>
          </w:p>
        </w:tc>
        <w:tc>
          <w:tcPr>
            <w:tcW w:w="1460" w:type="dxa"/>
            <w:vAlign w:val="bottom"/>
          </w:tcPr>
          <w:p>
            <w:pPr>
              <w:ind w:left="220"/>
              <w:spacing w:after="0"/>
              <w:rPr>
                <w:sz w:val="20"/>
                <w:szCs w:val="20"/>
                <w:color w:val="auto"/>
              </w:rPr>
            </w:pPr>
            <w:r>
              <w:rPr>
                <w:rFonts w:ascii="Courier New" w:cs="Courier New" w:eastAsia="Courier New" w:hAnsi="Courier New"/>
                <w:sz w:val="15"/>
                <w:szCs w:val="15"/>
                <w:color w:val="auto"/>
              </w:rPr>
              <w:t>34.9%</w:t>
            </w:r>
          </w:p>
        </w:tc>
      </w:tr>
      <w:tr>
        <w:trPr>
          <w:trHeight w:val="171"/>
        </w:trPr>
        <w:tc>
          <w:tcPr>
            <w:tcW w:w="3400" w:type="dxa"/>
            <w:vAlign w:val="bottom"/>
            <w:gridSpan w:val="3"/>
          </w:tcPr>
          <w:p>
            <w:pPr>
              <w:spacing w:after="0"/>
              <w:rPr>
                <w:sz w:val="20"/>
                <w:szCs w:val="20"/>
                <w:color w:val="auto"/>
              </w:rPr>
            </w:pPr>
            <w:r>
              <w:rPr>
                <w:rFonts w:ascii="Courier New" w:cs="Courier New" w:eastAsia="Courier New" w:hAnsi="Courier New"/>
                <w:sz w:val="15"/>
                <w:szCs w:val="15"/>
                <w:color w:val="auto"/>
              </w:rPr>
              <w:t>Operating profit (loss)</w:t>
            </w:r>
          </w:p>
        </w:tc>
        <w:tc>
          <w:tcPr>
            <w:tcW w:w="20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5.4</w:t>
            </w:r>
          </w:p>
        </w:tc>
        <w:tc>
          <w:tcPr>
            <w:tcW w:w="9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5.2</w:t>
            </w:r>
          </w:p>
        </w:tc>
        <w:tc>
          <w:tcPr>
            <w:tcW w:w="1460" w:type="dxa"/>
            <w:vAlign w:val="bottom"/>
          </w:tcPr>
          <w:p>
            <w:pPr>
              <w:ind w:left="220"/>
              <w:spacing w:after="0"/>
              <w:rPr>
                <w:sz w:val="20"/>
                <w:szCs w:val="20"/>
                <w:color w:val="auto"/>
              </w:rPr>
            </w:pPr>
            <w:r>
              <w:rPr>
                <w:rFonts w:ascii="Courier New" w:cs="Courier New" w:eastAsia="Courier New" w:hAnsi="Courier New"/>
                <w:sz w:val="15"/>
                <w:szCs w:val="15"/>
                <w:color w:val="auto"/>
              </w:rPr>
              <w:t>(3.7)</w:t>
            </w:r>
          </w:p>
        </w:tc>
      </w:tr>
      <w:tr>
        <w:trPr>
          <w:trHeight w:val="171"/>
        </w:trPr>
        <w:tc>
          <w:tcPr>
            <w:tcW w:w="3400" w:type="dxa"/>
            <w:vAlign w:val="bottom"/>
            <w:gridSpan w:val="3"/>
          </w:tcPr>
          <w:p>
            <w:pPr>
              <w:spacing w:after="0"/>
              <w:rPr>
                <w:sz w:val="20"/>
                <w:szCs w:val="20"/>
                <w:color w:val="auto"/>
              </w:rPr>
            </w:pPr>
            <w:r>
              <w:rPr>
                <w:rFonts w:ascii="Courier New" w:cs="Courier New" w:eastAsia="Courier New" w:hAnsi="Courier New"/>
                <w:sz w:val="15"/>
                <w:szCs w:val="15"/>
                <w:color w:val="auto"/>
              </w:rPr>
              <w:t>Pretax earnings (loss)</w:t>
            </w:r>
          </w:p>
        </w:tc>
        <w:tc>
          <w:tcPr>
            <w:tcW w:w="20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4.7</w:t>
            </w:r>
          </w:p>
        </w:tc>
        <w:tc>
          <w:tcPr>
            <w:tcW w:w="9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3.1</w:t>
            </w:r>
          </w:p>
        </w:tc>
        <w:tc>
          <w:tcPr>
            <w:tcW w:w="1460" w:type="dxa"/>
            <w:vAlign w:val="bottom"/>
          </w:tcPr>
          <w:p>
            <w:pPr>
              <w:ind w:left="220"/>
              <w:spacing w:after="0"/>
              <w:rPr>
                <w:sz w:val="20"/>
                <w:szCs w:val="20"/>
                <w:color w:val="auto"/>
              </w:rPr>
            </w:pPr>
            <w:r>
              <w:rPr>
                <w:rFonts w:ascii="Courier New" w:cs="Courier New" w:eastAsia="Courier New" w:hAnsi="Courier New"/>
                <w:sz w:val="15"/>
                <w:szCs w:val="15"/>
                <w:color w:val="auto"/>
              </w:rPr>
              <w:t>(5.4)</w:t>
            </w: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3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earnings (loss)</w:t>
            </w:r>
          </w:p>
        </w:tc>
        <w:tc>
          <w:tcPr>
            <w:tcW w:w="20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2.8</w:t>
            </w:r>
          </w:p>
        </w:tc>
        <w:tc>
          <w:tcPr>
            <w:tcW w:w="9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w:t>
            </w:r>
          </w:p>
        </w:tc>
        <w:tc>
          <w:tcPr>
            <w:tcW w:w="1460" w:type="dxa"/>
            <w:vAlign w:val="bottom"/>
          </w:tcPr>
          <w:p>
            <w:pPr>
              <w:ind w:left="220"/>
              <w:spacing w:after="0"/>
              <w:rPr>
                <w:sz w:val="20"/>
                <w:szCs w:val="20"/>
                <w:color w:val="auto"/>
              </w:rPr>
            </w:pPr>
            <w:r>
              <w:rPr>
                <w:rFonts w:ascii="Courier New" w:cs="Courier New" w:eastAsia="Courier New" w:hAnsi="Courier New"/>
                <w:sz w:val="15"/>
                <w:szCs w:val="15"/>
                <w:color w:val="auto"/>
              </w:rPr>
              <w:t>(3.7)</w:t>
            </w: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50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 - --------------------------------------------------------------------------------</w:t>
            </w:r>
          </w:p>
        </w:tc>
      </w:tr>
    </w:tbl>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FISCAL 1994 COMPARED TO FISCAL 1993</w:t>
      </w:r>
    </w:p>
    <w:p>
      <w:pPr>
        <w:spacing w:after="0" w:line="174" w:lineRule="exact"/>
        <w:rPr>
          <w:sz w:val="20"/>
          <w:szCs w:val="20"/>
          <w:color w:val="auto"/>
        </w:rPr>
      </w:pPr>
    </w:p>
    <w:p>
      <w:pPr>
        <w:ind w:left="9" w:right="3219"/>
        <w:spacing w:after="0" w:line="239" w:lineRule="auto"/>
        <w:rPr>
          <w:sz w:val="20"/>
          <w:szCs w:val="20"/>
          <w:color w:val="auto"/>
        </w:rPr>
      </w:pPr>
      <w:r>
        <w:rPr>
          <w:rFonts w:ascii="Courier New" w:cs="Courier New" w:eastAsia="Courier New" w:hAnsi="Courier New"/>
          <w:sz w:val="15"/>
          <w:szCs w:val="15"/>
          <w:color w:val="auto"/>
        </w:rPr>
        <w:t>Gross profit for 1994 increased 20.4% to $287.5 million over the 1993 amount of $238.8 million because of a combination of increased sales, improved plant utilization and improved inventory controls.</w:t>
      </w:r>
    </w:p>
    <w:p>
      <w:pPr>
        <w:spacing w:after="0" w:line="34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FISCAL 1993 COMPARED TO FISCAL 1992</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Gross profit for 1993 increased 6.3% to $238.8 million over the 1992 amount of $224.6 million principally because of increased sales and improved manufacturing efficiencies. 1993 gross profit as a percent of sales did not change from the prior year. However, excluding the prior year's LIFO benefit, gross profit as a percent of sales for 1992 would have been 34.0%.</w:t>
      </w:r>
    </w:p>
    <w:p>
      <w:pPr>
        <w:spacing w:after="0" w:line="174" w:lineRule="exact"/>
        <w:rPr>
          <w:sz w:val="20"/>
          <w:szCs w:val="20"/>
          <w:color w:val="auto"/>
        </w:rPr>
      </w:pPr>
    </w:p>
    <w:p>
      <w:pPr>
        <w:ind w:left="9" w:right="3479" w:firstLine="444"/>
        <w:spacing w:after="0" w:line="239" w:lineRule="auto"/>
        <w:rPr>
          <w:sz w:val="20"/>
          <w:szCs w:val="20"/>
          <w:color w:val="auto"/>
        </w:rPr>
      </w:pPr>
      <w:r>
        <w:rPr>
          <w:rFonts w:ascii="Courier New" w:cs="Courier New" w:eastAsia="Courier New" w:hAnsi="Courier New"/>
          <w:sz w:val="15"/>
          <w:szCs w:val="15"/>
          <w:color w:val="auto"/>
        </w:rPr>
        <w:t>1993 gross profit improved as a result of the restructuring initiatives implemented in 1992. Specifically, consolidation of certain manufacturing functions and lower spending levels resulted in increased plant utilization which lowered the break-even point.</w:t>
      </w:r>
    </w:p>
    <w:p>
      <w:pPr>
        <w:sectPr>
          <w:pgSz w:w="11900" w:h="16838" w:orient="portrait"/>
          <w:cols w:equalWidth="0" w:num="1">
            <w:col w:w="10228"/>
          </w:cols>
          <w:pgMar w:left="231" w:top="628" w:right="1440" w:bottom="0" w:gutter="0" w:footer="0" w:header="0"/>
        </w:sectPr>
      </w:pPr>
    </w:p>
    <w:bookmarkStart w:id="23" w:name="page24"/>
    <w:bookmarkEnd w:id="23"/>
    <w:p>
      <w:pPr>
        <w:ind w:left="9"/>
        <w:spacing w:after="0"/>
        <w:rPr>
          <w:sz w:val="20"/>
          <w:szCs w:val="20"/>
          <w:color w:val="auto"/>
        </w:rPr>
      </w:pPr>
      <w:r>
        <w:rPr>
          <w:rFonts w:ascii="Courier New" w:cs="Courier New" w:eastAsia="Courier New" w:hAnsi="Courier New"/>
          <w:sz w:val="15"/>
          <w:szCs w:val="15"/>
          <w:color w:val="auto"/>
        </w:rPr>
        <w:t>SELLING, GENERAL AND ADMINISTRATIVE EXPENSE (SG&amp;A)</w:t>
      </w:r>
    </w:p>
    <w:p>
      <w:pPr>
        <w:spacing w:after="0" w:line="345" w:lineRule="exact"/>
        <w:rPr>
          <w:sz w:val="20"/>
          <w:szCs w:val="20"/>
          <w:color w:val="auto"/>
        </w:rPr>
      </w:pPr>
    </w:p>
    <w:p>
      <w:pPr>
        <w:ind w:left="169" w:hanging="169"/>
        <w:spacing w:after="0"/>
        <w:tabs>
          <w:tab w:leader="none" w:pos="169"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SG&amp;A Expense (Dollars in millions)</w:t>
      </w:r>
    </w:p>
    <w:p>
      <w:pPr>
        <w:spacing w:after="0" w:line="1" w:lineRule="exact"/>
        <w:rPr>
          <w:sz w:val="20"/>
          <w:szCs w:val="20"/>
          <w:color w:val="auto"/>
        </w:rPr>
      </w:pPr>
    </w:p>
    <w:p>
      <w:pPr>
        <w:ind w:left="3729"/>
        <w:spacing w:after="0"/>
        <w:tabs>
          <w:tab w:leader="none" w:pos="5129" w:val="left"/>
          <w:tab w:leader="none" w:pos="6549" w:val="left"/>
        </w:tabs>
        <w:rPr>
          <w:sz w:val="20"/>
          <w:szCs w:val="20"/>
          <w:color w:val="auto"/>
        </w:rPr>
      </w:pPr>
      <w:r>
        <w:rPr>
          <w:rFonts w:ascii="Courier New" w:cs="Courier New" w:eastAsia="Courier New" w:hAnsi="Courier New"/>
          <w:sz w:val="15"/>
          <w:szCs w:val="15"/>
          <w:color w:val="auto"/>
        </w:rPr>
        <w:t>% of</w:t>
      </w:r>
      <w:r>
        <w:rPr>
          <w:sz w:val="20"/>
          <w:szCs w:val="20"/>
          <w:color w:val="auto"/>
        </w:rPr>
        <w:tab/>
      </w:r>
      <w:r>
        <w:rPr>
          <w:rFonts w:ascii="Courier New" w:cs="Courier New" w:eastAsia="Courier New" w:hAnsi="Courier New"/>
          <w:sz w:val="15"/>
          <w:szCs w:val="15"/>
          <w:color w:val="auto"/>
        </w:rPr>
        <w:t>% of</w:t>
      </w:r>
      <w:r>
        <w:rPr>
          <w:sz w:val="20"/>
          <w:szCs w:val="20"/>
          <w:color w:val="auto"/>
        </w:rPr>
        <w:tab/>
      </w:r>
      <w:r>
        <w:rPr>
          <w:rFonts w:ascii="Courier New" w:cs="Courier New" w:eastAsia="Courier New" w:hAnsi="Courier New"/>
          <w:sz w:val="14"/>
          <w:szCs w:val="14"/>
          <w:color w:val="auto"/>
        </w:rPr>
        <w:t>% of</w:t>
      </w:r>
    </w:p>
    <w:p>
      <w:pPr>
        <w:spacing w:after="0" w:line="1" w:lineRule="exact"/>
        <w:rPr>
          <w:sz w:val="20"/>
          <w:szCs w:val="20"/>
          <w:color w:val="auto"/>
        </w:rPr>
      </w:pPr>
    </w:p>
    <w:p>
      <w:pPr>
        <w:ind w:left="3729"/>
        <w:spacing w:after="0"/>
        <w:tabs>
          <w:tab w:leader="none" w:pos="5129" w:val="left"/>
          <w:tab w:leader="none" w:pos="6549" w:val="left"/>
        </w:tabs>
        <w:rPr>
          <w:sz w:val="20"/>
          <w:szCs w:val="20"/>
          <w:color w:val="auto"/>
        </w:rPr>
      </w:pPr>
      <w:r>
        <w:rPr>
          <w:rFonts w:ascii="Courier New" w:cs="Courier New" w:eastAsia="Courier New" w:hAnsi="Courier New"/>
          <w:sz w:val="15"/>
          <w:szCs w:val="15"/>
          <w:color w:val="auto"/>
        </w:rPr>
        <w:t>Net</w:t>
      </w:r>
      <w:r>
        <w:rPr>
          <w:sz w:val="20"/>
          <w:szCs w:val="20"/>
          <w:color w:val="auto"/>
        </w:rPr>
        <w:tab/>
      </w:r>
      <w:r>
        <w:rPr>
          <w:rFonts w:ascii="Courier New" w:cs="Courier New" w:eastAsia="Courier New" w:hAnsi="Courier New"/>
          <w:sz w:val="15"/>
          <w:szCs w:val="15"/>
          <w:color w:val="auto"/>
        </w:rPr>
        <w:t>Net</w:t>
      </w:r>
      <w:r>
        <w:rPr>
          <w:sz w:val="20"/>
          <w:szCs w:val="20"/>
          <w:color w:val="auto"/>
        </w:rPr>
        <w:tab/>
      </w:r>
      <w:r>
        <w:rPr>
          <w:rFonts w:ascii="Courier New" w:cs="Courier New" w:eastAsia="Courier New" w:hAnsi="Courier New"/>
          <w:sz w:val="14"/>
          <w:szCs w:val="14"/>
          <w:color w:val="auto"/>
        </w:rPr>
        <w:t>Net</w:t>
      </w:r>
    </w:p>
    <w:p>
      <w:pPr>
        <w:spacing w:after="0" w:line="1" w:lineRule="exact"/>
        <w:rPr>
          <w:sz w:val="20"/>
          <w:szCs w:val="20"/>
          <w:color w:val="auto"/>
        </w:rPr>
      </w:pPr>
    </w:p>
    <w:p>
      <w:pPr>
        <w:ind w:left="9"/>
        <w:spacing w:after="0"/>
        <w:tabs>
          <w:tab w:leader="none" w:pos="2989" w:val="left"/>
          <w:tab w:leader="none" w:pos="3609" w:val="left"/>
          <w:tab w:leader="none" w:pos="4409" w:val="left"/>
          <w:tab w:leader="none" w:pos="5029" w:val="left"/>
          <w:tab w:leader="none" w:pos="5829" w:val="left"/>
          <w:tab w:leader="none" w:pos="6449" w:val="left"/>
        </w:tabs>
        <w:rPr>
          <w:sz w:val="20"/>
          <w:szCs w:val="20"/>
          <w:color w:val="auto"/>
        </w:rPr>
      </w:pPr>
      <w:r>
        <w:rPr>
          <w:rFonts w:ascii="Courier New" w:cs="Courier New" w:eastAsia="Courier New" w:hAnsi="Courier New"/>
          <w:sz w:val="15"/>
          <w:szCs w:val="15"/>
          <w:color w:val="auto"/>
        </w:rPr>
        <w:t>Years ended July 31</w:t>
      </w:r>
      <w:r>
        <w:rPr>
          <w:sz w:val="20"/>
          <w:szCs w:val="20"/>
          <w:color w:val="auto"/>
        </w:rPr>
        <w:tab/>
      </w:r>
      <w:r>
        <w:rPr>
          <w:rFonts w:ascii="Courier New" w:cs="Courier New" w:eastAsia="Courier New" w:hAnsi="Courier New"/>
          <w:sz w:val="15"/>
          <w:szCs w:val="15"/>
          <w:color w:val="auto"/>
        </w:rPr>
        <w:t>1994</w:t>
        <w:tab/>
        <w:t>Sales</w:t>
      </w:r>
      <w:r>
        <w:rPr>
          <w:sz w:val="20"/>
          <w:szCs w:val="20"/>
          <w:color w:val="auto"/>
        </w:rPr>
        <w:tab/>
      </w:r>
      <w:r>
        <w:rPr>
          <w:rFonts w:ascii="Courier New" w:cs="Courier New" w:eastAsia="Courier New" w:hAnsi="Courier New"/>
          <w:sz w:val="15"/>
          <w:szCs w:val="15"/>
          <w:color w:val="auto"/>
        </w:rPr>
        <w:t>1993</w:t>
        <w:tab/>
        <w:t>Sales</w:t>
      </w:r>
      <w:r>
        <w:rPr>
          <w:sz w:val="20"/>
          <w:szCs w:val="20"/>
          <w:color w:val="auto"/>
        </w:rPr>
        <w:tab/>
      </w:r>
      <w:r>
        <w:rPr>
          <w:rFonts w:ascii="Courier New" w:cs="Courier New" w:eastAsia="Courier New" w:hAnsi="Courier New"/>
          <w:sz w:val="15"/>
          <w:szCs w:val="15"/>
          <w:color w:val="auto"/>
        </w:rPr>
        <w:t>1992</w:t>
        <w:tab/>
        <w:t>Sales</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Administrative</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$ 80.3</w:t>
            </w: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10.0% $ 73.0</w:t>
            </w: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10.7% $ 64.8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10.1%</w:t>
            </w:r>
          </w:p>
        </w:tc>
      </w:tr>
      <w:tr>
        <w:trPr>
          <w:trHeight w:val="171"/>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Sales and marketing</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96.1</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12.1</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71.2</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10.4</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90.0</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14.0</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Warranty</w:t>
            </w:r>
          </w:p>
        </w:tc>
        <w:tc>
          <w:tcPr>
            <w:tcW w:w="1520" w:type="dxa"/>
            <w:vAlign w:val="bottom"/>
          </w:tcPr>
          <w:p>
            <w:pPr>
              <w:spacing w:after="0"/>
              <w:rPr>
                <w:sz w:val="14"/>
                <w:szCs w:val="14"/>
                <w:color w:val="auto"/>
              </w:rPr>
            </w:pP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29.0</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26.3</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28.0</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w:t>
            </w:r>
          </w:p>
        </w:tc>
      </w:tr>
      <w:tr>
        <w:trPr>
          <w:trHeight w:val="171"/>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Distributor/dealer</w:t>
            </w:r>
          </w:p>
        </w:tc>
        <w:tc>
          <w:tcPr>
            <w:tcW w:w="1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22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financing</w:t>
            </w:r>
          </w:p>
        </w:tc>
        <w:tc>
          <w:tcPr>
            <w:tcW w:w="1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740" w:type="dxa"/>
            <w:vAlign w:val="bottom"/>
          </w:tcPr>
          <w:p>
            <w:pPr>
              <w:ind w:left="160"/>
              <w:spacing w:after="0"/>
              <w:rPr>
                <w:sz w:val="20"/>
                <w:szCs w:val="20"/>
                <w:color w:val="auto"/>
              </w:rPr>
            </w:pPr>
            <w:r>
              <w:rPr>
                <w:rFonts w:ascii="Courier New" w:cs="Courier New" w:eastAsia="Courier New" w:hAnsi="Courier New"/>
                <w:sz w:val="15"/>
                <w:szCs w:val="15"/>
                <w:color w:val="auto"/>
              </w:rPr>
              <w:t>(floor</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plan)</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8.6</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7.6</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13.5</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Research</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1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22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development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30.9</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3.9</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25.3</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26.9</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4.2</w:t>
            </w:r>
          </w:p>
        </w:tc>
      </w:tr>
    </w:tbl>
    <w:p>
      <w:pPr>
        <w:spacing w:after="0" w:line="3" w:lineRule="exact"/>
        <w:rPr>
          <w:sz w:val="20"/>
          <w:szCs w:val="20"/>
          <w:color w:val="auto"/>
        </w:rPr>
      </w:pPr>
    </w:p>
    <w:p>
      <w:pPr>
        <w:ind w:left="9" w:right="2419"/>
        <w:spacing w:after="0" w:line="238" w:lineRule="auto"/>
        <w:rPr>
          <w:sz w:val="20"/>
          <w:szCs w:val="20"/>
          <w:color w:val="auto"/>
        </w:rPr>
      </w:pPr>
      <w:r>
        <w:rPr>
          <w:rFonts w:ascii="Courier New" w:cs="Courier New" w:eastAsia="Courier New" w:hAnsi="Courier New"/>
          <w:sz w:val="15"/>
          <w:szCs w:val="15"/>
          <w:color w:val="auto"/>
        </w:rPr>
        <w:t>- - - - -------------------------------------------------------------------------------- Total $244.9 30.8% $203.4 29.7% $223.2 34.7%</w:t>
      </w:r>
    </w:p>
    <w:p>
      <w:pPr>
        <w:spacing w:after="0" w:line="4" w:lineRule="exact"/>
        <w:rPr>
          <w:sz w:val="20"/>
          <w:szCs w:val="20"/>
          <w:color w:val="auto"/>
        </w:rPr>
      </w:pPr>
    </w:p>
    <w:p>
      <w:pPr>
        <w:ind w:left="169" w:hanging="169"/>
        <w:spacing w:after="0"/>
        <w:tabs>
          <w:tab w:leader="none" w:pos="169"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200" w:lineRule="exact"/>
        <w:rPr>
          <w:sz w:val="20"/>
          <w:szCs w:val="20"/>
          <w:color w:val="auto"/>
        </w:rPr>
      </w:pPr>
    </w:p>
    <w:p>
      <w:pPr>
        <w:spacing w:after="0" w:line="321" w:lineRule="exact"/>
        <w:rPr>
          <w:sz w:val="20"/>
          <w:szCs w:val="20"/>
          <w:color w:val="auto"/>
        </w:rPr>
      </w:pPr>
    </w:p>
    <w:p>
      <w:pPr>
        <w:ind w:left="3109"/>
        <w:spacing w:after="0"/>
        <w:tabs>
          <w:tab w:leader="none" w:pos="5029" w:val="left"/>
          <w:tab w:leader="none" w:pos="6909" w:val="left"/>
        </w:tabs>
        <w:rPr>
          <w:sz w:val="20"/>
          <w:szCs w:val="20"/>
          <w:color w:val="auto"/>
        </w:rPr>
      </w:pPr>
      <w:r>
        <w:rPr>
          <w:rFonts w:ascii="Courier New" w:cs="Courier New" w:eastAsia="Courier New" w:hAnsi="Courier New"/>
          <w:sz w:val="15"/>
          <w:szCs w:val="15"/>
          <w:color w:val="auto"/>
        </w:rPr>
        <w:t>The Toro Company</w:t>
      </w:r>
      <w:r>
        <w:rPr>
          <w:sz w:val="20"/>
          <w:szCs w:val="20"/>
          <w:color w:val="auto"/>
        </w:rPr>
        <w:tab/>
      </w:r>
      <w:r>
        <w:rPr>
          <w:rFonts w:ascii="Courier New" w:cs="Courier New" w:eastAsia="Courier New" w:hAnsi="Courier New"/>
          <w:sz w:val="15"/>
          <w:szCs w:val="15"/>
          <w:color w:val="auto"/>
        </w:rPr>
        <w:t>1994 Annual Report</w:t>
      </w:r>
      <w:r>
        <w:rPr>
          <w:sz w:val="20"/>
          <w:szCs w:val="20"/>
          <w:color w:val="auto"/>
        </w:rPr>
        <w:tab/>
      </w:r>
      <w:r>
        <w:rPr>
          <w:rFonts w:ascii="Courier New" w:cs="Courier New" w:eastAsia="Courier New" w:hAnsi="Courier New"/>
          <w:sz w:val="15"/>
          <w:szCs w:val="15"/>
          <w:color w:val="auto"/>
        </w:rPr>
        <w:t>15</w:t>
      </w:r>
    </w:p>
    <w:p>
      <w:pPr>
        <w:sectPr>
          <w:pgSz w:w="11900" w:h="16838" w:orient="portrait"/>
          <w:cols w:equalWidth="0" w:num="1">
            <w:col w:w="10228"/>
          </w:cols>
          <w:pgMar w:left="231" w:top="139"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FISCAL 1994 COMPARED TO FISCAL 1993</w:t>
      </w:r>
    </w:p>
    <w:p>
      <w:pPr>
        <w:spacing w:after="0" w:line="174"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SG&amp;A expense was up $41.5 million from 1993 and as a percent of sales, SG&amp;A expense was 30.8% for 1994 compared with 29.7% for 1993.</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increase in administrative expense of $7.3 million consisted of the start up cost of the company's recycling equipment division (debris), increased investment in information systems technology, the cost associated with the realignment of the irrigation manufacturing operations in Riverside, California and distributor marketing support for the company's product lines. These increases were offset by a reduction in employee performance based incentives, product liability and group health insurance costs.</w:t>
      </w:r>
    </w:p>
    <w:p>
      <w:pPr>
        <w:spacing w:after="0" w:line="176" w:lineRule="exact"/>
        <w:rPr>
          <w:sz w:val="20"/>
          <w:szCs w:val="20"/>
          <w:color w:val="auto"/>
        </w:rPr>
      </w:pPr>
    </w:p>
    <w:p>
      <w:pPr>
        <w:ind w:right="3219" w:firstLine="444"/>
        <w:spacing w:after="0" w:line="262" w:lineRule="auto"/>
        <w:rPr>
          <w:sz w:val="20"/>
          <w:szCs w:val="20"/>
          <w:color w:val="auto"/>
        </w:rPr>
      </w:pPr>
      <w:r>
        <w:rPr>
          <w:rFonts w:ascii="Courier New" w:cs="Courier New" w:eastAsia="Courier New" w:hAnsi="Courier New"/>
          <w:sz w:val="14"/>
          <w:szCs w:val="14"/>
          <w:color w:val="auto"/>
        </w:rPr>
        <w:t>Sales and marketing expense was up $24.9 million from the prior year. As a percent of net sales, sales and marketing expense was 12.1%, up from 10.4% in 1993. This increase reflects the company's increased sales volume, additional marketing personnel and an increase in brand advertising and market research.</w:t>
      </w:r>
    </w:p>
    <w:p>
      <w:pPr>
        <w:spacing w:after="0" w:line="161"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Warranty expense increased by $2.7 million and as a percent of sales was 3.7% as compared to 3.8% in 1993. The $2.7 million increase relates to increased sales volume and charges for a lawn tractor component modification, a walk power mower gas tank issue and a walk power mower brake issue.</w:t>
      </w:r>
    </w:p>
    <w:p>
      <w:pPr>
        <w:spacing w:after="0" w:line="176"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Distributor/dealer financing (floor plan) expense represents the cost incurred by the company to share the costs of financing dealer and distributor inventory. This expense was up $1.0 million in 1994 because of the sales increase, which was offset partially by lower field inventory levels held by dealers.</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Research and development expense was up $5.6 million from 1993 primarily because of the addition of personnel to support new product development and enhancements to existing products.</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1993 COMPARED TO FISCAL 1992</w:t>
      </w:r>
    </w:p>
    <w:p>
      <w:pPr>
        <w:spacing w:after="0" w:line="174" w:lineRule="exact"/>
        <w:rPr>
          <w:sz w:val="20"/>
          <w:szCs w:val="20"/>
          <w:color w:val="auto"/>
        </w:rPr>
      </w:pPr>
    </w:p>
    <w:p>
      <w:pPr>
        <w:ind w:right="3579"/>
        <w:spacing w:after="0" w:line="239" w:lineRule="auto"/>
        <w:rPr>
          <w:sz w:val="20"/>
          <w:szCs w:val="20"/>
          <w:color w:val="auto"/>
        </w:rPr>
      </w:pPr>
      <w:r>
        <w:rPr>
          <w:rFonts w:ascii="Courier New" w:cs="Courier New" w:eastAsia="Courier New" w:hAnsi="Courier New"/>
          <w:sz w:val="15"/>
          <w:szCs w:val="15"/>
          <w:color w:val="auto"/>
        </w:rPr>
        <w:t>SG&amp;A expense was down $19.8 million from 1992. As a percent of sales, SG&amp;A expense was 29.7% for 1993 compared to 34.7% for 1992. The decrease in SG&amp;A expense was attributable to cost control and restructuring initiatives implemented in 1992.</w:t>
      </w:r>
    </w:p>
    <w:p>
      <w:pPr>
        <w:spacing w:after="0" w:line="176"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increase in administrative expense of $8.2 million was primarily the result of increased employee incentives which were based on the company's performance, costs incurred to enhance the company's distribution channels and the resumption of contributions to the company's Employee Stock Ownership Plan (ESOP). These expenses were not incurred in 1992.</w:t>
      </w:r>
    </w:p>
    <w:p>
      <w:pPr>
        <w:spacing w:after="0" w:line="174" w:lineRule="exact"/>
        <w:rPr>
          <w:sz w:val="20"/>
          <w:szCs w:val="20"/>
          <w:color w:val="auto"/>
        </w:rPr>
      </w:pPr>
    </w:p>
    <w:p>
      <w:pPr>
        <w:ind w:right="3219" w:firstLine="444"/>
        <w:spacing w:after="0" w:line="258" w:lineRule="auto"/>
        <w:rPr>
          <w:sz w:val="20"/>
          <w:szCs w:val="20"/>
          <w:color w:val="auto"/>
        </w:rPr>
      </w:pPr>
      <w:r>
        <w:rPr>
          <w:rFonts w:ascii="Courier New" w:cs="Courier New" w:eastAsia="Courier New" w:hAnsi="Courier New"/>
          <w:sz w:val="14"/>
          <w:szCs w:val="14"/>
          <w:color w:val="auto"/>
        </w:rPr>
        <w:t>Sales and marketing expense was down $18.8 million from the prior year. As a percent of net sales, sales and marketing expense was 10.4%, down from the</w:t>
      </w:r>
    </w:p>
    <w:p>
      <w:pPr>
        <w:ind w:right="3119"/>
        <w:spacing w:after="0" w:line="239" w:lineRule="auto"/>
        <w:rPr>
          <w:sz w:val="20"/>
          <w:szCs w:val="20"/>
          <w:color w:val="auto"/>
        </w:rPr>
      </w:pPr>
      <w:r>
        <w:rPr>
          <w:rFonts w:ascii="Courier New" w:cs="Courier New" w:eastAsia="Courier New" w:hAnsi="Courier New"/>
          <w:sz w:val="15"/>
          <w:szCs w:val="15"/>
          <w:color w:val="auto"/>
        </w:rPr>
        <w:t>14.0% for 1992. This decline reflected the results of actions implemented by the company to lower costs through the realignment of the consumer and irrigation divisions and changes in marketing and distribution strategies.</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Warranty expense was down slightly from the amounts incurred in 1992 and as a percent of net sales was 3.8% in 1993, down from 4.3% in 1992. The change was the result of ongoing quality improvements and prior year quality issues on specific consumer and irrigation products corrected in 1992.</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Distributor/dealer financing (floor plan) expense was down $5.9 million in 1993 because of the following: the company was shipping closer to the selling season resulting in a reduced financing period; lower field inventory levels held by dealers and distributors throughout the year; and a decline in interest rates.</w:t>
      </w:r>
    </w:p>
    <w:p>
      <w:pPr>
        <w:spacing w:after="0" w:line="174" w:lineRule="exact"/>
        <w:rPr>
          <w:sz w:val="20"/>
          <w:szCs w:val="20"/>
          <w:color w:val="auto"/>
        </w:rPr>
      </w:pPr>
    </w:p>
    <w:p>
      <w:pPr>
        <w:ind w:right="3119" w:firstLine="355"/>
        <w:spacing w:after="0" w:line="262" w:lineRule="auto"/>
        <w:rPr>
          <w:sz w:val="20"/>
          <w:szCs w:val="20"/>
          <w:color w:val="auto"/>
        </w:rPr>
      </w:pPr>
      <w:r>
        <w:rPr>
          <w:rFonts w:ascii="Courier New" w:cs="Courier New" w:eastAsia="Courier New" w:hAnsi="Courier New"/>
          <w:sz w:val="14"/>
          <w:szCs w:val="14"/>
          <w:color w:val="auto"/>
        </w:rPr>
        <w:t>Research and development expense was down $1.6 million from 1992. This decrease was because the majority of the costs to develop the Workman-R- vehicle line were incurred in 1992 and also because of the efficiencies gained through cost control measures implemented with the realignment of the consumer division.</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RESTRUCTURING EXPENSE IN FISCAL 1992</w:t>
      </w:r>
    </w:p>
    <w:p>
      <w:pPr>
        <w:spacing w:after="0" w:line="174"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In the second quarter of 1992, the company recorded restructuring expenses of $15.0 million ($10.2 million after-tax) related to consolidation of consumer product manufacturing, marketing and administrative operations. The charge covered costs for plant closings, workforce reductions, discontinued products and other related costs.</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In addition, the company incurred restructuring expenses in the fourth quarter of 1992 of $9.9 million ($6.7 million after-tax) related to the facility closing of a consumer riding products manufacturing plant, an irrigation controller assembly operation and a satellite distribution center. This restructuring was part of the company's plan to increase its competitiveness and profitability by consolidating manufacturing and warehousing activities.</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EXPENSE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1994 COMPARED TO FISCAL 1993</w:t>
      </w:r>
    </w:p>
    <w:p>
      <w:pPr>
        <w:spacing w:after="0" w:line="174" w:lineRule="exact"/>
        <w:rPr>
          <w:sz w:val="20"/>
          <w:szCs w:val="20"/>
          <w:color w:val="auto"/>
        </w:rPr>
      </w:pPr>
    </w:p>
    <w:p>
      <w:pPr>
        <w:ind w:right="3119"/>
        <w:spacing w:after="0" w:line="264" w:lineRule="auto"/>
        <w:rPr>
          <w:sz w:val="20"/>
          <w:szCs w:val="20"/>
          <w:color w:val="auto"/>
        </w:rPr>
      </w:pPr>
      <w:r>
        <w:rPr>
          <w:rFonts w:ascii="Courier New" w:cs="Courier New" w:eastAsia="Courier New" w:hAnsi="Courier New"/>
          <w:sz w:val="14"/>
          <w:szCs w:val="14"/>
          <w:color w:val="auto"/>
        </w:rPr>
        <w:t>Interest expense for 1994 was down $3.6 million from the $17.2 million reported for 1993. This decline was primarily the result of calling $24.9 million of outstanding debt in July 1993 and a lower interest rate on short-term borrowing.</w:t>
      </w:r>
    </w:p>
    <w:p>
      <w:pPr>
        <w:sectPr>
          <w:pgSz w:w="11900" w:h="16838" w:orient="portrait"/>
          <w:cols w:equalWidth="0" w:num="1">
            <w:col w:w="10219"/>
          </w:cols>
          <w:pgMar w:left="240" w:top="628" w:right="1440" w:bottom="0" w:gutter="0" w:footer="0" w:header="0"/>
        </w:sectPr>
      </w:pPr>
    </w:p>
    <w:bookmarkStart w:id="25" w:name="page26"/>
    <w:bookmarkEnd w:id="25"/>
    <w:p>
      <w:pPr>
        <w:spacing w:after="0"/>
        <w:rPr>
          <w:sz w:val="20"/>
          <w:szCs w:val="20"/>
          <w:color w:val="auto"/>
        </w:rPr>
      </w:pPr>
      <w:r>
        <w:rPr>
          <w:rFonts w:ascii="Courier New" w:cs="Courier New" w:eastAsia="Courier New" w:hAnsi="Courier New"/>
          <w:sz w:val="15"/>
          <w:szCs w:val="15"/>
          <w:color w:val="auto"/>
        </w:rPr>
        <w:t>FISCAL 1993 COMPARED TO FISCAL 1992</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Interest expense for 1993 was down $1.5 million from the $18.7 million reported for 1992. This decline was primarily the result of decreased short-term borrowing levels and lower short-term interest rates during the year. Short-term borrowing was down from 1992 because of the company's focus on asset management and improving working capital.</w:t>
      </w:r>
    </w:p>
    <w:p>
      <w:pPr>
        <w:spacing w:after="0" w:line="342" w:lineRule="exact"/>
        <w:rPr>
          <w:sz w:val="20"/>
          <w:szCs w:val="20"/>
          <w:color w:val="auto"/>
        </w:rPr>
      </w:pPr>
    </w:p>
    <w:p>
      <w:pPr>
        <w:spacing w:after="0"/>
        <w:tabs>
          <w:tab w:leader="none" w:pos="420" w:val="left"/>
          <w:tab w:leader="none" w:pos="2280" w:val="left"/>
        </w:tabs>
        <w:rPr>
          <w:sz w:val="20"/>
          <w:szCs w:val="20"/>
          <w:color w:val="auto"/>
        </w:rPr>
      </w:pPr>
      <w:r>
        <w:rPr>
          <w:rFonts w:ascii="Courier New" w:cs="Courier New" w:eastAsia="Courier New" w:hAnsi="Courier New"/>
          <w:sz w:val="15"/>
          <w:szCs w:val="15"/>
          <w:color w:val="auto"/>
        </w:rPr>
        <w:t>16</w:t>
      </w:r>
      <w:r>
        <w:rPr>
          <w:sz w:val="20"/>
          <w:szCs w:val="20"/>
          <w:color w:val="auto"/>
        </w:rPr>
        <w:tab/>
      </w:r>
      <w:r>
        <w:rPr>
          <w:rFonts w:ascii="Courier New" w:cs="Courier New" w:eastAsia="Courier New" w:hAnsi="Courier New"/>
          <w:sz w:val="15"/>
          <w:szCs w:val="15"/>
          <w:color w:val="auto"/>
        </w:rPr>
        <w:t>The Toro Company</w:t>
      </w:r>
      <w:r>
        <w:rPr>
          <w:sz w:val="20"/>
          <w:szCs w:val="20"/>
          <w:color w:val="auto"/>
        </w:rPr>
        <w:tab/>
      </w:r>
      <w:r>
        <w:rPr>
          <w:rFonts w:ascii="Courier New" w:cs="Courier New" w:eastAsia="Courier New" w:hAnsi="Courier New"/>
          <w:sz w:val="14"/>
          <w:szCs w:val="14"/>
          <w:color w:val="auto"/>
        </w:rPr>
        <w:t>1994 Annual Report</w:t>
      </w:r>
    </w:p>
    <w:p>
      <w:pPr>
        <w:sectPr>
          <w:pgSz w:w="11900" w:h="16838" w:orient="portrait"/>
          <w:cols w:equalWidth="0" w:num="1">
            <w:col w:w="10219"/>
          </w:cols>
          <w:pgMar w:left="240" w:top="139" w:right="1440" w:bottom="1440" w:gutter="0" w:footer="0" w:header="0"/>
        </w:sectPr>
      </w:pPr>
    </w:p>
    <w:bookmarkStart w:id="26" w:name="page27"/>
    <w:bookmarkEnd w:id="26"/>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INCOME, NET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1994 COMPARED TO FISCAL 1993</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Other income, net was $4.9 million greater than the $3.1 million reported in 1993. This increase was principally the result of the settlement of a patent infringement lawsuit and a lawsuit relating to the purchase of Lawn-Boy,-R- Inc. The majority of the other income, net was finance revenue from dealers and distributors of $4.2 million which was earned by the Toro Credit Company (TCC), a consolidated finance subsidiary of The Toro Company (see footnote 13 regarding TCC).</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1993 COMPARED TO FISCAL 1992</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Other income, net was $4.2 million less than the $7.3 million reported in 1992. The decrease was principally because of losses incurred in the start-up of a fertilizer joint venture investment, foreign currency exchange losses and reduced royalty fees related to a one-time settlement of a paid-up license received in 1992 related to a patent lawsuit. The majority of the other income, net was finance revenue from dealers and distributors of $4.4 million which was earned by the Toro Credit Company (TCC), a consolidated finance subsidiary of The Toro Company (see footnote 13 regarding TCC).</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 (BENEFIT) FOR TAXES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1994 COMPARED TO FISCAL 1993</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effective tax rate increased to 40.0% of pretax earnings in 1994 from 38.9% of pretax earnings in 1993. The increase was the result of an increase in the effective tax rate on reversing timing differences and the effect of state income taxes. Effective August 1, 1992, the company adopted Financial Accounting Standards No. 109 and has reflected a deferred tax asset/liability on the accompanying balance sheets. The net deferred tax asset is $26.0 million which is principally the result of timing differences on warranty reserves, the provision for bad debts and distributor reserves (see footnote 4) accrued for financial statement purposes which are not deductible for tax purposes. The total future tax deductions related to the net deferred tax asset total $90.0 million, and management believes these will be realized during periods in which the company will generate sufficient taxable income. Including the available tax carry back history of the company, the company will be required to generate book and taxable income of $7.0 million to support the net deferred tax asset reflected on the balance sheet. The company anticipates the effective tax rate in 1995 to continue at 40%.</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1993 COMPARED TO FISCAL 1992</w:t>
      </w:r>
    </w:p>
    <w:p>
      <w:pPr>
        <w:spacing w:after="0" w:line="174" w:lineRule="exact"/>
        <w:rPr>
          <w:sz w:val="20"/>
          <w:szCs w:val="20"/>
          <w:color w:val="auto"/>
        </w:rPr>
      </w:pPr>
    </w:p>
    <w:p>
      <w:pPr>
        <w:jc w:val="both"/>
        <w:ind w:right="3219"/>
        <w:spacing w:after="0" w:line="258" w:lineRule="auto"/>
        <w:rPr>
          <w:sz w:val="20"/>
          <w:szCs w:val="20"/>
          <w:color w:val="auto"/>
        </w:rPr>
      </w:pPr>
      <w:r>
        <w:rPr>
          <w:rFonts w:ascii="Courier New" w:cs="Courier New" w:eastAsia="Courier New" w:hAnsi="Courier New"/>
          <w:sz w:val="14"/>
          <w:szCs w:val="14"/>
          <w:color w:val="auto"/>
        </w:rPr>
        <w:t>The effective tax rate increased to 38.9% of pretax earnings in 1993 from 31.9% of pretax losses in 1992. The profitable environment normalized the tax rate of 38.9% for federal and state income taxes. Effective August 1, 1992, the company adopted Financial Accounting Standards No. 109 "Accounting for Income Taxes"</w:t>
      </w:r>
    </w:p>
    <w:p>
      <w:pPr>
        <w:spacing w:after="0" w:line="1" w:lineRule="exact"/>
        <w:rPr>
          <w:sz w:val="20"/>
          <w:szCs w:val="20"/>
          <w:color w:val="auto"/>
        </w:rPr>
      </w:pPr>
    </w:p>
    <w:p>
      <w:pPr>
        <w:jc w:val="both"/>
        <w:ind w:right="3219"/>
        <w:spacing w:after="0" w:line="271" w:lineRule="auto"/>
        <w:rPr>
          <w:sz w:val="20"/>
          <w:szCs w:val="20"/>
          <w:color w:val="auto"/>
        </w:rPr>
      </w:pPr>
      <w:r>
        <w:rPr>
          <w:rFonts w:ascii="Courier New" w:cs="Courier New" w:eastAsia="Courier New" w:hAnsi="Courier New"/>
          <w:sz w:val="14"/>
          <w:szCs w:val="14"/>
          <w:color w:val="auto"/>
        </w:rPr>
        <w:t>(FAS 109). The net deferred tax asset resulted primarily from warranty reserves and restructuring charges for which a tax deduction was not yet available.</w:t>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EARNINGS (LOSS)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1994 COMPARED TO FISCAL 1993</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Net earnings for 1994 was $22.2 million or $1.71 per share, as compared to net earnings of $13.0 million or $1.05 per share in 1993. The improved earnings was principally the result of increased sales and improved gross margin which were partially offset by investments in new products, manufacturing and distribution enhancements.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1993 COMPARED TO FISCAL 1992</w:t>
      </w:r>
    </w:p>
    <w:p>
      <w:pPr>
        <w:spacing w:after="0" w:line="174" w:lineRule="exact"/>
        <w:rPr>
          <w:sz w:val="20"/>
          <w:szCs w:val="20"/>
          <w:color w:val="auto"/>
        </w:rPr>
      </w:pPr>
    </w:p>
    <w:p>
      <w:pPr>
        <w:ind w:right="3119"/>
        <w:spacing w:after="0" w:line="262" w:lineRule="auto"/>
        <w:rPr>
          <w:sz w:val="20"/>
          <w:szCs w:val="20"/>
          <w:color w:val="auto"/>
        </w:rPr>
      </w:pPr>
      <w:r>
        <w:rPr>
          <w:rFonts w:ascii="Courier New" w:cs="Courier New" w:eastAsia="Courier New" w:hAnsi="Courier New"/>
          <w:sz w:val="14"/>
          <w:szCs w:val="14"/>
          <w:color w:val="auto"/>
        </w:rPr>
        <w:t>Net earnings for 1993 was $13.0 million or $1.05 per share, a significant increase over the net loss of $23.8 million or $1.98 loss per share in 1992. The earnings improvement was principally the result of increased sales, the company's restructuring efforts initiated during 1992 and lower interest costs.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The company continues to improve its balance sheet by focusing on debt reduction and closely aligning working capital needs with the best available financing alternatives. This was demonstrated by the continued reduction of long-term debt by $36.7 million in 1994.</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FUNDS FROM OPERATIONS</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Cash flows from operations decreased $44.3 million from 1993. The majority of this decrease was the result of increased inventories in anticipation of strong fall demand and increased accounts receivable because of the sales growth. These increases were offset by the increase in accounts payable and accrued expenses and the increase in cash flows from operating earnings.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FLOW FROM OPERATIONS</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9" w:lineRule="exact"/>
        <w:rPr>
          <w:sz w:val="20"/>
          <w:szCs w:val="20"/>
          <w:color w:val="auto"/>
        </w:rPr>
      </w:pPr>
    </w:p>
    <w:p>
      <w:pPr>
        <w:ind w:left="2300"/>
        <w:spacing w:after="0"/>
        <w:tabs>
          <w:tab w:leader="none" w:pos="3160" w:val="left"/>
          <w:tab w:leader="none" w:pos="4060" w:val="left"/>
          <w:tab w:leader="none" w:pos="4940" w:val="left"/>
          <w:tab w:leader="none" w:pos="5820" w:val="left"/>
          <w:tab w:leader="none" w:pos="6720" w:val="left"/>
        </w:tabs>
        <w:rPr>
          <w:sz w:val="20"/>
          <w:szCs w:val="20"/>
          <w:color w:val="auto"/>
        </w:rPr>
      </w:pPr>
      <w:r>
        <w:rPr>
          <w:rFonts w:ascii="Courier New" w:cs="Courier New" w:eastAsia="Courier New" w:hAnsi="Courier New"/>
          <w:sz w:val="15"/>
          <w:szCs w:val="15"/>
          <w:color w:val="auto"/>
        </w:rPr>
        <w:t>89</w:t>
      </w:r>
      <w:r>
        <w:rPr>
          <w:sz w:val="20"/>
          <w:szCs w:val="20"/>
          <w:color w:val="auto"/>
        </w:rPr>
        <w:tab/>
      </w:r>
      <w:r>
        <w:rPr>
          <w:rFonts w:ascii="Courier New" w:cs="Courier New" w:eastAsia="Courier New" w:hAnsi="Courier New"/>
          <w:sz w:val="15"/>
          <w:szCs w:val="15"/>
          <w:color w:val="auto"/>
        </w:rPr>
        <w:t>90</w:t>
      </w:r>
      <w:r>
        <w:rPr>
          <w:sz w:val="20"/>
          <w:szCs w:val="20"/>
          <w:color w:val="auto"/>
        </w:rPr>
        <w:tab/>
      </w:r>
      <w:r>
        <w:rPr>
          <w:rFonts w:ascii="Courier New" w:cs="Courier New" w:eastAsia="Courier New" w:hAnsi="Courier New"/>
          <w:sz w:val="15"/>
          <w:szCs w:val="15"/>
          <w:color w:val="auto"/>
        </w:rPr>
        <w:t>91</w:t>
      </w:r>
      <w:r>
        <w:rPr>
          <w:sz w:val="20"/>
          <w:szCs w:val="20"/>
          <w:color w:val="auto"/>
        </w:rPr>
        <w:tab/>
      </w:r>
      <w:r>
        <w:rPr>
          <w:rFonts w:ascii="Courier New" w:cs="Courier New" w:eastAsia="Courier New" w:hAnsi="Courier New"/>
          <w:sz w:val="15"/>
          <w:szCs w:val="15"/>
          <w:color w:val="auto"/>
        </w:rPr>
        <w:t>92</w:t>
      </w:r>
      <w:r>
        <w:rPr>
          <w:sz w:val="20"/>
          <w:szCs w:val="20"/>
          <w:color w:val="auto"/>
        </w:rPr>
        <w:tab/>
      </w:r>
      <w:r>
        <w:rPr>
          <w:rFonts w:ascii="Courier New" w:cs="Courier New" w:eastAsia="Courier New" w:hAnsi="Courier New"/>
          <w:sz w:val="15"/>
          <w:szCs w:val="15"/>
          <w:color w:val="auto"/>
        </w:rPr>
        <w:t>93</w:t>
      </w:r>
      <w:r>
        <w:rPr>
          <w:sz w:val="20"/>
          <w:szCs w:val="20"/>
          <w:color w:val="auto"/>
        </w:rPr>
        <w:tab/>
      </w:r>
      <w:r>
        <w:rPr>
          <w:rFonts w:ascii="Courier New" w:cs="Courier New" w:eastAsia="Courier New" w:hAnsi="Courier New"/>
          <w:sz w:val="15"/>
          <w:szCs w:val="15"/>
          <w:color w:val="auto"/>
        </w:rPr>
        <w:t>94</w:t>
      </w:r>
    </w:p>
    <w:p>
      <w:pPr>
        <w:sectPr>
          <w:pgSz w:w="11900" w:h="16870" w:orient="portrait"/>
          <w:cols w:equalWidth="0" w:num="1">
            <w:col w:w="10219"/>
          </w:cols>
          <w:pgMar w:left="240" w:top="799" w:right="1440" w:bottom="0" w:gutter="0" w:footer="0" w:header="0"/>
        </w:sectPr>
      </w:pPr>
    </w:p>
    <w:bookmarkStart w:id="27" w:name="page28"/>
    <w:bookmarkEnd w:id="27"/>
    <w:p>
      <w:pPr>
        <w:spacing w:after="0"/>
        <w:rPr>
          <w:sz w:val="20"/>
          <w:szCs w:val="20"/>
          <w:color w:val="auto"/>
        </w:rPr>
      </w:pPr>
      <w:r>
        <w:rPr>
          <w:rFonts w:ascii="Courier New" w:cs="Courier New" w:eastAsia="Courier New" w:hAnsi="Courier New"/>
          <w:sz w:val="14"/>
          <w:szCs w:val="14"/>
          <w:color w:val="auto"/>
        </w:rPr>
        <w:t>- - - - --------------------------------------------------------------------------------</w:t>
      </w:r>
    </w:p>
    <w:p>
      <w:pPr>
        <w:spacing w:after="0" w:line="183" w:lineRule="exact"/>
        <w:rPr>
          <w:sz w:val="20"/>
          <w:szCs w:val="20"/>
          <w:color w:val="auto"/>
        </w:rPr>
      </w:pPr>
    </w:p>
    <w:p>
      <w:pPr>
        <w:ind w:right="2419"/>
        <w:spacing w:after="0" w:line="238" w:lineRule="auto"/>
        <w:rPr>
          <w:sz w:val="20"/>
          <w:szCs w:val="20"/>
          <w:color w:val="auto"/>
        </w:rPr>
      </w:pPr>
      <w:r>
        <w:rPr>
          <w:rFonts w:ascii="Courier New" w:cs="Courier New" w:eastAsia="Courier New" w:hAnsi="Courier New"/>
          <w:sz w:val="15"/>
          <w:szCs w:val="15"/>
          <w:color w:val="auto"/>
        </w:rPr>
        <w:t>(Millions) $17.8 $(0.4) $43.9 $40.9 $72.1 $27.8 - - - - --------------------------------------------------------------------------------</w:t>
      </w:r>
    </w:p>
    <w:p>
      <w:pPr>
        <w:sectPr>
          <w:pgSz w:w="11900" w:h="16838" w:orient="portrait"/>
          <w:cols w:equalWidth="0" w:num="1">
            <w:col w:w="10219"/>
          </w:cols>
          <w:pgMar w:left="240" w:top="141" w:right="1440" w:bottom="1440" w:gutter="0" w:footer="0" w:header="0"/>
        </w:sectPr>
      </w:pPr>
    </w:p>
    <w:p>
      <w:pPr>
        <w:spacing w:after="0" w:line="200" w:lineRule="exact"/>
        <w:rPr>
          <w:sz w:val="20"/>
          <w:szCs w:val="20"/>
          <w:color w:val="auto"/>
        </w:rPr>
      </w:pPr>
    </w:p>
    <w:p>
      <w:pPr>
        <w:spacing w:after="0" w:line="316"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The Toro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1994 Annual Report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3">
            <w:col w:w="4600" w:space="440"/>
            <w:col w:w="1600" w:space="280"/>
            <w:col w:w="3299"/>
          </w:cols>
          <w:pgMar w:left="240" w:top="141" w:right="1440" w:bottom="1440" w:gutter="0" w:footer="0" w:header="0"/>
          <w:type w:val="continuous"/>
        </w:sectPr>
      </w:pPr>
    </w:p>
    <w:bookmarkStart w:id="28" w:name="page29"/>
    <w:bookmarkEnd w:id="28"/>
    <w:p>
      <w:pPr>
        <w:spacing w:after="0" w:line="4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ASSETS</w:t>
      </w:r>
    </w:p>
    <w:p>
      <w:pPr>
        <w:spacing w:after="0" w:line="3" w:lineRule="exact"/>
        <w:rPr>
          <w:sz w:val="20"/>
          <w:szCs w:val="20"/>
          <w:color w:val="auto"/>
        </w:rPr>
      </w:pPr>
    </w:p>
    <w:p>
      <w:pPr>
        <w:ind w:left="9" w:right="3119"/>
        <w:spacing w:after="0" w:line="260" w:lineRule="auto"/>
        <w:rPr>
          <w:sz w:val="20"/>
          <w:szCs w:val="20"/>
          <w:color w:val="auto"/>
        </w:rPr>
      </w:pPr>
      <w:r>
        <w:rPr>
          <w:rFonts w:ascii="Courier New" w:cs="Courier New" w:eastAsia="Courier New" w:hAnsi="Courier New"/>
          <w:sz w:val="14"/>
          <w:szCs w:val="14"/>
          <w:color w:val="auto"/>
        </w:rPr>
        <w:t>Total assets as of July 31, 1994, were $443.6 million, up $24.4 million from 1993. The largest increase occurred in inventory which was up $40.0 million from the prior year. This increase was principally the result of ending 1994 with higher inventories in anticipation of strong fall demand for most products. In addition, deferred income taxes and other assets increased over the prior year. These increases were offset by a decrease in cash and cash equivalents which declined $25.6 million to $36.2 million as a result of improved cash management combined with the repayment of $40.6 million in long-term debt.</w:t>
      </w:r>
    </w:p>
    <w:p>
      <w:pPr>
        <w:spacing w:after="0" w:line="15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WORKING CAPITAL</w:t>
      </w:r>
    </w:p>
    <w:p>
      <w:pPr>
        <w:spacing w:after="0" w:line="3"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Working capital at July 31, 1994, was $175.8 million, a decrease of $18.1 million from the $193.9 million reported in 1993. The current ratio for 1994 was 1.9 versus 2.3 in 1993. Working capital as a percent of sales was 22.1% in 1994 compared to 28.3% in 1993.</w:t>
      </w:r>
    </w:p>
    <w:p>
      <w:pPr>
        <w:spacing w:after="0" w:line="176"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The changes listed above result from current assets increasing $20.4 million while current liabilities increased $38.5 million. The majority of the increase in current liabilities was the result of an increase in accounts payable, accrued marketing programs and an accrual for the costs necessary to implement the company's distribution strategies.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CAPITAL STRUCTURE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Long-term debt includes:</w:t>
      </w:r>
    </w:p>
    <w:p>
      <w:pPr>
        <w:spacing w:after="0" w:line="3" w:lineRule="exact"/>
        <w:rPr>
          <w:sz w:val="20"/>
          <w:szCs w:val="20"/>
          <w:color w:val="auto"/>
        </w:rPr>
      </w:pPr>
    </w:p>
    <w:p>
      <w:pPr>
        <w:ind w:left="9" w:right="2779" w:hanging="9"/>
        <w:spacing w:after="0" w:line="238" w:lineRule="auto"/>
        <w:tabs>
          <w:tab w:leader="none" w:pos="187"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$50.0 million of 11% sinking fund debentures, due August 2017 with sinking fund payments after 1998:</w:t>
      </w:r>
    </w:p>
    <w:p>
      <w:pPr>
        <w:spacing w:after="0" w:line="172" w:lineRule="exact"/>
        <w:rPr>
          <w:rFonts w:ascii="Courier New" w:cs="Courier New" w:eastAsia="Courier New" w:hAnsi="Courier New"/>
          <w:sz w:val="15"/>
          <w:szCs w:val="15"/>
          <w:color w:val="auto"/>
        </w:rPr>
      </w:pPr>
    </w:p>
    <w:p>
      <w:pPr>
        <w:ind w:left="169" w:hanging="169"/>
        <w:spacing w:after="0"/>
        <w:tabs>
          <w:tab w:leader="none" w:pos="169"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$2.3 million of variable rate industrial revenue bonds, due annually August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1995 through August 2009:</w:t>
      </w:r>
    </w:p>
    <w:p>
      <w:pPr>
        <w:spacing w:after="0" w:line="174" w:lineRule="exact"/>
        <w:rPr>
          <w:rFonts w:ascii="Courier New" w:cs="Courier New" w:eastAsia="Courier New" w:hAnsi="Courier New"/>
          <w:sz w:val="15"/>
          <w:szCs w:val="15"/>
          <w:color w:val="auto"/>
        </w:rPr>
      </w:pPr>
    </w:p>
    <w:p>
      <w:pPr>
        <w:ind w:left="9" w:right="2779" w:hanging="9"/>
        <w:spacing w:after="0" w:line="238" w:lineRule="auto"/>
        <w:tabs>
          <w:tab w:leader="none" w:pos="187"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$4.0 million variable rate industrial revenue bond, due annually June 1995 through June 2004:</w:t>
      </w:r>
    </w:p>
    <w:p>
      <w:pPr>
        <w:spacing w:after="0" w:line="174" w:lineRule="exact"/>
        <w:rPr>
          <w:rFonts w:ascii="Courier New" w:cs="Courier New" w:eastAsia="Courier New" w:hAnsi="Courier New"/>
          <w:sz w:val="15"/>
          <w:szCs w:val="15"/>
          <w:color w:val="auto"/>
        </w:rPr>
      </w:pPr>
    </w:p>
    <w:p>
      <w:pPr>
        <w:ind w:left="9" w:right="2779" w:hanging="9"/>
        <w:spacing w:after="0" w:line="238" w:lineRule="auto"/>
        <w:tabs>
          <w:tab w:leader="none" w:pos="187"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$45.0 million of subordinated and senior notes, due September 1994 through August 1996 bearing interest rates of 7.38% to 9.57%.</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TOTAL DEBT</w:t>
      </w:r>
    </w:p>
    <w:p>
      <w:pPr>
        <w:spacing w:after="0" w:line="345"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 --------------------------------------------------------------------------------</w:t>
      </w:r>
    </w:p>
    <w:p>
      <w:pPr>
        <w:spacing w:after="0" w:line="9" w:lineRule="exact"/>
        <w:rPr>
          <w:sz w:val="20"/>
          <w:szCs w:val="20"/>
          <w:color w:val="auto"/>
        </w:rPr>
      </w:pPr>
    </w:p>
    <w:p>
      <w:pPr>
        <w:ind w:left="2309"/>
        <w:spacing w:after="0"/>
        <w:tabs>
          <w:tab w:leader="none" w:pos="3169" w:val="left"/>
          <w:tab w:leader="none" w:pos="4069" w:val="left"/>
          <w:tab w:leader="none" w:pos="4949" w:val="left"/>
          <w:tab w:leader="none" w:pos="5829" w:val="left"/>
          <w:tab w:leader="none" w:pos="6729" w:val="left"/>
        </w:tabs>
        <w:rPr>
          <w:sz w:val="20"/>
          <w:szCs w:val="20"/>
          <w:color w:val="auto"/>
        </w:rPr>
      </w:pPr>
      <w:r>
        <w:rPr>
          <w:rFonts w:ascii="Courier New" w:cs="Courier New" w:eastAsia="Courier New" w:hAnsi="Courier New"/>
          <w:sz w:val="15"/>
          <w:szCs w:val="15"/>
          <w:color w:val="auto"/>
        </w:rPr>
        <w:t>89</w:t>
      </w:r>
      <w:r>
        <w:rPr>
          <w:sz w:val="20"/>
          <w:szCs w:val="20"/>
          <w:color w:val="auto"/>
        </w:rPr>
        <w:tab/>
      </w:r>
      <w:r>
        <w:rPr>
          <w:rFonts w:ascii="Courier New" w:cs="Courier New" w:eastAsia="Courier New" w:hAnsi="Courier New"/>
          <w:sz w:val="15"/>
          <w:szCs w:val="15"/>
          <w:color w:val="auto"/>
        </w:rPr>
        <w:t>90</w:t>
      </w:r>
      <w:r>
        <w:rPr>
          <w:sz w:val="20"/>
          <w:szCs w:val="20"/>
          <w:color w:val="auto"/>
        </w:rPr>
        <w:tab/>
      </w:r>
      <w:r>
        <w:rPr>
          <w:rFonts w:ascii="Courier New" w:cs="Courier New" w:eastAsia="Courier New" w:hAnsi="Courier New"/>
          <w:sz w:val="15"/>
          <w:szCs w:val="15"/>
          <w:color w:val="auto"/>
        </w:rPr>
        <w:t>91</w:t>
      </w:r>
      <w:r>
        <w:rPr>
          <w:sz w:val="20"/>
          <w:szCs w:val="20"/>
          <w:color w:val="auto"/>
        </w:rPr>
        <w:tab/>
      </w:r>
      <w:r>
        <w:rPr>
          <w:rFonts w:ascii="Courier New" w:cs="Courier New" w:eastAsia="Courier New" w:hAnsi="Courier New"/>
          <w:sz w:val="15"/>
          <w:szCs w:val="15"/>
          <w:color w:val="auto"/>
        </w:rPr>
        <w:t>92</w:t>
      </w:r>
      <w:r>
        <w:rPr>
          <w:sz w:val="20"/>
          <w:szCs w:val="20"/>
          <w:color w:val="auto"/>
        </w:rPr>
        <w:tab/>
      </w:r>
      <w:r>
        <w:rPr>
          <w:rFonts w:ascii="Courier New" w:cs="Courier New" w:eastAsia="Courier New" w:hAnsi="Courier New"/>
          <w:sz w:val="15"/>
          <w:szCs w:val="15"/>
          <w:color w:val="auto"/>
        </w:rPr>
        <w:t>93</w:t>
      </w:r>
      <w:r>
        <w:rPr>
          <w:sz w:val="20"/>
          <w:szCs w:val="20"/>
          <w:color w:val="auto"/>
        </w:rPr>
        <w:tab/>
      </w:r>
      <w:r>
        <w:rPr>
          <w:rFonts w:ascii="Courier New" w:cs="Courier New" w:eastAsia="Courier New" w:hAnsi="Courier New"/>
          <w:sz w:val="15"/>
          <w:szCs w:val="15"/>
          <w:color w:val="auto"/>
        </w:rPr>
        <w:t>94</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 --------------------------------------------------------------------------------</w:t>
      </w:r>
    </w:p>
    <w:p>
      <w:pPr>
        <w:spacing w:after="0" w:line="180" w:lineRule="exact"/>
        <w:rPr>
          <w:sz w:val="20"/>
          <w:szCs w:val="20"/>
          <w:color w:val="auto"/>
        </w:rPr>
      </w:pPr>
    </w:p>
    <w:p>
      <w:pPr>
        <w:ind w:left="9"/>
        <w:spacing w:after="0"/>
        <w:tabs>
          <w:tab w:leader="none" w:pos="1929" w:val="left"/>
          <w:tab w:leader="none" w:pos="2829" w:val="left"/>
          <w:tab w:leader="none" w:pos="3709" w:val="left"/>
          <w:tab w:leader="none" w:pos="4589" w:val="left"/>
          <w:tab w:leader="none" w:pos="5489" w:val="left"/>
          <w:tab w:leader="none" w:pos="6369" w:val="left"/>
        </w:tabs>
        <w:rPr>
          <w:sz w:val="20"/>
          <w:szCs w:val="20"/>
          <w:color w:val="auto"/>
        </w:rPr>
      </w:pPr>
      <w:r>
        <w:rPr>
          <w:rFonts w:ascii="Courier New" w:cs="Courier New" w:eastAsia="Courier New" w:hAnsi="Courier New"/>
          <w:sz w:val="15"/>
          <w:szCs w:val="15"/>
          <w:color w:val="auto"/>
        </w:rPr>
        <w:t>(Millions)</w:t>
      </w:r>
      <w:r>
        <w:rPr>
          <w:sz w:val="20"/>
          <w:szCs w:val="20"/>
          <w:color w:val="auto"/>
        </w:rPr>
        <w:tab/>
      </w:r>
      <w:r>
        <w:rPr>
          <w:rFonts w:ascii="Courier New" w:cs="Courier New" w:eastAsia="Courier New" w:hAnsi="Courier New"/>
          <w:sz w:val="15"/>
          <w:szCs w:val="15"/>
          <w:color w:val="auto"/>
        </w:rPr>
        <w:t>$114.4</w:t>
      </w:r>
      <w:r>
        <w:rPr>
          <w:sz w:val="20"/>
          <w:szCs w:val="20"/>
          <w:color w:val="auto"/>
        </w:rPr>
        <w:tab/>
      </w:r>
      <w:r>
        <w:rPr>
          <w:rFonts w:ascii="Courier New" w:cs="Courier New" w:eastAsia="Courier New" w:hAnsi="Courier New"/>
          <w:sz w:val="15"/>
          <w:szCs w:val="15"/>
          <w:color w:val="auto"/>
        </w:rPr>
        <w:t>$154.5</w:t>
      </w:r>
      <w:r>
        <w:rPr>
          <w:sz w:val="20"/>
          <w:szCs w:val="20"/>
          <w:color w:val="auto"/>
        </w:rPr>
        <w:tab/>
      </w:r>
      <w:r>
        <w:rPr>
          <w:rFonts w:ascii="Courier New" w:cs="Courier New" w:eastAsia="Courier New" w:hAnsi="Courier New"/>
          <w:sz w:val="15"/>
          <w:szCs w:val="15"/>
          <w:color w:val="auto"/>
        </w:rPr>
        <w:t>$155.3</w:t>
      </w:r>
      <w:r>
        <w:rPr>
          <w:sz w:val="20"/>
          <w:szCs w:val="20"/>
          <w:color w:val="auto"/>
        </w:rPr>
        <w:tab/>
      </w:r>
      <w:r>
        <w:rPr>
          <w:rFonts w:ascii="Courier New" w:cs="Courier New" w:eastAsia="Courier New" w:hAnsi="Courier New"/>
          <w:sz w:val="15"/>
          <w:szCs w:val="15"/>
          <w:color w:val="auto"/>
        </w:rPr>
        <w:t>$164.1</w:t>
      </w:r>
      <w:r>
        <w:rPr>
          <w:sz w:val="20"/>
          <w:szCs w:val="20"/>
          <w:color w:val="auto"/>
        </w:rPr>
        <w:tab/>
      </w:r>
      <w:r>
        <w:rPr>
          <w:rFonts w:ascii="Courier New" w:cs="Courier New" w:eastAsia="Courier New" w:hAnsi="Courier New"/>
          <w:sz w:val="15"/>
          <w:szCs w:val="15"/>
          <w:color w:val="auto"/>
        </w:rPr>
        <w:t>$138.0</w:t>
      </w:r>
      <w:r>
        <w:rPr>
          <w:sz w:val="20"/>
          <w:szCs w:val="20"/>
          <w:color w:val="auto"/>
        </w:rPr>
        <w:tab/>
      </w:r>
      <w:r>
        <w:rPr>
          <w:rFonts w:ascii="Courier New" w:cs="Courier New" w:eastAsia="Courier New" w:hAnsi="Courier New"/>
          <w:sz w:val="15"/>
          <w:szCs w:val="15"/>
          <w:color w:val="auto"/>
        </w:rPr>
        <w:t>$101.3</w:t>
      </w:r>
    </w:p>
    <w:p>
      <w:pPr>
        <w:spacing w:after="0" w:line="3" w:lineRule="exact"/>
        <w:rPr>
          <w:sz w:val="20"/>
          <w:szCs w:val="20"/>
          <w:color w:val="auto"/>
        </w:rPr>
      </w:pPr>
    </w:p>
    <w:p>
      <w:pPr>
        <w:ind w:left="169" w:hanging="169"/>
        <w:spacing w:after="0"/>
        <w:tabs>
          <w:tab w:leader="none" w:pos="169"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350"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CAPITALIZATION</w:t>
      </w:r>
    </w:p>
    <w:p>
      <w:pPr>
        <w:spacing w:after="0" w:line="344"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9" w:lineRule="exact"/>
        <w:rPr>
          <w:sz w:val="20"/>
          <w:szCs w:val="20"/>
          <w:color w:val="auto"/>
        </w:rPr>
      </w:pPr>
    </w:p>
    <w:p>
      <w:pPr>
        <w:ind w:left="2309"/>
        <w:spacing w:after="0"/>
        <w:tabs>
          <w:tab w:leader="none" w:pos="3169" w:val="left"/>
          <w:tab w:leader="none" w:pos="4069" w:val="left"/>
          <w:tab w:leader="none" w:pos="4949" w:val="left"/>
          <w:tab w:leader="none" w:pos="5829" w:val="left"/>
          <w:tab w:leader="none" w:pos="6729" w:val="left"/>
        </w:tabs>
        <w:rPr>
          <w:sz w:val="20"/>
          <w:szCs w:val="20"/>
          <w:color w:val="auto"/>
        </w:rPr>
      </w:pPr>
      <w:r>
        <w:rPr>
          <w:rFonts w:ascii="Courier New" w:cs="Courier New" w:eastAsia="Courier New" w:hAnsi="Courier New"/>
          <w:sz w:val="15"/>
          <w:szCs w:val="15"/>
          <w:color w:val="auto"/>
        </w:rPr>
        <w:t>89</w:t>
      </w:r>
      <w:r>
        <w:rPr>
          <w:sz w:val="20"/>
          <w:szCs w:val="20"/>
          <w:color w:val="auto"/>
        </w:rPr>
        <w:tab/>
      </w:r>
      <w:r>
        <w:rPr>
          <w:rFonts w:ascii="Courier New" w:cs="Courier New" w:eastAsia="Courier New" w:hAnsi="Courier New"/>
          <w:sz w:val="15"/>
          <w:szCs w:val="15"/>
          <w:color w:val="auto"/>
        </w:rPr>
        <w:t>90</w:t>
      </w:r>
      <w:r>
        <w:rPr>
          <w:sz w:val="20"/>
          <w:szCs w:val="20"/>
          <w:color w:val="auto"/>
        </w:rPr>
        <w:tab/>
      </w:r>
      <w:r>
        <w:rPr>
          <w:rFonts w:ascii="Courier New" w:cs="Courier New" w:eastAsia="Courier New" w:hAnsi="Courier New"/>
          <w:sz w:val="15"/>
          <w:szCs w:val="15"/>
          <w:color w:val="auto"/>
        </w:rPr>
        <w:t>91</w:t>
      </w:r>
      <w:r>
        <w:rPr>
          <w:sz w:val="20"/>
          <w:szCs w:val="20"/>
          <w:color w:val="auto"/>
        </w:rPr>
        <w:tab/>
      </w:r>
      <w:r>
        <w:rPr>
          <w:rFonts w:ascii="Courier New" w:cs="Courier New" w:eastAsia="Courier New" w:hAnsi="Courier New"/>
          <w:sz w:val="15"/>
          <w:szCs w:val="15"/>
          <w:color w:val="auto"/>
        </w:rPr>
        <w:t>92</w:t>
      </w:r>
      <w:r>
        <w:rPr>
          <w:sz w:val="20"/>
          <w:szCs w:val="20"/>
          <w:color w:val="auto"/>
        </w:rPr>
        <w:tab/>
      </w:r>
      <w:r>
        <w:rPr>
          <w:rFonts w:ascii="Courier New" w:cs="Courier New" w:eastAsia="Courier New" w:hAnsi="Courier New"/>
          <w:sz w:val="15"/>
          <w:szCs w:val="15"/>
          <w:color w:val="auto"/>
        </w:rPr>
        <w:t>93</w:t>
      </w:r>
      <w:r>
        <w:rPr>
          <w:sz w:val="20"/>
          <w:szCs w:val="20"/>
          <w:color w:val="auto"/>
        </w:rPr>
        <w:tab/>
      </w:r>
      <w:r>
        <w:rPr>
          <w:rFonts w:ascii="Courier New" w:cs="Courier New" w:eastAsia="Courier New" w:hAnsi="Courier New"/>
          <w:sz w:val="15"/>
          <w:szCs w:val="15"/>
          <w:color w:val="auto"/>
        </w:rPr>
        <w:t>94</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 --------------------------------------------------------------------------------</w:t>
      </w:r>
    </w:p>
    <w:p>
      <w:pPr>
        <w:spacing w:after="0" w:line="183" w:lineRule="exact"/>
        <w:rPr>
          <w:sz w:val="20"/>
          <w:szCs w:val="20"/>
          <w:color w:val="auto"/>
        </w:rPr>
      </w:pPr>
    </w:p>
    <w:p>
      <w:pPr>
        <w:ind w:left="9" w:right="2419"/>
        <w:spacing w:after="0" w:line="238" w:lineRule="auto"/>
        <w:rPr>
          <w:sz w:val="20"/>
          <w:szCs w:val="20"/>
          <w:color w:val="auto"/>
        </w:rPr>
      </w:pPr>
      <w:r>
        <w:rPr>
          <w:rFonts w:ascii="Courier New" w:cs="Courier New" w:eastAsia="Courier New" w:hAnsi="Courier New"/>
          <w:sz w:val="15"/>
          <w:szCs w:val="15"/>
          <w:color w:val="auto"/>
        </w:rPr>
        <w:t>(Millions) $200.3 $287.0 $305.9 $296.7 $267.6 $249.7 - - - - --------------------------------------------------------------------------------</w:t>
      </w:r>
    </w:p>
    <w:p>
      <w:pPr>
        <w:spacing w:after="0" w:line="346"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Total debt at July 31, 1994, was $101.3 million, down $36.7 million from $138.0 million at July 31, 1993. Of this balance $20.3 million is current. The amount of total long-term debt attributable to Toro Credit Company, the company's consolidated finance subsidiary, was $45.0 million at July 31, 1994, compared to $60.0 million at July 31, 1993.</w:t>
      </w:r>
    </w:p>
    <w:p>
      <w:pPr>
        <w:spacing w:after="0" w:line="174" w:lineRule="exact"/>
        <w:rPr>
          <w:sz w:val="20"/>
          <w:szCs w:val="20"/>
          <w:color w:val="auto"/>
        </w:rPr>
      </w:pPr>
    </w:p>
    <w:p>
      <w:pPr>
        <w:ind w:left="9" w:right="3299" w:firstLine="444"/>
        <w:spacing w:after="0" w:line="261" w:lineRule="auto"/>
        <w:rPr>
          <w:sz w:val="20"/>
          <w:szCs w:val="20"/>
          <w:color w:val="auto"/>
        </w:rPr>
      </w:pPr>
      <w:r>
        <w:rPr>
          <w:rFonts w:ascii="Courier New" w:cs="Courier New" w:eastAsia="Courier New" w:hAnsi="Courier New"/>
          <w:sz w:val="14"/>
          <w:szCs w:val="14"/>
          <w:color w:val="auto"/>
        </w:rPr>
        <w:t>During 1994 the company made scheduled payments on maturing debt of $40.6 million. The total debt to total capital ratio decreased from 48.8% in 1993 to 37.5% in 1994. This decrease was the result of lower debt levels and an increased equity position as a result of current year earnings and the annual payment of the company's Employee Stock Ownership Plan (ESOP) receivable.</w:t>
      </w:r>
    </w:p>
    <w:p>
      <w:pPr>
        <w:spacing w:after="0" w:line="162" w:lineRule="exact"/>
        <w:rPr>
          <w:sz w:val="20"/>
          <w:szCs w:val="20"/>
          <w:color w:val="auto"/>
        </w:rPr>
      </w:pPr>
    </w:p>
    <w:p>
      <w:pPr>
        <w:ind w:left="9" w:right="3219" w:firstLine="444"/>
        <w:spacing w:after="0" w:line="238" w:lineRule="auto"/>
        <w:rPr>
          <w:sz w:val="20"/>
          <w:szCs w:val="20"/>
          <w:color w:val="auto"/>
        </w:rPr>
      </w:pPr>
      <w:r>
        <w:rPr>
          <w:rFonts w:ascii="Courier New" w:cs="Courier New" w:eastAsia="Courier New" w:hAnsi="Courier New"/>
          <w:sz w:val="15"/>
          <w:szCs w:val="15"/>
          <w:color w:val="auto"/>
        </w:rPr>
        <w:t>Total capitalization at July 31, 1994, consisted of $81.0 million of long-term debt and $168.7 million in stockholders' equity.</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CREDIT LINES AND OTHER CAPITAL RESOURCES</w:t>
      </w:r>
    </w:p>
    <w:p>
      <w:pPr>
        <w:spacing w:after="0" w:line="3" w:lineRule="exact"/>
        <w:rPr>
          <w:sz w:val="20"/>
          <w:szCs w:val="20"/>
          <w:color w:val="auto"/>
        </w:rPr>
      </w:pPr>
    </w:p>
    <w:p>
      <w:pPr>
        <w:ind w:left="9" w:right="3299"/>
        <w:spacing w:after="0"/>
        <w:rPr>
          <w:sz w:val="20"/>
          <w:szCs w:val="20"/>
          <w:color w:val="auto"/>
        </w:rPr>
      </w:pPr>
      <w:r>
        <w:rPr>
          <w:rFonts w:ascii="Courier New" w:cs="Courier New" w:eastAsia="Courier New" w:hAnsi="Courier New"/>
          <w:sz w:val="15"/>
          <w:szCs w:val="15"/>
          <w:color w:val="auto"/>
        </w:rPr>
        <w:t>The company's seasonal working capital requirements are funded with $100.0 million of unsecured bank credit lines. Average borrowings under these lines were $12.9 million in 1994. There were no aggregate outstanding borrowings on these lines at July 31, 1994. In 1993, the company had $120.0 million of unsecured bank credit lines. Average borrowings under these lines were $10.6 million in 1993. There were no aggregate outstanding borrowings on these lines at July 31, 1993. The increase in average borrowing was the result of the reduction in long-term debt.</w:t>
      </w:r>
    </w:p>
    <w:p>
      <w:pPr>
        <w:spacing w:after="0" w:line="177" w:lineRule="exact"/>
        <w:rPr>
          <w:sz w:val="20"/>
          <w:szCs w:val="20"/>
          <w:color w:val="auto"/>
        </w:rPr>
      </w:pPr>
    </w:p>
    <w:p>
      <w:pPr>
        <w:ind w:left="9" w:right="3219" w:firstLine="444"/>
        <w:spacing w:after="0" w:line="262" w:lineRule="auto"/>
        <w:rPr>
          <w:sz w:val="20"/>
          <w:szCs w:val="20"/>
          <w:color w:val="auto"/>
        </w:rPr>
      </w:pPr>
      <w:r>
        <w:rPr>
          <w:rFonts w:ascii="Courier New" w:cs="Courier New" w:eastAsia="Courier New" w:hAnsi="Courier New"/>
          <w:sz w:val="14"/>
          <w:szCs w:val="14"/>
          <w:color w:val="auto"/>
        </w:rPr>
        <w:t>Additionally, the company's resources included two bankers' acceptance financing agreements totaling $40.0 million in 1994 and one bankers' acceptance financing agreement of $20.0 million in 1993. The company had no amounts outstanding under these agreements at July 31, 1994, and July 31, 1993.</w:t>
      </w:r>
    </w:p>
    <w:p>
      <w:pPr>
        <w:spacing w:after="0" w:line="158"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SUMMARY</w:t>
      </w:r>
    </w:p>
    <w:p>
      <w:pPr>
        <w:spacing w:after="0" w:line="3" w:lineRule="exact"/>
        <w:rPr>
          <w:sz w:val="20"/>
          <w:szCs w:val="20"/>
          <w:color w:val="auto"/>
        </w:rPr>
      </w:pPr>
    </w:p>
    <w:p>
      <w:pPr>
        <w:ind w:left="9" w:right="3219"/>
        <w:spacing w:after="0" w:line="261" w:lineRule="auto"/>
        <w:rPr>
          <w:sz w:val="20"/>
          <w:szCs w:val="20"/>
          <w:color w:val="auto"/>
        </w:rPr>
      </w:pPr>
      <w:r>
        <w:rPr>
          <w:rFonts w:ascii="Courier New" w:cs="Courier New" w:eastAsia="Courier New" w:hAnsi="Courier New"/>
          <w:sz w:val="14"/>
          <w:szCs w:val="14"/>
          <w:color w:val="auto"/>
        </w:rPr>
        <w:t>The Toro Company's long-term initiatives contributed to the financial growth in 1994. In addition, significant investments in key areas strengthened the company's competitiveness. Sales increased as a result of product improvements, the improved economy, pricing strategies and an increased focus on brand advertising. The company's balance sheet was strengthened through the reduction</w:t>
      </w:r>
    </w:p>
    <w:p>
      <w:pPr>
        <w:sectPr>
          <w:pgSz w:w="11900" w:h="16883" w:orient="portrait"/>
          <w:cols w:equalWidth="0" w:num="1">
            <w:col w:w="10228"/>
          </w:cols>
          <w:pgMar w:left="231" w:top="628" w:right="1440" w:bottom="0" w:gutter="0" w:footer="0" w:header="0"/>
        </w:sectPr>
      </w:pPr>
    </w:p>
    <w:bookmarkStart w:id="29" w:name="page30"/>
    <w:bookmarkEnd w:id="29"/>
    <w:p>
      <w:pPr>
        <w:spacing w:after="0"/>
        <w:rPr>
          <w:sz w:val="20"/>
          <w:szCs w:val="20"/>
          <w:color w:val="auto"/>
        </w:rPr>
      </w:pPr>
      <w:r>
        <w:rPr>
          <w:rFonts w:ascii="Courier New" w:cs="Courier New" w:eastAsia="Courier New" w:hAnsi="Courier New"/>
          <w:sz w:val="15"/>
          <w:szCs w:val="15"/>
          <w:color w:val="auto"/>
        </w:rPr>
        <w:t>of long-term debt and solid asset management.</w:t>
      </w:r>
    </w:p>
    <w:p>
      <w:pPr>
        <w:spacing w:after="0" w:line="174" w:lineRule="exact"/>
        <w:rPr>
          <w:sz w:val="20"/>
          <w:szCs w:val="20"/>
          <w:color w:val="auto"/>
        </w:rPr>
      </w:pPr>
    </w:p>
    <w:p>
      <w:pPr>
        <w:ind w:right="3659" w:firstLine="444"/>
        <w:spacing w:after="0" w:line="239" w:lineRule="auto"/>
        <w:rPr>
          <w:sz w:val="20"/>
          <w:szCs w:val="20"/>
          <w:color w:val="auto"/>
        </w:rPr>
      </w:pPr>
      <w:r>
        <w:rPr>
          <w:rFonts w:ascii="Courier New" w:cs="Courier New" w:eastAsia="Courier New" w:hAnsi="Courier New"/>
          <w:sz w:val="15"/>
          <w:szCs w:val="15"/>
          <w:color w:val="auto"/>
        </w:rPr>
        <w:t>The company anticipates that 1995's results will continue the trends established in 1994 and position the company to deliver sustainable future growth.</w:t>
      </w:r>
    </w:p>
    <w:p>
      <w:pPr>
        <w:spacing w:after="0" w:line="172" w:lineRule="exact"/>
        <w:rPr>
          <w:sz w:val="20"/>
          <w:szCs w:val="20"/>
          <w:color w:val="auto"/>
        </w:rPr>
      </w:pPr>
    </w:p>
    <w:p>
      <w:pPr>
        <w:spacing w:after="0"/>
        <w:tabs>
          <w:tab w:leader="none" w:pos="420" w:val="left"/>
          <w:tab w:leader="none" w:pos="2280" w:val="left"/>
        </w:tabs>
        <w:rPr>
          <w:sz w:val="20"/>
          <w:szCs w:val="20"/>
          <w:color w:val="auto"/>
        </w:rPr>
      </w:pPr>
      <w:r>
        <w:rPr>
          <w:rFonts w:ascii="Courier New" w:cs="Courier New" w:eastAsia="Courier New" w:hAnsi="Courier New"/>
          <w:sz w:val="15"/>
          <w:szCs w:val="15"/>
          <w:color w:val="auto"/>
        </w:rPr>
        <w:t>18</w:t>
      </w:r>
      <w:r>
        <w:rPr>
          <w:sz w:val="20"/>
          <w:szCs w:val="20"/>
          <w:color w:val="auto"/>
        </w:rPr>
        <w:tab/>
      </w:r>
      <w:r>
        <w:rPr>
          <w:rFonts w:ascii="Courier New" w:cs="Courier New" w:eastAsia="Courier New" w:hAnsi="Courier New"/>
          <w:sz w:val="15"/>
          <w:szCs w:val="15"/>
          <w:color w:val="auto"/>
        </w:rPr>
        <w:t>The Toro Company</w:t>
      </w:r>
      <w:r>
        <w:rPr>
          <w:sz w:val="20"/>
          <w:szCs w:val="20"/>
          <w:color w:val="auto"/>
        </w:rPr>
        <w:tab/>
      </w:r>
      <w:r>
        <w:rPr>
          <w:rFonts w:ascii="Courier New" w:cs="Courier New" w:eastAsia="Courier New" w:hAnsi="Courier New"/>
          <w:sz w:val="14"/>
          <w:szCs w:val="14"/>
          <w:color w:val="auto"/>
        </w:rPr>
        <w:t>1994 Annual Report</w:t>
      </w:r>
    </w:p>
    <w:p>
      <w:pPr>
        <w:sectPr>
          <w:pgSz w:w="11900" w:h="16838" w:orient="portrait"/>
          <w:cols w:equalWidth="0" w:num="1">
            <w:col w:w="10219"/>
          </w:cols>
          <w:pgMar w:left="240" w:top="139" w:right="1440" w:bottom="1440" w:gutter="0" w:footer="0" w:header="0"/>
        </w:sectPr>
      </w:pPr>
    </w:p>
    <w:bookmarkStart w:id="30" w:name="page31"/>
    <w:bookmarkEnd w:id="30"/>
    <w:p>
      <w:pPr>
        <w:ind w:left="9"/>
        <w:spacing w:after="0"/>
        <w:rPr>
          <w:sz w:val="20"/>
          <w:szCs w:val="20"/>
          <w:color w:val="auto"/>
        </w:rPr>
      </w:pPr>
      <w:r>
        <w:rPr>
          <w:rFonts w:ascii="Courier New" w:cs="Courier New" w:eastAsia="Courier New" w:hAnsi="Courier New"/>
          <w:sz w:val="15"/>
          <w:szCs w:val="15"/>
          <w:color w:val="auto"/>
        </w:rPr>
        <w:t>THE TORO COMPANY</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Independent Auditors' Report</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Stockholders and Board of Directors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Toro Company:</w:t>
      </w:r>
    </w:p>
    <w:p>
      <w:pPr>
        <w:spacing w:after="0" w:line="174" w:lineRule="exact"/>
        <w:rPr>
          <w:sz w:val="20"/>
          <w:szCs w:val="20"/>
          <w:color w:val="auto"/>
        </w:rPr>
      </w:pPr>
    </w:p>
    <w:p>
      <w:pPr>
        <w:ind w:left="9" w:right="3119"/>
        <w:spacing w:after="0" w:line="260" w:lineRule="auto"/>
        <w:rPr>
          <w:sz w:val="20"/>
          <w:szCs w:val="20"/>
          <w:color w:val="auto"/>
        </w:rPr>
      </w:pPr>
      <w:r>
        <w:rPr>
          <w:rFonts w:ascii="Courier New" w:cs="Courier New" w:eastAsia="Courier New" w:hAnsi="Courier New"/>
          <w:sz w:val="14"/>
          <w:szCs w:val="14"/>
          <w:color w:val="auto"/>
        </w:rPr>
        <w:t>We have audited the accompanying consolidated balance sheets of The Toro Company and subsidiaries as of July 31, 1994 and 1993, and the related consolidated statements of operations and cash flows for each of the years in the three-year period ended July 31, 1994. These consolidated financial statements are the responsibility of the company's management. Our responsibility is to express an opinion on these consolidated financial statements based on our audits.</w:t>
      </w:r>
    </w:p>
    <w:p>
      <w:pPr>
        <w:spacing w:after="0" w:line="164" w:lineRule="exact"/>
        <w:rPr>
          <w:sz w:val="20"/>
          <w:szCs w:val="20"/>
          <w:color w:val="auto"/>
        </w:rPr>
      </w:pPr>
    </w:p>
    <w:p>
      <w:pPr>
        <w:ind w:left="9" w:right="3119" w:firstLine="444"/>
        <w:spacing w:after="0" w:line="260"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1" w:lineRule="exact"/>
        <w:rPr>
          <w:sz w:val="20"/>
          <w:szCs w:val="20"/>
          <w:color w:val="auto"/>
        </w:rPr>
      </w:pPr>
    </w:p>
    <w:p>
      <w:pPr>
        <w:ind w:left="9" w:right="3119" w:firstLine="444"/>
        <w:spacing w:after="0" w:line="261" w:lineRule="auto"/>
        <w:rPr>
          <w:sz w:val="20"/>
          <w:szCs w:val="20"/>
          <w:color w:val="auto"/>
        </w:rPr>
      </w:pPr>
      <w:r>
        <w:rPr>
          <w:rFonts w:ascii="Courier New" w:cs="Courier New" w:eastAsia="Courier New" w:hAnsi="Courier New"/>
          <w:sz w:val="14"/>
          <w:szCs w:val="14"/>
          <w:color w:val="auto"/>
        </w:rPr>
        <w:t>In our opinion, the consolidated financial statements referred to above present fairly, in all material respects, the financial position of The Toro Company and subsidiaries as of July 31, 1994 and 1993, and the results of their operations and their cash flows for each of the years in the three-year period ended July 31, 1994 in conformity with generally accepted accounting principles.</w:t>
      </w:r>
    </w:p>
    <w:p>
      <w:pPr>
        <w:spacing w:after="0" w:line="330"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KPMG Peat Marwick LLP</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Minneapolis, Minnesota</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September 8, 1994</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TORO COMPANY</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69" w:hanging="169"/>
        <w:spacing w:after="0"/>
        <w:tabs>
          <w:tab w:leader="none" w:pos="169"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(Dollars in thousands, except per-share data)</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80" w:type="dxa"/>
            <w:vAlign w:val="bottom"/>
            <w:gridSpan w:val="2"/>
          </w:tcPr>
          <w:p>
            <w:pPr>
              <w:spacing w:after="0"/>
              <w:rPr>
                <w:sz w:val="20"/>
                <w:szCs w:val="20"/>
                <w:color w:val="auto"/>
              </w:rPr>
            </w:pPr>
            <w:r>
              <w:rPr>
                <w:rFonts w:ascii="Courier New" w:cs="Courier New" w:eastAsia="Courier New" w:hAnsi="Courier New"/>
                <w:sz w:val="15"/>
                <w:szCs w:val="15"/>
                <w:color w:val="auto"/>
              </w:rPr>
              <w:t>Years</w:t>
            </w:r>
          </w:p>
        </w:tc>
        <w:tc>
          <w:tcPr>
            <w:tcW w:w="34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ended July 31</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1994</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1993</w:t>
            </w:r>
          </w:p>
        </w:tc>
        <w:tc>
          <w:tcPr>
            <w:tcW w:w="172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1992</w:t>
            </w: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w:t>
            </w:r>
          </w:p>
        </w:tc>
        <w:tc>
          <w:tcPr>
            <w:tcW w:w="7140" w:type="dxa"/>
            <w:vAlign w:val="bottom"/>
            <w:gridSpan w:val="6"/>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30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36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sales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794,341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684,324</w:t>
            </w:r>
          </w:p>
        </w:tc>
        <w:tc>
          <w:tcPr>
            <w:tcW w:w="172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$643,748</w:t>
            </w:r>
          </w:p>
        </w:tc>
      </w:tr>
      <w:tr>
        <w:trPr>
          <w:trHeight w:val="171"/>
        </w:trPr>
        <w:tc>
          <w:tcPr>
            <w:tcW w:w="660" w:type="dxa"/>
            <w:vAlign w:val="bottom"/>
            <w:gridSpan w:val="3"/>
          </w:tcPr>
          <w:p>
            <w:pPr>
              <w:spacing w:after="0"/>
              <w:rPr>
                <w:sz w:val="20"/>
                <w:szCs w:val="20"/>
                <w:color w:val="auto"/>
              </w:rPr>
            </w:pPr>
            <w:r>
              <w:rPr>
                <w:rFonts w:ascii="Courier New" w:cs="Courier New" w:eastAsia="Courier New" w:hAnsi="Courier New"/>
                <w:sz w:val="15"/>
                <w:szCs w:val="15"/>
                <w:color w:val="auto"/>
              </w:rPr>
              <w:t>Cost of</w:t>
            </w:r>
          </w:p>
        </w:tc>
        <w:tc>
          <w:tcPr>
            <w:tcW w:w="3280" w:type="dxa"/>
            <w:vAlign w:val="bottom"/>
          </w:tcPr>
          <w:p>
            <w:pPr>
              <w:ind w:left="40"/>
              <w:spacing w:after="0"/>
              <w:rPr>
                <w:sz w:val="20"/>
                <w:szCs w:val="20"/>
                <w:color w:val="auto"/>
              </w:rPr>
            </w:pPr>
            <w:r>
              <w:rPr>
                <w:rFonts w:ascii="Courier New" w:cs="Courier New" w:eastAsia="Courier New" w:hAnsi="Courier New"/>
                <w:sz w:val="15"/>
                <w:szCs w:val="15"/>
                <w:color w:val="auto"/>
              </w:rPr>
              <w:t>sales</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506,816</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445,495</w:t>
            </w:r>
          </w:p>
        </w:tc>
        <w:tc>
          <w:tcPr>
            <w:tcW w:w="172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419,138</w:t>
            </w: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w:t>
            </w:r>
          </w:p>
        </w:tc>
        <w:tc>
          <w:tcPr>
            <w:tcW w:w="7140" w:type="dxa"/>
            <w:vAlign w:val="bottom"/>
            <w:gridSpan w:val="6"/>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66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Gross</w:t>
            </w:r>
          </w:p>
        </w:tc>
        <w:tc>
          <w:tcPr>
            <w:tcW w:w="3280" w:type="dxa"/>
            <w:vAlign w:val="bottom"/>
          </w:tcPr>
          <w:p>
            <w:pPr>
              <w:ind w:left="40"/>
              <w:spacing w:after="0"/>
              <w:rPr>
                <w:sz w:val="20"/>
                <w:szCs w:val="20"/>
                <w:color w:val="auto"/>
              </w:rPr>
            </w:pPr>
            <w:r>
              <w:rPr>
                <w:rFonts w:ascii="Courier New" w:cs="Courier New" w:eastAsia="Courier New" w:hAnsi="Courier New"/>
                <w:sz w:val="15"/>
                <w:szCs w:val="15"/>
                <w:color w:val="auto"/>
              </w:rPr>
              <w:t>profit</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287,525</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238,829</w:t>
            </w:r>
          </w:p>
        </w:tc>
        <w:tc>
          <w:tcPr>
            <w:tcW w:w="172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224,610</w:t>
            </w:r>
          </w:p>
        </w:tc>
      </w:tr>
      <w:tr>
        <w:trPr>
          <w:trHeight w:val="171"/>
        </w:trPr>
        <w:tc>
          <w:tcPr>
            <w:tcW w:w="3940" w:type="dxa"/>
            <w:vAlign w:val="bottom"/>
            <w:gridSpan w:val="4"/>
          </w:tcPr>
          <w:p>
            <w:pPr>
              <w:spacing w:after="0"/>
              <w:rPr>
                <w:sz w:val="20"/>
                <w:szCs w:val="20"/>
                <w:color w:val="auto"/>
              </w:rPr>
            </w:pPr>
            <w:r>
              <w:rPr>
                <w:rFonts w:ascii="Courier New" w:cs="Courier New" w:eastAsia="Courier New" w:hAnsi="Courier New"/>
                <w:sz w:val="15"/>
                <w:szCs w:val="15"/>
                <w:color w:val="auto"/>
              </w:rPr>
              <w:t>Selling, general and administrative expense</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244,943</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203,377</w:t>
            </w:r>
          </w:p>
        </w:tc>
        <w:tc>
          <w:tcPr>
            <w:tcW w:w="172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223,166</w:t>
            </w:r>
          </w:p>
        </w:tc>
      </w:tr>
      <w:tr>
        <w:trPr>
          <w:trHeight w:val="171"/>
        </w:trPr>
        <w:tc>
          <w:tcPr>
            <w:tcW w:w="3940" w:type="dxa"/>
            <w:vAlign w:val="bottom"/>
            <w:gridSpan w:val="4"/>
          </w:tcPr>
          <w:p>
            <w:pPr>
              <w:spacing w:after="0"/>
              <w:rPr>
                <w:sz w:val="20"/>
                <w:szCs w:val="20"/>
                <w:color w:val="auto"/>
              </w:rPr>
            </w:pPr>
            <w:r>
              <w:rPr>
                <w:rFonts w:ascii="Courier New" w:cs="Courier New" w:eastAsia="Courier New" w:hAnsi="Courier New"/>
                <w:sz w:val="15"/>
                <w:szCs w:val="15"/>
                <w:color w:val="auto"/>
              </w:rPr>
              <w:t>Restructuring expense</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24,900</w:t>
            </w: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w:t>
            </w:r>
          </w:p>
        </w:tc>
        <w:tc>
          <w:tcPr>
            <w:tcW w:w="7140" w:type="dxa"/>
            <w:vAlign w:val="bottom"/>
            <w:gridSpan w:val="6"/>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940" w:type="dxa"/>
            <w:vAlign w:val="bottom"/>
            <w:gridSpan w:val="4"/>
          </w:tcPr>
          <w:p>
            <w:pPr>
              <w:ind w:left="160"/>
              <w:spacing w:after="0"/>
              <w:rPr>
                <w:sz w:val="20"/>
                <w:szCs w:val="20"/>
                <w:color w:val="auto"/>
              </w:rPr>
            </w:pPr>
            <w:r>
              <w:rPr>
                <w:rFonts w:ascii="Courier New" w:cs="Courier New" w:eastAsia="Courier New" w:hAnsi="Courier New"/>
                <w:sz w:val="15"/>
                <w:szCs w:val="15"/>
                <w:color w:val="auto"/>
              </w:rPr>
              <w:t>Earnings (loss) from operations</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42,582</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35,452</w:t>
            </w: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(23,456)</w:t>
            </w:r>
          </w:p>
        </w:tc>
      </w:tr>
      <w:tr>
        <w:trPr>
          <w:trHeight w:val="171"/>
        </w:trPr>
        <w:tc>
          <w:tcPr>
            <w:tcW w:w="3940" w:type="dxa"/>
            <w:vAlign w:val="bottom"/>
            <w:gridSpan w:val="4"/>
          </w:tcPr>
          <w:p>
            <w:pPr>
              <w:spacing w:after="0"/>
              <w:rPr>
                <w:sz w:val="20"/>
                <w:szCs w:val="20"/>
                <w:color w:val="auto"/>
              </w:rPr>
            </w:pPr>
            <w:r>
              <w:rPr>
                <w:rFonts w:ascii="Courier New" w:cs="Courier New" w:eastAsia="Courier New" w:hAnsi="Courier New"/>
                <w:sz w:val="15"/>
                <w:szCs w:val="15"/>
                <w:color w:val="auto"/>
              </w:rPr>
              <w:t>Interest expense</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13,562</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17,150</w:t>
            </w:r>
          </w:p>
        </w:tc>
        <w:tc>
          <w:tcPr>
            <w:tcW w:w="172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18,726</w:t>
            </w:r>
          </w:p>
        </w:tc>
      </w:tr>
      <w:tr>
        <w:trPr>
          <w:trHeight w:val="171"/>
        </w:trPr>
        <w:tc>
          <w:tcPr>
            <w:tcW w:w="3940" w:type="dxa"/>
            <w:vAlign w:val="bottom"/>
            <w:gridSpan w:val="4"/>
          </w:tcPr>
          <w:p>
            <w:pPr>
              <w:spacing w:after="0"/>
              <w:rPr>
                <w:sz w:val="20"/>
                <w:szCs w:val="20"/>
                <w:color w:val="auto"/>
              </w:rPr>
            </w:pPr>
            <w:r>
              <w:rPr>
                <w:rFonts w:ascii="Courier New" w:cs="Courier New" w:eastAsia="Courier New" w:hAnsi="Courier New"/>
                <w:sz w:val="15"/>
                <w:szCs w:val="15"/>
                <w:color w:val="auto"/>
              </w:rPr>
              <w:t>Other income, net</w:t>
            </w:r>
          </w:p>
        </w:tc>
        <w:tc>
          <w:tcPr>
            <w:tcW w:w="2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(8,030)</w:t>
            </w:r>
          </w:p>
        </w:tc>
        <w:tc>
          <w:tcPr>
            <w:tcW w:w="22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(3,053)</w:t>
            </w: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(7,279)</w:t>
            </w: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w:t>
            </w:r>
          </w:p>
        </w:tc>
        <w:tc>
          <w:tcPr>
            <w:tcW w:w="7140" w:type="dxa"/>
            <w:vAlign w:val="bottom"/>
            <w:gridSpan w:val="6"/>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940" w:type="dxa"/>
            <w:vAlign w:val="bottom"/>
            <w:gridSpan w:val="4"/>
          </w:tcPr>
          <w:p>
            <w:pPr>
              <w:ind w:left="160"/>
              <w:spacing w:after="0"/>
              <w:rPr>
                <w:sz w:val="20"/>
                <w:szCs w:val="20"/>
                <w:color w:val="auto"/>
              </w:rPr>
            </w:pPr>
            <w:r>
              <w:rPr>
                <w:rFonts w:ascii="Courier New" w:cs="Courier New" w:eastAsia="Courier New" w:hAnsi="Courier New"/>
                <w:sz w:val="15"/>
                <w:szCs w:val="15"/>
                <w:color w:val="auto"/>
              </w:rPr>
              <w:t>Earnings (loss) before income taxes</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37,050</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21,355</w:t>
            </w: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(34,903)</w:t>
            </w:r>
          </w:p>
        </w:tc>
      </w:tr>
      <w:tr>
        <w:trPr>
          <w:trHeight w:val="171"/>
        </w:trPr>
        <w:tc>
          <w:tcPr>
            <w:tcW w:w="3940" w:type="dxa"/>
            <w:vAlign w:val="bottom"/>
            <w:gridSpan w:val="4"/>
          </w:tcPr>
          <w:p>
            <w:pPr>
              <w:spacing w:after="0"/>
              <w:rPr>
                <w:sz w:val="20"/>
                <w:szCs w:val="20"/>
                <w:color w:val="auto"/>
              </w:rPr>
            </w:pPr>
            <w:r>
              <w:rPr>
                <w:rFonts w:ascii="Courier New" w:cs="Courier New" w:eastAsia="Courier New" w:hAnsi="Courier New"/>
                <w:sz w:val="15"/>
                <w:szCs w:val="15"/>
                <w:color w:val="auto"/>
              </w:rPr>
              <w:t>Provision (benefit) for income taxes</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14,820</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8,315</w:t>
            </w: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(11,150)</w:t>
            </w: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w:t>
            </w:r>
          </w:p>
        </w:tc>
        <w:tc>
          <w:tcPr>
            <w:tcW w:w="7140" w:type="dxa"/>
            <w:vAlign w:val="bottom"/>
            <w:gridSpan w:val="6"/>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940" w:type="dxa"/>
            <w:vAlign w:val="bottom"/>
            <w:gridSpan w:val="4"/>
          </w:tcPr>
          <w:p>
            <w:pPr>
              <w:ind w:left="160"/>
              <w:spacing w:after="0"/>
              <w:rPr>
                <w:sz w:val="20"/>
                <w:szCs w:val="20"/>
                <w:color w:val="auto"/>
              </w:rPr>
            </w:pPr>
            <w:r>
              <w:rPr>
                <w:rFonts w:ascii="Courier New" w:cs="Courier New" w:eastAsia="Courier New" w:hAnsi="Courier New"/>
                <w:sz w:val="15"/>
                <w:szCs w:val="15"/>
                <w:color w:val="auto"/>
              </w:rPr>
              <w:t>Net earnings (loss)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22,230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13,040</w:t>
            </w: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$(23,753)</w:t>
            </w:r>
          </w:p>
        </w:tc>
      </w:tr>
    </w:tbl>
    <w:p>
      <w:pPr>
        <w:spacing w:after="0" w:line="3" w:lineRule="exact"/>
        <w:rPr>
          <w:sz w:val="20"/>
          <w:szCs w:val="20"/>
          <w:color w:val="auto"/>
        </w:rPr>
      </w:pPr>
    </w:p>
    <w:p>
      <w:pPr>
        <w:ind w:left="169" w:hanging="169"/>
        <w:spacing w:after="0"/>
        <w:tabs>
          <w:tab w:leader="none" w:pos="169"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Net earnings (loss) per share of common</w:t>
      </w:r>
    </w:p>
    <w:p>
      <w:pPr>
        <w:spacing w:after="0" w:line="1" w:lineRule="exact"/>
        <w:rPr>
          <w:sz w:val="20"/>
          <w:szCs w:val="20"/>
          <w:color w:val="auto"/>
        </w:rPr>
      </w:pPr>
    </w:p>
    <w:p>
      <w:pPr>
        <w:ind w:left="169"/>
        <w:spacing w:after="0"/>
        <w:tabs>
          <w:tab w:leader="none" w:pos="4069" w:val="left"/>
          <w:tab w:leader="none" w:pos="4409" w:val="left"/>
          <w:tab w:leader="none" w:pos="5129" w:val="left"/>
          <w:tab w:leader="none" w:pos="5489" w:val="left"/>
          <w:tab w:leader="none" w:pos="6189" w:val="left"/>
          <w:tab w:leader="none" w:pos="6449" w:val="left"/>
        </w:tabs>
        <w:rPr>
          <w:sz w:val="20"/>
          <w:szCs w:val="20"/>
          <w:color w:val="auto"/>
        </w:rPr>
      </w:pPr>
      <w:r>
        <w:rPr>
          <w:rFonts w:ascii="Courier New" w:cs="Courier New" w:eastAsia="Courier New" w:hAnsi="Courier New"/>
          <w:sz w:val="15"/>
          <w:szCs w:val="15"/>
          <w:color w:val="auto"/>
        </w:rPr>
        <w:t>stock and common stock equivalent</w:t>
      </w:r>
      <w:r>
        <w:rPr>
          <w:sz w:val="20"/>
          <w:szCs w:val="20"/>
          <w:color w:val="auto"/>
        </w:rPr>
        <w:tab/>
      </w:r>
      <w:r>
        <w:rPr>
          <w:rFonts w:ascii="Courier New" w:cs="Courier New" w:eastAsia="Courier New" w:hAnsi="Courier New"/>
          <w:sz w:val="15"/>
          <w:szCs w:val="15"/>
          <w:color w:val="auto"/>
        </w:rPr>
        <w:t>$</w:t>
        <w:tab/>
        <w:t>1.71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5"/>
          <w:szCs w:val="15"/>
          <w:color w:val="auto"/>
        </w:rPr>
        <w:t>$</w:t>
        <w:tab/>
        <w:t>(1.98)</w:t>
      </w:r>
    </w:p>
    <w:p>
      <w:pPr>
        <w:spacing w:after="0" w:line="3" w:lineRule="exact"/>
        <w:rPr>
          <w:sz w:val="20"/>
          <w:szCs w:val="20"/>
          <w:color w:val="auto"/>
        </w:rPr>
      </w:pPr>
    </w:p>
    <w:p>
      <w:pPr>
        <w:ind w:left="169" w:hanging="169"/>
        <w:spacing w:after="0"/>
        <w:tabs>
          <w:tab w:leader="none" w:pos="169"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353" w:lineRule="exact"/>
        <w:rPr>
          <w:sz w:val="20"/>
          <w:szCs w:val="20"/>
          <w:color w:val="auto"/>
        </w:rPr>
      </w:pPr>
    </w:p>
    <w:p>
      <w:pPr>
        <w:ind w:left="9" w:right="3839"/>
        <w:spacing w:after="0" w:line="238" w:lineRule="auto"/>
        <w:rPr>
          <w:sz w:val="20"/>
          <w:szCs w:val="20"/>
          <w:color w:val="auto"/>
        </w:rPr>
      </w:pPr>
      <w:r>
        <w:rPr>
          <w:rFonts w:ascii="Courier New" w:cs="Courier New" w:eastAsia="Courier New" w:hAnsi="Courier New"/>
          <w:sz w:val="15"/>
          <w:szCs w:val="15"/>
          <w:color w:val="auto"/>
        </w:rPr>
        <w:t>The financial statements should be read in conjunction with the Notes to Consolidated Financial Statements.</w:t>
      </w:r>
    </w:p>
    <w:p>
      <w:pPr>
        <w:spacing w:after="0" w:line="343" w:lineRule="exact"/>
        <w:rPr>
          <w:sz w:val="20"/>
          <w:szCs w:val="20"/>
          <w:color w:val="auto"/>
        </w:rPr>
      </w:pPr>
    </w:p>
    <w:p>
      <w:pPr>
        <w:ind w:left="3189"/>
        <w:spacing w:after="0"/>
        <w:tabs>
          <w:tab w:leader="none" w:pos="5029" w:val="left"/>
          <w:tab w:leader="none" w:pos="6909" w:val="left"/>
        </w:tabs>
        <w:rPr>
          <w:sz w:val="20"/>
          <w:szCs w:val="20"/>
          <w:color w:val="auto"/>
        </w:rPr>
      </w:pPr>
      <w:r>
        <w:rPr>
          <w:rFonts w:ascii="Courier New" w:cs="Courier New" w:eastAsia="Courier New" w:hAnsi="Courier New"/>
          <w:sz w:val="15"/>
          <w:szCs w:val="15"/>
          <w:color w:val="auto"/>
        </w:rPr>
        <w:t>The Toro Company</w:t>
      </w:r>
      <w:r>
        <w:rPr>
          <w:sz w:val="20"/>
          <w:szCs w:val="20"/>
          <w:color w:val="auto"/>
        </w:rPr>
        <w:tab/>
      </w:r>
      <w:r>
        <w:rPr>
          <w:rFonts w:ascii="Courier New" w:cs="Courier New" w:eastAsia="Courier New" w:hAnsi="Courier New"/>
          <w:sz w:val="15"/>
          <w:szCs w:val="15"/>
          <w:color w:val="auto"/>
        </w:rPr>
        <w:t>1994 Annual Report</w:t>
      </w:r>
      <w:r>
        <w:rPr>
          <w:sz w:val="20"/>
          <w:szCs w:val="20"/>
          <w:color w:val="auto"/>
        </w:rPr>
        <w:tab/>
      </w:r>
      <w:r>
        <w:rPr>
          <w:rFonts w:ascii="Courier New" w:cs="Courier New" w:eastAsia="Courier New" w:hAnsi="Courier New"/>
          <w:sz w:val="15"/>
          <w:szCs w:val="15"/>
          <w:color w:val="auto"/>
        </w:rPr>
        <w:t>19</w:t>
      </w:r>
    </w:p>
    <w:p>
      <w:pPr>
        <w:sectPr>
          <w:pgSz w:w="11900" w:h="16838" w:orient="portrait"/>
          <w:cols w:equalWidth="0" w:num="1">
            <w:col w:w="10228"/>
          </w:cols>
          <w:pgMar w:left="231" w:top="628" w:right="1440" w:bottom="1440" w:gutter="0" w:footer="0" w:header="0"/>
        </w:sectPr>
      </w:pPr>
    </w:p>
    <w:bookmarkStart w:id="31" w:name="page32"/>
    <w:bookmarkEnd w:id="31"/>
    <w:tbl>
      <w:tblPr>
        <w:tblLayout w:type="fixed"/>
        <w:tblInd w:w="9" w:type="dxa"/>
        <w:tblCellMar>
          <w:top w:w="0" w:type="dxa"/>
          <w:left w:w="0" w:type="dxa"/>
          <w:bottom w:w="0" w:type="dxa"/>
          <w:right w:w="0" w:type="dxa"/>
        </w:tblCellMar>
      </w:tblP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4620" w:type="dxa"/>
            <w:vAlign w:val="bottom"/>
          </w:tcPr>
          <w:p>
            <w:pPr>
              <w:ind w:left="40"/>
              <w:spacing w:after="0"/>
              <w:rPr>
                <w:sz w:val="20"/>
                <w:szCs w:val="20"/>
                <w:color w:val="auto"/>
              </w:rPr>
            </w:pPr>
            <w:r>
              <w:rPr>
                <w:rFonts w:ascii="Courier New" w:cs="Courier New" w:eastAsia="Courier New" w:hAnsi="Courier New"/>
                <w:sz w:val="15"/>
                <w:szCs w:val="15"/>
                <w:color w:val="auto"/>
              </w:rPr>
              <w:t>TORO COMPANY</w:t>
            </w:r>
          </w:p>
        </w:tc>
        <w:tc>
          <w:tcPr>
            <w:tcW w:w="110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71"/>
        </w:trPr>
        <w:tc>
          <w:tcPr>
            <w:tcW w:w="492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Balance Sheets</w:t>
            </w:r>
          </w:p>
        </w:tc>
        <w:tc>
          <w:tcPr>
            <w:tcW w:w="110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853"/>
        </w:trPr>
        <w:tc>
          <w:tcPr>
            <w:tcW w:w="3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50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8"/>
              </w:rPr>
              <w:t>- - --------------------------------------------------------------------------------</w:t>
            </w:r>
          </w:p>
        </w:tc>
      </w:tr>
      <w:tr>
        <w:trPr>
          <w:trHeight w:val="171"/>
        </w:trPr>
        <w:tc>
          <w:tcPr>
            <w:tcW w:w="4920" w:type="dxa"/>
            <w:vAlign w:val="bottom"/>
            <w:gridSpan w:val="2"/>
          </w:tcPr>
          <w:p>
            <w:pPr>
              <w:spacing w:after="0"/>
              <w:rPr>
                <w:sz w:val="20"/>
                <w:szCs w:val="20"/>
                <w:color w:val="auto"/>
              </w:rPr>
            </w:pPr>
            <w:r>
              <w:rPr>
                <w:rFonts w:ascii="Courier New" w:cs="Courier New" w:eastAsia="Courier New" w:hAnsi="Courier New"/>
                <w:sz w:val="15"/>
                <w:szCs w:val="15"/>
                <w:color w:val="auto"/>
              </w:rPr>
              <w:t>(Dollars in thousands, except per-share data) July 31</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1994</w:t>
            </w:r>
          </w:p>
        </w:tc>
        <w:tc>
          <w:tcPr>
            <w:tcW w:w="178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1993</w:t>
            </w: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50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8"/>
              </w:rPr>
              <w:t>- - --------------------------------------------------------------------------------</w:t>
            </w:r>
          </w:p>
        </w:tc>
      </w:tr>
      <w:tr>
        <w:trPr>
          <w:trHeight w:val="341"/>
        </w:trPr>
        <w:tc>
          <w:tcPr>
            <w:tcW w:w="4920" w:type="dxa"/>
            <w:vAlign w:val="bottom"/>
            <w:gridSpan w:val="2"/>
          </w:tcPr>
          <w:p>
            <w:pPr>
              <w:spacing w:after="0"/>
              <w:rPr>
                <w:sz w:val="20"/>
                <w:szCs w:val="20"/>
                <w:color w:val="auto"/>
              </w:rPr>
            </w:pPr>
            <w:r>
              <w:rPr>
                <w:rFonts w:ascii="Courier New" w:cs="Courier New" w:eastAsia="Courier New" w:hAnsi="Courier New"/>
                <w:sz w:val="15"/>
                <w:szCs w:val="15"/>
                <w:color w:val="auto"/>
              </w:rPr>
              <w:t>ASSETS</w:t>
            </w:r>
          </w:p>
        </w:tc>
        <w:tc>
          <w:tcPr>
            <w:tcW w:w="11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71"/>
        </w:trPr>
        <w:tc>
          <w:tcPr>
            <w:tcW w:w="4920" w:type="dxa"/>
            <w:vAlign w:val="bottom"/>
            <w:gridSpan w:val="2"/>
          </w:tcPr>
          <w:p>
            <w:pPr>
              <w:spacing w:after="0"/>
              <w:rPr>
                <w:sz w:val="20"/>
                <w:szCs w:val="20"/>
                <w:color w:val="auto"/>
              </w:rPr>
            </w:pPr>
            <w:r>
              <w:rPr>
                <w:rFonts w:ascii="Courier New" w:cs="Courier New" w:eastAsia="Courier New" w:hAnsi="Courier New"/>
                <w:sz w:val="15"/>
                <w:szCs w:val="15"/>
                <w:color w:val="auto"/>
              </w:rPr>
              <w:t>Current assets:</w:t>
            </w:r>
          </w:p>
        </w:tc>
        <w:tc>
          <w:tcPr>
            <w:tcW w:w="110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71"/>
        </w:trPr>
        <w:tc>
          <w:tcPr>
            <w:tcW w:w="49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Cash and cash equivalents</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$ 36,231</w:t>
            </w:r>
          </w:p>
        </w:tc>
        <w:tc>
          <w:tcPr>
            <w:tcW w:w="178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$ 61,793</w:t>
            </w:r>
          </w:p>
        </w:tc>
      </w:tr>
      <w:tr>
        <w:trPr>
          <w:trHeight w:val="171"/>
        </w:trPr>
        <w:tc>
          <w:tcPr>
            <w:tcW w:w="49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Receivables:</w:t>
            </w:r>
          </w:p>
        </w:tc>
        <w:tc>
          <w:tcPr>
            <w:tcW w:w="110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71"/>
        </w:trPr>
        <w:tc>
          <w:tcPr>
            <w:tcW w:w="300" w:type="dxa"/>
            <w:vAlign w:val="bottom"/>
          </w:tcPr>
          <w:p>
            <w:pPr>
              <w:spacing w:after="0"/>
              <w:rPr>
                <w:sz w:val="14"/>
                <w:szCs w:val="14"/>
                <w:color w:val="auto"/>
              </w:rPr>
            </w:pPr>
          </w:p>
        </w:tc>
        <w:tc>
          <w:tcPr>
            <w:tcW w:w="4620" w:type="dxa"/>
            <w:vAlign w:val="bottom"/>
          </w:tcPr>
          <w:p>
            <w:pPr>
              <w:ind w:left="40"/>
              <w:spacing w:after="0"/>
              <w:rPr>
                <w:sz w:val="20"/>
                <w:szCs w:val="20"/>
                <w:color w:val="auto"/>
              </w:rPr>
            </w:pPr>
            <w:r>
              <w:rPr>
                <w:rFonts w:ascii="Courier New" w:cs="Courier New" w:eastAsia="Courier New" w:hAnsi="Courier New"/>
                <w:sz w:val="15"/>
                <w:szCs w:val="15"/>
                <w:color w:val="auto"/>
              </w:rPr>
              <w:t>Customers</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185,620</w:t>
            </w:r>
          </w:p>
        </w:tc>
        <w:tc>
          <w:tcPr>
            <w:tcW w:w="178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180,927</w:t>
            </w:r>
          </w:p>
        </w:tc>
      </w:tr>
      <w:tr>
        <w:trPr>
          <w:trHeight w:val="171"/>
        </w:trPr>
        <w:tc>
          <w:tcPr>
            <w:tcW w:w="300" w:type="dxa"/>
            <w:vAlign w:val="bottom"/>
          </w:tcPr>
          <w:p>
            <w:pPr>
              <w:spacing w:after="0"/>
              <w:rPr>
                <w:sz w:val="14"/>
                <w:szCs w:val="14"/>
                <w:color w:val="auto"/>
              </w:rPr>
            </w:pPr>
          </w:p>
        </w:tc>
        <w:tc>
          <w:tcPr>
            <w:tcW w:w="4620" w:type="dxa"/>
            <w:vAlign w:val="bottom"/>
          </w:tcPr>
          <w:p>
            <w:pPr>
              <w:ind w:left="40"/>
              <w:spacing w:after="0"/>
              <w:rPr>
                <w:sz w:val="20"/>
                <w:szCs w:val="20"/>
                <w:color w:val="auto"/>
              </w:rPr>
            </w:pPr>
            <w:r>
              <w:rPr>
                <w:rFonts w:ascii="Courier New" w:cs="Courier New" w:eastAsia="Courier New" w:hAnsi="Courier New"/>
                <w:sz w:val="15"/>
                <w:szCs w:val="15"/>
                <w:color w:val="auto"/>
              </w:rPr>
              <w:t>Other</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5,765</w:t>
            </w:r>
          </w:p>
        </w:tc>
        <w:tc>
          <w:tcPr>
            <w:tcW w:w="178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5,025</w:t>
            </w: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50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8"/>
              </w:rPr>
              <w:t>- - --------------------------------------------------------------------------------</w:t>
            </w:r>
          </w:p>
        </w:tc>
      </w:tr>
      <w:tr>
        <w:trPr>
          <w:trHeight w:val="171"/>
        </w:trPr>
        <w:tc>
          <w:tcPr>
            <w:tcW w:w="300" w:type="dxa"/>
            <w:vAlign w:val="bottom"/>
          </w:tcPr>
          <w:p>
            <w:pPr>
              <w:spacing w:after="0"/>
              <w:rPr>
                <w:sz w:val="14"/>
                <w:szCs w:val="14"/>
                <w:color w:val="auto"/>
              </w:rPr>
            </w:pPr>
          </w:p>
        </w:tc>
        <w:tc>
          <w:tcPr>
            <w:tcW w:w="4620" w:type="dxa"/>
            <w:vAlign w:val="bottom"/>
          </w:tcPr>
          <w:p>
            <w:pPr>
              <w:ind w:left="220"/>
              <w:spacing w:after="0"/>
              <w:rPr>
                <w:sz w:val="20"/>
                <w:szCs w:val="20"/>
                <w:color w:val="auto"/>
              </w:rPr>
            </w:pPr>
            <w:r>
              <w:rPr>
                <w:rFonts w:ascii="Courier New" w:cs="Courier New" w:eastAsia="Courier New" w:hAnsi="Courier New"/>
                <w:sz w:val="15"/>
                <w:szCs w:val="15"/>
                <w:color w:val="auto"/>
              </w:rPr>
              <w:t>Subtotal</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191,385</w:t>
            </w:r>
          </w:p>
        </w:tc>
        <w:tc>
          <w:tcPr>
            <w:tcW w:w="178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185,952</w:t>
            </w:r>
          </w:p>
        </w:tc>
      </w:tr>
      <w:tr>
        <w:trPr>
          <w:trHeight w:val="171"/>
        </w:trPr>
        <w:tc>
          <w:tcPr>
            <w:tcW w:w="300" w:type="dxa"/>
            <w:vAlign w:val="bottom"/>
          </w:tcPr>
          <w:p>
            <w:pPr>
              <w:spacing w:after="0"/>
              <w:rPr>
                <w:sz w:val="14"/>
                <w:szCs w:val="14"/>
                <w:color w:val="auto"/>
              </w:rPr>
            </w:pPr>
          </w:p>
        </w:tc>
        <w:tc>
          <w:tcPr>
            <w:tcW w:w="4620" w:type="dxa"/>
            <w:vAlign w:val="bottom"/>
          </w:tcPr>
          <w:p>
            <w:pPr>
              <w:ind w:left="220"/>
              <w:spacing w:after="0"/>
              <w:rPr>
                <w:sz w:val="20"/>
                <w:szCs w:val="20"/>
                <w:color w:val="auto"/>
              </w:rPr>
            </w:pPr>
            <w:r>
              <w:rPr>
                <w:rFonts w:ascii="Courier New" w:cs="Courier New" w:eastAsia="Courier New" w:hAnsi="Courier New"/>
                <w:sz w:val="15"/>
                <w:szCs w:val="15"/>
                <w:color w:val="auto"/>
              </w:rPr>
              <w:t>Less allowance for doubtful accounts</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7,702</w:t>
            </w:r>
          </w:p>
        </w:tc>
        <w:tc>
          <w:tcPr>
            <w:tcW w:w="178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5,589</w:t>
            </w: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50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8"/>
              </w:rPr>
              <w:t>- - --------------------------------------------------------------------------------</w:t>
            </w:r>
          </w:p>
        </w:tc>
      </w:tr>
      <w:tr>
        <w:trPr>
          <w:trHeight w:val="171"/>
        </w:trPr>
        <w:tc>
          <w:tcPr>
            <w:tcW w:w="300" w:type="dxa"/>
            <w:vAlign w:val="bottom"/>
          </w:tcPr>
          <w:p>
            <w:pPr>
              <w:spacing w:after="0"/>
              <w:rPr>
                <w:sz w:val="14"/>
                <w:szCs w:val="14"/>
                <w:color w:val="auto"/>
              </w:rPr>
            </w:pPr>
          </w:p>
        </w:tc>
        <w:tc>
          <w:tcPr>
            <w:tcW w:w="4620" w:type="dxa"/>
            <w:vAlign w:val="bottom"/>
          </w:tcPr>
          <w:p>
            <w:pPr>
              <w:ind w:left="220"/>
              <w:spacing w:after="0"/>
              <w:rPr>
                <w:sz w:val="20"/>
                <w:szCs w:val="20"/>
                <w:color w:val="auto"/>
              </w:rPr>
            </w:pPr>
            <w:r>
              <w:rPr>
                <w:rFonts w:ascii="Courier New" w:cs="Courier New" w:eastAsia="Courier New" w:hAnsi="Courier New"/>
                <w:sz w:val="15"/>
                <w:szCs w:val="15"/>
                <w:color w:val="auto"/>
              </w:rPr>
              <w:t>Total receivables</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183,683</w:t>
            </w:r>
          </w:p>
        </w:tc>
        <w:tc>
          <w:tcPr>
            <w:tcW w:w="178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180,363</w:t>
            </w: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50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8"/>
              </w:rPr>
              <w:t>- - --------------------------------------------------------------------------------</w:t>
            </w:r>
          </w:p>
        </w:tc>
      </w:tr>
      <w:tr>
        <w:trPr>
          <w:trHeight w:val="171"/>
        </w:trPr>
        <w:tc>
          <w:tcPr>
            <w:tcW w:w="49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Inventories</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118,764</w:t>
            </w:r>
          </w:p>
        </w:tc>
        <w:tc>
          <w:tcPr>
            <w:tcW w:w="178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78,708</w:t>
            </w:r>
          </w:p>
        </w:tc>
      </w:tr>
      <w:tr>
        <w:trPr>
          <w:trHeight w:val="171"/>
        </w:trPr>
        <w:tc>
          <w:tcPr>
            <w:tcW w:w="49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Prepaid expenses</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1,111</w:t>
            </w:r>
          </w:p>
        </w:tc>
        <w:tc>
          <w:tcPr>
            <w:tcW w:w="178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4,476</w:t>
            </w:r>
          </w:p>
        </w:tc>
      </w:tr>
      <w:tr>
        <w:trPr>
          <w:trHeight w:val="171"/>
        </w:trPr>
        <w:tc>
          <w:tcPr>
            <w:tcW w:w="49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Deferred income tax benefits</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24,706</w:t>
            </w:r>
          </w:p>
        </w:tc>
        <w:tc>
          <w:tcPr>
            <w:tcW w:w="178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18,790</w:t>
            </w: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50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8"/>
              </w:rPr>
              <w:t>- - --------------------------------------------------------------------------------</w:t>
            </w:r>
          </w:p>
        </w:tc>
      </w:tr>
      <w:tr>
        <w:trPr>
          <w:trHeight w:val="171"/>
        </w:trPr>
        <w:tc>
          <w:tcPr>
            <w:tcW w:w="300" w:type="dxa"/>
            <w:vAlign w:val="bottom"/>
          </w:tcPr>
          <w:p>
            <w:pPr>
              <w:spacing w:after="0"/>
              <w:rPr>
                <w:sz w:val="14"/>
                <w:szCs w:val="14"/>
                <w:color w:val="auto"/>
              </w:rPr>
            </w:pPr>
          </w:p>
        </w:tc>
        <w:tc>
          <w:tcPr>
            <w:tcW w:w="4620" w:type="dxa"/>
            <w:vAlign w:val="bottom"/>
          </w:tcPr>
          <w:p>
            <w:pPr>
              <w:ind w:left="220"/>
              <w:spacing w:after="0"/>
              <w:rPr>
                <w:sz w:val="20"/>
                <w:szCs w:val="20"/>
                <w:color w:val="auto"/>
              </w:rPr>
            </w:pPr>
            <w:r>
              <w:rPr>
                <w:rFonts w:ascii="Courier New" w:cs="Courier New" w:eastAsia="Courier New" w:hAnsi="Courier New"/>
                <w:sz w:val="15"/>
                <w:szCs w:val="15"/>
                <w:color w:val="auto"/>
              </w:rPr>
              <w:t>Total current assets</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364,495</w:t>
            </w:r>
          </w:p>
        </w:tc>
        <w:tc>
          <w:tcPr>
            <w:tcW w:w="178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344,130</w:t>
            </w:r>
          </w:p>
        </w:tc>
      </w:tr>
    </w:tbl>
    <w:p>
      <w:pPr>
        <w:spacing w:after="0" w:line="3" w:lineRule="exact"/>
        <w:rPr>
          <w:sz w:val="20"/>
          <w:szCs w:val="20"/>
          <w:color w:val="auto"/>
        </w:rPr>
      </w:pPr>
    </w:p>
    <w:p>
      <w:pPr>
        <w:ind w:left="169" w:hanging="169"/>
        <w:spacing w:after="0"/>
        <w:tabs>
          <w:tab w:leader="none" w:pos="169"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Property, plant and equipment:</w:t>
      </w:r>
    </w:p>
    <w:p>
      <w:pPr>
        <w:spacing w:after="0" w:line="1"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1200" w:type="dxa"/>
            <w:vAlign w:val="bottom"/>
            <w:gridSpan w:val="2"/>
          </w:tcPr>
          <w:p>
            <w:pPr>
              <w:spacing w:after="0"/>
              <w:rPr>
                <w:sz w:val="20"/>
                <w:szCs w:val="20"/>
                <w:color w:val="auto"/>
              </w:rPr>
            </w:pPr>
            <w:r>
              <w:rPr>
                <w:rFonts w:ascii="Courier New" w:cs="Courier New" w:eastAsia="Courier New" w:hAnsi="Courier New"/>
                <w:sz w:val="15"/>
                <w:szCs w:val="15"/>
                <w:color w:val="auto"/>
              </w:rPr>
              <w:t>Land and land</w:t>
            </w:r>
          </w:p>
        </w:tc>
        <w:tc>
          <w:tcPr>
            <w:tcW w:w="2940" w:type="dxa"/>
            <w:vAlign w:val="bottom"/>
          </w:tcPr>
          <w:p>
            <w:pPr>
              <w:ind w:left="60"/>
              <w:spacing w:after="0"/>
              <w:rPr>
                <w:sz w:val="20"/>
                <w:szCs w:val="20"/>
                <w:color w:val="auto"/>
              </w:rPr>
            </w:pPr>
            <w:r>
              <w:rPr>
                <w:rFonts w:ascii="Courier New" w:cs="Courier New" w:eastAsia="Courier New" w:hAnsi="Courier New"/>
                <w:sz w:val="15"/>
                <w:szCs w:val="15"/>
                <w:color w:val="auto"/>
              </w:rPr>
              <w:t>improvements</w:t>
            </w:r>
          </w:p>
        </w:tc>
        <w:tc>
          <w:tcPr>
            <w:tcW w:w="17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5,516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4,478</w:t>
            </w:r>
          </w:p>
        </w:tc>
      </w:tr>
      <w:tr>
        <w:trPr>
          <w:trHeight w:val="171"/>
        </w:trPr>
        <w:tc>
          <w:tcPr>
            <w:tcW w:w="86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2940" w:type="dxa"/>
            <w:vAlign w:val="bottom"/>
          </w:tcPr>
          <w:p>
            <w:pPr>
              <w:ind w:left="60"/>
              <w:spacing w:after="0"/>
              <w:rPr>
                <w:sz w:val="20"/>
                <w:szCs w:val="20"/>
                <w:color w:val="auto"/>
              </w:rPr>
            </w:pPr>
            <w:r>
              <w:rPr>
                <w:rFonts w:ascii="Courier New" w:cs="Courier New" w:eastAsia="Courier New" w:hAnsi="Courier New"/>
                <w:sz w:val="15"/>
                <w:szCs w:val="15"/>
                <w:color w:val="auto"/>
              </w:rPr>
              <w:t>leasehold improvements</w:t>
            </w:r>
          </w:p>
        </w:tc>
        <w:tc>
          <w:tcPr>
            <w:tcW w:w="17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42,359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41,548</w:t>
            </w:r>
          </w:p>
        </w:tc>
      </w:tr>
      <w:tr>
        <w:trPr>
          <w:trHeight w:val="171"/>
        </w:trPr>
        <w:tc>
          <w:tcPr>
            <w:tcW w:w="860" w:type="dxa"/>
            <w:vAlign w:val="bottom"/>
          </w:tcPr>
          <w:p>
            <w:pPr>
              <w:spacing w:after="0"/>
              <w:rPr>
                <w:sz w:val="20"/>
                <w:szCs w:val="20"/>
                <w:color w:val="auto"/>
              </w:rPr>
            </w:pPr>
            <w:r>
              <w:rPr>
                <w:rFonts w:ascii="Courier New" w:cs="Courier New" w:eastAsia="Courier New" w:hAnsi="Courier New"/>
                <w:sz w:val="15"/>
                <w:szCs w:val="15"/>
                <w:color w:val="auto"/>
              </w:rPr>
              <w:t>Equipment</w:t>
            </w:r>
          </w:p>
        </w:tc>
        <w:tc>
          <w:tcPr>
            <w:tcW w:w="3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7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137,603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127,371</w:t>
            </w:r>
          </w:p>
        </w:tc>
      </w:tr>
    </w:tbl>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 - - -</w:t>
            </w:r>
          </w:p>
        </w:tc>
        <w:tc>
          <w:tcPr>
            <w:tcW w:w="714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48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Subtotal</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185,478</w:t>
            </w:r>
          </w:p>
        </w:tc>
        <w:tc>
          <w:tcPr>
            <w:tcW w:w="178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173,397</w:t>
            </w:r>
          </w:p>
        </w:tc>
      </w:tr>
      <w:tr>
        <w:trPr>
          <w:trHeight w:val="171"/>
        </w:trPr>
        <w:tc>
          <w:tcPr>
            <w:tcW w:w="48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126,635</w:t>
            </w:r>
          </w:p>
        </w:tc>
        <w:tc>
          <w:tcPr>
            <w:tcW w:w="178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113,428</w:t>
            </w:r>
          </w:p>
        </w:tc>
      </w:tr>
      <w:tr>
        <w:trPr>
          <w:trHeight w:val="171"/>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 - - -</w:t>
            </w:r>
          </w:p>
        </w:tc>
        <w:tc>
          <w:tcPr>
            <w:tcW w:w="714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48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Total property, plant and equipment</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58,843</w:t>
            </w:r>
          </w:p>
        </w:tc>
        <w:tc>
          <w:tcPr>
            <w:tcW w:w="178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59,969</w:t>
            </w:r>
          </w:p>
        </w:tc>
      </w:tr>
      <w:tr>
        <w:trPr>
          <w:trHeight w:val="171"/>
        </w:trPr>
        <w:tc>
          <w:tcPr>
            <w:tcW w:w="48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Deferred income taxes</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1,296</w:t>
            </w:r>
          </w:p>
        </w:tc>
        <w:tc>
          <w:tcPr>
            <w:tcW w:w="178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w:t>
            </w:r>
          </w:p>
        </w:tc>
      </w:tr>
      <w:tr>
        <w:trPr>
          <w:trHeight w:val="171"/>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4220" w:type="dxa"/>
            <w:vAlign w:val="bottom"/>
          </w:tcPr>
          <w:p>
            <w:pPr>
              <w:ind w:left="40"/>
              <w:spacing w:after="0"/>
              <w:rPr>
                <w:sz w:val="20"/>
                <w:szCs w:val="20"/>
                <w:color w:val="auto"/>
              </w:rPr>
            </w:pPr>
            <w:r>
              <w:rPr>
                <w:rFonts w:ascii="Courier New" w:cs="Courier New" w:eastAsia="Courier New" w:hAnsi="Courier New"/>
                <w:sz w:val="15"/>
                <w:szCs w:val="15"/>
                <w:color w:val="auto"/>
              </w:rPr>
              <w:t>assets</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19,005</w:t>
            </w:r>
          </w:p>
        </w:tc>
        <w:tc>
          <w:tcPr>
            <w:tcW w:w="178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15,104</w:t>
            </w:r>
          </w:p>
        </w:tc>
      </w:tr>
      <w:tr>
        <w:trPr>
          <w:trHeight w:val="171"/>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 - - -</w:t>
            </w:r>
          </w:p>
        </w:tc>
        <w:tc>
          <w:tcPr>
            <w:tcW w:w="714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48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Total assets</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$443,639</w:t>
            </w:r>
          </w:p>
        </w:tc>
        <w:tc>
          <w:tcPr>
            <w:tcW w:w="178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$419,203</w:t>
            </w:r>
          </w:p>
        </w:tc>
      </w:tr>
    </w:tbl>
    <w:p>
      <w:pPr>
        <w:spacing w:after="0" w:line="3" w:lineRule="exact"/>
        <w:rPr>
          <w:sz w:val="20"/>
          <w:szCs w:val="20"/>
          <w:color w:val="auto"/>
        </w:rPr>
      </w:pPr>
    </w:p>
    <w:p>
      <w:pPr>
        <w:ind w:left="169" w:hanging="169"/>
        <w:spacing w:after="0"/>
        <w:tabs>
          <w:tab w:leader="none" w:pos="169"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12" w:lineRule="exact"/>
        <w:rPr>
          <w:rFonts w:ascii="Courier New" w:cs="Courier New" w:eastAsia="Courier New" w:hAnsi="Courier New"/>
          <w:sz w:val="14"/>
          <w:szCs w:val="14"/>
          <w:color w:val="auto"/>
        </w:rPr>
      </w:pPr>
    </w:p>
    <w:p>
      <w:pPr>
        <w:ind w:left="9" w:right="703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LIABILITIES AND STOCKHOLDERS' EQUITY Current liabilities:</w:t>
      </w:r>
    </w:p>
    <w:p>
      <w:pPr>
        <w:spacing w:after="0" w:line="2"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Current portion of long-term debt</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$ 20,300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$ 15,000</w:t>
            </w:r>
          </w:p>
        </w:tc>
      </w:tr>
      <w:tr>
        <w:trPr>
          <w:trHeight w:val="171"/>
        </w:trPr>
        <w:tc>
          <w:tcPr>
            <w:tcW w:w="3960" w:type="dxa"/>
            <w:vAlign w:val="bottom"/>
          </w:tcPr>
          <w:p>
            <w:pPr>
              <w:spacing w:after="0"/>
              <w:rPr>
                <w:sz w:val="20"/>
                <w:szCs w:val="20"/>
                <w:color w:val="auto"/>
              </w:rPr>
            </w:pPr>
            <w:r>
              <w:rPr>
                <w:rFonts w:ascii="Courier New" w:cs="Courier New" w:eastAsia="Courier New" w:hAnsi="Courier New"/>
                <w:sz w:val="15"/>
                <w:szCs w:val="15"/>
                <w:color w:val="auto"/>
              </w:rPr>
              <w:t>Accounts payable</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37,035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28,786</w:t>
            </w:r>
          </w:p>
        </w:tc>
      </w:tr>
      <w:tr>
        <w:trPr>
          <w:trHeight w:val="171"/>
        </w:trPr>
        <w:tc>
          <w:tcPr>
            <w:tcW w:w="3960" w:type="dxa"/>
            <w:vAlign w:val="bottom"/>
          </w:tcPr>
          <w:p>
            <w:pPr>
              <w:spacing w:after="0"/>
              <w:rPr>
                <w:sz w:val="20"/>
                <w:szCs w:val="20"/>
                <w:color w:val="auto"/>
              </w:rPr>
            </w:pPr>
            <w:r>
              <w:rPr>
                <w:rFonts w:ascii="Courier New" w:cs="Courier New" w:eastAsia="Courier New" w:hAnsi="Courier New"/>
                <w:sz w:val="15"/>
                <w:szCs w:val="15"/>
                <w:color w:val="auto"/>
              </w:rPr>
              <w:t>Accrued warranty</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32,476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26,995</w:t>
            </w:r>
          </w:p>
        </w:tc>
      </w:tr>
      <w:tr>
        <w:trPr>
          <w:trHeight w:val="171"/>
        </w:trPr>
        <w:tc>
          <w:tcPr>
            <w:tcW w:w="3960" w:type="dxa"/>
            <w:vAlign w:val="bottom"/>
          </w:tcPr>
          <w:p>
            <w:pPr>
              <w:spacing w:after="0"/>
              <w:rPr>
                <w:sz w:val="20"/>
                <w:szCs w:val="20"/>
                <w:color w:val="auto"/>
              </w:rPr>
            </w:pPr>
            <w:r>
              <w:rPr>
                <w:rFonts w:ascii="Courier New" w:cs="Courier New" w:eastAsia="Courier New" w:hAnsi="Courier New"/>
                <w:sz w:val="15"/>
                <w:szCs w:val="15"/>
                <w:color w:val="auto"/>
              </w:rPr>
              <w:t>Accrued marketing programs</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29,290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20,552</w:t>
            </w:r>
          </w:p>
        </w:tc>
      </w:tr>
      <w:tr>
        <w:trPr>
          <w:trHeight w:val="171"/>
        </w:trPr>
        <w:tc>
          <w:tcPr>
            <w:tcW w:w="3960" w:type="dxa"/>
            <w:vAlign w:val="bottom"/>
          </w:tcPr>
          <w:p>
            <w:pPr>
              <w:spacing w:after="0"/>
              <w:rPr>
                <w:sz w:val="20"/>
                <w:szCs w:val="20"/>
                <w:color w:val="auto"/>
              </w:rPr>
            </w:pPr>
            <w:r>
              <w:rPr>
                <w:rFonts w:ascii="Courier New" w:cs="Courier New" w:eastAsia="Courier New" w:hAnsi="Courier New"/>
                <w:sz w:val="15"/>
                <w:szCs w:val="15"/>
                <w:color w:val="auto"/>
              </w:rPr>
              <w:t>Accrued restructuring</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5,083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9,637</w:t>
            </w:r>
          </w:p>
        </w:tc>
      </w:tr>
      <w:tr>
        <w:trPr>
          <w:trHeight w:val="171"/>
        </w:trPr>
        <w:tc>
          <w:tcPr>
            <w:tcW w:w="3960" w:type="dxa"/>
            <w:vAlign w:val="bottom"/>
          </w:tcPr>
          <w:p>
            <w:pPr>
              <w:spacing w:after="0"/>
              <w:rPr>
                <w:sz w:val="20"/>
                <w:szCs w:val="20"/>
                <w:color w:val="auto"/>
              </w:rPr>
            </w:pPr>
            <w:r>
              <w:rPr>
                <w:rFonts w:ascii="Courier New" w:cs="Courier New" w:eastAsia="Courier New" w:hAnsi="Courier New"/>
                <w:sz w:val="15"/>
                <w:szCs w:val="15"/>
                <w:color w:val="auto"/>
              </w:rPr>
              <w:t>Accrued payroll</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5,542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4,994</w:t>
            </w:r>
          </w:p>
        </w:tc>
      </w:tr>
      <w:tr>
        <w:trPr>
          <w:trHeight w:val="171"/>
        </w:trPr>
        <w:tc>
          <w:tcPr>
            <w:tcW w:w="3960" w:type="dxa"/>
            <w:vAlign w:val="bottom"/>
          </w:tcPr>
          <w:p>
            <w:pPr>
              <w:spacing w:after="0"/>
              <w:rPr>
                <w:sz w:val="20"/>
                <w:szCs w:val="20"/>
                <w:color w:val="auto"/>
              </w:rPr>
            </w:pPr>
            <w:r>
              <w:rPr>
                <w:rFonts w:ascii="Courier New" w:cs="Courier New" w:eastAsia="Courier New" w:hAnsi="Courier New"/>
                <w:sz w:val="15"/>
                <w:szCs w:val="15"/>
                <w:color w:val="auto"/>
              </w:rPr>
              <w:t>Other accrued liabilities</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55,482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42,472</w:t>
            </w:r>
          </w:p>
        </w:tc>
      </w:tr>
      <w:tr>
        <w:trPr>
          <w:trHeight w:val="171"/>
        </w:trPr>
        <w:tc>
          <w:tcPr>
            <w:tcW w:w="3960" w:type="dxa"/>
            <w:vAlign w:val="bottom"/>
          </w:tcPr>
          <w:p>
            <w:pPr>
              <w:spacing w:after="0"/>
              <w:rPr>
                <w:sz w:val="20"/>
                <w:szCs w:val="20"/>
                <w:color w:val="auto"/>
              </w:rPr>
            </w:pPr>
            <w:r>
              <w:rPr>
                <w:rFonts w:ascii="Courier New" w:cs="Courier New" w:eastAsia="Courier New" w:hAnsi="Courier New"/>
                <w:sz w:val="15"/>
                <w:szCs w:val="15"/>
                <w:color w:val="auto"/>
              </w:rPr>
              <w:t>Accrued income taxes</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3,504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1,824</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 --------------------------------------------------------------------------------</w:t>
      </w:r>
    </w:p>
    <w:p>
      <w:pPr>
        <w:spacing w:after="0" w:line="9" w:lineRule="exact"/>
        <w:rPr>
          <w:sz w:val="20"/>
          <w:szCs w:val="20"/>
          <w:color w:val="auto"/>
        </w:rPr>
      </w:pPr>
    </w:p>
    <w:tbl>
      <w:tblPr>
        <w:tblLayout w:type="fixed"/>
        <w:tblInd w:w="529" w:type="dxa"/>
        <w:tblCellMar>
          <w:top w:w="0" w:type="dxa"/>
          <w:left w:w="0" w:type="dxa"/>
          <w:bottom w:w="0" w:type="dxa"/>
          <w:right w:w="0" w:type="dxa"/>
        </w:tblCellMar>
      </w:tblPr>
      <w:tr>
        <w:trPr>
          <w:trHeight w:val="170"/>
        </w:trPr>
        <w:tc>
          <w:tcPr>
            <w:tcW w:w="3460" w:type="dxa"/>
            <w:vAlign w:val="bottom"/>
          </w:tcPr>
          <w:p>
            <w:pPr>
              <w:spacing w:after="0"/>
              <w:rPr>
                <w:sz w:val="20"/>
                <w:szCs w:val="20"/>
                <w:color w:val="auto"/>
              </w:rPr>
            </w:pPr>
            <w:r>
              <w:rPr>
                <w:rFonts w:ascii="Courier New" w:cs="Courier New" w:eastAsia="Courier New" w:hAnsi="Courier New"/>
                <w:sz w:val="15"/>
                <w:szCs w:val="15"/>
                <w:color w:val="auto"/>
              </w:rPr>
              <w:t>Total current liabilities</w:t>
            </w:r>
          </w:p>
        </w:tc>
        <w:tc>
          <w:tcPr>
            <w:tcW w:w="21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188,712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150,260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2440" w:type="dxa"/>
            <w:vAlign w:val="bottom"/>
          </w:tcPr>
          <w:p>
            <w:pPr>
              <w:spacing w:after="0"/>
              <w:rPr>
                <w:sz w:val="14"/>
                <w:szCs w:val="14"/>
                <w:color w:val="auto"/>
              </w:rPr>
            </w:pPr>
          </w:p>
        </w:tc>
        <w:tc>
          <w:tcPr>
            <w:tcW w:w="15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1,372</w:t>
            </w:r>
          </w:p>
        </w:tc>
      </w:tr>
      <w:tr>
        <w:trPr>
          <w:trHeight w:val="171"/>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Long-term debt, less current portion</w:t>
            </w:r>
          </w:p>
        </w:tc>
        <w:tc>
          <w:tcPr>
            <w:tcW w:w="15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81,025</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122,970</w:t>
            </w:r>
          </w:p>
        </w:tc>
      </w:tr>
      <w:tr>
        <w:trPr>
          <w:trHeight w:val="171"/>
        </w:trPr>
        <w:tc>
          <w:tcPr>
            <w:tcW w:w="2160" w:type="dxa"/>
            <w:vAlign w:val="bottom"/>
          </w:tcPr>
          <w:p>
            <w:pPr>
              <w:spacing w:after="0"/>
              <w:rPr>
                <w:sz w:val="20"/>
                <w:szCs w:val="20"/>
                <w:color w:val="auto"/>
              </w:rPr>
            </w:pPr>
            <w:r>
              <w:rPr>
                <w:rFonts w:ascii="Courier New" w:cs="Courier New" w:eastAsia="Courier New" w:hAnsi="Courier New"/>
                <w:sz w:val="15"/>
                <w:szCs w:val="15"/>
                <w:color w:val="auto"/>
              </w:rPr>
              <w:t>Deferred income</w:t>
            </w:r>
          </w:p>
        </w:tc>
        <w:tc>
          <w:tcPr>
            <w:tcW w:w="2440" w:type="dxa"/>
            <w:vAlign w:val="bottom"/>
          </w:tcPr>
          <w:p>
            <w:pPr>
              <w:spacing w:after="0"/>
              <w:rPr>
                <w:sz w:val="14"/>
                <w:szCs w:val="14"/>
                <w:color w:val="auto"/>
              </w:rPr>
            </w:pPr>
          </w:p>
        </w:tc>
        <w:tc>
          <w:tcPr>
            <w:tcW w:w="15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5,250</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Common stockholder's equity:</w:t>
            </w:r>
          </w:p>
        </w:tc>
        <w:tc>
          <w:tcPr>
            <w:tcW w:w="15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6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Common stock, par value $1.00, authorized</w:t>
            </w:r>
          </w:p>
        </w:tc>
        <w:tc>
          <w:tcPr>
            <w:tcW w:w="15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6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35,000,000 shares; issued and outstanding</w:t>
            </w:r>
          </w:p>
        </w:tc>
        <w:tc>
          <w:tcPr>
            <w:tcW w:w="15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160" w:type="dxa"/>
            <w:vAlign w:val="bottom"/>
          </w:tcPr>
          <w:p>
            <w:pPr>
              <w:ind w:left="340"/>
              <w:spacing w:after="0"/>
              <w:rPr>
                <w:sz w:val="20"/>
                <w:szCs w:val="20"/>
                <w:color w:val="auto"/>
              </w:rPr>
            </w:pPr>
            <w:r>
              <w:rPr>
                <w:rFonts w:ascii="Courier New" w:cs="Courier New" w:eastAsia="Courier New" w:hAnsi="Courier New"/>
                <w:sz w:val="15"/>
                <w:szCs w:val="15"/>
                <w:color w:val="auto"/>
                <w:w w:val="99"/>
              </w:rPr>
              <w:t>12,561,204 shares in</w:t>
            </w:r>
          </w:p>
        </w:tc>
        <w:tc>
          <w:tcPr>
            <w:tcW w:w="2440" w:type="dxa"/>
            <w:vAlign w:val="bottom"/>
          </w:tcPr>
          <w:p>
            <w:pPr>
              <w:ind w:left="40"/>
              <w:spacing w:after="0"/>
              <w:rPr>
                <w:sz w:val="20"/>
                <w:szCs w:val="20"/>
                <w:color w:val="auto"/>
              </w:rPr>
            </w:pPr>
            <w:r>
              <w:rPr>
                <w:rFonts w:ascii="Courier New" w:cs="Courier New" w:eastAsia="Courier New" w:hAnsi="Courier New"/>
                <w:sz w:val="15"/>
                <w:szCs w:val="15"/>
                <w:color w:val="auto"/>
              </w:rPr>
              <w:t>1994 (net of 76,153</w:t>
            </w:r>
          </w:p>
        </w:tc>
        <w:tc>
          <w:tcPr>
            <w:tcW w:w="15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160" w:type="dxa"/>
            <w:vAlign w:val="bottom"/>
          </w:tcPr>
          <w:p>
            <w:pPr>
              <w:ind w:left="340"/>
              <w:spacing w:after="0"/>
              <w:rPr>
                <w:sz w:val="20"/>
                <w:szCs w:val="20"/>
                <w:color w:val="auto"/>
              </w:rPr>
            </w:pPr>
            <w:r>
              <w:rPr>
                <w:rFonts w:ascii="Courier New" w:cs="Courier New" w:eastAsia="Courier New" w:hAnsi="Courier New"/>
                <w:sz w:val="15"/>
                <w:szCs w:val="15"/>
                <w:color w:val="auto"/>
                <w:w w:val="99"/>
              </w:rPr>
              <w:t>treasury shares) and</w:t>
            </w:r>
          </w:p>
        </w:tc>
        <w:tc>
          <w:tcPr>
            <w:tcW w:w="2440" w:type="dxa"/>
            <w:vAlign w:val="bottom"/>
          </w:tcPr>
          <w:p>
            <w:pPr>
              <w:ind w:left="40"/>
              <w:spacing w:after="0"/>
              <w:rPr>
                <w:sz w:val="20"/>
                <w:szCs w:val="20"/>
                <w:color w:val="auto"/>
              </w:rPr>
            </w:pPr>
            <w:r>
              <w:rPr>
                <w:rFonts w:ascii="Courier New" w:cs="Courier New" w:eastAsia="Courier New" w:hAnsi="Courier New"/>
                <w:sz w:val="15"/>
                <w:szCs w:val="15"/>
                <w:color w:val="auto"/>
              </w:rPr>
              <w:t>12,270,404 shares in</w:t>
            </w:r>
          </w:p>
        </w:tc>
        <w:tc>
          <w:tcPr>
            <w:tcW w:w="15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160" w:type="dxa"/>
            <w:vAlign w:val="bottom"/>
          </w:tcPr>
          <w:p>
            <w:pPr>
              <w:ind w:left="340"/>
              <w:spacing w:after="0"/>
              <w:rPr>
                <w:sz w:val="20"/>
                <w:szCs w:val="20"/>
                <w:color w:val="auto"/>
              </w:rPr>
            </w:pPr>
            <w:r>
              <w:rPr>
                <w:rFonts w:ascii="Courier New" w:cs="Courier New" w:eastAsia="Courier New" w:hAnsi="Courier New"/>
                <w:sz w:val="15"/>
                <w:szCs w:val="15"/>
                <w:color w:val="auto"/>
                <w:w w:val="99"/>
              </w:rPr>
              <w:t>1993 (net of 307,469</w:t>
            </w:r>
          </w:p>
        </w:tc>
        <w:tc>
          <w:tcPr>
            <w:tcW w:w="2440" w:type="dxa"/>
            <w:vAlign w:val="bottom"/>
          </w:tcPr>
          <w:p>
            <w:pPr>
              <w:ind w:left="40"/>
              <w:spacing w:after="0"/>
              <w:rPr>
                <w:sz w:val="20"/>
                <w:szCs w:val="20"/>
                <w:color w:val="auto"/>
              </w:rPr>
            </w:pPr>
            <w:r>
              <w:rPr>
                <w:rFonts w:ascii="Courier New" w:cs="Courier New" w:eastAsia="Courier New" w:hAnsi="Courier New"/>
                <w:sz w:val="15"/>
                <w:szCs w:val="15"/>
                <w:color w:val="auto"/>
              </w:rPr>
              <w:t>treasury shares)</w:t>
            </w:r>
          </w:p>
        </w:tc>
        <w:tc>
          <w:tcPr>
            <w:tcW w:w="15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12,561</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12,270</w:t>
            </w:r>
          </w:p>
        </w:tc>
      </w:tr>
      <w:tr>
        <w:trPr>
          <w:trHeight w:val="171"/>
        </w:trPr>
        <w:tc>
          <w:tcPr>
            <w:tcW w:w="46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Additional paid-in capital</w:t>
            </w:r>
          </w:p>
        </w:tc>
        <w:tc>
          <w:tcPr>
            <w:tcW w:w="15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49,420</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44,898</w:t>
            </w:r>
          </w:p>
        </w:tc>
      </w:tr>
      <w:tr>
        <w:trPr>
          <w:trHeight w:val="171"/>
        </w:trPr>
        <w:tc>
          <w:tcPr>
            <w:tcW w:w="2160" w:type="dxa"/>
            <w:vAlign w:val="bottom"/>
          </w:tcPr>
          <w:p>
            <w:pPr>
              <w:ind w:left="160"/>
              <w:spacing w:after="0"/>
              <w:rPr>
                <w:sz w:val="20"/>
                <w:szCs w:val="20"/>
                <w:color w:val="auto"/>
              </w:rPr>
            </w:pPr>
            <w:r>
              <w:rPr>
                <w:rFonts w:ascii="Courier New" w:cs="Courier New" w:eastAsia="Courier New" w:hAnsi="Courier New"/>
                <w:sz w:val="15"/>
                <w:szCs w:val="15"/>
                <w:color w:val="auto"/>
              </w:rPr>
              <w:t>Retained earnings</w:t>
            </w:r>
          </w:p>
        </w:tc>
        <w:tc>
          <w:tcPr>
            <w:tcW w:w="2440" w:type="dxa"/>
            <w:vAlign w:val="bottom"/>
          </w:tcPr>
          <w:p>
            <w:pPr>
              <w:spacing w:after="0"/>
              <w:rPr>
                <w:sz w:val="14"/>
                <w:szCs w:val="14"/>
                <w:color w:val="auto"/>
              </w:rPr>
            </w:pPr>
          </w:p>
        </w:tc>
        <w:tc>
          <w:tcPr>
            <w:tcW w:w="15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109,688</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93,451</w:t>
            </w:r>
          </w:p>
        </w:tc>
      </w:tr>
      <w:tr>
        <w:trPr>
          <w:trHeight w:val="171"/>
        </w:trPr>
        <w:tc>
          <w:tcPr>
            <w:tcW w:w="46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Foreign currency translation adjustment</w:t>
            </w:r>
          </w:p>
        </w:tc>
        <w:tc>
          <w:tcPr>
            <w:tcW w:w="15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(795)</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 --------------------------------------------------------------------------------</w:t>
      </w:r>
    </w:p>
    <w:p>
      <w:pPr>
        <w:spacing w:after="0" w:line="9"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3420" w:type="dxa"/>
            <w:vAlign w:val="bottom"/>
          </w:tcPr>
          <w:p>
            <w:pPr>
              <w:ind w:left="360"/>
              <w:spacing w:after="0"/>
              <w:rPr>
                <w:sz w:val="20"/>
                <w:szCs w:val="20"/>
                <w:color w:val="auto"/>
              </w:rPr>
            </w:pPr>
            <w:r>
              <w:rPr>
                <w:rFonts w:ascii="Courier New" w:cs="Courier New" w:eastAsia="Courier New" w:hAnsi="Courier New"/>
                <w:sz w:val="15"/>
                <w:szCs w:val="15"/>
                <w:color w:val="auto"/>
              </w:rPr>
              <w:t>Subtotal</w:t>
            </w:r>
          </w:p>
        </w:tc>
        <w:tc>
          <w:tcPr>
            <w:tcW w:w="25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171,264</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149,824</w:t>
            </w:r>
          </w:p>
        </w:tc>
      </w:tr>
      <w:tr>
        <w:trPr>
          <w:trHeight w:val="0"/>
        </w:trPr>
        <w:tc>
          <w:tcPr>
            <w:tcW w:w="3420" w:type="dxa"/>
            <w:vAlign w:val="bottom"/>
          </w:tcPr>
          <w:p>
            <w:pPr>
              <w:spacing w:after="0"/>
              <w:rPr>
                <w:sz w:val="20"/>
                <w:szCs w:val="20"/>
                <w:color w:val="auto"/>
              </w:rPr>
            </w:pPr>
            <w:r>
              <w:rPr>
                <w:rFonts w:ascii="Courier New" w:cs="Courier New" w:eastAsia="Courier New" w:hAnsi="Courier New"/>
                <w:sz w:val="15"/>
                <w:szCs w:val="15"/>
                <w:color w:val="auto"/>
              </w:rPr>
              <w:t>Receivable from ESOP</w:t>
            </w:r>
          </w:p>
        </w:tc>
        <w:tc>
          <w:tcPr>
            <w:tcW w:w="2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(2,612)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(5,223)</w:t>
            </w:r>
          </w:p>
        </w:tc>
      </w:tr>
    </w:tbl>
    <w:p>
      <w:pPr>
        <w:spacing w:after="0" w:line="174" w:lineRule="exact"/>
        <w:rPr>
          <w:sz w:val="20"/>
          <w:szCs w:val="20"/>
          <w:color w:val="auto"/>
        </w:rPr>
      </w:pPr>
    </w:p>
    <w:p>
      <w:pPr>
        <w:ind w:left="9" w:right="2419"/>
        <w:spacing w:after="0" w:line="239" w:lineRule="auto"/>
        <w:rPr>
          <w:sz w:val="20"/>
          <w:szCs w:val="20"/>
          <w:color w:val="auto"/>
        </w:rPr>
      </w:pPr>
      <w:r>
        <w:rPr>
          <w:rFonts w:ascii="Courier New" w:cs="Courier New" w:eastAsia="Courier New" w:hAnsi="Courier New"/>
          <w:sz w:val="15"/>
          <w:szCs w:val="15"/>
          <w:color w:val="auto"/>
        </w:rPr>
        <w:t>- - - - -------------------------------------------------------------------------------- Total common stockholders' equity 168,652 144,601 - - - - -------------------------------------------------------------------------------- Total liabilities and common stockholders' equity $443,639 $419,203</w:t>
      </w:r>
    </w:p>
    <w:p>
      <w:pPr>
        <w:spacing w:after="0" w:line="6" w:lineRule="exact"/>
        <w:rPr>
          <w:sz w:val="20"/>
          <w:szCs w:val="20"/>
          <w:color w:val="auto"/>
        </w:rPr>
      </w:pPr>
    </w:p>
    <w:p>
      <w:pPr>
        <w:ind w:left="169" w:hanging="169"/>
        <w:spacing w:after="0"/>
        <w:tabs>
          <w:tab w:leader="none" w:pos="169"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200" w:lineRule="exact"/>
        <w:rPr>
          <w:sz w:val="20"/>
          <w:szCs w:val="20"/>
          <w:color w:val="auto"/>
        </w:rPr>
      </w:pPr>
    </w:p>
    <w:p>
      <w:pPr>
        <w:spacing w:after="0" w:line="324" w:lineRule="exact"/>
        <w:rPr>
          <w:sz w:val="20"/>
          <w:szCs w:val="20"/>
          <w:color w:val="auto"/>
        </w:rPr>
      </w:pPr>
    </w:p>
    <w:p>
      <w:pPr>
        <w:ind w:left="9" w:right="3839"/>
        <w:spacing w:after="0" w:line="238" w:lineRule="auto"/>
        <w:rPr>
          <w:sz w:val="20"/>
          <w:szCs w:val="20"/>
          <w:color w:val="auto"/>
        </w:rPr>
      </w:pPr>
      <w:r>
        <w:rPr>
          <w:rFonts w:ascii="Courier New" w:cs="Courier New" w:eastAsia="Courier New" w:hAnsi="Courier New"/>
          <w:sz w:val="15"/>
          <w:szCs w:val="15"/>
          <w:color w:val="auto"/>
        </w:rPr>
        <w:t>The financial statements should be read in conjunction with the Notes to Consolidated Financial Statements.</w:t>
      </w:r>
    </w:p>
    <w:p>
      <w:pPr>
        <w:spacing w:after="0" w:line="343" w:lineRule="exact"/>
        <w:rPr>
          <w:sz w:val="20"/>
          <w:szCs w:val="20"/>
          <w:color w:val="auto"/>
        </w:rPr>
      </w:pPr>
    </w:p>
    <w:p>
      <w:pPr>
        <w:ind w:left="9"/>
        <w:spacing w:after="0"/>
        <w:tabs>
          <w:tab w:leader="none" w:pos="429" w:val="left"/>
          <w:tab w:leader="none" w:pos="2289" w:val="left"/>
        </w:tabs>
        <w:rPr>
          <w:sz w:val="20"/>
          <w:szCs w:val="20"/>
          <w:color w:val="auto"/>
        </w:rPr>
      </w:pPr>
      <w:r>
        <w:rPr>
          <w:rFonts w:ascii="Courier New" w:cs="Courier New" w:eastAsia="Courier New" w:hAnsi="Courier New"/>
          <w:sz w:val="15"/>
          <w:szCs w:val="15"/>
          <w:color w:val="auto"/>
        </w:rPr>
        <w:t>20</w:t>
      </w:r>
      <w:r>
        <w:rPr>
          <w:sz w:val="20"/>
          <w:szCs w:val="20"/>
          <w:color w:val="auto"/>
        </w:rPr>
        <w:tab/>
      </w:r>
      <w:r>
        <w:rPr>
          <w:rFonts w:ascii="Courier New" w:cs="Courier New" w:eastAsia="Courier New" w:hAnsi="Courier New"/>
          <w:sz w:val="15"/>
          <w:szCs w:val="15"/>
          <w:color w:val="auto"/>
        </w:rPr>
        <w:t>The Toro Company</w:t>
      </w:r>
      <w:r>
        <w:rPr>
          <w:sz w:val="20"/>
          <w:szCs w:val="20"/>
          <w:color w:val="auto"/>
        </w:rPr>
        <w:tab/>
      </w:r>
      <w:r>
        <w:rPr>
          <w:rFonts w:ascii="Courier New" w:cs="Courier New" w:eastAsia="Courier New" w:hAnsi="Courier New"/>
          <w:sz w:val="14"/>
          <w:szCs w:val="14"/>
          <w:color w:val="auto"/>
        </w:rPr>
        <w:t>1994 Annual Report</w:t>
      </w:r>
    </w:p>
    <w:p>
      <w:pPr>
        <w:sectPr>
          <w:pgSz w:w="11900" w:h="16838" w:orient="portrait"/>
          <w:cols w:equalWidth="0" w:num="1">
            <w:col w:w="10228"/>
          </w:cols>
          <w:pgMar w:left="231" w:top="628" w:right="1440" w:bottom="1140" w:gutter="0" w:footer="0" w:header="0"/>
        </w:sectPr>
      </w:pPr>
    </w:p>
    <w:bookmarkStart w:id="32" w:name="page33"/>
    <w:bookmarkEnd w:id="32"/>
    <w:tbl>
      <w:tblPr>
        <w:tblLayout w:type="fixed"/>
        <w:tblInd w:w="9" w:type="dxa"/>
        <w:tblCellMar>
          <w:top w:w="0" w:type="dxa"/>
          <w:left w:w="0" w:type="dxa"/>
          <w:bottom w:w="0" w:type="dxa"/>
          <w:right w:w="0" w:type="dxa"/>
        </w:tblCellMar>
      </w:tblPr>
      <w:tr>
        <w:trPr>
          <w:trHeight w:val="170"/>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THE</w:t>
            </w:r>
          </w:p>
        </w:tc>
        <w:tc>
          <w:tcPr>
            <w:tcW w:w="3760" w:type="dxa"/>
            <w:vAlign w:val="bottom"/>
          </w:tcPr>
          <w:p>
            <w:pPr>
              <w:ind w:left="80"/>
              <w:spacing w:after="0"/>
              <w:rPr>
                <w:sz w:val="20"/>
                <w:szCs w:val="20"/>
                <w:color w:val="auto"/>
              </w:rPr>
            </w:pPr>
            <w:r>
              <w:rPr>
                <w:rFonts w:ascii="Courier New" w:cs="Courier New" w:eastAsia="Courier New" w:hAnsi="Courier New"/>
                <w:sz w:val="15"/>
                <w:szCs w:val="15"/>
                <w:color w:val="auto"/>
              </w:rPr>
              <w:t>TORO COMPANY</w:t>
            </w: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1"/>
        </w:trPr>
        <w:tc>
          <w:tcPr>
            <w:tcW w:w="402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Statements of Cash Flows</w:t>
            </w: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853"/>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 -</w:t>
            </w:r>
          </w:p>
        </w:tc>
        <w:tc>
          <w:tcPr>
            <w:tcW w:w="7540" w:type="dxa"/>
            <w:vAlign w:val="bottom"/>
            <w:gridSpan w:val="4"/>
          </w:tcPr>
          <w:p>
            <w:pPr>
              <w:ind w:left="80"/>
              <w:spacing w:after="0"/>
              <w:rPr>
                <w:sz w:val="20"/>
                <w:szCs w:val="20"/>
                <w:color w:val="auto"/>
              </w:rPr>
            </w:pPr>
            <w:r>
              <w:rPr>
                <w:rFonts w:ascii="Courier New" w:cs="Courier New" w:eastAsia="Courier New" w:hAnsi="Courier New"/>
                <w:sz w:val="15"/>
                <w:szCs w:val="15"/>
                <w:color w:val="auto"/>
                <w:w w:val="98"/>
              </w:rPr>
              <w:t>- - --------------------------------------------------------------------------------</w:t>
            </w:r>
          </w:p>
        </w:tc>
      </w:tr>
      <w:tr>
        <w:trPr>
          <w:trHeight w:val="171"/>
        </w:trPr>
        <w:tc>
          <w:tcPr>
            <w:tcW w:w="4020" w:type="dxa"/>
            <w:vAlign w:val="bottom"/>
            <w:gridSpan w:val="2"/>
          </w:tcPr>
          <w:p>
            <w:pPr>
              <w:spacing w:after="0"/>
              <w:rPr>
                <w:sz w:val="20"/>
                <w:szCs w:val="20"/>
                <w:color w:val="auto"/>
              </w:rPr>
            </w:pPr>
            <w:r>
              <w:rPr>
                <w:rFonts w:ascii="Courier New" w:cs="Courier New" w:eastAsia="Courier New" w:hAnsi="Courier New"/>
                <w:sz w:val="15"/>
                <w:szCs w:val="15"/>
                <w:color w:val="auto"/>
              </w:rPr>
              <w:t>(Dollars in thousands) Years ended July 31</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1994</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1993</w:t>
            </w:r>
          </w:p>
        </w:tc>
        <w:tc>
          <w:tcPr>
            <w:tcW w:w="172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1992</w:t>
            </w:r>
          </w:p>
        </w:tc>
      </w:tr>
      <w:tr>
        <w:trPr>
          <w:trHeight w:val="171"/>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 -</w:t>
            </w:r>
          </w:p>
        </w:tc>
        <w:tc>
          <w:tcPr>
            <w:tcW w:w="7540" w:type="dxa"/>
            <w:vAlign w:val="bottom"/>
            <w:gridSpan w:val="4"/>
          </w:tcPr>
          <w:p>
            <w:pPr>
              <w:ind w:left="80"/>
              <w:spacing w:after="0"/>
              <w:rPr>
                <w:sz w:val="20"/>
                <w:szCs w:val="20"/>
                <w:color w:val="auto"/>
              </w:rPr>
            </w:pPr>
            <w:r>
              <w:rPr>
                <w:rFonts w:ascii="Courier New" w:cs="Courier New" w:eastAsia="Courier New" w:hAnsi="Courier New"/>
                <w:sz w:val="15"/>
                <w:szCs w:val="15"/>
                <w:color w:val="auto"/>
                <w:w w:val="98"/>
              </w:rPr>
              <w:t>- - --------------------------------------------------------------------------------</w:t>
            </w:r>
          </w:p>
        </w:tc>
      </w:tr>
      <w:tr>
        <w:trPr>
          <w:trHeight w:val="341"/>
        </w:trPr>
        <w:tc>
          <w:tcPr>
            <w:tcW w:w="4020" w:type="dxa"/>
            <w:vAlign w:val="bottom"/>
            <w:gridSpan w:val="2"/>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71"/>
        </w:trPr>
        <w:tc>
          <w:tcPr>
            <w:tcW w:w="40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Net earnings (loss)</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$ 22,230</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$ 13,040</w:t>
            </w: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$(23,753)</w:t>
            </w:r>
          </w:p>
        </w:tc>
      </w:tr>
      <w:tr>
        <w:trPr>
          <w:trHeight w:val="171"/>
        </w:trPr>
        <w:tc>
          <w:tcPr>
            <w:tcW w:w="40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Adjustments to reconcile net earnings</w:t>
            </w: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1"/>
        </w:trPr>
        <w:tc>
          <w:tcPr>
            <w:tcW w:w="260" w:type="dxa"/>
            <w:vAlign w:val="bottom"/>
          </w:tcPr>
          <w:p>
            <w:pPr>
              <w:spacing w:after="0"/>
              <w:rPr>
                <w:sz w:val="14"/>
                <w:szCs w:val="14"/>
                <w:color w:val="auto"/>
              </w:rPr>
            </w:pPr>
          </w:p>
        </w:tc>
        <w:tc>
          <w:tcPr>
            <w:tcW w:w="3760" w:type="dxa"/>
            <w:vAlign w:val="bottom"/>
          </w:tcPr>
          <w:p>
            <w:pPr>
              <w:ind w:left="80"/>
              <w:spacing w:after="0"/>
              <w:rPr>
                <w:sz w:val="20"/>
                <w:szCs w:val="20"/>
                <w:color w:val="auto"/>
              </w:rPr>
            </w:pPr>
            <w:r>
              <w:rPr>
                <w:rFonts w:ascii="Courier New" w:cs="Courier New" w:eastAsia="Courier New" w:hAnsi="Courier New"/>
                <w:sz w:val="15"/>
                <w:szCs w:val="15"/>
                <w:color w:val="auto"/>
              </w:rPr>
              <w:t>(loss) to net cash provided by</w:t>
            </w: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1"/>
        </w:trPr>
        <w:tc>
          <w:tcPr>
            <w:tcW w:w="260" w:type="dxa"/>
            <w:vAlign w:val="bottom"/>
          </w:tcPr>
          <w:p>
            <w:pPr>
              <w:spacing w:after="0"/>
              <w:rPr>
                <w:sz w:val="14"/>
                <w:szCs w:val="14"/>
                <w:color w:val="auto"/>
              </w:rPr>
            </w:pPr>
          </w:p>
        </w:tc>
        <w:tc>
          <w:tcPr>
            <w:tcW w:w="3760" w:type="dxa"/>
            <w:vAlign w:val="bottom"/>
          </w:tcPr>
          <w:p>
            <w:pPr>
              <w:ind w:left="80"/>
              <w:spacing w:after="0"/>
              <w:rPr>
                <w:sz w:val="20"/>
                <w:szCs w:val="20"/>
                <w:color w:val="auto"/>
              </w:rPr>
            </w:pPr>
            <w:r>
              <w:rPr>
                <w:rFonts w:ascii="Courier New" w:cs="Courier New" w:eastAsia="Courier New" w:hAnsi="Courier New"/>
                <w:sz w:val="15"/>
                <w:szCs w:val="15"/>
                <w:color w:val="auto"/>
              </w:rPr>
              <w:t>operating activities:</w:t>
            </w: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1"/>
        </w:trPr>
        <w:tc>
          <w:tcPr>
            <w:tcW w:w="40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Provision for depreciation and amortization</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18,839</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19,245</w:t>
            </w:r>
          </w:p>
        </w:tc>
        <w:tc>
          <w:tcPr>
            <w:tcW w:w="172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21,971</w:t>
            </w:r>
          </w:p>
        </w:tc>
      </w:tr>
      <w:tr>
        <w:trPr>
          <w:trHeight w:val="171"/>
        </w:trPr>
        <w:tc>
          <w:tcPr>
            <w:tcW w:w="40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Loss on disposal of property, plant</w:t>
            </w: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1"/>
        </w:trPr>
        <w:tc>
          <w:tcPr>
            <w:tcW w:w="260" w:type="dxa"/>
            <w:vAlign w:val="bottom"/>
          </w:tcPr>
          <w:p>
            <w:pPr>
              <w:spacing w:after="0"/>
              <w:rPr>
                <w:sz w:val="14"/>
                <w:szCs w:val="14"/>
                <w:color w:val="auto"/>
              </w:rPr>
            </w:pPr>
          </w:p>
        </w:tc>
        <w:tc>
          <w:tcPr>
            <w:tcW w:w="3760" w:type="dxa"/>
            <w:vAlign w:val="bottom"/>
          </w:tcPr>
          <w:p>
            <w:pPr>
              <w:ind w:left="80"/>
              <w:spacing w:after="0"/>
              <w:rPr>
                <w:sz w:val="20"/>
                <w:szCs w:val="20"/>
                <w:color w:val="auto"/>
              </w:rPr>
            </w:pPr>
            <w:r>
              <w:rPr>
                <w:rFonts w:ascii="Courier New" w:cs="Courier New" w:eastAsia="Courier New" w:hAnsi="Courier New"/>
                <w:sz w:val="15"/>
                <w:szCs w:val="15"/>
                <w:color w:val="auto"/>
              </w:rPr>
              <w:t>and equipment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1,265</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1,230</w:t>
            </w:r>
          </w:p>
        </w:tc>
        <w:tc>
          <w:tcPr>
            <w:tcW w:w="172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1,037</w:t>
            </w:r>
          </w:p>
        </w:tc>
      </w:tr>
      <w:tr>
        <w:trPr>
          <w:trHeight w:val="171"/>
        </w:trPr>
        <w:tc>
          <w:tcPr>
            <w:tcW w:w="40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Deferred income taxes</w:t>
            </w: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(2,668)</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(1,547)</w:t>
            </w: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(13,263)</w:t>
            </w:r>
          </w:p>
        </w:tc>
      </w:tr>
      <w:tr>
        <w:trPr>
          <w:trHeight w:val="171"/>
        </w:trPr>
        <w:tc>
          <w:tcPr>
            <w:tcW w:w="40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Tax benefits related to employee</w:t>
            </w: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1"/>
        </w:trPr>
        <w:tc>
          <w:tcPr>
            <w:tcW w:w="260" w:type="dxa"/>
            <w:vAlign w:val="bottom"/>
          </w:tcPr>
          <w:p>
            <w:pPr>
              <w:spacing w:after="0"/>
              <w:rPr>
                <w:sz w:val="14"/>
                <w:szCs w:val="14"/>
                <w:color w:val="auto"/>
              </w:rPr>
            </w:pPr>
          </w:p>
        </w:tc>
        <w:tc>
          <w:tcPr>
            <w:tcW w:w="3760" w:type="dxa"/>
            <w:vAlign w:val="bottom"/>
          </w:tcPr>
          <w:p>
            <w:pPr>
              <w:spacing w:after="0"/>
              <w:rPr>
                <w:sz w:val="20"/>
                <w:szCs w:val="20"/>
                <w:color w:val="auto"/>
              </w:rPr>
            </w:pPr>
            <w:r>
              <w:rPr>
                <w:rFonts w:ascii="Courier New" w:cs="Courier New" w:eastAsia="Courier New" w:hAnsi="Courier New"/>
                <w:sz w:val="15"/>
                <w:szCs w:val="15"/>
                <w:color w:val="auto"/>
              </w:rPr>
              <w:t>stock option transactions</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953</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w:t>
            </w:r>
          </w:p>
        </w:tc>
      </w:tr>
      <w:tr>
        <w:trPr>
          <w:trHeight w:val="171"/>
        </w:trPr>
        <w:tc>
          <w:tcPr>
            <w:tcW w:w="40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Changes in operating assets and</w:t>
            </w: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1"/>
        </w:trPr>
        <w:tc>
          <w:tcPr>
            <w:tcW w:w="260" w:type="dxa"/>
            <w:vAlign w:val="bottom"/>
          </w:tcPr>
          <w:p>
            <w:pPr>
              <w:spacing w:after="0"/>
              <w:rPr>
                <w:sz w:val="14"/>
                <w:szCs w:val="14"/>
                <w:color w:val="auto"/>
              </w:rPr>
            </w:pPr>
          </w:p>
        </w:tc>
        <w:tc>
          <w:tcPr>
            <w:tcW w:w="3760" w:type="dxa"/>
            <w:vAlign w:val="bottom"/>
          </w:tcPr>
          <w:p>
            <w:pPr>
              <w:ind w:left="80"/>
              <w:spacing w:after="0"/>
              <w:rPr>
                <w:sz w:val="20"/>
                <w:szCs w:val="20"/>
                <w:color w:val="auto"/>
              </w:rPr>
            </w:pPr>
            <w:r>
              <w:rPr>
                <w:rFonts w:ascii="Courier New" w:cs="Courier New" w:eastAsia="Courier New" w:hAnsi="Courier New"/>
                <w:sz w:val="15"/>
                <w:szCs w:val="15"/>
                <w:color w:val="auto"/>
              </w:rPr>
              <w:t>liabilities:</w:t>
            </w: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1"/>
        </w:trPr>
        <w:tc>
          <w:tcPr>
            <w:tcW w:w="260" w:type="dxa"/>
            <w:vAlign w:val="bottom"/>
          </w:tcPr>
          <w:p>
            <w:pPr>
              <w:spacing w:after="0"/>
              <w:rPr>
                <w:sz w:val="14"/>
                <w:szCs w:val="14"/>
                <w:color w:val="auto"/>
              </w:rPr>
            </w:pPr>
          </w:p>
        </w:tc>
        <w:tc>
          <w:tcPr>
            <w:tcW w:w="3760" w:type="dxa"/>
            <w:vAlign w:val="bottom"/>
          </w:tcPr>
          <w:p>
            <w:pPr>
              <w:ind w:left="80"/>
              <w:spacing w:after="0"/>
              <w:rPr>
                <w:sz w:val="20"/>
                <w:szCs w:val="20"/>
                <w:color w:val="auto"/>
              </w:rPr>
            </w:pPr>
            <w:r>
              <w:rPr>
                <w:rFonts w:ascii="Courier New" w:cs="Courier New" w:eastAsia="Courier New" w:hAnsi="Courier New"/>
                <w:sz w:val="15"/>
                <w:szCs w:val="15"/>
                <w:color w:val="auto"/>
              </w:rPr>
              <w:t>Net receivables</w:t>
            </w: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(3,320)</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28,199</w:t>
            </w:r>
          </w:p>
        </w:tc>
        <w:tc>
          <w:tcPr>
            <w:tcW w:w="172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21,376</w:t>
            </w:r>
          </w:p>
        </w:tc>
      </w:tr>
      <w:tr>
        <w:trPr>
          <w:trHeight w:val="171"/>
        </w:trPr>
        <w:tc>
          <w:tcPr>
            <w:tcW w:w="260" w:type="dxa"/>
            <w:vAlign w:val="bottom"/>
          </w:tcPr>
          <w:p>
            <w:pPr>
              <w:spacing w:after="0"/>
              <w:rPr>
                <w:sz w:val="14"/>
                <w:szCs w:val="14"/>
                <w:color w:val="auto"/>
              </w:rPr>
            </w:pPr>
          </w:p>
        </w:tc>
        <w:tc>
          <w:tcPr>
            <w:tcW w:w="3760" w:type="dxa"/>
            <w:vAlign w:val="bottom"/>
          </w:tcPr>
          <w:p>
            <w:pPr>
              <w:ind w:left="80"/>
              <w:spacing w:after="0"/>
              <w:rPr>
                <w:sz w:val="20"/>
                <w:szCs w:val="20"/>
                <w:color w:val="auto"/>
              </w:rPr>
            </w:pPr>
            <w:r>
              <w:rPr>
                <w:rFonts w:ascii="Courier New" w:cs="Courier New" w:eastAsia="Courier New" w:hAnsi="Courier New"/>
                <w:sz w:val="15"/>
                <w:szCs w:val="15"/>
                <w:color w:val="auto"/>
              </w:rPr>
              <w:t>Inventories</w:t>
            </w: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(40,056)</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(4,583)</w:t>
            </w:r>
          </w:p>
        </w:tc>
        <w:tc>
          <w:tcPr>
            <w:tcW w:w="172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9,174</w:t>
            </w:r>
          </w:p>
        </w:tc>
      </w:tr>
      <w:tr>
        <w:trPr>
          <w:trHeight w:val="171"/>
        </w:trPr>
        <w:tc>
          <w:tcPr>
            <w:tcW w:w="260" w:type="dxa"/>
            <w:vAlign w:val="bottom"/>
          </w:tcPr>
          <w:p>
            <w:pPr>
              <w:spacing w:after="0"/>
              <w:rPr>
                <w:sz w:val="14"/>
                <w:szCs w:val="14"/>
                <w:color w:val="auto"/>
              </w:rPr>
            </w:pPr>
          </w:p>
        </w:tc>
        <w:tc>
          <w:tcPr>
            <w:tcW w:w="3760" w:type="dxa"/>
            <w:vAlign w:val="bottom"/>
          </w:tcPr>
          <w:p>
            <w:pPr>
              <w:ind w:left="80"/>
              <w:spacing w:after="0"/>
              <w:rPr>
                <w:sz w:val="20"/>
                <w:szCs w:val="20"/>
                <w:color w:val="auto"/>
              </w:rPr>
            </w:pPr>
            <w:r>
              <w:rPr>
                <w:rFonts w:ascii="Courier New" w:cs="Courier New" w:eastAsia="Courier New" w:hAnsi="Courier New"/>
                <w:sz w:val="15"/>
                <w:szCs w:val="15"/>
                <w:color w:val="auto"/>
              </w:rPr>
              <w:t>Prepaid expenses and deferred</w:t>
            </w: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1"/>
        </w:trPr>
        <w:tc>
          <w:tcPr>
            <w:tcW w:w="260" w:type="dxa"/>
            <w:vAlign w:val="bottom"/>
          </w:tcPr>
          <w:p>
            <w:pPr>
              <w:spacing w:after="0"/>
              <w:rPr>
                <w:sz w:val="14"/>
                <w:szCs w:val="14"/>
                <w:color w:val="auto"/>
              </w:rPr>
            </w:pPr>
          </w:p>
        </w:tc>
        <w:tc>
          <w:tcPr>
            <w:tcW w:w="3760" w:type="dxa"/>
            <w:vAlign w:val="bottom"/>
          </w:tcPr>
          <w:p>
            <w:pPr>
              <w:ind w:left="260"/>
              <w:spacing w:after="0"/>
              <w:rPr>
                <w:sz w:val="20"/>
                <w:szCs w:val="20"/>
                <w:color w:val="auto"/>
              </w:rPr>
            </w:pPr>
            <w:r>
              <w:rPr>
                <w:rFonts w:ascii="Courier New" w:cs="Courier New" w:eastAsia="Courier New" w:hAnsi="Courier New"/>
                <w:sz w:val="15"/>
                <w:szCs w:val="15"/>
                <w:color w:val="auto"/>
              </w:rPr>
              <w:t>income tax benefits</w:t>
            </w: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(2,551)</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3,396</w:t>
            </w: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(4,057)</w:t>
            </w:r>
          </w:p>
        </w:tc>
      </w:tr>
      <w:tr>
        <w:trPr>
          <w:trHeight w:val="171"/>
        </w:trPr>
        <w:tc>
          <w:tcPr>
            <w:tcW w:w="260" w:type="dxa"/>
            <w:vAlign w:val="bottom"/>
          </w:tcPr>
          <w:p>
            <w:pPr>
              <w:spacing w:after="0"/>
              <w:rPr>
                <w:sz w:val="14"/>
                <w:szCs w:val="14"/>
                <w:color w:val="auto"/>
              </w:rPr>
            </w:pPr>
          </w:p>
        </w:tc>
        <w:tc>
          <w:tcPr>
            <w:tcW w:w="3760" w:type="dxa"/>
            <w:vAlign w:val="bottom"/>
          </w:tcPr>
          <w:p>
            <w:pPr>
              <w:ind w:left="80"/>
              <w:spacing w:after="0"/>
              <w:rPr>
                <w:sz w:val="20"/>
                <w:szCs w:val="20"/>
                <w:color w:val="auto"/>
              </w:rPr>
            </w:pPr>
            <w:r>
              <w:rPr>
                <w:rFonts w:ascii="Courier New" w:cs="Courier New" w:eastAsia="Courier New" w:hAnsi="Courier New"/>
                <w:sz w:val="15"/>
                <w:szCs w:val="15"/>
                <w:color w:val="auto"/>
              </w:rPr>
              <w:t>Accounts payable and accrued expenses</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31,472</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11,438</w:t>
            </w:r>
          </w:p>
        </w:tc>
        <w:tc>
          <w:tcPr>
            <w:tcW w:w="172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28,025</w:t>
            </w:r>
          </w:p>
        </w:tc>
      </w:tr>
      <w:tr>
        <w:trPr>
          <w:trHeight w:val="171"/>
        </w:trPr>
        <w:tc>
          <w:tcPr>
            <w:tcW w:w="260" w:type="dxa"/>
            <w:vAlign w:val="bottom"/>
          </w:tcPr>
          <w:p>
            <w:pPr>
              <w:spacing w:after="0"/>
              <w:rPr>
                <w:sz w:val="14"/>
                <w:szCs w:val="14"/>
                <w:color w:val="auto"/>
              </w:rPr>
            </w:pPr>
          </w:p>
        </w:tc>
        <w:tc>
          <w:tcPr>
            <w:tcW w:w="3760" w:type="dxa"/>
            <w:vAlign w:val="bottom"/>
          </w:tcPr>
          <w:p>
            <w:pPr>
              <w:ind w:left="80"/>
              <w:spacing w:after="0"/>
              <w:rPr>
                <w:sz w:val="20"/>
                <w:szCs w:val="20"/>
                <w:color w:val="auto"/>
              </w:rPr>
            </w:pPr>
            <w:r>
              <w:rPr>
                <w:rFonts w:ascii="Courier New" w:cs="Courier New" w:eastAsia="Courier New" w:hAnsi="Courier New"/>
                <w:sz w:val="15"/>
                <w:szCs w:val="15"/>
                <w:color w:val="auto"/>
              </w:rPr>
              <w:t>Accrued income taxes</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1,680</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1,714</w:t>
            </w:r>
          </w:p>
        </w:tc>
        <w:tc>
          <w:tcPr>
            <w:tcW w:w="172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413</w:t>
            </w:r>
          </w:p>
        </w:tc>
      </w:tr>
    </w:tbl>
    <w:p>
      <w:pPr>
        <w:spacing w:after="0" w:line="3" w:lineRule="exact"/>
        <w:rPr>
          <w:sz w:val="20"/>
          <w:szCs w:val="20"/>
          <w:color w:val="auto"/>
        </w:rPr>
      </w:pPr>
    </w:p>
    <w:p>
      <w:pPr>
        <w:ind w:left="169" w:hanging="169"/>
        <w:spacing w:after="0"/>
        <w:tabs>
          <w:tab w:leader="none" w:pos="169"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9" w:lineRule="exact"/>
        <w:rPr>
          <w:rFonts w:ascii="Courier New" w:cs="Courier New" w:eastAsia="Courier New" w:hAnsi="Courier New"/>
          <w:sz w:val="14"/>
          <w:szCs w:val="14"/>
          <w:color w:val="auto"/>
        </w:rPr>
      </w:pPr>
    </w:p>
    <w:p>
      <w:pPr>
        <w:ind w:left="52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Net cash provided by operating</w:t>
      </w:r>
    </w:p>
    <w:p>
      <w:pPr>
        <w:spacing w:after="0" w:line="1" w:lineRule="exact"/>
        <w:rPr>
          <w:sz w:val="20"/>
          <w:szCs w:val="20"/>
          <w:color w:val="auto"/>
        </w:rPr>
      </w:pPr>
    </w:p>
    <w:tbl>
      <w:tblPr>
        <w:tblLayout w:type="fixed"/>
        <w:tblInd w:w="709" w:type="dxa"/>
        <w:tblCellMar>
          <w:top w:w="0" w:type="dxa"/>
          <w:left w:w="0" w:type="dxa"/>
          <w:bottom w:w="0" w:type="dxa"/>
          <w:right w:w="0" w:type="dxa"/>
        </w:tblCellMar>
      </w:tblPr>
      <w:tr>
        <w:trPr>
          <w:trHeight w:val="170"/>
        </w:trPr>
        <w:tc>
          <w:tcPr>
            <w:tcW w:w="2220" w:type="dxa"/>
            <w:vAlign w:val="bottom"/>
          </w:tcPr>
          <w:p>
            <w:pPr>
              <w:spacing w:after="0"/>
              <w:rPr>
                <w:sz w:val="20"/>
                <w:szCs w:val="20"/>
                <w:color w:val="auto"/>
              </w:rPr>
            </w:pPr>
            <w:r>
              <w:rPr>
                <w:rFonts w:ascii="Courier New" w:cs="Courier New" w:eastAsia="Courier New" w:hAnsi="Courier New"/>
                <w:sz w:val="15"/>
                <w:szCs w:val="15"/>
                <w:color w:val="auto"/>
              </w:rPr>
              <w:t>activities</w:t>
            </w:r>
          </w:p>
        </w:tc>
        <w:tc>
          <w:tcPr>
            <w:tcW w:w="2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27,844</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72,132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40,923</w:t>
            </w:r>
          </w:p>
        </w:tc>
      </w:tr>
    </w:tbl>
    <w:p>
      <w:pPr>
        <w:spacing w:after="0" w:line="3" w:lineRule="exact"/>
        <w:rPr>
          <w:sz w:val="20"/>
          <w:szCs w:val="20"/>
          <w:color w:val="auto"/>
        </w:rPr>
      </w:pPr>
    </w:p>
    <w:p>
      <w:pPr>
        <w:ind w:left="169" w:hanging="169"/>
        <w:spacing w:after="0"/>
        <w:tabs>
          <w:tab w:leader="none" w:pos="169"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CASH FLOWS FROM INVESTING ACTIVITIES:</w:t>
      </w:r>
    </w:p>
    <w:p>
      <w:pPr>
        <w:spacing w:after="0" w:line="1"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2580" w:type="dxa"/>
            <w:vAlign w:val="bottom"/>
            <w:gridSpan w:val="2"/>
          </w:tcPr>
          <w:p>
            <w:pPr>
              <w:spacing w:after="0"/>
              <w:rPr>
                <w:sz w:val="20"/>
                <w:szCs w:val="20"/>
                <w:color w:val="auto"/>
              </w:rPr>
            </w:pPr>
            <w:r>
              <w:rPr>
                <w:rFonts w:ascii="Courier New" w:cs="Courier New" w:eastAsia="Courier New" w:hAnsi="Courier New"/>
                <w:sz w:val="15"/>
                <w:szCs w:val="15"/>
                <w:color w:val="auto"/>
              </w:rPr>
              <w:t>Purchases of property, plant</w:t>
            </w:r>
          </w:p>
        </w:tc>
        <w:tc>
          <w:tcPr>
            <w:tcW w:w="1280" w:type="dxa"/>
            <w:vAlign w:val="bottom"/>
          </w:tcPr>
          <w:p>
            <w:pPr>
              <w:spacing w:after="0"/>
              <w:rPr>
                <w:sz w:val="20"/>
                <w:szCs w:val="20"/>
                <w:color w:val="auto"/>
              </w:rPr>
            </w:pPr>
            <w:r>
              <w:rPr>
                <w:rFonts w:ascii="Courier New" w:cs="Courier New" w:eastAsia="Courier New" w:hAnsi="Courier New"/>
                <w:sz w:val="15"/>
                <w:szCs w:val="15"/>
                <w:color w:val="auto"/>
              </w:rPr>
              <w:t>and equipment</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(18,173)</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(11,397)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(13,687)</w:t>
            </w:r>
          </w:p>
        </w:tc>
      </w:tr>
      <w:tr>
        <w:trPr>
          <w:trHeight w:val="171"/>
        </w:trPr>
        <w:tc>
          <w:tcPr>
            <w:tcW w:w="1740" w:type="dxa"/>
            <w:vAlign w:val="bottom"/>
          </w:tcPr>
          <w:p>
            <w:pPr>
              <w:spacing w:after="0"/>
              <w:rPr>
                <w:sz w:val="20"/>
                <w:szCs w:val="20"/>
                <w:color w:val="auto"/>
              </w:rPr>
            </w:pPr>
            <w:r>
              <w:rPr>
                <w:rFonts w:ascii="Courier New" w:cs="Courier New" w:eastAsia="Courier New" w:hAnsi="Courier New"/>
                <w:sz w:val="15"/>
                <w:szCs w:val="15"/>
                <w:color w:val="auto"/>
              </w:rPr>
              <w:t>Proceeds from asset</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w w:val="96"/>
              </w:rPr>
              <w:t>disposals</w:t>
            </w:r>
          </w:p>
        </w:tc>
        <w:tc>
          <w:tcPr>
            <w:tcW w:w="128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267</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2,323</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220</w:t>
            </w:r>
          </w:p>
        </w:tc>
      </w:tr>
      <w:tr>
        <w:trPr>
          <w:trHeight w:val="171"/>
        </w:trPr>
        <w:tc>
          <w:tcPr>
            <w:tcW w:w="1740" w:type="dxa"/>
            <w:vAlign w:val="bottom"/>
          </w:tcPr>
          <w:p>
            <w:pPr>
              <w:spacing w:after="0"/>
              <w:rPr>
                <w:sz w:val="20"/>
                <w:szCs w:val="20"/>
                <w:color w:val="auto"/>
              </w:rPr>
            </w:pPr>
            <w:r>
              <w:rPr>
                <w:rFonts w:ascii="Courier New" w:cs="Courier New" w:eastAsia="Courier New" w:hAnsi="Courier New"/>
                <w:sz w:val="15"/>
                <w:szCs w:val="15"/>
                <w:color w:val="auto"/>
              </w:rPr>
              <w:t>(Increase) decrease</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in other</w:t>
            </w:r>
          </w:p>
        </w:tc>
        <w:tc>
          <w:tcPr>
            <w:tcW w:w="12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(4,973)</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2,319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(1,603)</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 --------------------------------------------------------------------------------</w:t>
      </w:r>
    </w:p>
    <w:p>
      <w:pPr>
        <w:spacing w:after="0" w:line="9" w:lineRule="exact"/>
        <w:rPr>
          <w:sz w:val="20"/>
          <w:szCs w:val="20"/>
          <w:color w:val="auto"/>
        </w:rPr>
      </w:pPr>
    </w:p>
    <w:tbl>
      <w:tblPr>
        <w:tblLayout w:type="fixed"/>
        <w:tblInd w:w="529" w:type="dxa"/>
        <w:tblCellMar>
          <w:top w:w="0" w:type="dxa"/>
          <w:left w:w="0" w:type="dxa"/>
          <w:bottom w:w="0" w:type="dxa"/>
          <w:right w:w="0" w:type="dxa"/>
        </w:tblCellMar>
      </w:tblPr>
      <w:tr>
        <w:trPr>
          <w:trHeight w:val="170"/>
        </w:trPr>
        <w:tc>
          <w:tcPr>
            <w:tcW w:w="346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(22,879)</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(6,755)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(15,250)</w:t>
            </w:r>
          </w:p>
        </w:tc>
      </w:tr>
    </w:tbl>
    <w:p>
      <w:pPr>
        <w:spacing w:after="0" w:line="3" w:lineRule="exact"/>
        <w:rPr>
          <w:sz w:val="20"/>
          <w:szCs w:val="20"/>
          <w:color w:val="auto"/>
        </w:rPr>
      </w:pPr>
    </w:p>
    <w:p>
      <w:pPr>
        <w:ind w:left="169" w:hanging="169"/>
        <w:spacing w:after="0"/>
        <w:tabs>
          <w:tab w:leader="none" w:pos="169"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CASH FLOWS FROM FINANCING ACTIVITIES:</w:t>
      </w:r>
    </w:p>
    <w:p>
      <w:pPr>
        <w:spacing w:after="0" w:line="1"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1780" w:type="dxa"/>
            <w:vAlign w:val="bottom"/>
            <w:gridSpan w:val="2"/>
          </w:tcPr>
          <w:p>
            <w:pPr>
              <w:spacing w:after="0"/>
              <w:rPr>
                <w:sz w:val="20"/>
                <w:szCs w:val="20"/>
                <w:color w:val="auto"/>
              </w:rPr>
            </w:pPr>
            <w:r>
              <w:rPr>
                <w:rFonts w:ascii="Courier New" w:cs="Courier New" w:eastAsia="Courier New" w:hAnsi="Courier New"/>
                <w:sz w:val="15"/>
                <w:szCs w:val="15"/>
                <w:color w:val="auto"/>
              </w:rPr>
              <w:t>Decrease in sale of</w:t>
            </w:r>
          </w:p>
        </w:tc>
        <w:tc>
          <w:tcPr>
            <w:tcW w:w="2000" w:type="dxa"/>
            <w:vAlign w:val="bottom"/>
            <w:gridSpan w:val="2"/>
          </w:tcPr>
          <w:p>
            <w:pPr>
              <w:spacing w:after="0"/>
              <w:rPr>
                <w:sz w:val="20"/>
                <w:szCs w:val="20"/>
                <w:color w:val="auto"/>
              </w:rPr>
            </w:pPr>
            <w:r>
              <w:rPr>
                <w:rFonts w:ascii="Courier New" w:cs="Courier New" w:eastAsia="Courier New" w:hAnsi="Courier New"/>
                <w:sz w:val="15"/>
                <w:szCs w:val="15"/>
                <w:color w:val="auto"/>
              </w:rPr>
              <w:t>receivables</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(1,892)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(21,809)</w:t>
            </w:r>
          </w:p>
        </w:tc>
      </w:tr>
      <w:tr>
        <w:trPr>
          <w:trHeight w:val="171"/>
        </w:trPr>
        <w:tc>
          <w:tcPr>
            <w:tcW w:w="1200" w:type="dxa"/>
            <w:vAlign w:val="bottom"/>
          </w:tcPr>
          <w:p>
            <w:pPr>
              <w:spacing w:after="0"/>
              <w:rPr>
                <w:sz w:val="20"/>
                <w:szCs w:val="20"/>
                <w:color w:val="auto"/>
              </w:rPr>
            </w:pPr>
            <w:r>
              <w:rPr>
                <w:rFonts w:ascii="Courier New" w:cs="Courier New" w:eastAsia="Courier New" w:hAnsi="Courier New"/>
                <w:sz w:val="15"/>
                <w:szCs w:val="15"/>
                <w:color w:val="auto"/>
              </w:rPr>
              <w:t>Proceeds from</w:t>
            </w:r>
          </w:p>
        </w:tc>
        <w:tc>
          <w:tcPr>
            <w:tcW w:w="10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issuance of</w:t>
            </w: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rPr>
              <w:t>long-term debt</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4,000</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20,000</w:t>
            </w:r>
          </w:p>
        </w:tc>
      </w:tr>
      <w:tr>
        <w:trPr>
          <w:trHeight w:val="171"/>
        </w:trPr>
        <w:tc>
          <w:tcPr>
            <w:tcW w:w="1200" w:type="dxa"/>
            <w:vAlign w:val="bottom"/>
          </w:tcPr>
          <w:p>
            <w:pPr>
              <w:spacing w:after="0"/>
              <w:rPr>
                <w:sz w:val="20"/>
                <w:szCs w:val="20"/>
                <w:color w:val="auto"/>
              </w:rPr>
            </w:pPr>
            <w:r>
              <w:rPr>
                <w:rFonts w:ascii="Courier New" w:cs="Courier New" w:eastAsia="Courier New" w:hAnsi="Courier New"/>
                <w:sz w:val="15"/>
                <w:szCs w:val="15"/>
                <w:color w:val="auto"/>
              </w:rPr>
              <w:t>Repayments of</w:t>
            </w:r>
          </w:p>
        </w:tc>
        <w:tc>
          <w:tcPr>
            <w:tcW w:w="258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long-term debt</w:t>
            </w:r>
          </w:p>
        </w:tc>
        <w:tc>
          <w:tcPr>
            <w:tcW w:w="11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(40,645)</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(26,130)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(11,195)</w:t>
            </w:r>
          </w:p>
        </w:tc>
      </w:tr>
      <w:tr>
        <w:trPr>
          <w:trHeight w:val="171"/>
        </w:trPr>
        <w:tc>
          <w:tcPr>
            <w:tcW w:w="1200" w:type="dxa"/>
            <w:vAlign w:val="bottom"/>
          </w:tcPr>
          <w:p>
            <w:pPr>
              <w:spacing w:after="0"/>
              <w:rPr>
                <w:sz w:val="20"/>
                <w:szCs w:val="20"/>
                <w:color w:val="auto"/>
              </w:rPr>
            </w:pPr>
            <w:r>
              <w:rPr>
                <w:rFonts w:ascii="Courier New" w:cs="Courier New" w:eastAsia="Courier New" w:hAnsi="Courier New"/>
                <w:sz w:val="15"/>
                <w:szCs w:val="15"/>
                <w:color w:val="auto"/>
              </w:rPr>
              <w:t>Proceeds from</w:t>
            </w:r>
          </w:p>
        </w:tc>
        <w:tc>
          <w:tcPr>
            <w:tcW w:w="258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deferred income</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5,250</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200" w:type="dxa"/>
            <w:vAlign w:val="bottom"/>
          </w:tcPr>
          <w:p>
            <w:pPr>
              <w:spacing w:after="0"/>
              <w:rPr>
                <w:sz w:val="20"/>
                <w:szCs w:val="20"/>
                <w:color w:val="auto"/>
              </w:rPr>
            </w:pPr>
            <w:r>
              <w:rPr>
                <w:rFonts w:ascii="Courier New" w:cs="Courier New" w:eastAsia="Courier New" w:hAnsi="Courier New"/>
                <w:sz w:val="15"/>
                <w:szCs w:val="15"/>
                <w:color w:val="auto"/>
              </w:rPr>
              <w:t>Proceeds from</w:t>
            </w:r>
          </w:p>
        </w:tc>
        <w:tc>
          <w:tcPr>
            <w:tcW w:w="10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exercise of</w:t>
            </w: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rPr>
              <w:t>stock options</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6,144</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3,771</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2,355</w:t>
            </w:r>
          </w:p>
        </w:tc>
      </w:tr>
      <w:tr>
        <w:trPr>
          <w:trHeight w:val="171"/>
        </w:trPr>
        <w:tc>
          <w:tcPr>
            <w:tcW w:w="1780" w:type="dxa"/>
            <w:vAlign w:val="bottom"/>
            <w:gridSpan w:val="2"/>
          </w:tcPr>
          <w:p>
            <w:pPr>
              <w:spacing w:after="0"/>
              <w:rPr>
                <w:sz w:val="20"/>
                <w:szCs w:val="20"/>
                <w:color w:val="auto"/>
              </w:rPr>
            </w:pPr>
            <w:r>
              <w:rPr>
                <w:rFonts w:ascii="Courier New" w:cs="Courier New" w:eastAsia="Courier New" w:hAnsi="Courier New"/>
                <w:sz w:val="15"/>
                <w:szCs w:val="15"/>
                <w:color w:val="auto"/>
              </w:rPr>
              <w:t>Purchases of common</w:t>
            </w:r>
          </w:p>
        </w:tc>
        <w:tc>
          <w:tcPr>
            <w:tcW w:w="50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1500" w:type="dxa"/>
            <w:vAlign w:val="bottom"/>
          </w:tcPr>
          <w:p>
            <w:pPr>
              <w:spacing w:after="0"/>
              <w:rPr>
                <w:sz w:val="14"/>
                <w:szCs w:val="14"/>
                <w:color w:val="auto"/>
              </w:rPr>
            </w:pPr>
          </w:p>
        </w:tc>
        <w:tc>
          <w:tcPr>
            <w:tcW w:w="11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(2,284)</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(816)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(794)</w:t>
            </w:r>
          </w:p>
        </w:tc>
      </w:tr>
      <w:tr>
        <w:trPr>
          <w:trHeight w:val="171"/>
        </w:trPr>
        <w:tc>
          <w:tcPr>
            <w:tcW w:w="1780" w:type="dxa"/>
            <w:vAlign w:val="bottom"/>
            <w:gridSpan w:val="2"/>
          </w:tcPr>
          <w:p>
            <w:pPr>
              <w:spacing w:after="0"/>
              <w:rPr>
                <w:sz w:val="20"/>
                <w:szCs w:val="20"/>
                <w:color w:val="auto"/>
              </w:rPr>
            </w:pPr>
            <w:r>
              <w:rPr>
                <w:rFonts w:ascii="Courier New" w:cs="Courier New" w:eastAsia="Courier New" w:hAnsi="Courier New"/>
                <w:sz w:val="15"/>
                <w:szCs w:val="15"/>
                <w:color w:val="auto"/>
              </w:rPr>
              <w:t>Dividends on common</w:t>
            </w:r>
          </w:p>
        </w:tc>
        <w:tc>
          <w:tcPr>
            <w:tcW w:w="50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1500" w:type="dxa"/>
            <w:vAlign w:val="bottom"/>
          </w:tcPr>
          <w:p>
            <w:pPr>
              <w:spacing w:after="0"/>
              <w:rPr>
                <w:sz w:val="14"/>
                <w:szCs w:val="14"/>
                <w:color w:val="auto"/>
              </w:rPr>
            </w:pPr>
          </w:p>
        </w:tc>
        <w:tc>
          <w:tcPr>
            <w:tcW w:w="11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(5,993)</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(5,824)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(5,753)</w:t>
            </w:r>
          </w:p>
        </w:tc>
      </w:tr>
      <w:tr>
        <w:trPr>
          <w:trHeight w:val="171"/>
        </w:trPr>
        <w:tc>
          <w:tcPr>
            <w:tcW w:w="1780" w:type="dxa"/>
            <w:vAlign w:val="bottom"/>
            <w:gridSpan w:val="2"/>
          </w:tcPr>
          <w:p>
            <w:pPr>
              <w:spacing w:after="0"/>
              <w:rPr>
                <w:sz w:val="20"/>
                <w:szCs w:val="20"/>
                <w:color w:val="auto"/>
              </w:rPr>
            </w:pPr>
            <w:r>
              <w:rPr>
                <w:rFonts w:ascii="Courier New" w:cs="Courier New" w:eastAsia="Courier New" w:hAnsi="Courier New"/>
                <w:sz w:val="15"/>
                <w:szCs w:val="15"/>
                <w:color w:val="auto"/>
                <w:w w:val="97"/>
              </w:rPr>
              <w:t>Repayments from ESOP</w:t>
            </w:r>
          </w:p>
        </w:tc>
        <w:tc>
          <w:tcPr>
            <w:tcW w:w="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2,611</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2,611</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 -</w:t>
            </w:r>
          </w:p>
        </w:tc>
        <w:tc>
          <w:tcPr>
            <w:tcW w:w="714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00" w:type="dxa"/>
            <w:vAlign w:val="bottom"/>
          </w:tcPr>
          <w:p>
            <w:pPr>
              <w:spacing w:after="0"/>
              <w:rPr>
                <w:sz w:val="14"/>
                <w:szCs w:val="14"/>
                <w:color w:val="auto"/>
              </w:rPr>
            </w:pPr>
          </w:p>
        </w:tc>
        <w:tc>
          <w:tcPr>
            <w:tcW w:w="36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Net cash used in financing activities</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(30,917)</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(28,280)</w:t>
            </w: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(17,196)</w:t>
            </w: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 -</w:t>
            </w:r>
          </w:p>
        </w:tc>
        <w:tc>
          <w:tcPr>
            <w:tcW w:w="714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660" w:type="dxa"/>
            <w:vAlign w:val="bottom"/>
            <w:gridSpan w:val="2"/>
          </w:tcPr>
          <w:p>
            <w:pPr>
              <w:spacing w:after="0"/>
              <w:rPr>
                <w:sz w:val="20"/>
                <w:szCs w:val="20"/>
                <w:color w:val="auto"/>
              </w:rPr>
            </w:pPr>
            <w:r>
              <w:rPr>
                <w:rFonts w:ascii="Courier New" w:cs="Courier New" w:eastAsia="Courier New" w:hAnsi="Courier New"/>
                <w:sz w:val="15"/>
                <w:szCs w:val="15"/>
                <w:color w:val="auto"/>
              </w:rPr>
              <w:t>FOREIGN</w:t>
            </w:r>
          </w:p>
        </w:tc>
        <w:tc>
          <w:tcPr>
            <w:tcW w:w="3280" w:type="dxa"/>
            <w:vAlign w:val="bottom"/>
          </w:tcPr>
          <w:p>
            <w:pPr>
              <w:ind w:left="40"/>
              <w:spacing w:after="0"/>
              <w:rPr>
                <w:sz w:val="20"/>
                <w:szCs w:val="20"/>
                <w:color w:val="auto"/>
              </w:rPr>
            </w:pPr>
            <w:r>
              <w:rPr>
                <w:rFonts w:ascii="Courier New" w:cs="Courier New" w:eastAsia="Courier New" w:hAnsi="Courier New"/>
                <w:sz w:val="15"/>
                <w:szCs w:val="15"/>
                <w:color w:val="auto"/>
              </w:rPr>
              <w:t>CURRENCY TRANSLATION ADJUSTMENT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390</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(795)</w:t>
            </w:r>
          </w:p>
        </w:tc>
        <w:tc>
          <w:tcPr>
            <w:tcW w:w="172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_</w:t>
            </w:r>
          </w:p>
        </w:tc>
      </w:tr>
      <w:tr>
        <w:trPr>
          <w:trHeight w:val="341"/>
        </w:trPr>
        <w:tc>
          <w:tcPr>
            <w:tcW w:w="30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36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increase (decrease) in cash</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(25,562)</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36,302</w:t>
            </w:r>
          </w:p>
        </w:tc>
        <w:tc>
          <w:tcPr>
            <w:tcW w:w="172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8,477</w:t>
            </w:r>
          </w:p>
        </w:tc>
      </w:tr>
      <w:tr>
        <w:trPr>
          <w:trHeight w:val="171"/>
        </w:trPr>
        <w:tc>
          <w:tcPr>
            <w:tcW w:w="3940" w:type="dxa"/>
            <w:vAlign w:val="bottom"/>
            <w:gridSpan w:val="3"/>
          </w:tcPr>
          <w:p>
            <w:pPr>
              <w:spacing w:after="0"/>
              <w:rPr>
                <w:sz w:val="20"/>
                <w:szCs w:val="20"/>
                <w:color w:val="auto"/>
              </w:rPr>
            </w:pPr>
            <w:r>
              <w:rPr>
                <w:rFonts w:ascii="Courier New" w:cs="Courier New" w:eastAsia="Courier New" w:hAnsi="Courier New"/>
                <w:sz w:val="15"/>
                <w:szCs w:val="15"/>
                <w:color w:val="auto"/>
              </w:rPr>
              <w:t>Cash and cash equivalents at</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1"/>
        </w:trPr>
        <w:tc>
          <w:tcPr>
            <w:tcW w:w="394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beginning of year</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61,793</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25,491</w:t>
            </w:r>
          </w:p>
        </w:tc>
        <w:tc>
          <w:tcPr>
            <w:tcW w:w="172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17,014</w:t>
            </w: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 -</w:t>
            </w:r>
          </w:p>
        </w:tc>
        <w:tc>
          <w:tcPr>
            <w:tcW w:w="714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940" w:type="dxa"/>
            <w:vAlign w:val="bottom"/>
            <w:gridSpan w:val="3"/>
          </w:tcPr>
          <w:p>
            <w:pPr>
              <w:spacing w:after="0"/>
              <w:rPr>
                <w:sz w:val="20"/>
                <w:szCs w:val="20"/>
                <w:color w:val="auto"/>
              </w:rPr>
            </w:pPr>
            <w:r>
              <w:rPr>
                <w:rFonts w:ascii="Courier New" w:cs="Courier New" w:eastAsia="Courier New" w:hAnsi="Courier New"/>
                <w:sz w:val="15"/>
                <w:szCs w:val="15"/>
                <w:color w:val="auto"/>
              </w:rPr>
              <w:t>Cash and cash equivalents at end of year</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$ 36,231</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$ 61,793</w:t>
            </w:r>
          </w:p>
        </w:tc>
        <w:tc>
          <w:tcPr>
            <w:tcW w:w="172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$ 25,491</w:t>
            </w:r>
          </w:p>
        </w:tc>
      </w:tr>
    </w:tbl>
    <w:p>
      <w:pPr>
        <w:spacing w:after="0" w:line="3" w:lineRule="exact"/>
        <w:rPr>
          <w:sz w:val="20"/>
          <w:szCs w:val="20"/>
          <w:color w:val="auto"/>
        </w:rPr>
      </w:pPr>
    </w:p>
    <w:p>
      <w:pPr>
        <w:ind w:left="169" w:hanging="169"/>
        <w:spacing w:after="0"/>
        <w:tabs>
          <w:tab w:leader="none" w:pos="169"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Supplemental disclosures of</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cash flow information:</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Cash paid during the year for:</w:t>
      </w:r>
    </w:p>
    <w:p>
      <w:pPr>
        <w:spacing w:after="0" w:line="1" w:lineRule="exact"/>
        <w:rPr>
          <w:sz w:val="20"/>
          <w:szCs w:val="20"/>
          <w:color w:val="auto"/>
        </w:rPr>
      </w:pPr>
    </w:p>
    <w:p>
      <w:pPr>
        <w:ind w:left="349"/>
        <w:spacing w:after="0"/>
        <w:tabs>
          <w:tab w:leader="none" w:pos="4069" w:val="left"/>
          <w:tab w:leader="none" w:pos="5129" w:val="left"/>
          <w:tab w:leader="none" w:pos="6189" w:val="left"/>
        </w:tabs>
        <w:rPr>
          <w:sz w:val="20"/>
          <w:szCs w:val="20"/>
          <w:color w:val="auto"/>
        </w:rPr>
      </w:pPr>
      <w:r>
        <w:rPr>
          <w:rFonts w:ascii="Courier New" w:cs="Courier New" w:eastAsia="Courier New" w:hAnsi="Courier New"/>
          <w:sz w:val="15"/>
          <w:szCs w:val="15"/>
          <w:color w:val="auto"/>
        </w:rPr>
        <w:t>Interest</w:t>
      </w:r>
      <w:r>
        <w:rPr>
          <w:sz w:val="20"/>
          <w:szCs w:val="20"/>
          <w:color w:val="auto"/>
        </w:rPr>
        <w:tab/>
      </w:r>
      <w:r>
        <w:rPr>
          <w:rFonts w:ascii="Courier New" w:cs="Courier New" w:eastAsia="Courier New" w:hAnsi="Courier New"/>
          <w:sz w:val="15"/>
          <w:szCs w:val="15"/>
          <w:color w:val="auto"/>
        </w:rPr>
        <w:t>$ 14,092</w:t>
      </w:r>
      <w:r>
        <w:rPr>
          <w:sz w:val="20"/>
          <w:szCs w:val="20"/>
          <w:color w:val="auto"/>
        </w:rPr>
        <w:tab/>
      </w:r>
      <w:r>
        <w:rPr>
          <w:rFonts w:ascii="Courier New" w:cs="Courier New" w:eastAsia="Courier New" w:hAnsi="Courier New"/>
          <w:sz w:val="15"/>
          <w:szCs w:val="15"/>
          <w:color w:val="auto"/>
        </w:rPr>
        <w:t>$ 17,138</w:t>
      </w:r>
      <w:r>
        <w:rPr>
          <w:sz w:val="20"/>
          <w:szCs w:val="20"/>
          <w:color w:val="auto"/>
        </w:rPr>
        <w:tab/>
      </w:r>
      <w:r>
        <w:rPr>
          <w:rFonts w:ascii="Courier New" w:cs="Courier New" w:eastAsia="Courier New" w:hAnsi="Courier New"/>
          <w:sz w:val="14"/>
          <w:szCs w:val="14"/>
          <w:color w:val="auto"/>
        </w:rPr>
        <w:t>$ 22,245</w:t>
      </w:r>
    </w:p>
    <w:p>
      <w:pPr>
        <w:spacing w:after="0" w:line="1" w:lineRule="exact"/>
        <w:rPr>
          <w:sz w:val="20"/>
          <w:szCs w:val="20"/>
          <w:color w:val="auto"/>
        </w:rPr>
      </w:pPr>
    </w:p>
    <w:p>
      <w:pPr>
        <w:ind w:left="349"/>
        <w:spacing w:after="0"/>
        <w:tabs>
          <w:tab w:leader="none" w:pos="4249" w:val="left"/>
          <w:tab w:leader="none" w:pos="5389" w:val="left"/>
          <w:tab w:leader="none" w:pos="6449" w:val="left"/>
        </w:tabs>
        <w:rPr>
          <w:sz w:val="20"/>
          <w:szCs w:val="20"/>
          <w:color w:val="auto"/>
        </w:rPr>
      </w:pPr>
      <w:r>
        <w:rPr>
          <w:rFonts w:ascii="Courier New" w:cs="Courier New" w:eastAsia="Courier New" w:hAnsi="Courier New"/>
          <w:sz w:val="15"/>
          <w:szCs w:val="15"/>
          <w:color w:val="auto"/>
        </w:rPr>
        <w:t>Income taxes</w:t>
      </w:r>
      <w:r>
        <w:rPr>
          <w:sz w:val="20"/>
          <w:szCs w:val="20"/>
          <w:color w:val="auto"/>
        </w:rPr>
        <w:tab/>
      </w:r>
      <w:r>
        <w:rPr>
          <w:rFonts w:ascii="Courier New" w:cs="Courier New" w:eastAsia="Courier New" w:hAnsi="Courier New"/>
          <w:sz w:val="15"/>
          <w:szCs w:val="15"/>
          <w:color w:val="auto"/>
        </w:rPr>
        <w:t>19,498</w:t>
      </w:r>
      <w:r>
        <w:rPr>
          <w:sz w:val="20"/>
          <w:szCs w:val="20"/>
          <w:color w:val="auto"/>
        </w:rPr>
        <w:tab/>
      </w:r>
      <w:r>
        <w:rPr>
          <w:rFonts w:ascii="Courier New" w:cs="Courier New" w:eastAsia="Courier New" w:hAnsi="Courier New"/>
          <w:sz w:val="15"/>
          <w:szCs w:val="15"/>
          <w:color w:val="auto"/>
        </w:rPr>
        <w:t>8,148</w:t>
      </w:r>
      <w:r>
        <w:rPr>
          <w:sz w:val="20"/>
          <w:szCs w:val="20"/>
          <w:color w:val="auto"/>
        </w:rPr>
        <w:tab/>
      </w:r>
      <w:r>
        <w:rPr>
          <w:rFonts w:ascii="Courier New" w:cs="Courier New" w:eastAsia="Courier New" w:hAnsi="Courier New"/>
          <w:sz w:val="15"/>
          <w:szCs w:val="15"/>
          <w:color w:val="auto"/>
        </w:rPr>
        <w:t>1,548</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 --------------------------------------------------------------------------------</w:t>
      </w:r>
    </w:p>
    <w:p>
      <w:pPr>
        <w:spacing w:after="0" w:line="353" w:lineRule="exact"/>
        <w:rPr>
          <w:sz w:val="20"/>
          <w:szCs w:val="20"/>
          <w:color w:val="auto"/>
        </w:rPr>
      </w:pPr>
    </w:p>
    <w:p>
      <w:pPr>
        <w:ind w:left="9" w:right="3839"/>
        <w:spacing w:after="0" w:line="238" w:lineRule="auto"/>
        <w:rPr>
          <w:sz w:val="20"/>
          <w:szCs w:val="20"/>
          <w:color w:val="auto"/>
        </w:rPr>
      </w:pPr>
      <w:r>
        <w:rPr>
          <w:rFonts w:ascii="Courier New" w:cs="Courier New" w:eastAsia="Courier New" w:hAnsi="Courier New"/>
          <w:sz w:val="15"/>
          <w:szCs w:val="15"/>
          <w:color w:val="auto"/>
        </w:rPr>
        <w:t>The financial statements should be read in conjunction with the Notes to Consolidated Financial Statements.</w:t>
      </w:r>
    </w:p>
    <w:p>
      <w:pPr>
        <w:sectPr>
          <w:pgSz w:w="11900" w:h="16838" w:orient="portrait"/>
          <w:cols w:equalWidth="0" w:num="1">
            <w:col w:w="10228"/>
          </w:cols>
          <w:pgMar w:left="231" w:top="628" w:right="1440" w:bottom="1440" w:gutter="0" w:footer="0" w:header="0"/>
        </w:sectPr>
      </w:pPr>
    </w:p>
    <w:p>
      <w:pPr>
        <w:spacing w:after="0" w:line="346" w:lineRule="exact"/>
        <w:rPr>
          <w:sz w:val="20"/>
          <w:szCs w:val="20"/>
          <w:color w:val="auto"/>
        </w:rPr>
      </w:pPr>
    </w:p>
    <w:p>
      <w:pPr>
        <w:ind w:left="3189"/>
        <w:spacing w:after="0"/>
        <w:rPr>
          <w:sz w:val="20"/>
          <w:szCs w:val="20"/>
          <w:color w:val="auto"/>
        </w:rPr>
      </w:pPr>
      <w:r>
        <w:rPr>
          <w:rFonts w:ascii="Courier New" w:cs="Courier New" w:eastAsia="Courier New" w:hAnsi="Courier New"/>
          <w:sz w:val="14"/>
          <w:szCs w:val="14"/>
          <w:color w:val="auto"/>
        </w:rPr>
        <w:t>The Toro Company</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1994 Annual Report</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3">
            <w:col w:w="4609" w:space="440"/>
            <w:col w:w="1600" w:space="280"/>
            <w:col w:w="3299"/>
          </w:cols>
          <w:pgMar w:left="231" w:top="628" w:right="1440" w:bottom="1440" w:gutter="0" w:footer="0" w:header="0"/>
          <w:type w:val="continuous"/>
        </w:sectPr>
      </w:pPr>
    </w:p>
    <w:bookmarkStart w:id="33" w:name="page34"/>
    <w:bookmarkEnd w:id="33"/>
    <w:p>
      <w:pPr>
        <w:spacing w:after="0" w:line="4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TORO COMPANY</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45" w:lineRule="exact"/>
        <w:rPr>
          <w:sz w:val="20"/>
          <w:szCs w:val="20"/>
          <w:color w:val="auto"/>
        </w:rPr>
      </w:pPr>
    </w:p>
    <w:p>
      <w:pPr>
        <w:ind w:left="269" w:right="6239" w:hanging="269"/>
        <w:spacing w:after="0" w:line="238" w:lineRule="auto"/>
        <w:tabs>
          <w:tab w:leader="none" w:pos="269"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and Related Data</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BASIS OF CONSOLIDATION</w:t>
      </w:r>
    </w:p>
    <w:p>
      <w:pPr>
        <w:spacing w:after="0" w:line="3"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The accompanying consolidated financial statements include the accounts of The Toro Company and all of its domestic and foreign subsidiaries (the company). Investments in 50% or less owned companies are accounted for by the equity method. The accounts of foreign subsidiaries, which are not material, have been adjusted to conform to U.S. accounting principles and practices and have been converted to appropriate U.S. dollar equivalents. All material intercompany accounts and transactions have been eliminated from the consolidated financial statements.</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CASH AND CASH EQUIVALENTS</w:t>
      </w:r>
    </w:p>
    <w:p>
      <w:pPr>
        <w:spacing w:after="0" w:line="3" w:lineRule="exact"/>
        <w:rPr>
          <w:sz w:val="20"/>
          <w:szCs w:val="20"/>
          <w:color w:val="auto"/>
        </w:rPr>
      </w:pPr>
    </w:p>
    <w:p>
      <w:pPr>
        <w:ind w:left="9" w:right="3119"/>
        <w:spacing w:after="0" w:line="238" w:lineRule="auto"/>
        <w:rPr>
          <w:sz w:val="20"/>
          <w:szCs w:val="20"/>
          <w:color w:val="auto"/>
        </w:rPr>
      </w:pPr>
      <w:r>
        <w:rPr>
          <w:rFonts w:ascii="Courier New" w:cs="Courier New" w:eastAsia="Courier New" w:hAnsi="Courier New"/>
          <w:sz w:val="15"/>
          <w:szCs w:val="15"/>
          <w:color w:val="auto"/>
        </w:rPr>
        <w:t>The company considers all highly liquid investments purchased with a maturity of three months or less to be cash equivalents.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ALLOWANCE FOR DOUBTFUL ACCOUNTS</w:t>
      </w:r>
    </w:p>
    <w:p>
      <w:pPr>
        <w:spacing w:after="0" w:line="3"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The provision for doubtful accounts included in selling, general and administrative expense was $3,032,000 in 1994, $2,500,000 in 1993 and $4,083,000 in 1992.</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INVENTORIES</w:t>
      </w:r>
    </w:p>
    <w:p>
      <w:pPr>
        <w:spacing w:after="0" w:line="3"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The majority of all inventories are valued at the lower of cost or net realizable value with cost determined by the last-in, first-out (LIFO) method. Had the first-in, first-out (FIFO) method of cost determination been used, inventories would have been $19,204,000 and $17,221,000 higher than reported at July 31, 1994 and 1993, respectively. Using the FIFO method, inventories were $63,473,000 and $51,252,000 of work-in-process and $74,495,000 and $44,677,000 of finished goods at July 31, 1994 and 1993, respectively. During 1992 the company liquidated certain LIFO inventory quantities carried at lower costs prevailing in prior years. The effect was to reduce the 1992 net loss by $4,120,000 or $0.34 per common share.</w:t>
      </w:r>
    </w:p>
    <w:p>
      <w:pPr>
        <w:spacing w:after="0" w:line="17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PROPERTY AND DEPRECIATION</w:t>
      </w:r>
    </w:p>
    <w:p>
      <w:pPr>
        <w:spacing w:after="0" w:line="3"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Property, plant and equipment are carried at cost. The company provides for depreciation of plant and equipment utilizing the straight-line method over the estimated useful lives of the assets. Buildings, including leasehold improvements, are generally depreciated over 10 to 45 years and equipment over 3 to 7 years. Tooling costs are generally amortized using the units of production basis. Expenditures for major renewals and betterments which substantially increase the useful lives of existing assets are capitalized, and maintenance and repairs are charged to operating expenses as incurred. The cost and related accumulated depreciation of all plant and equipment disposed of are removed from the accounts, and any gain or loss from such disposal is included in current period earnings.</w:t>
      </w:r>
    </w:p>
    <w:p>
      <w:pPr>
        <w:spacing w:after="0" w:line="176"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ACCRUED WARRANTY</w:t>
      </w:r>
    </w:p>
    <w:p>
      <w:pPr>
        <w:spacing w:after="0" w:line="3" w:lineRule="exact"/>
        <w:rPr>
          <w:sz w:val="20"/>
          <w:szCs w:val="20"/>
          <w:color w:val="auto"/>
        </w:rPr>
      </w:pPr>
    </w:p>
    <w:p>
      <w:pPr>
        <w:ind w:left="9" w:right="3299"/>
        <w:spacing w:after="0" w:line="238" w:lineRule="auto"/>
        <w:rPr>
          <w:sz w:val="20"/>
          <w:szCs w:val="20"/>
          <w:color w:val="auto"/>
        </w:rPr>
      </w:pPr>
      <w:r>
        <w:rPr>
          <w:rFonts w:ascii="Courier New" w:cs="Courier New" w:eastAsia="Courier New" w:hAnsi="Courier New"/>
          <w:sz w:val="15"/>
          <w:szCs w:val="15"/>
          <w:color w:val="auto"/>
        </w:rPr>
        <w:t>The company provides an accrual for estimated future warranty costs based upon the historical relationship of warranty costs to sales.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DEFERRED INCOME</w:t>
      </w:r>
    </w:p>
    <w:p>
      <w:pPr>
        <w:spacing w:after="0" w:line="3" w:lineRule="exact"/>
        <w:rPr>
          <w:sz w:val="20"/>
          <w:szCs w:val="20"/>
          <w:color w:val="auto"/>
        </w:rPr>
      </w:pPr>
    </w:p>
    <w:p>
      <w:pPr>
        <w:ind w:left="9" w:right="3399"/>
        <w:spacing w:after="0"/>
        <w:rPr>
          <w:sz w:val="20"/>
          <w:szCs w:val="20"/>
          <w:color w:val="auto"/>
        </w:rPr>
      </w:pPr>
      <w:r>
        <w:rPr>
          <w:rFonts w:ascii="Courier New" w:cs="Courier New" w:eastAsia="Courier New" w:hAnsi="Courier New"/>
          <w:sz w:val="15"/>
          <w:szCs w:val="15"/>
          <w:color w:val="auto"/>
        </w:rPr>
        <w:t>An interest rate exchange agreement was entered into primarily as a hedge against interest costs on long-term debt. The net interest differential to be received or paid and the $5,250,000 deferred income will be recognized, commencing August 1, 1997, over the term of the agreement as an adjustment to interest expense.</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FOREIGN CURRENCY TRANSLATION</w:t>
      </w:r>
    </w:p>
    <w:p>
      <w:pPr>
        <w:spacing w:after="0" w:line="3" w:lineRule="exact"/>
        <w:rPr>
          <w:sz w:val="20"/>
          <w:szCs w:val="20"/>
          <w:color w:val="auto"/>
        </w:rPr>
      </w:pPr>
    </w:p>
    <w:p>
      <w:pPr>
        <w:ind w:left="9" w:right="3299"/>
        <w:spacing w:after="0"/>
        <w:rPr>
          <w:sz w:val="20"/>
          <w:szCs w:val="20"/>
          <w:color w:val="auto"/>
        </w:rPr>
      </w:pPr>
      <w:r>
        <w:rPr>
          <w:rFonts w:ascii="Courier New" w:cs="Courier New" w:eastAsia="Courier New" w:hAnsi="Courier New"/>
          <w:sz w:val="15"/>
          <w:szCs w:val="15"/>
          <w:color w:val="auto"/>
        </w:rPr>
        <w:t>The functional currency of the company's foreign operations is the applicable local currency. The functional currency is translated into U.S. dollars in accordance with Statement of Financial Accounting Standards No. 52, "Foreign Currency Translation" which is performed for balance sheet accounts using current exchange rates in effect at the balance sheet date and for revenue and expense accounts using a weighted average exchange rate during the period. The gains or losses resulting from such translations are included in stockholders' equity. Gains or losses resulting from foreign currency transactions are included in other income, net.</w:t>
      </w:r>
    </w:p>
    <w:p>
      <w:pPr>
        <w:spacing w:after="0" w:line="17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ACCOUNTING FOR REVENUES</w:t>
      </w:r>
    </w:p>
    <w:p>
      <w:pPr>
        <w:spacing w:after="0" w:line="3" w:lineRule="exact"/>
        <w:rPr>
          <w:sz w:val="20"/>
          <w:szCs w:val="20"/>
          <w:color w:val="auto"/>
        </w:rPr>
      </w:pPr>
    </w:p>
    <w:p>
      <w:pPr>
        <w:ind w:left="9" w:right="3219"/>
        <w:spacing w:after="0" w:line="238" w:lineRule="auto"/>
        <w:rPr>
          <w:sz w:val="20"/>
          <w:szCs w:val="20"/>
          <w:color w:val="auto"/>
        </w:rPr>
      </w:pPr>
      <w:r>
        <w:rPr>
          <w:rFonts w:ascii="Courier New" w:cs="Courier New" w:eastAsia="Courier New" w:hAnsi="Courier New"/>
          <w:sz w:val="15"/>
          <w:szCs w:val="15"/>
          <w:color w:val="auto"/>
        </w:rPr>
        <w:t>Revenue is recognized at the time products are shipped to distributors, dealers or direct accounts.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COST OF FINANCING DISTRIBUTOR/DEALER INVENTORY (FLOOR PLAN)</w:t>
      </w:r>
    </w:p>
    <w:p>
      <w:pPr>
        <w:spacing w:after="0" w:line="3" w:lineRule="exact"/>
        <w:rPr>
          <w:sz w:val="20"/>
          <w:szCs w:val="20"/>
          <w:color w:val="auto"/>
        </w:rPr>
      </w:pPr>
    </w:p>
    <w:p>
      <w:pPr>
        <w:ind w:left="9" w:right="3119"/>
        <w:spacing w:after="0" w:line="262" w:lineRule="auto"/>
        <w:rPr>
          <w:sz w:val="20"/>
          <w:szCs w:val="20"/>
          <w:color w:val="auto"/>
        </w:rPr>
      </w:pPr>
      <w:r>
        <w:rPr>
          <w:rFonts w:ascii="Courier New" w:cs="Courier New" w:eastAsia="Courier New" w:hAnsi="Courier New"/>
          <w:sz w:val="14"/>
          <w:szCs w:val="14"/>
          <w:color w:val="auto"/>
        </w:rPr>
        <w:t>Included in selling, general and administrative expense are costs associated with various programs in which the company shares costs of financing distributor and dealer inventories. These costs of $8,587,000 in 1994, $7,606,000 in 1993 and $13,483,000 in 1992 are charged against operations as incurred.</w:t>
      </w:r>
    </w:p>
    <w:p>
      <w:pPr>
        <w:spacing w:after="0" w:line="158"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RESEARCH AND DEVELOPMENT</w:t>
      </w:r>
    </w:p>
    <w:p>
      <w:pPr>
        <w:spacing w:after="0" w:line="3"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Expenditures for research and development, including engineering, of $30,864,000 in 1994, $25,293,000 in 1993 and $26,932,000 in 1992 are charged against operations as incurred.</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DISTRIBUTION</w:t>
      </w:r>
    </w:p>
    <w:p>
      <w:pPr>
        <w:spacing w:after="0" w:line="3" w:lineRule="exact"/>
        <w:rPr>
          <w:sz w:val="20"/>
          <w:szCs w:val="20"/>
          <w:color w:val="auto"/>
        </w:rPr>
      </w:pPr>
    </w:p>
    <w:p>
      <w:pPr>
        <w:ind w:left="9" w:right="3119"/>
        <w:spacing w:after="0" w:line="261" w:lineRule="auto"/>
        <w:rPr>
          <w:sz w:val="20"/>
          <w:szCs w:val="20"/>
          <w:color w:val="auto"/>
        </w:rPr>
      </w:pPr>
      <w:r>
        <w:rPr>
          <w:rFonts w:ascii="Courier New" w:cs="Courier New" w:eastAsia="Courier New" w:hAnsi="Courier New"/>
          <w:sz w:val="14"/>
          <w:szCs w:val="14"/>
          <w:color w:val="auto"/>
        </w:rPr>
        <w:t>Included in selling, general and administrative expense are costs associated with changes to the company's distribution channels. These costs were $4,300,000 in 1994 and $4,500,000 in 1993. Costs for distribution changes were not separately identified in 1992. Those costs associated with business changes are accrued on the basis of historical experience, while costs related to specific</w:t>
      </w:r>
    </w:p>
    <w:p>
      <w:pPr>
        <w:sectPr>
          <w:pgSz w:w="11900" w:h="16883" w:orient="portrait"/>
          <w:cols w:equalWidth="0" w:num="1">
            <w:col w:w="10228"/>
          </w:cols>
          <w:pgMar w:left="231" w:top="628" w:right="1440" w:bottom="0" w:gutter="0" w:footer="0" w:header="0"/>
        </w:sectPr>
      </w:pPr>
    </w:p>
    <w:bookmarkStart w:id="34" w:name="page35"/>
    <w:bookmarkEnd w:id="34"/>
    <w:p>
      <w:pPr>
        <w:spacing w:after="0"/>
        <w:rPr>
          <w:sz w:val="20"/>
          <w:szCs w:val="20"/>
          <w:color w:val="auto"/>
        </w:rPr>
      </w:pPr>
      <w:r>
        <w:rPr>
          <w:rFonts w:ascii="Courier New" w:cs="Courier New" w:eastAsia="Courier New" w:hAnsi="Courier New"/>
          <w:sz w:val="14"/>
          <w:szCs w:val="14"/>
          <w:color w:val="auto"/>
        </w:rPr>
        <w:t>changes to the company's distribution system are recorded when authorized.</w:t>
      </w:r>
    </w:p>
    <w:p>
      <w:pPr>
        <w:spacing w:after="0" w:line="351" w:lineRule="exact"/>
        <w:rPr>
          <w:sz w:val="20"/>
          <w:szCs w:val="20"/>
          <w:color w:val="auto"/>
        </w:rPr>
      </w:pPr>
    </w:p>
    <w:p>
      <w:pPr>
        <w:spacing w:after="0"/>
        <w:tabs>
          <w:tab w:leader="none" w:pos="420" w:val="left"/>
          <w:tab w:leader="none" w:pos="228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5"/>
          <w:szCs w:val="15"/>
          <w:color w:val="auto"/>
        </w:rPr>
        <w:t>The Toro Company</w:t>
      </w:r>
      <w:r>
        <w:rPr>
          <w:sz w:val="20"/>
          <w:szCs w:val="20"/>
          <w:color w:val="auto"/>
        </w:rPr>
        <w:tab/>
      </w:r>
      <w:r>
        <w:rPr>
          <w:rFonts w:ascii="Courier New" w:cs="Courier New" w:eastAsia="Courier New" w:hAnsi="Courier New"/>
          <w:sz w:val="14"/>
          <w:szCs w:val="14"/>
          <w:color w:val="auto"/>
        </w:rPr>
        <w:t>1994 Annual Report</w:t>
      </w:r>
    </w:p>
    <w:p>
      <w:pPr>
        <w:sectPr>
          <w:pgSz w:w="11900" w:h="16838" w:orient="portrait"/>
          <w:cols w:equalWidth="0" w:num="1">
            <w:col w:w="10219"/>
          </w:cols>
          <w:pgMar w:left="240" w:top="141" w:right="1440" w:bottom="1440" w:gutter="0" w:footer="0" w:header="0"/>
        </w:sectPr>
      </w:pPr>
    </w:p>
    <w:bookmarkStart w:id="35" w:name="page36"/>
    <w:bookmarkEnd w:id="35"/>
    <w:p>
      <w:pPr>
        <w:spacing w:after="0" w:line="4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INCOME TAXES</w:t>
      </w:r>
    </w:p>
    <w:p>
      <w:pPr>
        <w:spacing w:after="0" w:line="3"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Effective August 1, 1992, the company adopted Statement of Financial Accounting Standards No. 109, "Accounting for Income Taxes," (FAS 109) which requires a change from the deferred method of accounting for income taxes of APB Opinion 11 to the asset and liability method of accounting for income taxes. Under the new method, 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tax rates expected to apply to taxable income in the years in which those temporary differences are expected to be recovered or settled. Under Statement 109, the effect on deferred tax assets and liabilities of a change in tax rates</w:t>
      </w:r>
    </w:p>
    <w:p>
      <w:pPr>
        <w:spacing w:after="0" w:line="2" w:lineRule="exact"/>
        <w:rPr>
          <w:sz w:val="20"/>
          <w:szCs w:val="20"/>
          <w:color w:val="auto"/>
        </w:rPr>
      </w:pPr>
    </w:p>
    <w:p>
      <w:pPr>
        <w:ind w:left="9" w:right="3119"/>
        <w:spacing w:after="0" w:line="260" w:lineRule="auto"/>
        <w:rPr>
          <w:sz w:val="20"/>
          <w:szCs w:val="20"/>
          <w:color w:val="auto"/>
        </w:rPr>
      </w:pPr>
      <w:r>
        <w:rPr>
          <w:rFonts w:ascii="Courier New" w:cs="Courier New" w:eastAsia="Courier New" w:hAnsi="Courier New"/>
          <w:sz w:val="14"/>
          <w:szCs w:val="14"/>
          <w:color w:val="auto"/>
        </w:rPr>
        <w:t>is recognized in income in the period that includes the enactment date. Adoption of Statement 109 had an immaterial effect on the company's 1992 consolidated statement of operations. The company has reflected the necessary deferred tax asset/liability in the accompanying balance sheets. Management believes the future tax deductions will be realized in periods in which the company will generate sufficient taxable income to realize the benefit of the tax deductions.</w:t>
      </w:r>
    </w:p>
    <w:p>
      <w:pPr>
        <w:spacing w:after="0" w:line="164" w:lineRule="exact"/>
        <w:rPr>
          <w:sz w:val="20"/>
          <w:szCs w:val="20"/>
          <w:color w:val="auto"/>
        </w:rPr>
      </w:pPr>
    </w:p>
    <w:p>
      <w:pPr>
        <w:ind w:left="9" w:right="3399"/>
        <w:spacing w:after="0"/>
        <w:rPr>
          <w:sz w:val="20"/>
          <w:szCs w:val="20"/>
          <w:color w:val="auto"/>
        </w:rPr>
      </w:pPr>
      <w:r>
        <w:rPr>
          <w:rFonts w:ascii="Courier New" w:cs="Courier New" w:eastAsia="Courier New" w:hAnsi="Courier New"/>
          <w:sz w:val="15"/>
          <w:szCs w:val="15"/>
          <w:color w:val="auto"/>
        </w:rPr>
        <w:t>EARNINGS (LOSS) PER SHARE OF COMMON STOCK AND COMMON STOCK EQUIVALENT Earnings (loss) per share of common stock and common stock equivalent are computed by dividing net earnings (loss) by the weighted average number of common shares and common stock equivalents outstanding during the respective periods. Common stock equivalents include potentially dilutive stock options. These shares are included under the treasury stock method using the average market price of the company's stock during each period. The effect of full dilution using the year-end price of the company's shares is immaterial. Loss per share calculations for 1992 are based on weighted average common shares outstanding excluding common stock equivalents due to their anti-dilutive affect.</w:t>
      </w:r>
    </w:p>
    <w:p>
      <w:pPr>
        <w:spacing w:after="0" w:line="176"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RECLASSIFICATIONS</w:t>
      </w:r>
    </w:p>
    <w:p>
      <w:pPr>
        <w:spacing w:after="0" w:line="3" w:lineRule="exact"/>
        <w:rPr>
          <w:sz w:val="20"/>
          <w:szCs w:val="20"/>
          <w:color w:val="auto"/>
        </w:rPr>
      </w:pPr>
    </w:p>
    <w:p>
      <w:pPr>
        <w:ind w:left="9" w:right="3399"/>
        <w:spacing w:after="0" w:line="238" w:lineRule="auto"/>
        <w:rPr>
          <w:sz w:val="20"/>
          <w:szCs w:val="20"/>
          <w:color w:val="auto"/>
        </w:rPr>
      </w:pPr>
      <w:r>
        <w:rPr>
          <w:rFonts w:ascii="Courier New" w:cs="Courier New" w:eastAsia="Courier New" w:hAnsi="Courier New"/>
          <w:sz w:val="15"/>
          <w:szCs w:val="15"/>
          <w:color w:val="auto"/>
        </w:rPr>
        <w:t>Certain prior year amounts have been reclassified to conform with the current year presentation.</w:t>
      </w:r>
    </w:p>
    <w:p>
      <w:pPr>
        <w:spacing w:after="0" w:line="343" w:lineRule="exact"/>
        <w:rPr>
          <w:sz w:val="20"/>
          <w:szCs w:val="20"/>
          <w:color w:val="auto"/>
        </w:rPr>
      </w:pPr>
    </w:p>
    <w:p>
      <w:pPr>
        <w:ind w:left="269" w:hanging="269"/>
        <w:spacing w:after="0"/>
        <w:tabs>
          <w:tab w:leader="none" w:pos="269"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Short-term Capital Resources</w:t>
      </w:r>
    </w:p>
    <w:p>
      <w:pPr>
        <w:spacing w:after="0" w:line="174" w:lineRule="exact"/>
        <w:rPr>
          <w:sz w:val="20"/>
          <w:szCs w:val="20"/>
          <w:color w:val="auto"/>
        </w:rPr>
      </w:pPr>
    </w:p>
    <w:p>
      <w:pPr>
        <w:ind w:left="9" w:right="3119"/>
        <w:spacing w:after="0" w:line="261" w:lineRule="auto"/>
        <w:rPr>
          <w:sz w:val="20"/>
          <w:szCs w:val="20"/>
          <w:color w:val="auto"/>
        </w:rPr>
      </w:pPr>
      <w:r>
        <w:rPr>
          <w:rFonts w:ascii="Courier New" w:cs="Courier New" w:eastAsia="Courier New" w:hAnsi="Courier New"/>
          <w:sz w:val="14"/>
          <w:szCs w:val="14"/>
          <w:color w:val="auto"/>
        </w:rPr>
        <w:t>At July 31, 1994, the company had available unsecured lines of credit with five banks in the aggregate of $100,000,000. The terms of these agreements require the company to pay a fee of 1/4 percent per year on the available lines of credit. This fee is recorded by the company as interest expense. The company had no amounts outstanding under these lines at July 31, 1994, and 1993.</w:t>
      </w:r>
    </w:p>
    <w:p>
      <w:pPr>
        <w:spacing w:after="0" w:line="162" w:lineRule="exact"/>
        <w:rPr>
          <w:sz w:val="20"/>
          <w:szCs w:val="20"/>
          <w:color w:val="auto"/>
        </w:rPr>
      </w:pPr>
    </w:p>
    <w:p>
      <w:pPr>
        <w:ind w:left="9" w:right="3299" w:firstLine="444"/>
        <w:spacing w:after="0" w:line="239" w:lineRule="auto"/>
        <w:rPr>
          <w:sz w:val="20"/>
          <w:szCs w:val="20"/>
          <w:color w:val="auto"/>
        </w:rPr>
      </w:pPr>
      <w:r>
        <w:rPr>
          <w:rFonts w:ascii="Courier New" w:cs="Courier New" w:eastAsia="Courier New" w:hAnsi="Courier New"/>
          <w:sz w:val="15"/>
          <w:szCs w:val="15"/>
          <w:color w:val="auto"/>
        </w:rPr>
        <w:t>In addition, the company's capital resources include two $20,000,000 bankers' acceptance financing agreements in 1994 and one $20,000,000 bankers' acceptance financing agreement in 1993. The company had no amounts outstanding under these agreements at July 31, 1994, and 1993.</w:t>
      </w:r>
    </w:p>
    <w:p>
      <w:pPr>
        <w:spacing w:after="0" w:line="344" w:lineRule="exact"/>
        <w:rPr>
          <w:sz w:val="20"/>
          <w:szCs w:val="20"/>
          <w:color w:val="auto"/>
        </w:rPr>
      </w:pPr>
    </w:p>
    <w:p>
      <w:pPr>
        <w:ind w:left="269" w:hanging="269"/>
        <w:spacing w:after="0"/>
        <w:tabs>
          <w:tab w:leader="none" w:pos="269"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 summary of long-term debt is as follows:</w:t>
      </w:r>
    </w:p>
    <w:p>
      <w:pPr>
        <w:spacing w:after="0" w:line="200" w:lineRule="exact"/>
        <w:rPr>
          <w:sz w:val="20"/>
          <w:szCs w:val="20"/>
          <w:color w:val="auto"/>
        </w:rPr>
      </w:pPr>
    </w:p>
    <w:p>
      <w:pPr>
        <w:spacing w:after="0" w:line="315"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(Dollars in thousands) July 31</w:t>
            </w:r>
          </w:p>
        </w:tc>
        <w:tc>
          <w:tcPr>
            <w:tcW w:w="2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1994</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600" w:type="dxa"/>
            <w:vAlign w:val="bottom"/>
            <w:gridSpan w:val="3"/>
          </w:tcPr>
          <w:p>
            <w:pPr>
              <w:spacing w:after="0"/>
              <w:rPr>
                <w:sz w:val="20"/>
                <w:szCs w:val="20"/>
                <w:color w:val="auto"/>
              </w:rPr>
            </w:pPr>
            <w:r>
              <w:rPr>
                <w:rFonts w:ascii="Courier New" w:cs="Courier New" w:eastAsia="Courier New" w:hAnsi="Courier New"/>
                <w:sz w:val="15"/>
                <w:szCs w:val="15"/>
                <w:color w:val="auto"/>
              </w:rPr>
              <w:t>11% Sinking Fund Debentures due annually</w:t>
            </w: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19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August 1998-2017</w:t>
            </w:r>
          </w:p>
        </w:tc>
        <w:tc>
          <w:tcPr>
            <w:tcW w:w="2700" w:type="dxa"/>
            <w:vAlign w:val="bottom"/>
          </w:tcPr>
          <w:p>
            <w:pPr>
              <w:spacing w:after="0"/>
              <w:rPr>
                <w:sz w:val="14"/>
                <w:szCs w:val="14"/>
                <w:color w:val="auto"/>
              </w:rPr>
            </w:pP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$ 50,000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$ 50,000</w:t>
            </w:r>
          </w:p>
        </w:tc>
      </w:tr>
      <w:tr>
        <w:trPr>
          <w:trHeight w:val="171"/>
        </w:trPr>
        <w:tc>
          <w:tcPr>
            <w:tcW w:w="4600" w:type="dxa"/>
            <w:vAlign w:val="bottom"/>
            <w:gridSpan w:val="3"/>
          </w:tcPr>
          <w:p>
            <w:pPr>
              <w:spacing w:after="0"/>
              <w:rPr>
                <w:sz w:val="20"/>
                <w:szCs w:val="20"/>
                <w:color w:val="auto"/>
              </w:rPr>
            </w:pPr>
            <w:r>
              <w:rPr>
                <w:rFonts w:ascii="Courier New" w:cs="Courier New" w:eastAsia="Courier New" w:hAnsi="Courier New"/>
                <w:sz w:val="15"/>
                <w:szCs w:val="15"/>
                <w:color w:val="auto"/>
              </w:rPr>
              <w:t>Industrial Revenue Bonds due annually</w:t>
            </w: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460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August 1995-2009 with various interest rates</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2,325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2,970</w:t>
            </w:r>
          </w:p>
        </w:tc>
      </w:tr>
      <w:tr>
        <w:trPr>
          <w:trHeight w:val="171"/>
        </w:trPr>
        <w:tc>
          <w:tcPr>
            <w:tcW w:w="4600" w:type="dxa"/>
            <w:vAlign w:val="bottom"/>
            <w:gridSpan w:val="3"/>
          </w:tcPr>
          <w:p>
            <w:pPr>
              <w:spacing w:after="0"/>
              <w:rPr>
                <w:sz w:val="20"/>
                <w:szCs w:val="20"/>
                <w:color w:val="auto"/>
              </w:rPr>
            </w:pPr>
            <w:r>
              <w:rPr>
                <w:rFonts w:ascii="Courier New" w:cs="Courier New" w:eastAsia="Courier New" w:hAnsi="Courier New"/>
                <w:sz w:val="15"/>
                <w:szCs w:val="15"/>
                <w:color w:val="auto"/>
              </w:rPr>
              <w:t>Industrial Revenue Bond due annually</w:t>
            </w: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19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June 1995-2004 with</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various interest rates</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4,000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80" w:type="dxa"/>
            <w:vAlign w:val="bottom"/>
          </w:tcPr>
          <w:p>
            <w:pPr>
              <w:spacing w:after="0"/>
              <w:rPr>
                <w:sz w:val="20"/>
                <w:szCs w:val="20"/>
                <w:color w:val="auto"/>
              </w:rPr>
            </w:pPr>
            <w:r>
              <w:rPr>
                <w:rFonts w:ascii="Courier New" w:cs="Courier New" w:eastAsia="Courier New" w:hAnsi="Courier New"/>
                <w:sz w:val="15"/>
                <w:szCs w:val="15"/>
                <w:color w:val="auto"/>
              </w:rPr>
              <w:t>10.0%</w:t>
            </w: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senior note due</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September 1993</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15,000</w:t>
            </w:r>
          </w:p>
        </w:tc>
      </w:tr>
      <w:tr>
        <w:trPr>
          <w:trHeight w:val="171"/>
        </w:trPr>
        <w:tc>
          <w:tcPr>
            <w:tcW w:w="1900" w:type="dxa"/>
            <w:vAlign w:val="bottom"/>
            <w:gridSpan w:val="2"/>
          </w:tcPr>
          <w:p>
            <w:pPr>
              <w:spacing w:after="0"/>
              <w:rPr>
                <w:sz w:val="20"/>
                <w:szCs w:val="20"/>
                <w:color w:val="auto"/>
              </w:rPr>
            </w:pPr>
            <w:r>
              <w:rPr>
                <w:rFonts w:ascii="Courier New" w:cs="Courier New" w:eastAsia="Courier New" w:hAnsi="Courier New"/>
                <w:sz w:val="15"/>
                <w:szCs w:val="15"/>
                <w:color w:val="auto"/>
                <w:w w:val="99"/>
              </w:rPr>
              <w:t>9.0% senior notes due</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August 1994,</w:t>
            </w: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19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paid July 1994</w:t>
            </w:r>
          </w:p>
        </w:tc>
        <w:tc>
          <w:tcPr>
            <w:tcW w:w="2700" w:type="dxa"/>
            <w:vAlign w:val="bottom"/>
          </w:tcPr>
          <w:p>
            <w:pPr>
              <w:spacing w:after="0"/>
              <w:rPr>
                <w:sz w:val="14"/>
                <w:szCs w:val="14"/>
                <w:color w:val="auto"/>
              </w:rPr>
            </w:pP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25,000</w:t>
            </w:r>
          </w:p>
        </w:tc>
      </w:tr>
      <w:tr>
        <w:trPr>
          <w:trHeight w:val="171"/>
        </w:trPr>
        <w:tc>
          <w:tcPr>
            <w:tcW w:w="1900" w:type="dxa"/>
            <w:vAlign w:val="bottom"/>
            <w:gridSpan w:val="2"/>
          </w:tcPr>
          <w:p>
            <w:pPr>
              <w:spacing w:after="0"/>
              <w:rPr>
                <w:sz w:val="20"/>
                <w:szCs w:val="20"/>
                <w:color w:val="auto"/>
              </w:rPr>
            </w:pPr>
            <w:r>
              <w:rPr>
                <w:rFonts w:ascii="Courier New" w:cs="Courier New" w:eastAsia="Courier New" w:hAnsi="Courier New"/>
                <w:sz w:val="15"/>
                <w:szCs w:val="15"/>
                <w:color w:val="auto"/>
                <w:w w:val="99"/>
              </w:rPr>
              <w:t>9.4% senior notes due</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September 1994</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10,000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171"/>
        </w:trPr>
        <w:tc>
          <w:tcPr>
            <w:tcW w:w="480" w:type="dxa"/>
            <w:vAlign w:val="bottom"/>
          </w:tcPr>
          <w:p>
            <w:pPr>
              <w:spacing w:after="0"/>
              <w:rPr>
                <w:sz w:val="20"/>
                <w:szCs w:val="20"/>
                <w:color w:val="auto"/>
              </w:rPr>
            </w:pPr>
            <w:r>
              <w:rPr>
                <w:rFonts w:ascii="Courier New" w:cs="Courier New" w:eastAsia="Courier New" w:hAnsi="Courier New"/>
                <w:sz w:val="15"/>
                <w:szCs w:val="15"/>
                <w:color w:val="auto"/>
              </w:rPr>
              <w:t>9.45%</w:t>
            </w: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senior note due</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February 1995</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10,000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171"/>
        </w:trPr>
        <w:tc>
          <w:tcPr>
            <w:tcW w:w="480" w:type="dxa"/>
            <w:vAlign w:val="bottom"/>
          </w:tcPr>
          <w:p>
            <w:pPr>
              <w:spacing w:after="0"/>
              <w:rPr>
                <w:sz w:val="20"/>
                <w:szCs w:val="20"/>
                <w:color w:val="auto"/>
              </w:rPr>
            </w:pPr>
            <w:r>
              <w:rPr>
                <w:rFonts w:ascii="Courier New" w:cs="Courier New" w:eastAsia="Courier New" w:hAnsi="Courier New"/>
                <w:sz w:val="15"/>
                <w:szCs w:val="15"/>
                <w:color w:val="auto"/>
              </w:rPr>
              <w:t>7.38%</w:t>
            </w: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senior note due</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August 1995</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10,000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171"/>
        </w:trPr>
        <w:tc>
          <w:tcPr>
            <w:tcW w:w="480" w:type="dxa"/>
            <w:vAlign w:val="bottom"/>
          </w:tcPr>
          <w:p>
            <w:pPr>
              <w:spacing w:after="0"/>
              <w:rPr>
                <w:sz w:val="20"/>
                <w:szCs w:val="20"/>
                <w:color w:val="auto"/>
              </w:rPr>
            </w:pPr>
            <w:r>
              <w:rPr>
                <w:rFonts w:ascii="Courier New" w:cs="Courier New" w:eastAsia="Courier New" w:hAnsi="Courier New"/>
                <w:sz w:val="15"/>
                <w:szCs w:val="15"/>
                <w:color w:val="auto"/>
              </w:rPr>
              <w:t>9.57%</w:t>
            </w: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senior note due</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January 1996</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5,000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5,000</w:t>
            </w:r>
          </w:p>
        </w:tc>
      </w:tr>
      <w:tr>
        <w:trPr>
          <w:trHeight w:val="171"/>
        </w:trPr>
        <w:tc>
          <w:tcPr>
            <w:tcW w:w="480" w:type="dxa"/>
            <w:vAlign w:val="bottom"/>
          </w:tcPr>
          <w:p>
            <w:pPr>
              <w:spacing w:after="0"/>
              <w:rPr>
                <w:sz w:val="20"/>
                <w:szCs w:val="20"/>
                <w:color w:val="auto"/>
              </w:rPr>
            </w:pPr>
            <w:r>
              <w:rPr>
                <w:rFonts w:ascii="Courier New" w:cs="Courier New" w:eastAsia="Courier New" w:hAnsi="Courier New"/>
                <w:sz w:val="15"/>
                <w:szCs w:val="15"/>
                <w:color w:val="auto"/>
              </w:rPr>
              <w:t>9.53%</w:t>
            </w: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senior note due</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August 1996</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10,000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bl>
    <w:p>
      <w:pPr>
        <w:spacing w:after="0" w:line="3" w:lineRule="exact"/>
        <w:rPr>
          <w:sz w:val="20"/>
          <w:szCs w:val="20"/>
          <w:color w:val="auto"/>
        </w:rPr>
      </w:pPr>
    </w:p>
    <w:p>
      <w:pPr>
        <w:ind w:left="169" w:hanging="169"/>
        <w:spacing w:after="0"/>
        <w:tabs>
          <w:tab w:leader="none" w:pos="169"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9" w:lineRule="exact"/>
        <w:rPr>
          <w:rFonts w:ascii="Courier New" w:cs="Courier New" w:eastAsia="Courier New" w:hAnsi="Courier New"/>
          <w:sz w:val="14"/>
          <w:szCs w:val="14"/>
          <w:color w:val="auto"/>
        </w:rPr>
      </w:pPr>
    </w:p>
    <w:p>
      <w:pPr>
        <w:ind w:left="522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101,325</w:t>
      </w:r>
      <w:r>
        <w:rPr>
          <w:rFonts w:ascii="Courier New" w:cs="Courier New" w:eastAsia="Courier New" w:hAnsi="Courier New"/>
          <w:sz w:val="14"/>
          <w:szCs w:val="14"/>
          <w:color w:val="auto"/>
        </w:rPr>
        <w:t>137,970</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540" w:type="dxa"/>
            <w:vAlign w:val="bottom"/>
          </w:tcPr>
          <w:p>
            <w:pPr>
              <w:spacing w:after="0"/>
              <w:rPr>
                <w:sz w:val="20"/>
                <w:szCs w:val="20"/>
                <w:color w:val="auto"/>
              </w:rPr>
            </w:pPr>
            <w:r>
              <w:rPr>
                <w:rFonts w:ascii="Courier New" w:cs="Courier New" w:eastAsia="Courier New" w:hAnsi="Courier New"/>
                <w:sz w:val="15"/>
                <w:szCs w:val="15"/>
                <w:color w:val="auto"/>
              </w:rPr>
              <w:t>Less current portion</w:t>
            </w:r>
          </w:p>
        </w:tc>
        <w:tc>
          <w:tcPr>
            <w:tcW w:w="25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20,300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15,000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160" w:type="dxa"/>
            <w:vAlign w:val="bottom"/>
          </w:tcPr>
          <w:p>
            <w:pPr>
              <w:spacing w:after="0"/>
              <w:rPr>
                <w:sz w:val="20"/>
                <w:szCs w:val="20"/>
                <w:color w:val="auto"/>
              </w:rPr>
            </w:pPr>
            <w:r>
              <w:rPr>
                <w:rFonts w:ascii="Courier New" w:cs="Courier New" w:eastAsia="Courier New" w:hAnsi="Courier New"/>
                <w:sz w:val="15"/>
                <w:szCs w:val="15"/>
                <w:color w:val="auto"/>
              </w:rPr>
              <w:t>Long-term debt, less current portion</w:t>
            </w:r>
          </w:p>
        </w:tc>
        <w:tc>
          <w:tcPr>
            <w:tcW w:w="1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$ 81,025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$122,970</w:t>
            </w:r>
          </w:p>
        </w:tc>
      </w:tr>
    </w:tbl>
    <w:p>
      <w:pPr>
        <w:spacing w:after="0" w:line="3" w:lineRule="exact"/>
        <w:rPr>
          <w:sz w:val="20"/>
          <w:szCs w:val="20"/>
          <w:color w:val="auto"/>
        </w:rPr>
      </w:pPr>
    </w:p>
    <w:p>
      <w:pPr>
        <w:ind w:left="169" w:hanging="169"/>
        <w:spacing w:after="0"/>
        <w:tabs>
          <w:tab w:leader="none" w:pos="169"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353"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weighted average interest rate on long-term debt for 1994 was 9.8 percent (9.8 percent in 1993 and 9.9 percent in 1992) based upon actual interest expense of $12,236,000 in 1994 ($16,118,000 in 1993 and $16,248,000 in 1992), including commitment and facility fees and weighted average long-term debt outstanding of $125,388,000 in 1994 ($164,107,000 in 1993 and $164,876,000 in 1992).</w:t>
      </w:r>
    </w:p>
    <w:p>
      <w:pPr>
        <w:spacing w:after="0" w:line="175" w:lineRule="exact"/>
        <w:rPr>
          <w:sz w:val="20"/>
          <w:szCs w:val="20"/>
          <w:color w:val="auto"/>
        </w:rPr>
      </w:pPr>
    </w:p>
    <w:p>
      <w:pPr>
        <w:ind w:left="9" w:right="3119" w:firstLine="444"/>
        <w:spacing w:after="0" w:line="262" w:lineRule="auto"/>
        <w:rPr>
          <w:sz w:val="20"/>
          <w:szCs w:val="20"/>
          <w:color w:val="auto"/>
        </w:rPr>
      </w:pPr>
      <w:r>
        <w:rPr>
          <w:rFonts w:ascii="Courier New" w:cs="Courier New" w:eastAsia="Courier New" w:hAnsi="Courier New"/>
          <w:sz w:val="14"/>
          <w:szCs w:val="14"/>
          <w:color w:val="auto"/>
        </w:rPr>
        <w:t>During the year the company entered into an interest rate exchange agreement with a bank to preserve the value of the call option included in the $50,000,000, 11%, long-term sinking fund notes due August 1, 1998-2017, and to realize the benefit of current interest rates. As a result of this agreement the</w:t>
      </w:r>
    </w:p>
    <w:p>
      <w:pPr>
        <w:sectPr>
          <w:pgSz w:w="11900" w:h="16884" w:orient="portrait"/>
          <w:cols w:equalWidth="0" w:num="1">
            <w:col w:w="10228"/>
          </w:cols>
          <w:pgMar w:left="231" w:top="628" w:right="1440" w:bottom="0" w:gutter="0" w:footer="0" w:header="0"/>
        </w:sectPr>
      </w:pPr>
    </w:p>
    <w:bookmarkStart w:id="36" w:name="page37"/>
    <w:bookmarkEnd w:id="36"/>
    <w:p>
      <w:pPr>
        <w:ind w:right="3219"/>
        <w:spacing w:after="0"/>
        <w:rPr>
          <w:sz w:val="20"/>
          <w:szCs w:val="20"/>
          <w:color w:val="auto"/>
        </w:rPr>
      </w:pPr>
      <w:r>
        <w:rPr>
          <w:rFonts w:ascii="Courier New" w:cs="Courier New" w:eastAsia="Courier New" w:hAnsi="Courier New"/>
          <w:sz w:val="15"/>
          <w:szCs w:val="15"/>
          <w:color w:val="auto"/>
        </w:rPr>
        <w:t>company received $5,250,000 which is recorded as deferred income on the consolidated balance sheets. In return, the company is obligated to pay 10.25% on a notational amount of $50,000,000 from August 1, 1997 through July 31, 2002 and the company will receive payments based on a floating rate equal to the London Interbank Offered Rate (LIBOR) on the notational amount of $50,000,000 for the same period.</w:t>
      </w:r>
    </w:p>
    <w:p>
      <w:pPr>
        <w:spacing w:after="0" w:line="343" w:lineRule="exact"/>
        <w:rPr>
          <w:sz w:val="20"/>
          <w:szCs w:val="20"/>
          <w:color w:val="auto"/>
        </w:rPr>
      </w:pPr>
    </w:p>
    <w:p>
      <w:pPr>
        <w:jc w:val="right"/>
        <w:ind w:right="3119"/>
        <w:spacing w:after="0"/>
        <w:tabs>
          <w:tab w:leader="none" w:pos="2040" w:val="left"/>
          <w:tab w:leader="none" w:pos="160" w:val="left"/>
        </w:tabs>
        <w:rPr>
          <w:sz w:val="20"/>
          <w:szCs w:val="20"/>
          <w:color w:val="auto"/>
        </w:rPr>
      </w:pPr>
      <w:r>
        <w:rPr>
          <w:rFonts w:ascii="Courier New" w:cs="Courier New" w:eastAsia="Courier New" w:hAnsi="Courier New"/>
          <w:sz w:val="15"/>
          <w:szCs w:val="15"/>
          <w:color w:val="auto"/>
        </w:rPr>
        <w:t>The Toro Company</w:t>
      </w:r>
      <w:r>
        <w:rPr>
          <w:sz w:val="20"/>
          <w:szCs w:val="20"/>
          <w:color w:val="auto"/>
        </w:rPr>
        <w:tab/>
      </w:r>
      <w:r>
        <w:rPr>
          <w:rFonts w:ascii="Courier New" w:cs="Courier New" w:eastAsia="Courier New" w:hAnsi="Courier New"/>
          <w:sz w:val="15"/>
          <w:szCs w:val="15"/>
          <w:color w:val="auto"/>
        </w:rPr>
        <w:t>1994 Annual Report</w:t>
      </w:r>
      <w:r>
        <w:rPr>
          <w:sz w:val="20"/>
          <w:szCs w:val="20"/>
          <w:color w:val="auto"/>
        </w:rPr>
        <w:tab/>
      </w:r>
      <w:r>
        <w:rPr>
          <w:rFonts w:ascii="Courier New" w:cs="Courier New" w:eastAsia="Courier New" w:hAnsi="Courier New"/>
          <w:sz w:val="15"/>
          <w:szCs w:val="15"/>
          <w:color w:val="auto"/>
        </w:rPr>
        <w:t>23</w:t>
      </w:r>
    </w:p>
    <w:p>
      <w:pPr>
        <w:sectPr>
          <w:pgSz w:w="11900" w:h="16838" w:orient="portrait"/>
          <w:cols w:equalWidth="0" w:num="1">
            <w:col w:w="10219"/>
          </w:cols>
          <w:pgMar w:left="240" w:top="141" w:right="1440" w:bottom="1440" w:gutter="0" w:footer="0" w:header="0"/>
        </w:sectPr>
      </w:pPr>
    </w:p>
    <w:bookmarkStart w:id="37" w:name="page38"/>
    <w:bookmarkEnd w:id="37"/>
    <w:p>
      <w:pPr>
        <w:spacing w:after="0" w:line="52" w:lineRule="exact"/>
        <w:rPr>
          <w:sz w:val="20"/>
          <w:szCs w:val="20"/>
          <w:color w:val="auto"/>
        </w:rPr>
      </w:pPr>
    </w:p>
    <w:p>
      <w:pPr>
        <w:ind w:left="9" w:right="3479" w:firstLine="444"/>
        <w:spacing w:after="0" w:line="239" w:lineRule="auto"/>
        <w:rPr>
          <w:sz w:val="20"/>
          <w:szCs w:val="20"/>
          <w:color w:val="auto"/>
        </w:rPr>
      </w:pPr>
      <w:r>
        <w:rPr>
          <w:rFonts w:ascii="Courier New" w:cs="Courier New" w:eastAsia="Courier New" w:hAnsi="Courier New"/>
          <w:sz w:val="15"/>
          <w:szCs w:val="15"/>
          <w:color w:val="auto"/>
        </w:rPr>
        <w:t>Under the terms of the long-term debt agreements and the interest rate exchange agreement, the company is subject to certain covenants. At July 31, 1994, the company was in compliance with all such covenants.</w:t>
      </w:r>
    </w:p>
    <w:p>
      <w:pPr>
        <w:spacing w:after="0" w:line="175" w:lineRule="exact"/>
        <w:rPr>
          <w:sz w:val="20"/>
          <w:szCs w:val="20"/>
          <w:color w:val="auto"/>
        </w:rPr>
      </w:pPr>
    </w:p>
    <w:p>
      <w:pPr>
        <w:ind w:left="9" w:right="3299" w:firstLine="444"/>
        <w:spacing w:after="0" w:line="239" w:lineRule="auto"/>
        <w:rPr>
          <w:sz w:val="20"/>
          <w:szCs w:val="20"/>
          <w:color w:val="auto"/>
        </w:rPr>
      </w:pPr>
      <w:r>
        <w:rPr>
          <w:rFonts w:ascii="Courier New" w:cs="Courier New" w:eastAsia="Courier New" w:hAnsi="Courier New"/>
          <w:sz w:val="15"/>
          <w:szCs w:val="15"/>
          <w:color w:val="auto"/>
        </w:rPr>
        <w:t>The terms of certain agreements of the Toro Credit Company restrict the payment of dividends and loans or advances to the parent company. Toro Credit retained earnings of approximately $22,192,000 were available for dividends to its parent at July 31, 1994.</w:t>
      </w:r>
    </w:p>
    <w:p>
      <w:pPr>
        <w:spacing w:after="0" w:line="176" w:lineRule="exact"/>
        <w:rPr>
          <w:sz w:val="20"/>
          <w:szCs w:val="20"/>
          <w:color w:val="auto"/>
        </w:rPr>
      </w:pPr>
    </w:p>
    <w:p>
      <w:pPr>
        <w:ind w:left="9" w:right="3119" w:firstLine="444"/>
        <w:spacing w:after="0" w:line="264" w:lineRule="auto"/>
        <w:rPr>
          <w:sz w:val="20"/>
          <w:szCs w:val="20"/>
          <w:color w:val="auto"/>
        </w:rPr>
      </w:pPr>
      <w:r>
        <w:rPr>
          <w:rFonts w:ascii="Courier New" w:cs="Courier New" w:eastAsia="Courier New" w:hAnsi="Courier New"/>
          <w:sz w:val="14"/>
          <w:szCs w:val="14"/>
          <w:color w:val="auto"/>
        </w:rPr>
        <w:t>Principal payments required on long-term debt in each of the next five years ending July 31 are as follows: 1995, $20,300,000; 1996, $16,090,000; 1997, $10,460,000; 1998, $485,000; 1999, $515,000; and after 1999, $53,475,000.</w:t>
      </w:r>
    </w:p>
    <w:p>
      <w:pPr>
        <w:spacing w:after="0" w:line="327" w:lineRule="exact"/>
        <w:rPr>
          <w:sz w:val="20"/>
          <w:szCs w:val="20"/>
          <w:color w:val="auto"/>
        </w:rPr>
      </w:pPr>
    </w:p>
    <w:p>
      <w:pPr>
        <w:ind w:left="269" w:hanging="269"/>
        <w:spacing w:after="0"/>
        <w:tabs>
          <w:tab w:leader="none" w:pos="26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4" w:lineRule="exact"/>
        <w:rPr>
          <w:sz w:val="20"/>
          <w:szCs w:val="20"/>
          <w:color w:val="auto"/>
        </w:rPr>
      </w:pPr>
    </w:p>
    <w:p>
      <w:pPr>
        <w:ind w:left="9" w:right="3659"/>
        <w:spacing w:after="0" w:line="238" w:lineRule="auto"/>
        <w:rPr>
          <w:sz w:val="20"/>
          <w:szCs w:val="20"/>
          <w:color w:val="auto"/>
        </w:rPr>
      </w:pPr>
      <w:r>
        <w:rPr>
          <w:rFonts w:ascii="Courier New" w:cs="Courier New" w:eastAsia="Courier New" w:hAnsi="Courier New"/>
          <w:sz w:val="15"/>
          <w:szCs w:val="15"/>
          <w:color w:val="auto"/>
        </w:rPr>
        <w:t>A reconciliation of the statutory federal income tax rate to the company's effective tax rate is summarized as follows:</w:t>
      </w:r>
    </w:p>
    <w:p>
      <w:pPr>
        <w:spacing w:after="0" w:line="200" w:lineRule="exact"/>
        <w:rPr>
          <w:sz w:val="20"/>
          <w:szCs w:val="20"/>
          <w:color w:val="auto"/>
        </w:rPr>
      </w:pPr>
    </w:p>
    <w:p>
      <w:pPr>
        <w:spacing w:after="0" w:line="316"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060" w:type="dxa"/>
            <w:vAlign w:val="bottom"/>
          </w:tcPr>
          <w:p>
            <w:pPr>
              <w:spacing w:after="0"/>
              <w:rPr>
                <w:sz w:val="20"/>
                <w:szCs w:val="20"/>
                <w:color w:val="auto"/>
              </w:rPr>
            </w:pPr>
            <w:r>
              <w:rPr>
                <w:rFonts w:ascii="Courier New" w:cs="Courier New" w:eastAsia="Courier New" w:hAnsi="Courier New"/>
                <w:sz w:val="15"/>
                <w:szCs w:val="15"/>
                <w:color w:val="auto"/>
              </w:rPr>
              <w:t>Years ended July 31</w:t>
            </w:r>
          </w:p>
        </w:tc>
        <w:tc>
          <w:tcPr>
            <w:tcW w:w="2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1994</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1993</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1992</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800" w:type="dxa"/>
            <w:vAlign w:val="bottom"/>
          </w:tcPr>
          <w:p>
            <w:pPr>
              <w:spacing w:after="0"/>
              <w:rPr>
                <w:sz w:val="20"/>
                <w:szCs w:val="20"/>
                <w:color w:val="auto"/>
              </w:rPr>
            </w:pPr>
            <w:r>
              <w:rPr>
                <w:rFonts w:ascii="Courier New" w:cs="Courier New" w:eastAsia="Courier New" w:hAnsi="Courier New"/>
                <w:sz w:val="15"/>
                <w:szCs w:val="15"/>
                <w:color w:val="auto"/>
              </w:rPr>
              <w:t>Statutory federal income tax rate</w:t>
            </w:r>
          </w:p>
        </w:tc>
        <w:tc>
          <w:tcPr>
            <w:tcW w:w="1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35.0%</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34.0%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(34.0)%</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Increase (reduction) in income taxes</w:t>
            </w: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resulting from:</w:t>
            </w: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800" w:type="dxa"/>
            <w:vAlign w:val="bottom"/>
          </w:tcPr>
          <w:p>
            <w:pPr>
              <w:ind w:left="340"/>
              <w:spacing w:after="0"/>
              <w:rPr>
                <w:sz w:val="20"/>
                <w:szCs w:val="20"/>
                <w:color w:val="auto"/>
              </w:rPr>
            </w:pPr>
            <w:r>
              <w:rPr>
                <w:rFonts w:ascii="Courier New" w:cs="Courier New" w:eastAsia="Courier New" w:hAnsi="Courier New"/>
                <w:sz w:val="15"/>
                <w:szCs w:val="15"/>
                <w:color w:val="auto"/>
              </w:rPr>
              <w:t>Benefits from foreign sales</w:t>
            </w: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800" w:type="dxa"/>
            <w:vAlign w:val="bottom"/>
          </w:tcPr>
          <w:p>
            <w:pPr>
              <w:ind w:left="340"/>
              <w:spacing w:after="0"/>
              <w:rPr>
                <w:sz w:val="20"/>
                <w:szCs w:val="20"/>
                <w:color w:val="auto"/>
              </w:rPr>
            </w:pPr>
            <w:r>
              <w:rPr>
                <w:rFonts w:ascii="Courier New" w:cs="Courier New" w:eastAsia="Courier New" w:hAnsi="Courier New"/>
                <w:sz w:val="15"/>
                <w:szCs w:val="15"/>
                <w:color w:val="auto"/>
              </w:rPr>
              <w:t>corporation</w:t>
            </w:r>
          </w:p>
        </w:tc>
        <w:tc>
          <w:tcPr>
            <w:tcW w:w="1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(1.6)</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(0.3)</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State and local income taxes, net</w:t>
            </w: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of federal income tax benefit</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2.4</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Effect of foreign source income</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1.3</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0.5</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0.2</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2.9</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4.2</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0.5</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580" w:type="dxa"/>
            <w:vAlign w:val="bottom"/>
          </w:tcPr>
          <w:p>
            <w:pPr>
              <w:spacing w:after="0"/>
              <w:rPr>
                <w:sz w:val="20"/>
                <w:szCs w:val="20"/>
                <w:color w:val="auto"/>
              </w:rPr>
            </w:pPr>
            <w:r>
              <w:rPr>
                <w:rFonts w:ascii="Courier New" w:cs="Courier New" w:eastAsia="Courier New" w:hAnsi="Courier New"/>
                <w:sz w:val="15"/>
                <w:szCs w:val="15"/>
                <w:color w:val="auto"/>
              </w:rPr>
              <w:t>Consolidated effective tax rate</w:t>
            </w:r>
          </w:p>
        </w:tc>
        <w:tc>
          <w:tcPr>
            <w:tcW w:w="16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40.0%</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38.9%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(31.9)%</w:t>
            </w:r>
          </w:p>
        </w:tc>
      </w:tr>
    </w:tbl>
    <w:p>
      <w:pPr>
        <w:spacing w:after="0" w:line="3" w:lineRule="exact"/>
        <w:rPr>
          <w:sz w:val="20"/>
          <w:szCs w:val="20"/>
          <w:color w:val="auto"/>
        </w:rPr>
      </w:pPr>
    </w:p>
    <w:p>
      <w:pPr>
        <w:ind w:left="169" w:hanging="169"/>
        <w:spacing w:after="0"/>
        <w:tabs>
          <w:tab w:leader="none" w:pos="169"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35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Components of the provision (benefit) for income taxes are as follows:</w:t>
      </w:r>
    </w:p>
    <w:p>
      <w:pPr>
        <w:spacing w:after="0" w:line="200" w:lineRule="exact"/>
        <w:rPr>
          <w:sz w:val="20"/>
          <w:szCs w:val="20"/>
          <w:color w:val="auto"/>
        </w:rPr>
      </w:pPr>
    </w:p>
    <w:p>
      <w:pPr>
        <w:spacing w:after="0" w:line="315" w:lineRule="exact"/>
        <w:rPr>
          <w:sz w:val="20"/>
          <w:szCs w:val="20"/>
          <w:color w:val="auto"/>
        </w:rPr>
      </w:pPr>
    </w:p>
    <w:p>
      <w:pPr>
        <w:ind w:left="169" w:hanging="169"/>
        <w:spacing w:after="0"/>
        <w:tabs>
          <w:tab w:leader="none" w:pos="169"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(Dollars in thousands)</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060" w:type="dxa"/>
            <w:vAlign w:val="bottom"/>
          </w:tcPr>
          <w:p>
            <w:pPr>
              <w:spacing w:after="0"/>
              <w:rPr>
                <w:sz w:val="20"/>
                <w:szCs w:val="20"/>
                <w:color w:val="auto"/>
              </w:rPr>
            </w:pPr>
            <w:r>
              <w:rPr>
                <w:rFonts w:ascii="Courier New" w:cs="Courier New" w:eastAsia="Courier New" w:hAnsi="Courier New"/>
                <w:sz w:val="15"/>
                <w:szCs w:val="15"/>
                <w:color w:val="auto"/>
              </w:rPr>
              <w:t>Years ended July 31</w:t>
            </w:r>
          </w:p>
        </w:tc>
        <w:tc>
          <w:tcPr>
            <w:tcW w:w="2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1994</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1993</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1992</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48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2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Federal</w:t>
            </w:r>
          </w:p>
        </w:tc>
        <w:tc>
          <w:tcPr>
            <w:tcW w:w="25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$18,487</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$ 8,986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1,233</w:t>
            </w: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State</w:t>
            </w:r>
          </w:p>
        </w:tc>
        <w:tc>
          <w:tcPr>
            <w:tcW w:w="25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2,610</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876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880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 --------------------------------------------------------------------------------</w:t>
      </w:r>
    </w:p>
    <w:p>
      <w:pPr>
        <w:spacing w:after="0" w:line="9" w:lineRule="exact"/>
        <w:rPr>
          <w:sz w:val="20"/>
          <w:szCs w:val="20"/>
          <w:color w:val="auto"/>
        </w:rPr>
      </w:pPr>
    </w:p>
    <w:p>
      <w:pPr>
        <w:ind w:left="4269"/>
        <w:spacing w:after="0"/>
        <w:tabs>
          <w:tab w:leader="none" w:pos="5389" w:val="left"/>
          <w:tab w:leader="none" w:pos="6449" w:val="left"/>
        </w:tabs>
        <w:rPr>
          <w:sz w:val="20"/>
          <w:szCs w:val="20"/>
          <w:color w:val="auto"/>
        </w:rPr>
      </w:pPr>
      <w:r>
        <w:rPr>
          <w:rFonts w:ascii="Courier New" w:cs="Courier New" w:eastAsia="Courier New" w:hAnsi="Courier New"/>
          <w:sz w:val="15"/>
          <w:szCs w:val="15"/>
          <w:color w:val="auto"/>
        </w:rPr>
        <w:t>21,097</w:t>
      </w:r>
      <w:r>
        <w:rPr>
          <w:sz w:val="20"/>
          <w:szCs w:val="20"/>
          <w:color w:val="auto"/>
        </w:rPr>
        <w:tab/>
      </w:r>
      <w:r>
        <w:rPr>
          <w:rFonts w:ascii="Courier New" w:cs="Courier New" w:eastAsia="Courier New" w:hAnsi="Courier New"/>
          <w:sz w:val="15"/>
          <w:szCs w:val="15"/>
          <w:color w:val="auto"/>
        </w:rPr>
        <w:t>9,862</w:t>
      </w:r>
      <w:r>
        <w:rPr>
          <w:sz w:val="20"/>
          <w:szCs w:val="20"/>
          <w:color w:val="auto"/>
        </w:rPr>
        <w:tab/>
      </w:r>
      <w:r>
        <w:rPr>
          <w:rFonts w:ascii="Courier New" w:cs="Courier New" w:eastAsia="Courier New" w:hAnsi="Courier New"/>
          <w:sz w:val="15"/>
          <w:szCs w:val="15"/>
          <w:color w:val="auto"/>
        </w:rPr>
        <w:t>2,113</w:t>
      </w:r>
    </w:p>
    <w:p>
      <w:pPr>
        <w:spacing w:after="0" w:line="3" w:lineRule="exact"/>
        <w:rPr>
          <w:sz w:val="20"/>
          <w:szCs w:val="20"/>
          <w:color w:val="auto"/>
        </w:rPr>
      </w:pPr>
    </w:p>
    <w:p>
      <w:pPr>
        <w:ind w:left="169" w:hanging="169"/>
        <w:spacing w:after="0"/>
        <w:tabs>
          <w:tab w:leader="none" w:pos="169"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Deferred:</w:t>
      </w:r>
    </w:p>
    <w:p>
      <w:pPr>
        <w:spacing w:after="0" w:line="1"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2360" w:type="dxa"/>
            <w:vAlign w:val="bottom"/>
          </w:tcPr>
          <w:p>
            <w:pPr>
              <w:spacing w:after="0"/>
              <w:rPr>
                <w:sz w:val="20"/>
                <w:szCs w:val="20"/>
                <w:color w:val="auto"/>
              </w:rPr>
            </w:pPr>
            <w:r>
              <w:rPr>
                <w:rFonts w:ascii="Courier New" w:cs="Courier New" w:eastAsia="Courier New" w:hAnsi="Courier New"/>
                <w:sz w:val="15"/>
                <w:szCs w:val="15"/>
                <w:color w:val="auto"/>
              </w:rPr>
              <w:t>Federal</w:t>
            </w:r>
          </w:p>
        </w:tc>
        <w:tc>
          <w:tcPr>
            <w:tcW w:w="25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(5,059)</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(1,288)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(13,263)</w:t>
            </w:r>
          </w:p>
        </w:tc>
      </w:tr>
      <w:tr>
        <w:trPr>
          <w:trHeight w:val="171"/>
        </w:trPr>
        <w:tc>
          <w:tcPr>
            <w:tcW w:w="2360" w:type="dxa"/>
            <w:vAlign w:val="bottom"/>
          </w:tcPr>
          <w:p>
            <w:pPr>
              <w:spacing w:after="0"/>
              <w:rPr>
                <w:sz w:val="20"/>
                <w:szCs w:val="20"/>
                <w:color w:val="auto"/>
              </w:rPr>
            </w:pPr>
            <w:r>
              <w:rPr>
                <w:rFonts w:ascii="Courier New" w:cs="Courier New" w:eastAsia="Courier New" w:hAnsi="Courier New"/>
                <w:sz w:val="15"/>
                <w:szCs w:val="15"/>
                <w:color w:val="auto"/>
              </w:rPr>
              <w:t>State</w:t>
            </w:r>
          </w:p>
        </w:tc>
        <w:tc>
          <w:tcPr>
            <w:tcW w:w="25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(1,218)</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(259)</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 --------------------------------------------------------------------------------</w:t>
      </w:r>
    </w:p>
    <w:p>
      <w:pPr>
        <w:spacing w:after="0" w:line="9" w:lineRule="exact"/>
        <w:rPr>
          <w:sz w:val="20"/>
          <w:szCs w:val="20"/>
          <w:color w:val="auto"/>
        </w:rPr>
      </w:pPr>
    </w:p>
    <w:p>
      <w:pPr>
        <w:ind w:left="4269"/>
        <w:spacing w:after="0"/>
        <w:tabs>
          <w:tab w:leader="none" w:pos="5309" w:val="left"/>
          <w:tab w:leader="none" w:pos="6289" w:val="left"/>
        </w:tabs>
        <w:rPr>
          <w:sz w:val="20"/>
          <w:szCs w:val="20"/>
          <w:color w:val="auto"/>
        </w:rPr>
      </w:pPr>
      <w:r>
        <w:rPr>
          <w:rFonts w:ascii="Courier New" w:cs="Courier New" w:eastAsia="Courier New" w:hAnsi="Courier New"/>
          <w:sz w:val="15"/>
          <w:szCs w:val="15"/>
          <w:color w:val="auto"/>
        </w:rPr>
        <w:t>(6,277)</w:t>
      </w:r>
      <w:r>
        <w:rPr>
          <w:sz w:val="20"/>
          <w:szCs w:val="20"/>
          <w:color w:val="auto"/>
        </w:rPr>
        <w:tab/>
      </w:r>
      <w:r>
        <w:rPr>
          <w:rFonts w:ascii="Courier New" w:cs="Courier New" w:eastAsia="Courier New" w:hAnsi="Courier New"/>
          <w:sz w:val="15"/>
          <w:szCs w:val="15"/>
          <w:color w:val="auto"/>
        </w:rPr>
        <w:t>(1,547)</w:t>
      </w:r>
      <w:r>
        <w:rPr>
          <w:sz w:val="20"/>
          <w:szCs w:val="20"/>
          <w:color w:val="auto"/>
        </w:rPr>
        <w:tab/>
      </w:r>
      <w:r>
        <w:rPr>
          <w:rFonts w:ascii="Courier New" w:cs="Courier New" w:eastAsia="Courier New" w:hAnsi="Courier New"/>
          <w:sz w:val="14"/>
          <w:szCs w:val="14"/>
          <w:color w:val="auto"/>
        </w:rPr>
        <w:t>(13,263)</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 --------------------------------------------------------------------------------</w:t>
      </w:r>
    </w:p>
    <w:p>
      <w:pPr>
        <w:spacing w:after="0" w:line="9" w:lineRule="exact"/>
        <w:rPr>
          <w:sz w:val="20"/>
          <w:szCs w:val="20"/>
          <w:color w:val="auto"/>
        </w:rPr>
      </w:pPr>
    </w:p>
    <w:p>
      <w:pPr>
        <w:ind w:left="9"/>
        <w:spacing w:after="0"/>
        <w:tabs>
          <w:tab w:leader="none" w:pos="4149" w:val="left"/>
          <w:tab w:leader="none" w:pos="5209" w:val="left"/>
          <w:tab w:leader="none" w:pos="6189" w:val="left"/>
        </w:tabs>
        <w:rPr>
          <w:sz w:val="20"/>
          <w:szCs w:val="20"/>
          <w:color w:val="auto"/>
        </w:rPr>
      </w:pPr>
      <w:r>
        <w:rPr>
          <w:rFonts w:ascii="Courier New" w:cs="Courier New" w:eastAsia="Courier New" w:hAnsi="Courier New"/>
          <w:sz w:val="15"/>
          <w:szCs w:val="15"/>
          <w:color w:val="auto"/>
        </w:rPr>
        <w:t>Provision (benefit) for income taxes</w:t>
      </w:r>
      <w:r>
        <w:rPr>
          <w:sz w:val="20"/>
          <w:szCs w:val="20"/>
          <w:color w:val="auto"/>
        </w:rPr>
        <w:tab/>
      </w:r>
      <w:r>
        <w:rPr>
          <w:rFonts w:ascii="Courier New" w:cs="Courier New" w:eastAsia="Courier New" w:hAnsi="Courier New"/>
          <w:sz w:val="15"/>
          <w:szCs w:val="15"/>
          <w:color w:val="auto"/>
        </w:rPr>
        <w:t>$14,820</w:t>
      </w:r>
      <w:r>
        <w:rPr>
          <w:sz w:val="20"/>
          <w:szCs w:val="20"/>
          <w:color w:val="auto"/>
        </w:rPr>
        <w:tab/>
      </w:r>
      <w:r>
        <w:rPr>
          <w:rFonts w:ascii="Courier New" w:cs="Courier New" w:eastAsia="Courier New" w:hAnsi="Courier New"/>
          <w:sz w:val="15"/>
          <w:szCs w:val="15"/>
          <w:color w:val="auto"/>
        </w:rPr>
        <w:t>$ 8,315</w:t>
      </w:r>
      <w:r>
        <w:rPr>
          <w:sz w:val="20"/>
          <w:szCs w:val="20"/>
          <w:color w:val="auto"/>
        </w:rPr>
        <w:tab/>
      </w:r>
      <w:r>
        <w:rPr>
          <w:rFonts w:ascii="Courier New" w:cs="Courier New" w:eastAsia="Courier New" w:hAnsi="Courier New"/>
          <w:sz w:val="14"/>
          <w:szCs w:val="14"/>
          <w:color w:val="auto"/>
        </w:rPr>
        <w:t>$(11,150)</w:t>
      </w:r>
    </w:p>
    <w:p>
      <w:pPr>
        <w:spacing w:after="0" w:line="3" w:lineRule="exact"/>
        <w:rPr>
          <w:sz w:val="20"/>
          <w:szCs w:val="20"/>
          <w:color w:val="auto"/>
        </w:rPr>
      </w:pPr>
    </w:p>
    <w:p>
      <w:pPr>
        <w:ind w:left="169" w:hanging="169"/>
        <w:spacing w:after="0"/>
        <w:tabs>
          <w:tab w:leader="none" w:pos="169"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200" w:lineRule="exact"/>
        <w:rPr>
          <w:sz w:val="20"/>
          <w:szCs w:val="20"/>
          <w:color w:val="auto"/>
        </w:rPr>
      </w:pPr>
    </w:p>
    <w:p>
      <w:pPr>
        <w:spacing w:after="0" w:line="324" w:lineRule="exact"/>
        <w:rPr>
          <w:sz w:val="20"/>
          <w:szCs w:val="20"/>
          <w:color w:val="auto"/>
        </w:rPr>
      </w:pPr>
    </w:p>
    <w:p>
      <w:pPr>
        <w:ind w:left="9" w:right="3219" w:firstLine="444"/>
        <w:spacing w:after="0" w:line="271" w:lineRule="auto"/>
        <w:rPr>
          <w:sz w:val="20"/>
          <w:szCs w:val="20"/>
          <w:color w:val="auto"/>
        </w:rPr>
      </w:pPr>
      <w:r>
        <w:rPr>
          <w:rFonts w:ascii="Courier New" w:cs="Courier New" w:eastAsia="Courier New" w:hAnsi="Courier New"/>
          <w:sz w:val="14"/>
          <w:szCs w:val="14"/>
          <w:color w:val="auto"/>
        </w:rPr>
        <w:t>The tax effects of temporary differences that give rise to the deferred assets and deferred liabilities at July 31, 1994, and 1993 are presented below.</w:t>
      </w:r>
    </w:p>
    <w:p>
      <w:pPr>
        <w:spacing w:after="0" w:line="200" w:lineRule="exact"/>
        <w:rPr>
          <w:sz w:val="20"/>
          <w:szCs w:val="20"/>
          <w:color w:val="auto"/>
        </w:rPr>
      </w:pPr>
    </w:p>
    <w:p>
      <w:pPr>
        <w:spacing w:after="0" w:line="295" w:lineRule="exact"/>
        <w:rPr>
          <w:sz w:val="20"/>
          <w:szCs w:val="20"/>
          <w:color w:val="auto"/>
        </w:rPr>
      </w:pPr>
    </w:p>
    <w:p>
      <w:pPr>
        <w:ind w:left="169" w:hanging="169"/>
        <w:spacing w:after="0"/>
        <w:tabs>
          <w:tab w:leader="none" w:pos="169"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(Dollars in thousands)</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580" w:type="dxa"/>
            <w:vAlign w:val="bottom"/>
          </w:tcPr>
          <w:p>
            <w:pPr>
              <w:spacing w:after="0"/>
              <w:rPr>
                <w:sz w:val="20"/>
                <w:szCs w:val="20"/>
                <w:color w:val="auto"/>
              </w:rPr>
            </w:pPr>
            <w:r>
              <w:rPr>
                <w:rFonts w:ascii="Courier New" w:cs="Courier New" w:eastAsia="Courier New" w:hAnsi="Courier New"/>
                <w:sz w:val="15"/>
                <w:szCs w:val="15"/>
                <w:color w:val="auto"/>
              </w:rPr>
              <w:t>Years ended July 31</w:t>
            </w:r>
          </w:p>
        </w:tc>
        <w:tc>
          <w:tcPr>
            <w:tcW w:w="26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1994</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Inventory reserves</w:t>
            </w:r>
          </w:p>
        </w:tc>
        <w:tc>
          <w:tcPr>
            <w:tcW w:w="2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(902)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$(1,649)</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Depreciation expense</w:t>
            </w:r>
          </w:p>
        </w:tc>
        <w:tc>
          <w:tcPr>
            <w:tcW w:w="21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1,296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(1,372)</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Warranty reserves</w:t>
            </w:r>
          </w:p>
        </w:tc>
        <w:tc>
          <w:tcPr>
            <w:tcW w:w="21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12,688</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9,859</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Provision for doubtful accounts</w:t>
            </w:r>
          </w:p>
        </w:tc>
        <w:tc>
          <w:tcPr>
            <w:tcW w:w="21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3,256</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3,265</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Distributor reserves</w:t>
            </w:r>
          </w:p>
        </w:tc>
        <w:tc>
          <w:tcPr>
            <w:tcW w:w="21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2,858</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2,148</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Uniform capitalization</w:t>
            </w:r>
          </w:p>
        </w:tc>
        <w:tc>
          <w:tcPr>
            <w:tcW w:w="21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2,310</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1,213</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Restructuring expense</w:t>
            </w:r>
          </w:p>
        </w:tc>
        <w:tc>
          <w:tcPr>
            <w:tcW w:w="21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1,965</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3,691</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Accrued retirement</w:t>
            </w:r>
          </w:p>
        </w:tc>
        <w:tc>
          <w:tcPr>
            <w:tcW w:w="21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1,820</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1,600</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1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711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(1,337)</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Consolidated deferred income tax assets and (liabilities)  $26,002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$17,418</w:t>
            </w:r>
          </w:p>
        </w:tc>
      </w:tr>
    </w:tbl>
    <w:p>
      <w:pPr>
        <w:spacing w:after="0" w:line="3" w:lineRule="exact"/>
        <w:rPr>
          <w:sz w:val="20"/>
          <w:szCs w:val="20"/>
          <w:color w:val="auto"/>
        </w:rPr>
      </w:pPr>
    </w:p>
    <w:p>
      <w:pPr>
        <w:ind w:left="169" w:hanging="169"/>
        <w:spacing w:after="0"/>
        <w:tabs>
          <w:tab w:leader="none" w:pos="169"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353" w:lineRule="exact"/>
        <w:rPr>
          <w:sz w:val="20"/>
          <w:szCs w:val="20"/>
          <w:color w:val="auto"/>
        </w:rPr>
      </w:pPr>
    </w:p>
    <w:p>
      <w:pPr>
        <w:ind w:left="9" w:right="3479" w:firstLine="444"/>
        <w:spacing w:after="0" w:line="271" w:lineRule="auto"/>
        <w:rPr>
          <w:sz w:val="20"/>
          <w:szCs w:val="20"/>
          <w:color w:val="auto"/>
        </w:rPr>
      </w:pPr>
      <w:r>
        <w:rPr>
          <w:rFonts w:ascii="Courier New" w:cs="Courier New" w:eastAsia="Courier New" w:hAnsi="Courier New"/>
          <w:sz w:val="14"/>
          <w:szCs w:val="14"/>
          <w:color w:val="auto"/>
        </w:rPr>
        <w:t>The significant components of deferred income tax expense for the year ended July 31, 1992, resulting from timing differences in the recognition of</w:t>
      </w:r>
    </w:p>
    <w:p>
      <w:pPr>
        <w:sectPr>
          <w:pgSz w:w="11900" w:h="16891" w:orient="portrait"/>
          <w:cols w:equalWidth="0" w:num="1">
            <w:col w:w="10228"/>
          </w:cols>
          <w:pgMar w:left="231" w:top="631" w:right="1440" w:bottom="0" w:gutter="0" w:footer="0" w:header="0"/>
        </w:sectPr>
      </w:pPr>
    </w:p>
    <w:bookmarkStart w:id="38" w:name="page39"/>
    <w:bookmarkEnd w:id="38"/>
    <w:p>
      <w:pPr>
        <w:ind w:left="9" w:right="3759"/>
        <w:spacing w:after="0" w:line="238" w:lineRule="auto"/>
        <w:rPr>
          <w:sz w:val="20"/>
          <w:szCs w:val="20"/>
          <w:color w:val="auto"/>
        </w:rPr>
      </w:pPr>
      <w:r>
        <w:rPr>
          <w:rFonts w:ascii="Courier New" w:cs="Courier New" w:eastAsia="Courier New" w:hAnsi="Courier New"/>
          <w:sz w:val="15"/>
          <w:szCs w:val="15"/>
          <w:color w:val="auto"/>
        </w:rPr>
        <w:t>income and expense for income tax and financial reporting purposes are as follows:</w:t>
      </w:r>
    </w:p>
    <w:p>
      <w:pPr>
        <w:spacing w:after="0" w:line="200" w:lineRule="exact"/>
        <w:rPr>
          <w:sz w:val="20"/>
          <w:szCs w:val="20"/>
          <w:color w:val="auto"/>
        </w:rPr>
      </w:pPr>
    </w:p>
    <w:p>
      <w:pPr>
        <w:spacing w:after="0" w:line="316" w:lineRule="exact"/>
        <w:rPr>
          <w:sz w:val="20"/>
          <w:szCs w:val="20"/>
          <w:color w:val="auto"/>
        </w:rPr>
      </w:pPr>
    </w:p>
    <w:p>
      <w:pPr>
        <w:ind w:left="169" w:hanging="169"/>
        <w:spacing w:after="0"/>
        <w:tabs>
          <w:tab w:leader="none" w:pos="169"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(Dollars in thousands)</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000" w:type="dxa"/>
            <w:vAlign w:val="bottom"/>
            <w:gridSpan w:val="2"/>
          </w:tcPr>
          <w:p>
            <w:pPr>
              <w:spacing w:after="0"/>
              <w:rPr>
                <w:sz w:val="20"/>
                <w:szCs w:val="20"/>
                <w:color w:val="auto"/>
              </w:rPr>
            </w:pPr>
            <w:r>
              <w:rPr>
                <w:rFonts w:ascii="Courier New" w:cs="Courier New" w:eastAsia="Courier New" w:hAnsi="Courier New"/>
                <w:sz w:val="15"/>
                <w:szCs w:val="15"/>
                <w:color w:val="auto"/>
              </w:rPr>
              <w:t>Year ended July 31</w:t>
            </w:r>
          </w:p>
        </w:tc>
        <w:tc>
          <w:tcPr>
            <w:tcW w:w="1300" w:type="dxa"/>
            <w:vAlign w:val="bottom"/>
          </w:tcPr>
          <w:p>
            <w:pPr>
              <w:spacing w:after="0"/>
              <w:rPr>
                <w:sz w:val="14"/>
                <w:szCs w:val="14"/>
                <w:color w:val="auto"/>
              </w:rPr>
            </w:pPr>
          </w:p>
        </w:tc>
        <w:tc>
          <w:tcPr>
            <w:tcW w:w="15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1992</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 - - -</w:t>
            </w:r>
          </w:p>
        </w:tc>
        <w:tc>
          <w:tcPr>
            <w:tcW w:w="714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660" w:type="dxa"/>
            <w:vAlign w:val="bottom"/>
          </w:tcPr>
          <w:p>
            <w:pPr>
              <w:spacing w:after="0"/>
              <w:rPr>
                <w:sz w:val="20"/>
                <w:szCs w:val="20"/>
                <w:color w:val="auto"/>
              </w:rPr>
            </w:pPr>
            <w:r>
              <w:rPr>
                <w:rFonts w:ascii="Courier New" w:cs="Courier New" w:eastAsia="Courier New" w:hAnsi="Courier New"/>
                <w:sz w:val="15"/>
                <w:szCs w:val="15"/>
                <w:color w:val="auto"/>
              </w:rPr>
              <w:t>Accrued</w:t>
            </w:r>
          </w:p>
        </w:tc>
        <w:tc>
          <w:tcPr>
            <w:tcW w:w="4340" w:type="dxa"/>
            <w:vAlign w:val="bottom"/>
          </w:tcPr>
          <w:p>
            <w:pPr>
              <w:ind w:left="40"/>
              <w:spacing w:after="0"/>
              <w:rPr>
                <w:sz w:val="20"/>
                <w:szCs w:val="20"/>
                <w:color w:val="auto"/>
              </w:rPr>
            </w:pPr>
            <w:r>
              <w:rPr>
                <w:rFonts w:ascii="Courier New" w:cs="Courier New" w:eastAsia="Courier New" w:hAnsi="Courier New"/>
                <w:sz w:val="15"/>
                <w:szCs w:val="15"/>
                <w:color w:val="auto"/>
              </w:rPr>
              <w:t>warranty costs</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(1,962)</w:t>
            </w:r>
          </w:p>
        </w:tc>
      </w:tr>
      <w:tr>
        <w:trPr>
          <w:trHeight w:val="171"/>
        </w:trPr>
        <w:tc>
          <w:tcPr>
            <w:tcW w:w="5000" w:type="dxa"/>
            <w:vAlign w:val="bottom"/>
            <w:gridSpan w:val="2"/>
          </w:tcPr>
          <w:p>
            <w:pPr>
              <w:spacing w:after="0"/>
              <w:rPr>
                <w:sz w:val="20"/>
                <w:szCs w:val="20"/>
                <w:color w:val="auto"/>
              </w:rPr>
            </w:pPr>
            <w:r>
              <w:rPr>
                <w:rFonts w:ascii="Courier New" w:cs="Courier New" w:eastAsia="Courier New" w:hAnsi="Courier New"/>
                <w:sz w:val="15"/>
                <w:szCs w:val="15"/>
                <w:color w:val="auto"/>
              </w:rPr>
              <w:t>Addition to allowance for doubtful accounts</w:t>
            </w:r>
          </w:p>
        </w:tc>
        <w:tc>
          <w:tcPr>
            <w:tcW w:w="1300" w:type="dxa"/>
            <w:vAlign w:val="bottom"/>
          </w:tcPr>
          <w:p>
            <w:pPr>
              <w:spacing w:after="0"/>
              <w:rPr>
                <w:sz w:val="14"/>
                <w:szCs w:val="14"/>
                <w:color w:val="auto"/>
              </w:rPr>
            </w:pPr>
          </w:p>
        </w:tc>
        <w:tc>
          <w:tcPr>
            <w:tcW w:w="150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(1,430)</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Accrued</w:t>
            </w:r>
          </w:p>
        </w:tc>
        <w:tc>
          <w:tcPr>
            <w:tcW w:w="4340" w:type="dxa"/>
            <w:vAlign w:val="bottom"/>
          </w:tcPr>
          <w:p>
            <w:pPr>
              <w:ind w:left="40"/>
              <w:spacing w:after="0"/>
              <w:rPr>
                <w:sz w:val="20"/>
                <w:szCs w:val="20"/>
                <w:color w:val="auto"/>
              </w:rPr>
            </w:pPr>
            <w:r>
              <w:rPr>
                <w:rFonts w:ascii="Courier New" w:cs="Courier New" w:eastAsia="Courier New" w:hAnsi="Courier New"/>
                <w:sz w:val="15"/>
                <w:szCs w:val="15"/>
                <w:color w:val="auto"/>
              </w:rPr>
              <w:t>expenses</w:t>
            </w:r>
          </w:p>
        </w:tc>
        <w:tc>
          <w:tcPr>
            <w:tcW w:w="1300" w:type="dxa"/>
            <w:vAlign w:val="bottom"/>
          </w:tcPr>
          <w:p>
            <w:pPr>
              <w:spacing w:after="0"/>
              <w:rPr>
                <w:sz w:val="14"/>
                <w:szCs w:val="14"/>
                <w:color w:val="auto"/>
              </w:rPr>
            </w:pPr>
          </w:p>
        </w:tc>
        <w:tc>
          <w:tcPr>
            <w:tcW w:w="150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(836)</w:t>
            </w:r>
          </w:p>
        </w:tc>
      </w:tr>
      <w:tr>
        <w:trPr>
          <w:trHeight w:val="171"/>
        </w:trPr>
        <w:tc>
          <w:tcPr>
            <w:tcW w:w="5000" w:type="dxa"/>
            <w:vAlign w:val="bottom"/>
            <w:gridSpan w:val="2"/>
          </w:tcPr>
          <w:p>
            <w:pPr>
              <w:spacing w:after="0"/>
              <w:rPr>
                <w:sz w:val="20"/>
                <w:szCs w:val="20"/>
                <w:color w:val="auto"/>
              </w:rPr>
            </w:pPr>
            <w:r>
              <w:rPr>
                <w:rFonts w:ascii="Courier New" w:cs="Courier New" w:eastAsia="Courier New" w:hAnsi="Courier New"/>
                <w:sz w:val="15"/>
                <w:szCs w:val="15"/>
                <w:color w:val="auto"/>
              </w:rPr>
              <w:t>Depreciation</w:t>
            </w:r>
          </w:p>
        </w:tc>
        <w:tc>
          <w:tcPr>
            <w:tcW w:w="1300" w:type="dxa"/>
            <w:vAlign w:val="bottom"/>
          </w:tcPr>
          <w:p>
            <w:pPr>
              <w:spacing w:after="0"/>
              <w:rPr>
                <w:sz w:val="14"/>
                <w:szCs w:val="14"/>
                <w:color w:val="auto"/>
              </w:rPr>
            </w:pPr>
          </w:p>
        </w:tc>
        <w:tc>
          <w:tcPr>
            <w:tcW w:w="150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(2,261)</w:t>
            </w:r>
          </w:p>
        </w:tc>
      </w:tr>
      <w:tr>
        <w:trPr>
          <w:trHeight w:val="171"/>
        </w:trPr>
        <w:tc>
          <w:tcPr>
            <w:tcW w:w="5000" w:type="dxa"/>
            <w:vAlign w:val="bottom"/>
            <w:gridSpan w:val="2"/>
          </w:tcPr>
          <w:p>
            <w:pPr>
              <w:spacing w:after="0"/>
              <w:rPr>
                <w:sz w:val="20"/>
                <w:szCs w:val="20"/>
                <w:color w:val="auto"/>
              </w:rPr>
            </w:pPr>
            <w:r>
              <w:rPr>
                <w:rFonts w:ascii="Courier New" w:cs="Courier New" w:eastAsia="Courier New" w:hAnsi="Courier New"/>
                <w:sz w:val="15"/>
                <w:szCs w:val="15"/>
                <w:color w:val="auto"/>
              </w:rPr>
              <w:t>Restructuring accruals</w:t>
            </w:r>
          </w:p>
        </w:tc>
        <w:tc>
          <w:tcPr>
            <w:tcW w:w="1300" w:type="dxa"/>
            <w:vAlign w:val="bottom"/>
          </w:tcPr>
          <w:p>
            <w:pPr>
              <w:spacing w:after="0"/>
              <w:rPr>
                <w:sz w:val="14"/>
                <w:szCs w:val="14"/>
                <w:color w:val="auto"/>
              </w:rPr>
            </w:pPr>
          </w:p>
        </w:tc>
        <w:tc>
          <w:tcPr>
            <w:tcW w:w="150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(6,290)</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4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0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(484)</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 - - -</w:t>
            </w:r>
          </w:p>
        </w:tc>
        <w:tc>
          <w:tcPr>
            <w:tcW w:w="714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5000" w:type="dxa"/>
            <w:vAlign w:val="bottom"/>
            <w:gridSpan w:val="2"/>
          </w:tcPr>
          <w:p>
            <w:pPr>
              <w:spacing w:after="0"/>
              <w:rPr>
                <w:sz w:val="20"/>
                <w:szCs w:val="20"/>
                <w:color w:val="auto"/>
              </w:rPr>
            </w:pPr>
            <w:r>
              <w:rPr>
                <w:rFonts w:ascii="Courier New" w:cs="Courier New" w:eastAsia="Courier New" w:hAnsi="Courier New"/>
                <w:sz w:val="15"/>
                <w:szCs w:val="15"/>
                <w:color w:val="auto"/>
              </w:rPr>
              <w:t>Provision for deferred income taxes</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726"/>
              <w:spacing w:after="0"/>
              <w:rPr>
                <w:sz w:val="20"/>
                <w:szCs w:val="20"/>
                <w:color w:val="auto"/>
              </w:rPr>
            </w:pPr>
            <w:r>
              <w:rPr>
                <w:rFonts w:ascii="Courier New" w:cs="Courier New" w:eastAsia="Courier New" w:hAnsi="Courier New"/>
                <w:sz w:val="15"/>
                <w:szCs w:val="15"/>
                <w:color w:val="auto"/>
                <w:w w:val="94"/>
              </w:rPr>
              <w:t>(13,263)</w:t>
            </w:r>
          </w:p>
        </w:tc>
      </w:tr>
    </w:tbl>
    <w:p>
      <w:pPr>
        <w:spacing w:after="0" w:line="3" w:lineRule="exact"/>
        <w:rPr>
          <w:sz w:val="20"/>
          <w:szCs w:val="20"/>
          <w:color w:val="auto"/>
        </w:rPr>
      </w:pPr>
    </w:p>
    <w:p>
      <w:pPr>
        <w:ind w:left="169" w:hanging="169"/>
        <w:spacing w:after="0"/>
        <w:tabs>
          <w:tab w:leader="none" w:pos="169"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353"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During the year ended July 31, 1994, $953,000 was added to additional paid-in capital in accordance with "Accounting Principal Board" opinion 25 reflecting the permanent book to tax difference in accounting for tax benefits related to employee stock option transactions.</w:t>
      </w:r>
    </w:p>
    <w:p>
      <w:pPr>
        <w:spacing w:after="0" w:line="344" w:lineRule="exact"/>
        <w:rPr>
          <w:sz w:val="20"/>
          <w:szCs w:val="20"/>
          <w:color w:val="auto"/>
        </w:rPr>
      </w:pPr>
    </w:p>
    <w:p>
      <w:pPr>
        <w:ind w:left="9"/>
        <w:spacing w:after="0"/>
        <w:tabs>
          <w:tab w:leader="none" w:pos="429" w:val="left"/>
          <w:tab w:leader="none" w:pos="2289"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5"/>
          <w:szCs w:val="15"/>
          <w:color w:val="auto"/>
        </w:rPr>
        <w:t>The Toro Company</w:t>
      </w:r>
      <w:r>
        <w:rPr>
          <w:sz w:val="20"/>
          <w:szCs w:val="20"/>
          <w:color w:val="auto"/>
        </w:rPr>
        <w:tab/>
      </w:r>
      <w:r>
        <w:rPr>
          <w:rFonts w:ascii="Courier New" w:cs="Courier New" w:eastAsia="Courier New" w:hAnsi="Courier New"/>
          <w:sz w:val="14"/>
          <w:szCs w:val="14"/>
          <w:color w:val="auto"/>
        </w:rPr>
        <w:t>1994 Annual Report</w:t>
      </w:r>
    </w:p>
    <w:p>
      <w:pPr>
        <w:sectPr>
          <w:pgSz w:w="11900" w:h="16838" w:orient="portrait"/>
          <w:cols w:equalWidth="0" w:num="1">
            <w:col w:w="10228"/>
          </w:cols>
          <w:pgMar w:left="231" w:top="141" w:right="1440" w:bottom="1440" w:gutter="0" w:footer="0" w:header="0"/>
        </w:sectPr>
      </w:pPr>
    </w:p>
    <w:bookmarkStart w:id="39" w:name="page40"/>
    <w:bookmarkEnd w:id="39"/>
    <w:p>
      <w:pPr>
        <w:spacing w:after="0" w:line="32" w:lineRule="exact"/>
        <w:rPr>
          <w:sz w:val="20"/>
          <w:szCs w:val="20"/>
          <w:color w:val="auto"/>
        </w:rPr>
      </w:pPr>
    </w:p>
    <w:p>
      <w:pPr>
        <w:ind w:left="269" w:hanging="269"/>
        <w:spacing w:after="0"/>
        <w:tabs>
          <w:tab w:leader="none" w:pos="269"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w:t>
      </w:r>
    </w:p>
    <w:p>
      <w:pPr>
        <w:spacing w:after="0" w:line="174" w:lineRule="exact"/>
        <w:rPr>
          <w:sz w:val="20"/>
          <w:szCs w:val="20"/>
          <w:color w:val="auto"/>
        </w:rPr>
      </w:pPr>
    </w:p>
    <w:p>
      <w:pPr>
        <w:ind w:left="9" w:right="3720"/>
        <w:spacing w:after="0" w:line="239" w:lineRule="auto"/>
        <w:rPr>
          <w:sz w:val="20"/>
          <w:szCs w:val="20"/>
          <w:color w:val="auto"/>
        </w:rPr>
      </w:pPr>
      <w:r>
        <w:rPr>
          <w:rFonts w:ascii="Courier New" w:cs="Courier New" w:eastAsia="Courier New" w:hAnsi="Courier New"/>
          <w:sz w:val="15"/>
          <w:szCs w:val="15"/>
          <w:color w:val="auto"/>
        </w:rPr>
        <w:t>Changes in common stock, additional paid-in capital, retained earnings, receivable from ESOP and foreign currency translation adjustment during fiscal years ended July 31, 1994, 1993 and 1992 were as follows:</w:t>
      </w:r>
    </w:p>
    <w:p>
      <w:pPr>
        <w:spacing w:after="0" w:line="200" w:lineRule="exact"/>
        <w:rPr>
          <w:sz w:val="20"/>
          <w:szCs w:val="20"/>
          <w:color w:val="auto"/>
        </w:rPr>
      </w:pPr>
    </w:p>
    <w:p>
      <w:pPr>
        <w:spacing w:after="0" w:line="316" w:lineRule="exact"/>
        <w:rPr>
          <w:sz w:val="20"/>
          <w:szCs w:val="20"/>
          <w:color w:val="auto"/>
        </w:rPr>
      </w:pPr>
    </w:p>
    <w:p>
      <w:pPr>
        <w:ind w:left="169" w:hanging="169"/>
        <w:spacing w:after="0"/>
        <w:tabs>
          <w:tab w:leader="none" w:pos="169"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9" w:lineRule="exact"/>
        <w:rPr>
          <w:rFonts w:ascii="Courier New" w:cs="Courier New" w:eastAsia="Courier New" w:hAnsi="Courier New"/>
          <w:sz w:val="14"/>
          <w:szCs w:val="14"/>
          <w:color w:val="auto"/>
        </w:rPr>
      </w:pPr>
    </w:p>
    <w:p>
      <w:pPr>
        <w:ind w:left="914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Foreign</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9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Additional</w:t>
            </w:r>
          </w:p>
        </w:tc>
        <w:tc>
          <w:tcPr>
            <w:tcW w:w="1240" w:type="dxa"/>
            <w:vAlign w:val="bottom"/>
          </w:tcPr>
          <w:p>
            <w:pPr>
              <w:spacing w:after="0"/>
              <w:rPr>
                <w:sz w:val="14"/>
                <w:szCs w:val="14"/>
                <w:color w:val="auto"/>
              </w:rPr>
            </w:pP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Receivable</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Currency</w:t>
            </w:r>
          </w:p>
        </w:tc>
      </w:tr>
      <w:tr>
        <w:trPr>
          <w:trHeight w:val="171"/>
        </w:trPr>
        <w:tc>
          <w:tcPr>
            <w:tcW w:w="2920" w:type="dxa"/>
            <w:vAlign w:val="bottom"/>
          </w:tcPr>
          <w:p>
            <w:pPr>
              <w:spacing w:after="0"/>
              <w:rPr>
                <w:sz w:val="14"/>
                <w:szCs w:val="14"/>
                <w:color w:val="auto"/>
              </w:rPr>
            </w:pPr>
          </w:p>
        </w:tc>
        <w:tc>
          <w:tcPr>
            <w:tcW w:w="17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Common</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Paid-in</w:t>
            </w:r>
          </w:p>
        </w:tc>
        <w:tc>
          <w:tcPr>
            <w:tcW w:w="1240" w:type="dxa"/>
            <w:vAlign w:val="bottom"/>
          </w:tcPr>
          <w:p>
            <w:pPr>
              <w:ind w:left="300"/>
              <w:spacing w:after="0"/>
              <w:rPr>
                <w:sz w:val="20"/>
                <w:szCs w:val="20"/>
                <w:color w:val="auto"/>
              </w:rPr>
            </w:pPr>
            <w:r>
              <w:rPr>
                <w:rFonts w:ascii="Courier New" w:cs="Courier New" w:eastAsia="Courier New" w:hAnsi="Courier New"/>
                <w:sz w:val="15"/>
                <w:szCs w:val="15"/>
                <w:color w:val="auto"/>
              </w:rPr>
              <w:t>Retained</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from</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Translation</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17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Stock</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Capital</w:t>
            </w:r>
          </w:p>
        </w:tc>
        <w:tc>
          <w:tcPr>
            <w:tcW w:w="1240" w:type="dxa"/>
            <w:vAlign w:val="bottom"/>
          </w:tcPr>
          <w:p>
            <w:pPr>
              <w:ind w:left="300"/>
              <w:spacing w:after="0"/>
              <w:rPr>
                <w:sz w:val="20"/>
                <w:szCs w:val="20"/>
                <w:color w:val="auto"/>
              </w:rPr>
            </w:pPr>
            <w:r>
              <w:rPr>
                <w:rFonts w:ascii="Courier New" w:cs="Courier New" w:eastAsia="Courier New" w:hAnsi="Courier New"/>
                <w:sz w:val="15"/>
                <w:szCs w:val="15"/>
                <w:color w:val="auto"/>
              </w:rPr>
              <w:t>Earnings</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ESOP</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Adjustment</w:t>
            </w:r>
          </w:p>
        </w:tc>
      </w:tr>
    </w:tbl>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 - - -</w:t>
            </w:r>
          </w:p>
        </w:tc>
        <w:tc>
          <w:tcPr>
            <w:tcW w:w="9940" w:type="dxa"/>
            <w:vAlign w:val="bottom"/>
            <w:gridSpan w:val="7"/>
          </w:tcPr>
          <w:p>
            <w:pPr>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70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1020" w:type="dxa"/>
            <w:vAlign w:val="bottom"/>
          </w:tcPr>
          <w:p>
            <w:pPr>
              <w:spacing w:after="0"/>
              <w:rPr>
                <w:sz w:val="20"/>
                <w:szCs w:val="20"/>
                <w:color w:val="auto"/>
              </w:rPr>
            </w:pPr>
            <w:r>
              <w:rPr>
                <w:rFonts w:ascii="Courier New" w:cs="Courier New" w:eastAsia="Courier New" w:hAnsi="Courier New"/>
                <w:sz w:val="15"/>
                <w:szCs w:val="15"/>
                <w:color w:val="auto"/>
              </w:rPr>
              <w:t>at July 31,</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1991</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$11,913</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$40,739</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$115,741</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$(7,834)</w:t>
            </w:r>
          </w:p>
        </w:tc>
        <w:tc>
          <w:tcPr>
            <w:tcW w:w="172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  --</w:t>
            </w:r>
          </w:p>
        </w:tc>
      </w:tr>
      <w:tr>
        <w:trPr>
          <w:trHeight w:val="171"/>
        </w:trPr>
        <w:tc>
          <w:tcPr>
            <w:tcW w:w="3620" w:type="dxa"/>
            <w:vAlign w:val="bottom"/>
            <w:gridSpan w:val="3"/>
          </w:tcPr>
          <w:p>
            <w:pPr>
              <w:spacing w:after="0"/>
              <w:rPr>
                <w:sz w:val="20"/>
                <w:szCs w:val="20"/>
                <w:color w:val="auto"/>
              </w:rPr>
            </w:pPr>
            <w:r>
              <w:rPr>
                <w:rFonts w:ascii="Courier New" w:cs="Courier New" w:eastAsia="Courier New" w:hAnsi="Courier New"/>
                <w:sz w:val="15"/>
                <w:szCs w:val="15"/>
                <w:color w:val="auto"/>
              </w:rPr>
              <w:t>Common dividends paid ($0.48 per share)</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(5,753)</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Issuance</w:t>
            </w:r>
          </w:p>
        </w:tc>
        <w:tc>
          <w:tcPr>
            <w:tcW w:w="1020" w:type="dxa"/>
            <w:vAlign w:val="bottom"/>
          </w:tcPr>
          <w:p>
            <w:pPr>
              <w:ind w:left="80"/>
              <w:spacing w:after="0"/>
              <w:rPr>
                <w:sz w:val="20"/>
                <w:szCs w:val="20"/>
                <w:color w:val="auto"/>
              </w:rPr>
            </w:pPr>
            <w:r>
              <w:rPr>
                <w:rFonts w:ascii="Courier New" w:cs="Courier New" w:eastAsia="Courier New" w:hAnsi="Courier New"/>
                <w:sz w:val="15"/>
                <w:szCs w:val="15"/>
                <w:color w:val="auto"/>
              </w:rPr>
              <w:t>of 178,848</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shares under stock</w:t>
            </w: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1"/>
        </w:trPr>
        <w:tc>
          <w:tcPr>
            <w:tcW w:w="700" w:type="dxa"/>
            <w:vAlign w:val="bottom"/>
          </w:tcPr>
          <w:p>
            <w:pPr>
              <w:ind w:left="160"/>
              <w:spacing w:after="0"/>
              <w:rPr>
                <w:sz w:val="20"/>
                <w:szCs w:val="20"/>
                <w:color w:val="auto"/>
              </w:rPr>
            </w:pPr>
            <w:r>
              <w:rPr>
                <w:rFonts w:ascii="Courier New" w:cs="Courier New" w:eastAsia="Courier New" w:hAnsi="Courier New"/>
                <w:sz w:val="15"/>
                <w:szCs w:val="15"/>
                <w:color w:val="auto"/>
                <w:w w:val="96"/>
              </w:rPr>
              <w:t>option</w:t>
            </w:r>
          </w:p>
        </w:tc>
        <w:tc>
          <w:tcPr>
            <w:tcW w:w="1020" w:type="dxa"/>
            <w:vAlign w:val="bottom"/>
          </w:tcPr>
          <w:p>
            <w:pPr>
              <w:ind w:left="80"/>
              <w:spacing w:after="0"/>
              <w:rPr>
                <w:sz w:val="20"/>
                <w:szCs w:val="20"/>
                <w:color w:val="auto"/>
              </w:rPr>
            </w:pPr>
            <w:r>
              <w:rPr>
                <w:rFonts w:ascii="Courier New" w:cs="Courier New" w:eastAsia="Courier New" w:hAnsi="Courier New"/>
                <w:sz w:val="15"/>
                <w:szCs w:val="15"/>
                <w:color w:val="auto"/>
              </w:rPr>
              <w:t>plans</w:t>
            </w:r>
          </w:p>
        </w:tc>
        <w:tc>
          <w:tcPr>
            <w:tcW w:w="190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179</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2,176</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Purchase</w:t>
            </w:r>
          </w:p>
        </w:tc>
        <w:tc>
          <w:tcPr>
            <w:tcW w:w="29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of 50,269 common shares</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(50)</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(744)</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Net loss</w:t>
            </w:r>
          </w:p>
        </w:tc>
        <w:tc>
          <w:tcPr>
            <w:tcW w:w="10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(23,753)</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rPr>
              <w:t>- - - -</w:t>
            </w:r>
          </w:p>
        </w:tc>
        <w:tc>
          <w:tcPr>
            <w:tcW w:w="9940" w:type="dxa"/>
            <w:vAlign w:val="bottom"/>
            <w:gridSpan w:val="7"/>
          </w:tcPr>
          <w:p>
            <w:pPr>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1020" w:type="dxa"/>
            <w:vAlign w:val="bottom"/>
          </w:tcPr>
          <w:p>
            <w:pPr>
              <w:spacing w:after="0"/>
              <w:rPr>
                <w:sz w:val="20"/>
                <w:szCs w:val="20"/>
                <w:color w:val="auto"/>
              </w:rPr>
            </w:pPr>
            <w:r>
              <w:rPr>
                <w:rFonts w:ascii="Courier New" w:cs="Courier New" w:eastAsia="Courier New" w:hAnsi="Courier New"/>
                <w:sz w:val="15"/>
                <w:szCs w:val="15"/>
                <w:color w:val="auto"/>
              </w:rPr>
              <w:t>at July 31,</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1992</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12,042</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42,171</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86,235</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(7,834)</w:t>
            </w:r>
          </w:p>
        </w:tc>
        <w:tc>
          <w:tcPr>
            <w:tcW w:w="172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w:t>
            </w:r>
          </w:p>
        </w:tc>
      </w:tr>
    </w:tbl>
    <w:p>
      <w:pPr>
        <w:spacing w:after="0" w:line="3" w:lineRule="exact"/>
        <w:rPr>
          <w:sz w:val="20"/>
          <w:szCs w:val="20"/>
          <w:color w:val="auto"/>
        </w:rPr>
      </w:pPr>
    </w:p>
    <w:p>
      <w:pPr>
        <w:ind w:left="169" w:hanging="169"/>
        <w:spacing w:after="0"/>
        <w:tabs>
          <w:tab w:leader="none" w:pos="169"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rPr>
              <w:t>Common dividends paid ($0.48 per share)</w:t>
            </w:r>
          </w:p>
        </w:tc>
        <w:tc>
          <w:tcPr>
            <w:tcW w:w="12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(5,824)</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w:t>
            </w:r>
          </w:p>
        </w:tc>
      </w:tr>
      <w:tr>
        <w:trPr>
          <w:trHeight w:val="171"/>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272,149 shares under stock</w:t>
            </w:r>
          </w:p>
        </w:tc>
        <w:tc>
          <w:tcPr>
            <w:tcW w:w="1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1"/>
        </w:trPr>
        <w:tc>
          <w:tcPr>
            <w:tcW w:w="36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option plans</w:t>
            </w:r>
          </w:p>
        </w:tc>
        <w:tc>
          <w:tcPr>
            <w:tcW w:w="12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272</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3,499</w:t>
            </w:r>
          </w:p>
        </w:tc>
        <w:tc>
          <w:tcPr>
            <w:tcW w:w="1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w:t>
            </w:r>
          </w:p>
        </w:tc>
      </w:tr>
      <w:tr>
        <w:trPr>
          <w:trHeight w:val="171"/>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rPr>
              <w:t>Purchase of 43,242 common shares</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(44)</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(772)</w:t>
            </w:r>
          </w:p>
        </w:tc>
        <w:tc>
          <w:tcPr>
            <w:tcW w:w="1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Payment</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received from ESOP</w:t>
            </w:r>
          </w:p>
        </w:tc>
        <w:tc>
          <w:tcPr>
            <w:tcW w:w="12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2,611</w:t>
            </w:r>
          </w:p>
        </w:tc>
        <w:tc>
          <w:tcPr>
            <w:tcW w:w="168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Foreign</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currency translation adjustment</w:t>
            </w:r>
          </w:p>
        </w:tc>
        <w:tc>
          <w:tcPr>
            <w:tcW w:w="12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(795)</w:t>
            </w:r>
          </w:p>
        </w:tc>
      </w:tr>
      <w:tr>
        <w:trPr>
          <w:trHeight w:val="171"/>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rPr>
              <w:t>Net earnings</w:t>
            </w:r>
          </w:p>
        </w:tc>
        <w:tc>
          <w:tcPr>
            <w:tcW w:w="12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13,040</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 - - -</w:t>
            </w:r>
          </w:p>
        </w:tc>
        <w:tc>
          <w:tcPr>
            <w:tcW w:w="9980" w:type="dxa"/>
            <w:vAlign w:val="bottom"/>
            <w:gridSpan w:val="6"/>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at July 31, 1993</w:t>
            </w:r>
          </w:p>
        </w:tc>
        <w:tc>
          <w:tcPr>
            <w:tcW w:w="12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12,270</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44,898</w:t>
            </w:r>
          </w:p>
        </w:tc>
        <w:tc>
          <w:tcPr>
            <w:tcW w:w="1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93,451</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(5,223)</w:t>
            </w:r>
          </w:p>
        </w:tc>
        <w:tc>
          <w:tcPr>
            <w:tcW w:w="16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(795)</w:t>
            </w:r>
          </w:p>
        </w:tc>
      </w:tr>
    </w:tbl>
    <w:p>
      <w:pPr>
        <w:spacing w:after="0" w:line="3" w:lineRule="exact"/>
        <w:rPr>
          <w:sz w:val="20"/>
          <w:szCs w:val="20"/>
          <w:color w:val="auto"/>
        </w:rPr>
      </w:pPr>
    </w:p>
    <w:p>
      <w:pPr>
        <w:ind w:left="169" w:hanging="169"/>
        <w:spacing w:after="0"/>
        <w:tabs>
          <w:tab w:leader="none" w:pos="169"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Common dividends paid ($0.48 per share)</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(5,993)</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Issuance of 388,558 shares under stock</w:t>
            </w: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1"/>
        </w:trPr>
        <w:tc>
          <w:tcPr>
            <w:tcW w:w="36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option plans</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388</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5,756</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Purchase of 97,758 common shares</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(97)</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(2,187)</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Payment</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received from ESOP</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2,611</w:t>
            </w:r>
          </w:p>
        </w:tc>
        <w:tc>
          <w:tcPr>
            <w:tcW w:w="172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Foreign</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currency translation adjustment</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390</w:t>
            </w:r>
          </w:p>
        </w:tc>
      </w:tr>
      <w:tr>
        <w:trPr>
          <w:trHeight w:val="17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Tax benefits related to employee</w:t>
            </w: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1"/>
        </w:trPr>
        <w:tc>
          <w:tcPr>
            <w:tcW w:w="660" w:type="dxa"/>
            <w:vAlign w:val="bottom"/>
          </w:tcPr>
          <w:p>
            <w:pPr>
              <w:ind w:left="160"/>
              <w:spacing w:after="0"/>
              <w:rPr>
                <w:sz w:val="20"/>
                <w:szCs w:val="20"/>
                <w:color w:val="auto"/>
              </w:rPr>
            </w:pPr>
            <w:r>
              <w:rPr>
                <w:rFonts w:ascii="Courier New" w:cs="Courier New" w:eastAsia="Courier New" w:hAnsi="Courier New"/>
                <w:sz w:val="15"/>
                <w:szCs w:val="15"/>
                <w:color w:val="auto"/>
              </w:rPr>
              <w:t>stock</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option transactions</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953</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Net earnings</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22,230</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 - - -</w:t>
            </w:r>
          </w:p>
        </w:tc>
        <w:tc>
          <w:tcPr>
            <w:tcW w:w="9980" w:type="dxa"/>
            <w:vAlign w:val="bottom"/>
            <w:gridSpan w:val="6"/>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at July 31, 1994</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$12,561</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$49,420</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$109,688</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$(2,612)</w:t>
            </w: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$(405)</w:t>
            </w:r>
          </w:p>
        </w:tc>
      </w:tr>
    </w:tbl>
    <w:p>
      <w:pPr>
        <w:spacing w:after="0" w:line="3" w:lineRule="exact"/>
        <w:rPr>
          <w:sz w:val="20"/>
          <w:szCs w:val="20"/>
          <w:color w:val="auto"/>
        </w:rPr>
      </w:pPr>
    </w:p>
    <w:p>
      <w:pPr>
        <w:ind w:left="169" w:hanging="169"/>
        <w:spacing w:after="0"/>
        <w:tabs>
          <w:tab w:leader="none" w:pos="169"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353" w:lineRule="exact"/>
        <w:rPr>
          <w:sz w:val="20"/>
          <w:szCs w:val="20"/>
          <w:color w:val="auto"/>
        </w:rPr>
      </w:pPr>
    </w:p>
    <w:p>
      <w:pPr>
        <w:ind w:left="9" w:right="3640" w:firstLine="444"/>
        <w:spacing w:after="0" w:line="259" w:lineRule="auto"/>
        <w:rPr>
          <w:sz w:val="20"/>
          <w:szCs w:val="20"/>
          <w:color w:val="auto"/>
        </w:rPr>
      </w:pPr>
      <w:r>
        <w:rPr>
          <w:rFonts w:ascii="Courier New" w:cs="Courier New" w:eastAsia="Courier New" w:hAnsi="Courier New"/>
          <w:sz w:val="14"/>
          <w:szCs w:val="14"/>
          <w:color w:val="auto"/>
        </w:rPr>
        <w:t>Under the terms of a Preferred Stock Rights Agreement established June 14, 1988, each share of the company's common stock entitles its holder to one preferred share purchase right. Each right entitles the registered holder to purchase from the company one one-hundredth of a share of Series B Junior Participating Voting Preferred Stock, $1.00 par value at a price of $85 per one one-hundredth of a Preferred Share. The rights become exercisable and tradable 10 days after a person or a group acquires 20% or more, or makes an offer to acquire 20% or more, of the company's outstanding common stock. At no time do the rights have any voting power. The rights may be redeemed by the company for $0.01 per right at any time prior to the time that a person or group has acquired beneficial ownership of 20% or more of the common shares.</w:t>
      </w:r>
    </w:p>
    <w:p>
      <w:pPr>
        <w:spacing w:after="0" w:line="333" w:lineRule="exact"/>
        <w:rPr>
          <w:sz w:val="20"/>
          <w:szCs w:val="20"/>
          <w:color w:val="auto"/>
        </w:rPr>
      </w:pPr>
    </w:p>
    <w:p>
      <w:pPr>
        <w:ind w:left="269" w:hanging="269"/>
        <w:spacing w:after="0"/>
        <w:tabs>
          <w:tab w:leader="none" w:pos="269"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 Plans</w:t>
      </w:r>
    </w:p>
    <w:p>
      <w:pPr>
        <w:spacing w:after="0" w:line="174" w:lineRule="exact"/>
        <w:rPr>
          <w:sz w:val="20"/>
          <w:szCs w:val="20"/>
          <w:color w:val="auto"/>
        </w:rPr>
      </w:pPr>
    </w:p>
    <w:p>
      <w:pPr>
        <w:ind w:left="9" w:right="3540"/>
        <w:spacing w:after="0"/>
        <w:rPr>
          <w:sz w:val="20"/>
          <w:szCs w:val="20"/>
          <w:color w:val="auto"/>
        </w:rPr>
      </w:pPr>
      <w:r>
        <w:rPr>
          <w:rFonts w:ascii="Courier New" w:cs="Courier New" w:eastAsia="Courier New" w:hAnsi="Courier New"/>
          <w:sz w:val="15"/>
          <w:szCs w:val="15"/>
          <w:color w:val="auto"/>
        </w:rPr>
        <w:t>Incentive stock options and non-qualified options may be granted under the terms of the 1985 Incentive Stock Option Plan, the 1989 Stock Option Plan and the 1993 Stock Option Plan (the "Plans"). Each incentive stock option is granted at an exercise price equal to 100% of the fair market value of the common stock on the date of the grant. The exercise price of a non-qualified stock option may be determined by the Compensation Committee of the Board of Directors, but may not be less than 50% of the fair market value of the common stock on the date of grant. Stock options granted under the Plans may be exercised in whole or in part from time to time, not later than 10 years from the date of grant or other period, as specified in the option agreement. Most stock options are subject to cancellation upon termination of the optionee's employment. However, some non-qualified options granted under the Plans can be exercised for up to four years after retirement, at or after age 60, but not beyond the date the option originally expires. During 1992, the stockholders voted to increase the shares reserved for future stock option grants under the 1989 plan by 500,000 shares. During 1994, the stockholders approved the 1993 Stock Option Plan authorizing a reserve of 1,000,000 shares for future stock option grants. Stock option transactions are summarized as follows:</w:t>
      </w:r>
    </w:p>
    <w:p>
      <w:pPr>
        <w:spacing w:after="0" w:line="200" w:lineRule="exact"/>
        <w:rPr>
          <w:sz w:val="20"/>
          <w:szCs w:val="20"/>
          <w:color w:val="auto"/>
        </w:rPr>
      </w:pPr>
    </w:p>
    <w:p>
      <w:pPr>
        <w:spacing w:after="0" w:line="32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 - - --------------------------------------------------------------------------------</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780" w:type="dxa"/>
            <w:vAlign w:val="bottom"/>
          </w:tcPr>
          <w:p>
            <w:pPr>
              <w:spacing w:after="0"/>
              <w:rPr>
                <w:sz w:val="20"/>
                <w:szCs w:val="20"/>
                <w:color w:val="auto"/>
              </w:rPr>
            </w:pPr>
            <w:r>
              <w:rPr>
                <w:rFonts w:ascii="Courier New" w:cs="Courier New" w:eastAsia="Courier New" w:hAnsi="Courier New"/>
                <w:sz w:val="15"/>
                <w:szCs w:val="15"/>
                <w:color w:val="auto"/>
              </w:rPr>
              <w:t>Years ended July 31</w:t>
            </w:r>
          </w:p>
        </w:tc>
        <w:tc>
          <w:tcPr>
            <w:tcW w:w="19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1994</w:t>
            </w: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1993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1992</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 - - --------------------------------------------------------------------------------</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140" w:type="dxa"/>
            <w:vAlign w:val="bottom"/>
          </w:tcPr>
          <w:p>
            <w:pPr>
              <w:spacing w:after="0"/>
              <w:rPr>
                <w:sz w:val="20"/>
                <w:szCs w:val="20"/>
                <w:color w:val="auto"/>
              </w:rPr>
            </w:pPr>
            <w:r>
              <w:rPr>
                <w:rFonts w:ascii="Courier New" w:cs="Courier New" w:eastAsia="Courier New" w:hAnsi="Courier New"/>
                <w:sz w:val="15"/>
                <w:szCs w:val="15"/>
                <w:color w:val="auto"/>
              </w:rPr>
              <w:t>Outstanding at beginning of year</w:t>
            </w: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1,421,923</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1,329,069</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922,590</w:t>
            </w:r>
          </w:p>
        </w:tc>
      </w:tr>
      <w:tr>
        <w:trPr>
          <w:trHeight w:val="171"/>
        </w:trPr>
        <w:tc>
          <w:tcPr>
            <w:tcW w:w="3140" w:type="dxa"/>
            <w:vAlign w:val="bottom"/>
          </w:tcPr>
          <w:p>
            <w:pPr>
              <w:ind w:left="160"/>
              <w:spacing w:after="0"/>
              <w:rPr>
                <w:sz w:val="20"/>
                <w:szCs w:val="20"/>
                <w:color w:val="auto"/>
              </w:rPr>
            </w:pPr>
            <w:r>
              <w:rPr>
                <w:rFonts w:ascii="Courier New" w:cs="Courier New" w:eastAsia="Courier New" w:hAnsi="Courier New"/>
                <w:sz w:val="15"/>
                <w:szCs w:val="15"/>
                <w:color w:val="auto"/>
              </w:rPr>
              <w:t>Granted</w:t>
            </w: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264,217</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418,200</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822,414</w:t>
            </w:r>
          </w:p>
        </w:tc>
      </w:tr>
      <w:tr>
        <w:trPr>
          <w:trHeight w:val="171"/>
        </w:trPr>
        <w:tc>
          <w:tcPr>
            <w:tcW w:w="3140" w:type="dxa"/>
            <w:vAlign w:val="bottom"/>
          </w:tcPr>
          <w:p>
            <w:pPr>
              <w:ind w:left="160"/>
              <w:spacing w:after="0"/>
              <w:rPr>
                <w:sz w:val="20"/>
                <w:szCs w:val="20"/>
                <w:color w:val="auto"/>
              </w:rPr>
            </w:pPr>
            <w:r>
              <w:rPr>
                <w:rFonts w:ascii="Courier New" w:cs="Courier New" w:eastAsia="Courier New" w:hAnsi="Courier New"/>
                <w:sz w:val="15"/>
                <w:szCs w:val="15"/>
                <w:color w:val="auto"/>
              </w:rPr>
              <w:t>Excercised or cancelled</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(426,631)</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(325,346)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(415,935)</w:t>
            </w:r>
          </w:p>
        </w:tc>
      </w:tr>
    </w:tbl>
    <w:p>
      <w:pPr>
        <w:sectPr>
          <w:pgSz w:w="11900" w:h="16870" w:orient="portrait"/>
          <w:cols w:equalWidth="0" w:num="1">
            <w:col w:w="10649"/>
          </w:cols>
          <w:pgMar w:left="231" w:top="628" w:right="1019" w:bottom="0" w:gutter="0" w:footer="0" w:header="0"/>
        </w:sectPr>
      </w:pPr>
    </w:p>
    <w:bookmarkStart w:id="40" w:name="page41"/>
    <w:bookmarkEnd w:id="40"/>
    <w:p>
      <w:pPr>
        <w:ind w:left="9"/>
        <w:spacing w:after="0"/>
        <w:rPr>
          <w:sz w:val="20"/>
          <w:szCs w:val="20"/>
          <w:color w:val="auto"/>
        </w:rPr>
      </w:pPr>
      <w:r>
        <w:rPr>
          <w:rFonts w:ascii="Courier New" w:cs="Courier New" w:eastAsia="Courier New" w:hAnsi="Courier New"/>
          <w:sz w:val="14"/>
          <w:szCs w:val="14"/>
          <w:color w:val="auto"/>
        </w:rPr>
        <w:t>- - - -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880" w:type="dxa"/>
            <w:vAlign w:val="bottom"/>
          </w:tcPr>
          <w:p>
            <w:pPr>
              <w:spacing w:after="0"/>
              <w:rPr>
                <w:sz w:val="20"/>
                <w:szCs w:val="20"/>
                <w:color w:val="auto"/>
              </w:rPr>
            </w:pPr>
            <w:r>
              <w:rPr>
                <w:rFonts w:ascii="Courier New" w:cs="Courier New" w:eastAsia="Courier New" w:hAnsi="Courier New"/>
                <w:sz w:val="15"/>
                <w:szCs w:val="15"/>
                <w:color w:val="auto"/>
              </w:rPr>
              <w:t>Outstanding at end of year</w:t>
            </w:r>
          </w:p>
        </w:tc>
        <w:tc>
          <w:tcPr>
            <w:tcW w:w="1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1,259,509</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1,421,923</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1,329,069</w:t>
            </w:r>
          </w:p>
        </w:tc>
      </w:tr>
    </w:tbl>
    <w:p>
      <w:pPr>
        <w:spacing w:after="0" w:line="3" w:lineRule="exact"/>
        <w:rPr>
          <w:sz w:val="20"/>
          <w:szCs w:val="20"/>
          <w:color w:val="auto"/>
        </w:rPr>
      </w:pPr>
    </w:p>
    <w:p>
      <w:pPr>
        <w:ind w:left="169" w:hanging="169"/>
        <w:spacing w:after="0"/>
        <w:tabs>
          <w:tab w:leader="none" w:pos="169"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880" w:type="dxa"/>
            <w:vAlign w:val="bottom"/>
          </w:tcPr>
          <w:p>
            <w:pPr>
              <w:spacing w:after="0"/>
              <w:rPr>
                <w:sz w:val="20"/>
                <w:szCs w:val="20"/>
                <w:color w:val="auto"/>
              </w:rPr>
            </w:pPr>
            <w:r>
              <w:rPr>
                <w:rFonts w:ascii="Courier New" w:cs="Courier New" w:eastAsia="Courier New" w:hAnsi="Courier New"/>
                <w:sz w:val="15"/>
                <w:szCs w:val="15"/>
                <w:color w:val="auto"/>
              </w:rPr>
              <w:t>Price range of granted options</w:t>
            </w:r>
          </w:p>
        </w:tc>
        <w:tc>
          <w:tcPr>
            <w:tcW w:w="14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$18.75--25.50</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$10.90--19.75</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$11.70--16.39</w:t>
            </w:r>
          </w:p>
        </w:tc>
      </w:tr>
    </w:tbl>
    <w:p>
      <w:pPr>
        <w:spacing w:after="0" w:line="3" w:lineRule="exact"/>
        <w:rPr>
          <w:sz w:val="20"/>
          <w:szCs w:val="20"/>
          <w:color w:val="auto"/>
        </w:rPr>
      </w:pPr>
    </w:p>
    <w:p>
      <w:pPr>
        <w:ind w:left="169" w:hanging="169"/>
        <w:spacing w:after="0"/>
        <w:tabs>
          <w:tab w:leader="none" w:pos="169"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12" w:lineRule="exact"/>
        <w:rPr>
          <w:rFonts w:ascii="Courier New" w:cs="Courier New" w:eastAsia="Courier New" w:hAnsi="Courier New"/>
          <w:sz w:val="14"/>
          <w:szCs w:val="14"/>
          <w:color w:val="auto"/>
        </w:rPr>
      </w:pPr>
    </w:p>
    <w:p>
      <w:pPr>
        <w:ind w:left="169" w:right="7739" w:hanging="178"/>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Shares reserved for granting future stock options:</w:t>
      </w:r>
    </w:p>
    <w:tbl>
      <w:tblPr>
        <w:tblLayout w:type="fixed"/>
        <w:tblInd w:w="349" w:type="dxa"/>
        <w:tblCellMar>
          <w:top w:w="0" w:type="dxa"/>
          <w:left w:w="0" w:type="dxa"/>
          <w:bottom w:w="0" w:type="dxa"/>
          <w:right w:w="0" w:type="dxa"/>
        </w:tblCellMar>
      </w:tblPr>
      <w:tr>
        <w:trPr>
          <w:trHeight w:val="168"/>
        </w:trPr>
        <w:tc>
          <w:tcPr>
            <w:tcW w:w="2400" w:type="dxa"/>
            <w:vAlign w:val="bottom"/>
          </w:tcPr>
          <w:p>
            <w:pPr>
              <w:spacing w:after="0" w:line="168" w:lineRule="exact"/>
              <w:rPr>
                <w:sz w:val="20"/>
                <w:szCs w:val="20"/>
                <w:color w:val="auto"/>
              </w:rPr>
            </w:pPr>
            <w:r>
              <w:rPr>
                <w:rFonts w:ascii="Courier New" w:cs="Courier New" w:eastAsia="Courier New" w:hAnsi="Courier New"/>
                <w:sz w:val="15"/>
                <w:szCs w:val="15"/>
                <w:color w:val="auto"/>
              </w:rPr>
              <w:t>Beginning of year</w:t>
            </w:r>
          </w:p>
        </w:tc>
        <w:tc>
          <w:tcPr>
            <w:tcW w:w="1860" w:type="dxa"/>
            <w:vAlign w:val="bottom"/>
          </w:tcPr>
          <w:p>
            <w:pPr>
              <w:jc w:val="right"/>
              <w:ind w:right="266"/>
              <w:spacing w:after="0" w:line="168" w:lineRule="exact"/>
              <w:rPr>
                <w:sz w:val="20"/>
                <w:szCs w:val="20"/>
                <w:color w:val="auto"/>
              </w:rPr>
            </w:pPr>
            <w:r>
              <w:rPr>
                <w:rFonts w:ascii="Courier New" w:cs="Courier New" w:eastAsia="Courier New" w:hAnsi="Courier New"/>
                <w:sz w:val="15"/>
                <w:szCs w:val="15"/>
                <w:color w:val="auto"/>
              </w:rPr>
              <w:t>136,642</w:t>
            </w:r>
          </w:p>
        </w:tc>
        <w:tc>
          <w:tcPr>
            <w:tcW w:w="1340" w:type="dxa"/>
            <w:vAlign w:val="bottom"/>
          </w:tcPr>
          <w:p>
            <w:pPr>
              <w:jc w:val="right"/>
              <w:ind w:right="286"/>
              <w:spacing w:after="0" w:line="168" w:lineRule="exact"/>
              <w:rPr>
                <w:sz w:val="20"/>
                <w:szCs w:val="20"/>
                <w:color w:val="auto"/>
              </w:rPr>
            </w:pPr>
            <w:r>
              <w:rPr>
                <w:rFonts w:ascii="Courier New" w:cs="Courier New" w:eastAsia="Courier New" w:hAnsi="Courier New"/>
                <w:sz w:val="15"/>
                <w:szCs w:val="15"/>
                <w:color w:val="auto"/>
              </w:rPr>
              <w:t>497,060</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595,447</w:t>
            </w:r>
          </w:p>
        </w:tc>
      </w:tr>
    </w:tbl>
    <w:p>
      <w:pPr>
        <w:spacing w:after="0" w:line="3" w:lineRule="exact"/>
        <w:rPr>
          <w:sz w:val="20"/>
          <w:szCs w:val="20"/>
          <w:color w:val="auto"/>
        </w:rPr>
      </w:pPr>
    </w:p>
    <w:p>
      <w:pPr>
        <w:ind w:left="169" w:hanging="169"/>
        <w:spacing w:after="0"/>
        <w:tabs>
          <w:tab w:leader="none" w:pos="169"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9" w:lineRule="exact"/>
        <w:rPr>
          <w:sz w:val="20"/>
          <w:szCs w:val="20"/>
          <w:color w:val="auto"/>
        </w:rPr>
      </w:pPr>
    </w:p>
    <w:tbl>
      <w:tblPr>
        <w:tblLayout w:type="fixed"/>
        <w:tblInd w:w="349" w:type="dxa"/>
        <w:tblCellMar>
          <w:top w:w="0" w:type="dxa"/>
          <w:left w:w="0" w:type="dxa"/>
          <w:bottom w:w="0" w:type="dxa"/>
          <w:right w:w="0" w:type="dxa"/>
        </w:tblCellMar>
      </w:tblPr>
      <w:tr>
        <w:trPr>
          <w:trHeight w:val="170"/>
        </w:trPr>
        <w:tc>
          <w:tcPr>
            <w:tcW w:w="2140" w:type="dxa"/>
            <w:vAlign w:val="bottom"/>
          </w:tcPr>
          <w:p>
            <w:pPr>
              <w:spacing w:after="0"/>
              <w:rPr>
                <w:sz w:val="20"/>
                <w:szCs w:val="20"/>
                <w:color w:val="auto"/>
              </w:rPr>
            </w:pPr>
            <w:r>
              <w:rPr>
                <w:rFonts w:ascii="Courier New" w:cs="Courier New" w:eastAsia="Courier New" w:hAnsi="Courier New"/>
                <w:sz w:val="15"/>
                <w:szCs w:val="15"/>
                <w:color w:val="auto"/>
              </w:rPr>
              <w:t>End of year</w:t>
            </w:r>
          </w:p>
        </w:tc>
        <w:tc>
          <w:tcPr>
            <w:tcW w:w="21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923,240</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136,642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497,060</w:t>
            </w:r>
          </w:p>
        </w:tc>
      </w:tr>
    </w:tbl>
    <w:p>
      <w:pPr>
        <w:spacing w:after="0" w:line="3" w:lineRule="exact"/>
        <w:rPr>
          <w:sz w:val="20"/>
          <w:szCs w:val="20"/>
          <w:color w:val="auto"/>
        </w:rPr>
      </w:pPr>
    </w:p>
    <w:p>
      <w:pPr>
        <w:ind w:left="169" w:hanging="169"/>
        <w:spacing w:after="0"/>
        <w:tabs>
          <w:tab w:leader="none" w:pos="169"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Options exercisable at end</w:t>
      </w:r>
    </w:p>
    <w:p>
      <w:pPr>
        <w:spacing w:after="0" w:line="1"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2040" w:type="dxa"/>
            <w:vAlign w:val="bottom"/>
          </w:tcPr>
          <w:p>
            <w:pPr>
              <w:spacing w:after="0"/>
              <w:rPr>
                <w:sz w:val="20"/>
                <w:szCs w:val="20"/>
                <w:color w:val="auto"/>
              </w:rPr>
            </w:pPr>
            <w:r>
              <w:rPr>
                <w:rFonts w:ascii="Courier New" w:cs="Courier New" w:eastAsia="Courier New" w:hAnsi="Courier New"/>
                <w:sz w:val="15"/>
                <w:szCs w:val="15"/>
                <w:color w:val="auto"/>
              </w:rPr>
              <w:t>of year</w:t>
            </w:r>
          </w:p>
        </w:tc>
        <w:tc>
          <w:tcPr>
            <w:tcW w:w="24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765,510</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941,090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874,642</w:t>
            </w:r>
          </w:p>
        </w:tc>
      </w:tr>
    </w:tbl>
    <w:p>
      <w:pPr>
        <w:spacing w:after="0" w:line="3" w:lineRule="exact"/>
        <w:rPr>
          <w:sz w:val="20"/>
          <w:szCs w:val="20"/>
          <w:color w:val="auto"/>
        </w:rPr>
      </w:pPr>
    </w:p>
    <w:p>
      <w:pPr>
        <w:ind w:left="169" w:hanging="169"/>
        <w:spacing w:after="0"/>
        <w:tabs>
          <w:tab w:leader="none" w:pos="169"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Price range of exercisable</w:t>
      </w:r>
    </w:p>
    <w:p>
      <w:pPr>
        <w:spacing w:after="0" w:line="1"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1740" w:type="dxa"/>
            <w:vAlign w:val="bottom"/>
          </w:tcPr>
          <w:p>
            <w:pPr>
              <w:spacing w:after="0"/>
              <w:rPr>
                <w:sz w:val="20"/>
                <w:szCs w:val="20"/>
                <w:color w:val="auto"/>
              </w:rPr>
            </w:pPr>
            <w:r>
              <w:rPr>
                <w:rFonts w:ascii="Courier New" w:cs="Courier New" w:eastAsia="Courier New" w:hAnsi="Courier New"/>
                <w:sz w:val="15"/>
                <w:szCs w:val="15"/>
                <w:color w:val="auto"/>
              </w:rPr>
              <w:t>options</w:t>
            </w:r>
          </w:p>
        </w:tc>
        <w:tc>
          <w:tcPr>
            <w:tcW w:w="2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$10.70--25.875</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$10.70--22.50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$10.10--22.50</w:t>
            </w:r>
          </w:p>
        </w:tc>
      </w:tr>
    </w:tbl>
    <w:p>
      <w:pPr>
        <w:spacing w:after="0" w:line="3" w:lineRule="exact"/>
        <w:rPr>
          <w:sz w:val="20"/>
          <w:szCs w:val="20"/>
          <w:color w:val="auto"/>
        </w:rPr>
      </w:pPr>
    </w:p>
    <w:p>
      <w:pPr>
        <w:ind w:left="169" w:hanging="169"/>
        <w:spacing w:after="0"/>
        <w:tabs>
          <w:tab w:leader="none" w:pos="169"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353"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The options outstanding at July 31, 1994, were granted in 1990, (77,013 shares); 1991, (154,754 shares); 1992, (502,077 shares); 1993, (271,563 shares); and 1994, (254,102 shares).</w:t>
      </w:r>
    </w:p>
    <w:p>
      <w:pPr>
        <w:spacing w:after="0" w:line="343" w:lineRule="exact"/>
        <w:rPr>
          <w:sz w:val="20"/>
          <w:szCs w:val="20"/>
          <w:color w:val="auto"/>
        </w:rPr>
      </w:pPr>
    </w:p>
    <w:p>
      <w:pPr>
        <w:ind w:left="3189"/>
        <w:spacing w:after="0"/>
        <w:tabs>
          <w:tab w:leader="none" w:pos="5029" w:val="left"/>
          <w:tab w:leader="none" w:pos="6909" w:val="left"/>
        </w:tabs>
        <w:rPr>
          <w:sz w:val="20"/>
          <w:szCs w:val="20"/>
          <w:color w:val="auto"/>
        </w:rPr>
      </w:pPr>
      <w:r>
        <w:rPr>
          <w:rFonts w:ascii="Courier New" w:cs="Courier New" w:eastAsia="Courier New" w:hAnsi="Courier New"/>
          <w:sz w:val="15"/>
          <w:szCs w:val="15"/>
          <w:color w:val="auto"/>
        </w:rPr>
        <w:t>The Toro Company</w:t>
      </w:r>
      <w:r>
        <w:rPr>
          <w:sz w:val="20"/>
          <w:szCs w:val="20"/>
          <w:color w:val="auto"/>
        </w:rPr>
        <w:tab/>
      </w:r>
      <w:r>
        <w:rPr>
          <w:rFonts w:ascii="Courier New" w:cs="Courier New" w:eastAsia="Courier New" w:hAnsi="Courier New"/>
          <w:sz w:val="15"/>
          <w:szCs w:val="15"/>
          <w:color w:val="auto"/>
        </w:rPr>
        <w:t>1994 Annual Report</w:t>
      </w:r>
      <w:r>
        <w:rPr>
          <w:sz w:val="20"/>
          <w:szCs w:val="20"/>
          <w:color w:val="auto"/>
        </w:rPr>
        <w:tab/>
      </w:r>
      <w:r>
        <w:rPr>
          <w:rFonts w:ascii="Courier New" w:cs="Courier New" w:eastAsia="Courier New" w:hAnsi="Courier New"/>
          <w:sz w:val="15"/>
          <w:szCs w:val="15"/>
          <w:color w:val="auto"/>
        </w:rPr>
        <w:t>25</w:t>
      </w:r>
    </w:p>
    <w:p>
      <w:pPr>
        <w:sectPr>
          <w:pgSz w:w="11900" w:h="16838" w:orient="portrait"/>
          <w:cols w:equalWidth="0" w:num="1">
            <w:col w:w="10228"/>
          </w:cols>
          <w:pgMar w:left="231" w:top="141" w:right="1440" w:bottom="1440" w:gutter="0" w:footer="0" w:header="0"/>
        </w:sectPr>
      </w:pPr>
    </w:p>
    <w:bookmarkStart w:id="41" w:name="page42"/>
    <w:bookmarkEnd w:id="41"/>
    <w:p>
      <w:pPr>
        <w:spacing w:after="0" w:line="32" w:lineRule="exact"/>
        <w:rPr>
          <w:sz w:val="20"/>
          <w:szCs w:val="20"/>
          <w:color w:val="auto"/>
        </w:rPr>
      </w:pPr>
    </w:p>
    <w:p>
      <w:pPr>
        <w:ind w:left="269" w:hanging="269"/>
        <w:spacing w:after="0"/>
        <w:tabs>
          <w:tab w:leader="none" w:pos="269"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Programs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company has an Employee Stock Ownership Plan (ESOP) which covers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substantially all employees. The ESOP currently owns 1,260,000 common shares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which represents 10.03% of Toro's outstanding common stock. The Plan is a</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leveraged ESOP which means funds were borrowed to purchase the shares.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company's contributions to the Plan, net of dividends, were $2,929,000 in 1994,</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$3,085,000 in 1993 and $467,000 in 1992. Principal payments of ESOP debt were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$2,611,000 in 1994, $2,611,000 in 1993 and $0 in 1992. Interest incurred on ESOP</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debt and interest received by the company was $512,000 in 1994, $774,000 in 1993</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and $786,000 in 1992. Dividends on the ESOP shares used for debt service by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ESOP were $195,000 in 1994, $300,000 in 1993 and $319,000 in 1992. The expenses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recognized related to the ESOP were $2,416,000 in 1994, $2,311,000 in 1993 and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$0 in 1992. At July 31, 1994, the ESOP indebtedness to the company, which bears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an interest rate of 10% and is due in 1995, was $2,612,000 and has been shown as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 reduction of common stockholders' equity in the consolidated balance sheets.</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Contributions to employees' profit sharing plans which cover substantially</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all employees of the company and its subsidiaries were $4,150,000 in 1994,</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$4,254,000 in 1993 and $3,277,000 in 1992. Such amounts are based upon annual</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earnings before income taxes and minimum contributions required under the plans.</w:t>
      </w:r>
    </w:p>
    <w:p>
      <w:pPr>
        <w:spacing w:after="0" w:line="174" w:lineRule="exact"/>
        <w:rPr>
          <w:sz w:val="20"/>
          <w:szCs w:val="20"/>
          <w:color w:val="auto"/>
        </w:rPr>
      </w:pPr>
    </w:p>
    <w:p>
      <w:pPr>
        <w:ind w:left="9" w:right="3479" w:firstLine="444"/>
        <w:spacing w:after="0" w:line="239" w:lineRule="auto"/>
        <w:rPr>
          <w:sz w:val="20"/>
          <w:szCs w:val="20"/>
          <w:color w:val="auto"/>
        </w:rPr>
      </w:pPr>
      <w:r>
        <w:rPr>
          <w:rFonts w:ascii="Courier New" w:cs="Courier New" w:eastAsia="Courier New" w:hAnsi="Courier New"/>
          <w:sz w:val="15"/>
          <w:szCs w:val="15"/>
          <w:color w:val="auto"/>
        </w:rPr>
        <w:t>Under the company's matching stock plan, a total of 1,000,000 shares of common stock may be acquired by employees through payroll deductions and employer matching contributions pursuant to the plan. Contributions were $485,000 in 1994, $510,000 in 1993 and $224,000 in 1992.</w:t>
      </w:r>
    </w:p>
    <w:p>
      <w:pPr>
        <w:spacing w:after="0" w:line="176" w:lineRule="exact"/>
        <w:rPr>
          <w:sz w:val="20"/>
          <w:szCs w:val="20"/>
          <w:color w:val="auto"/>
        </w:rPr>
      </w:pPr>
    </w:p>
    <w:p>
      <w:pPr>
        <w:jc w:val="both"/>
        <w:ind w:left="9" w:right="3299" w:firstLine="444"/>
        <w:spacing w:after="0" w:line="239" w:lineRule="auto"/>
        <w:rPr>
          <w:sz w:val="20"/>
          <w:szCs w:val="20"/>
          <w:color w:val="auto"/>
        </w:rPr>
      </w:pPr>
      <w:r>
        <w:rPr>
          <w:rFonts w:ascii="Courier New" w:cs="Courier New" w:eastAsia="Courier New" w:hAnsi="Courier New"/>
          <w:sz w:val="15"/>
          <w:szCs w:val="15"/>
          <w:color w:val="auto"/>
        </w:rPr>
        <w:t>In addition, the company and its subsidiaries have supplemental and other retirement plans covering certain employees. Pension expense under these plans in 1994, 1993 and 1992 was not significant.</w:t>
      </w:r>
    </w:p>
    <w:p>
      <w:pPr>
        <w:spacing w:after="0" w:line="343" w:lineRule="exact"/>
        <w:rPr>
          <w:sz w:val="20"/>
          <w:szCs w:val="20"/>
          <w:color w:val="auto"/>
        </w:rPr>
      </w:pPr>
    </w:p>
    <w:p>
      <w:pPr>
        <w:ind w:left="269" w:hanging="269"/>
        <w:spacing w:after="0"/>
        <w:tabs>
          <w:tab w:leader="none" w:pos="269"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 Data</w:t>
      </w:r>
    </w:p>
    <w:p>
      <w:pPr>
        <w:spacing w:after="0" w:line="174" w:lineRule="exact"/>
        <w:rPr>
          <w:sz w:val="20"/>
          <w:szCs w:val="20"/>
          <w:color w:val="auto"/>
        </w:rPr>
      </w:pPr>
    </w:p>
    <w:p>
      <w:pPr>
        <w:ind w:left="9" w:right="4379"/>
        <w:spacing w:after="0" w:line="258" w:lineRule="auto"/>
        <w:rPr>
          <w:sz w:val="20"/>
          <w:szCs w:val="20"/>
          <w:color w:val="auto"/>
        </w:rPr>
      </w:pPr>
      <w:r>
        <w:rPr>
          <w:rFonts w:ascii="Courier New" w:cs="Courier New" w:eastAsia="Courier New" w:hAnsi="Courier New"/>
          <w:sz w:val="14"/>
          <w:szCs w:val="14"/>
          <w:color w:val="auto"/>
        </w:rPr>
        <w:t>The company classifies its operations into one industry segment, yard maintenance equipment. International sales were $130,053,000,</w:t>
      </w:r>
    </w:p>
    <w:p>
      <w:pPr>
        <w:ind w:left="9" w:right="3119"/>
        <w:spacing w:after="0" w:line="264" w:lineRule="auto"/>
        <w:rPr>
          <w:sz w:val="20"/>
          <w:szCs w:val="20"/>
          <w:color w:val="auto"/>
        </w:rPr>
      </w:pPr>
      <w:r>
        <w:rPr>
          <w:rFonts w:ascii="Courier New" w:cs="Courier New" w:eastAsia="Courier New" w:hAnsi="Courier New"/>
          <w:sz w:val="14"/>
          <w:szCs w:val="14"/>
          <w:color w:val="auto"/>
        </w:rPr>
        <w:t>$129,422,000 and $132,154,000 for 1994, 1993 and 1992, respectively. Of these amounts, export sales were $109,344,000, $111,263,000 and $109,076,000 for 1994, 1993 and 1992, respectively. Export sales by geographic area are as follows:</w:t>
      </w:r>
    </w:p>
    <w:p>
      <w:pPr>
        <w:spacing w:after="0" w:line="200" w:lineRule="exact"/>
        <w:rPr>
          <w:sz w:val="20"/>
          <w:szCs w:val="20"/>
          <w:color w:val="auto"/>
        </w:rPr>
      </w:pPr>
    </w:p>
    <w:p>
      <w:pPr>
        <w:spacing w:after="0" w:line="301" w:lineRule="exact"/>
        <w:rPr>
          <w:sz w:val="20"/>
          <w:szCs w:val="20"/>
          <w:color w:val="auto"/>
        </w:rPr>
      </w:pPr>
    </w:p>
    <w:p>
      <w:pPr>
        <w:ind w:left="169" w:hanging="169"/>
        <w:spacing w:after="0"/>
        <w:tabs>
          <w:tab w:leader="none" w:pos="169"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(Dollars in thousands)</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20" w:type="dxa"/>
            <w:vAlign w:val="bottom"/>
          </w:tcPr>
          <w:p>
            <w:pPr>
              <w:spacing w:after="0"/>
              <w:rPr>
                <w:sz w:val="20"/>
                <w:szCs w:val="20"/>
                <w:color w:val="auto"/>
              </w:rPr>
            </w:pPr>
            <w:r>
              <w:rPr>
                <w:rFonts w:ascii="Courier New" w:cs="Courier New" w:eastAsia="Courier New" w:hAnsi="Courier New"/>
                <w:sz w:val="15"/>
                <w:szCs w:val="15"/>
                <w:color w:val="auto"/>
              </w:rPr>
              <w:t>Years</w:t>
            </w:r>
          </w:p>
        </w:tc>
        <w:tc>
          <w:tcPr>
            <w:tcW w:w="2360" w:type="dxa"/>
            <w:vAlign w:val="bottom"/>
            <w:gridSpan w:val="2"/>
          </w:tcPr>
          <w:p>
            <w:pPr>
              <w:spacing w:after="0"/>
              <w:rPr>
                <w:sz w:val="20"/>
                <w:szCs w:val="20"/>
                <w:color w:val="auto"/>
              </w:rPr>
            </w:pPr>
            <w:r>
              <w:rPr>
                <w:rFonts w:ascii="Courier New" w:cs="Courier New" w:eastAsia="Courier New" w:hAnsi="Courier New"/>
                <w:sz w:val="15"/>
                <w:szCs w:val="15"/>
                <w:color w:val="auto"/>
              </w:rPr>
              <w:t>ended July 31</w:t>
            </w:r>
          </w:p>
        </w:tc>
        <w:tc>
          <w:tcPr>
            <w:tcW w:w="12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1993</w:t>
            </w:r>
          </w:p>
        </w:tc>
        <w:tc>
          <w:tcPr>
            <w:tcW w:w="280" w:type="dxa"/>
            <w:vAlign w:val="bottom"/>
          </w:tcPr>
          <w:p>
            <w:pPr>
              <w:spacing w:after="0"/>
              <w:rPr>
                <w:sz w:val="14"/>
                <w:szCs w:val="14"/>
                <w:color w:val="auto"/>
              </w:rPr>
            </w:pPr>
          </w:p>
        </w:tc>
        <w:tc>
          <w:tcPr>
            <w:tcW w:w="15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1992</w:t>
            </w: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140" w:type="dxa"/>
            <w:vAlign w:val="bottom"/>
            <w:gridSpan w:val="7"/>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520" w:type="dxa"/>
            <w:vAlign w:val="bottom"/>
          </w:tcPr>
          <w:p>
            <w:pPr>
              <w:spacing w:after="0"/>
              <w:rPr>
                <w:sz w:val="20"/>
                <w:szCs w:val="20"/>
                <w:color w:val="auto"/>
              </w:rPr>
            </w:pPr>
            <w:r>
              <w:rPr>
                <w:rFonts w:ascii="Courier New" w:cs="Courier New" w:eastAsia="Courier New" w:hAnsi="Courier New"/>
                <w:sz w:val="15"/>
                <w:szCs w:val="15"/>
                <w:color w:val="auto"/>
                <w:w w:val="92"/>
              </w:rPr>
              <w:t>Europe</w:t>
            </w:r>
          </w:p>
        </w:tc>
        <w:tc>
          <w:tcPr>
            <w:tcW w:w="1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48,976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53,992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52,867</w:t>
            </w: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w w:val="92"/>
              </w:rPr>
              <w:t>Canada</w:t>
            </w:r>
          </w:p>
        </w:tc>
        <w:tc>
          <w:tcPr>
            <w:tcW w:w="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28,039</w:t>
            </w:r>
          </w:p>
        </w:tc>
        <w:tc>
          <w:tcPr>
            <w:tcW w:w="2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26,573</w:t>
            </w:r>
          </w:p>
        </w:tc>
        <w:tc>
          <w:tcPr>
            <w:tcW w:w="280" w:type="dxa"/>
            <w:vAlign w:val="bottom"/>
          </w:tcPr>
          <w:p>
            <w:pPr>
              <w:spacing w:after="0"/>
              <w:rPr>
                <w:sz w:val="14"/>
                <w:szCs w:val="14"/>
                <w:color w:val="auto"/>
              </w:rPr>
            </w:pPr>
          </w:p>
        </w:tc>
        <w:tc>
          <w:tcPr>
            <w:tcW w:w="15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25,326</w:t>
            </w:r>
          </w:p>
        </w:tc>
      </w:tr>
      <w:tr>
        <w:trPr>
          <w:trHeight w:val="171"/>
        </w:trPr>
        <w:tc>
          <w:tcPr>
            <w:tcW w:w="660" w:type="dxa"/>
            <w:vAlign w:val="bottom"/>
            <w:gridSpan w:val="2"/>
          </w:tcPr>
          <w:p>
            <w:pPr>
              <w:spacing w:after="0"/>
              <w:rPr>
                <w:sz w:val="20"/>
                <w:szCs w:val="20"/>
                <w:color w:val="auto"/>
              </w:rPr>
            </w:pPr>
            <w:r>
              <w:rPr>
                <w:rFonts w:ascii="Courier New" w:cs="Courier New" w:eastAsia="Courier New" w:hAnsi="Courier New"/>
                <w:sz w:val="15"/>
                <w:szCs w:val="15"/>
                <w:color w:val="auto"/>
              </w:rPr>
              <w:t>Pacific</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Rim</w:t>
            </w:r>
          </w:p>
        </w:tc>
        <w:tc>
          <w:tcPr>
            <w:tcW w:w="12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27,535</w:t>
            </w:r>
          </w:p>
        </w:tc>
        <w:tc>
          <w:tcPr>
            <w:tcW w:w="2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26,208</w:t>
            </w:r>
          </w:p>
        </w:tc>
        <w:tc>
          <w:tcPr>
            <w:tcW w:w="280" w:type="dxa"/>
            <w:vAlign w:val="bottom"/>
          </w:tcPr>
          <w:p>
            <w:pPr>
              <w:spacing w:after="0"/>
              <w:rPr>
                <w:sz w:val="14"/>
                <w:szCs w:val="14"/>
                <w:color w:val="auto"/>
              </w:rPr>
            </w:pPr>
          </w:p>
        </w:tc>
        <w:tc>
          <w:tcPr>
            <w:tcW w:w="15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26,343</w:t>
            </w: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4,794</w:t>
            </w:r>
          </w:p>
        </w:tc>
        <w:tc>
          <w:tcPr>
            <w:tcW w:w="2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4,490</w:t>
            </w:r>
          </w:p>
        </w:tc>
        <w:tc>
          <w:tcPr>
            <w:tcW w:w="280" w:type="dxa"/>
            <w:vAlign w:val="bottom"/>
          </w:tcPr>
          <w:p>
            <w:pPr>
              <w:spacing w:after="0"/>
              <w:rPr>
                <w:sz w:val="14"/>
                <w:szCs w:val="14"/>
                <w:color w:val="auto"/>
              </w:rPr>
            </w:pPr>
          </w:p>
        </w:tc>
        <w:tc>
          <w:tcPr>
            <w:tcW w:w="15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4,540</w:t>
            </w: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140" w:type="dxa"/>
            <w:vAlign w:val="bottom"/>
            <w:gridSpan w:val="7"/>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360" w:type="dxa"/>
            <w:vAlign w:val="bottom"/>
            <w:gridSpan w:val="2"/>
          </w:tcPr>
          <w:p>
            <w:pPr>
              <w:spacing w:after="0"/>
              <w:rPr>
                <w:sz w:val="20"/>
                <w:szCs w:val="20"/>
                <w:color w:val="auto"/>
              </w:rPr>
            </w:pPr>
            <w:r>
              <w:rPr>
                <w:rFonts w:ascii="Courier New" w:cs="Courier New" w:eastAsia="Courier New" w:hAnsi="Courier New"/>
                <w:sz w:val="15"/>
                <w:szCs w:val="15"/>
                <w:color w:val="auto"/>
              </w:rPr>
              <w:t>export sales</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109,344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111,263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806"/>
              <w:spacing w:after="0"/>
              <w:rPr>
                <w:sz w:val="20"/>
                <w:szCs w:val="20"/>
                <w:color w:val="auto"/>
              </w:rPr>
            </w:pPr>
            <w:r>
              <w:rPr>
                <w:rFonts w:ascii="Courier New" w:cs="Courier New" w:eastAsia="Courier New" w:hAnsi="Courier New"/>
                <w:sz w:val="15"/>
                <w:szCs w:val="15"/>
                <w:color w:val="auto"/>
                <w:w w:val="95"/>
              </w:rPr>
              <w:t>109,076</w:t>
            </w:r>
          </w:p>
        </w:tc>
      </w:tr>
    </w:tbl>
    <w:p>
      <w:pPr>
        <w:spacing w:after="0" w:line="3" w:lineRule="exact"/>
        <w:rPr>
          <w:sz w:val="20"/>
          <w:szCs w:val="20"/>
          <w:color w:val="auto"/>
        </w:rPr>
      </w:pPr>
    </w:p>
    <w:p>
      <w:pPr>
        <w:ind w:left="169" w:hanging="169"/>
        <w:spacing w:after="0"/>
        <w:tabs>
          <w:tab w:leader="none" w:pos="169"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35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Sales to any particular customer were not significant.</w:t>
      </w:r>
    </w:p>
    <w:p>
      <w:pPr>
        <w:spacing w:after="0" w:line="342" w:lineRule="exact"/>
        <w:rPr>
          <w:sz w:val="20"/>
          <w:szCs w:val="20"/>
          <w:color w:val="auto"/>
        </w:rPr>
      </w:pPr>
    </w:p>
    <w:p>
      <w:pPr>
        <w:ind w:left="269" w:hanging="269"/>
        <w:spacing w:after="0"/>
        <w:tabs>
          <w:tab w:leader="none" w:pos="269"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 Commitments</w:t>
      </w:r>
    </w:p>
    <w:p>
      <w:pPr>
        <w:spacing w:after="0" w:line="174" w:lineRule="exact"/>
        <w:rPr>
          <w:sz w:val="20"/>
          <w:szCs w:val="20"/>
          <w:color w:val="auto"/>
        </w:rPr>
      </w:pPr>
    </w:p>
    <w:p>
      <w:pPr>
        <w:ind w:left="9" w:right="3299"/>
        <w:spacing w:after="0" w:line="239" w:lineRule="auto"/>
        <w:rPr>
          <w:sz w:val="20"/>
          <w:szCs w:val="20"/>
          <w:color w:val="auto"/>
        </w:rPr>
      </w:pPr>
      <w:r>
        <w:rPr>
          <w:rFonts w:ascii="Courier New" w:cs="Courier New" w:eastAsia="Courier New" w:hAnsi="Courier New"/>
          <w:sz w:val="15"/>
          <w:szCs w:val="15"/>
          <w:color w:val="auto"/>
        </w:rPr>
        <w:t>Minimum lease commitments in future years under noncancelable operating leases are as follows: 1995, $3,211,000; 1996, $1,908,000; 1997, $1,196,000; 1998, $481,000; 1999, $450,000 and after 1999, $1,430,000.</w:t>
      </w:r>
    </w:p>
    <w:p>
      <w:pPr>
        <w:spacing w:after="0" w:line="343"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Total lease expense was as follows:</w:t>
      </w:r>
    </w:p>
    <w:p>
      <w:pPr>
        <w:spacing w:after="0" w:line="200" w:lineRule="exact"/>
        <w:rPr>
          <w:sz w:val="20"/>
          <w:szCs w:val="20"/>
          <w:color w:val="auto"/>
        </w:rPr>
      </w:pPr>
    </w:p>
    <w:p>
      <w:pPr>
        <w:spacing w:after="0" w:line="315" w:lineRule="exact"/>
        <w:rPr>
          <w:sz w:val="20"/>
          <w:szCs w:val="20"/>
          <w:color w:val="auto"/>
        </w:rPr>
      </w:pPr>
    </w:p>
    <w:p>
      <w:pPr>
        <w:ind w:left="169" w:hanging="169"/>
        <w:spacing w:after="0"/>
        <w:tabs>
          <w:tab w:leader="none" w:pos="169"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(Dollars in thousands)</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060" w:type="dxa"/>
            <w:vAlign w:val="bottom"/>
          </w:tcPr>
          <w:p>
            <w:pPr>
              <w:spacing w:after="0"/>
              <w:rPr>
                <w:sz w:val="20"/>
                <w:szCs w:val="20"/>
                <w:color w:val="auto"/>
              </w:rPr>
            </w:pPr>
            <w:r>
              <w:rPr>
                <w:rFonts w:ascii="Courier New" w:cs="Courier New" w:eastAsia="Courier New" w:hAnsi="Courier New"/>
                <w:sz w:val="15"/>
                <w:szCs w:val="15"/>
                <w:color w:val="auto"/>
              </w:rPr>
              <w:t>Years ended July 31</w:t>
            </w:r>
          </w:p>
        </w:tc>
        <w:tc>
          <w:tcPr>
            <w:tcW w:w="2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1994</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1993</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1992</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280" w:type="dxa"/>
            <w:vAlign w:val="bottom"/>
          </w:tcPr>
          <w:p>
            <w:pPr>
              <w:spacing w:after="0"/>
              <w:rPr>
                <w:sz w:val="20"/>
                <w:szCs w:val="20"/>
                <w:color w:val="auto"/>
              </w:rPr>
            </w:pPr>
            <w:r>
              <w:rPr>
                <w:rFonts w:ascii="Courier New" w:cs="Courier New" w:eastAsia="Courier New" w:hAnsi="Courier New"/>
                <w:sz w:val="15"/>
                <w:szCs w:val="15"/>
                <w:color w:val="auto"/>
              </w:rPr>
              <w:t>Warehouse and office space</w:t>
            </w:r>
          </w:p>
        </w:tc>
        <w:tc>
          <w:tcPr>
            <w:tcW w:w="17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$2,198</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$1,800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$2,199</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Trucks and autos</w:t>
            </w:r>
          </w:p>
        </w:tc>
        <w:tc>
          <w:tcPr>
            <w:tcW w:w="17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2,039</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1,024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1,240</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Equipment</w:t>
            </w:r>
          </w:p>
        </w:tc>
        <w:tc>
          <w:tcPr>
            <w:tcW w:w="17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3,044</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3,154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4,142</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 --------------------------------------------------------------------------------</w:t>
      </w:r>
    </w:p>
    <w:p>
      <w:pPr>
        <w:spacing w:after="0" w:line="9" w:lineRule="exact"/>
        <w:rPr>
          <w:sz w:val="20"/>
          <w:szCs w:val="20"/>
          <w:color w:val="auto"/>
        </w:rPr>
      </w:pPr>
    </w:p>
    <w:tbl>
      <w:tblPr>
        <w:tblLayout w:type="fixed"/>
        <w:tblInd w:w="449" w:type="dxa"/>
        <w:tblCellMar>
          <w:top w:w="0" w:type="dxa"/>
          <w:left w:w="0" w:type="dxa"/>
          <w:bottom w:w="0" w:type="dxa"/>
          <w:right w:w="0" w:type="dxa"/>
        </w:tblCellMar>
      </w:tblPr>
      <w:tr>
        <w:trPr>
          <w:trHeight w:val="170"/>
        </w:trPr>
        <w:tc>
          <w:tcPr>
            <w:tcW w:w="21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4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$7,281</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$5,978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$7,581</w:t>
            </w:r>
          </w:p>
        </w:tc>
      </w:tr>
    </w:tbl>
    <w:p>
      <w:pPr>
        <w:spacing w:after="0" w:line="3" w:lineRule="exact"/>
        <w:rPr>
          <w:sz w:val="20"/>
          <w:szCs w:val="20"/>
          <w:color w:val="auto"/>
        </w:rPr>
      </w:pPr>
    </w:p>
    <w:p>
      <w:pPr>
        <w:ind w:left="169" w:hanging="169"/>
        <w:spacing w:after="0"/>
        <w:tabs>
          <w:tab w:leader="none" w:pos="169"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200" w:lineRule="exact"/>
        <w:rPr>
          <w:sz w:val="20"/>
          <w:szCs w:val="20"/>
          <w:color w:val="auto"/>
        </w:rPr>
      </w:pPr>
    </w:p>
    <w:p>
      <w:pPr>
        <w:spacing w:after="0" w:line="32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10 Commitments and Contingent Liabilities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Certain receivables have been sold to financial institutions. Under these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arrangements, the company acts as agent for collections and/or was contingently</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liable for $659,000 at July 31, 1994, and $644,000 at July 31, 1993. The company</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was also contingently liable to repurchase $5,222,000 at July 31, 1994 and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$8,535,000 at July 31, 1993, of inventory relating to receivables under dealer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financing (floor plan) arrangements. Additionally, debts incurred by</w:t>
      </w:r>
    </w:p>
    <w:p>
      <w:pPr>
        <w:sectPr>
          <w:pgSz w:w="11900" w:h="16870" w:orient="portrait"/>
          <w:cols w:equalWidth="0" w:num="1">
            <w:col w:w="10228"/>
          </w:cols>
          <w:pgMar w:left="231" w:top="628" w:right="1440" w:bottom="0" w:gutter="0" w:footer="0" w:header="0"/>
        </w:sectPr>
      </w:pPr>
    </w:p>
    <w:bookmarkStart w:id="42" w:name="page43"/>
    <w:bookmarkEnd w:id="42"/>
    <w:p>
      <w:pPr>
        <w:ind w:right="3399"/>
        <w:spacing w:after="0" w:line="238" w:lineRule="auto"/>
        <w:rPr>
          <w:sz w:val="20"/>
          <w:szCs w:val="20"/>
          <w:color w:val="auto"/>
        </w:rPr>
      </w:pPr>
      <w:r>
        <w:rPr>
          <w:rFonts w:ascii="Courier New" w:cs="Courier New" w:eastAsia="Courier New" w:hAnsi="Courier New"/>
          <w:sz w:val="15"/>
          <w:szCs w:val="15"/>
          <w:color w:val="auto"/>
        </w:rPr>
        <w:t>distributors, aggregating $1,486,000 at July 31, 1994, and $3,278,000 at July 31, 1993, have been guaranteed by the company.</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At July 31, 1994, the company had contracts maturing at various dates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$8,372,000 in foreign currency (845,000,000 yen) and to sell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$10,153,000 in foreign currency (13,000,000 Deutschemarks and 2,825,000 Canadian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Dollars) at the spot rate on the maturity dates.</w:t>
      </w:r>
    </w:p>
    <w:p>
      <w:pPr>
        <w:spacing w:after="0" w:line="342" w:lineRule="exact"/>
        <w:rPr>
          <w:sz w:val="20"/>
          <w:szCs w:val="20"/>
          <w:color w:val="auto"/>
        </w:rPr>
      </w:pPr>
    </w:p>
    <w:p>
      <w:pPr>
        <w:spacing w:after="0"/>
        <w:tabs>
          <w:tab w:leader="none" w:pos="420" w:val="left"/>
          <w:tab w:leader="none" w:pos="2280" w:val="left"/>
        </w:tabs>
        <w:rPr>
          <w:sz w:val="20"/>
          <w:szCs w:val="20"/>
          <w:color w:val="auto"/>
        </w:rPr>
      </w:pPr>
      <w:r>
        <w:rPr>
          <w:rFonts w:ascii="Courier New" w:cs="Courier New" w:eastAsia="Courier New" w:hAnsi="Courier New"/>
          <w:sz w:val="15"/>
          <w:szCs w:val="15"/>
          <w:color w:val="auto"/>
        </w:rPr>
        <w:t>26</w:t>
      </w:r>
      <w:r>
        <w:rPr>
          <w:sz w:val="20"/>
          <w:szCs w:val="20"/>
          <w:color w:val="auto"/>
        </w:rPr>
        <w:tab/>
      </w:r>
      <w:r>
        <w:rPr>
          <w:rFonts w:ascii="Courier New" w:cs="Courier New" w:eastAsia="Courier New" w:hAnsi="Courier New"/>
          <w:sz w:val="15"/>
          <w:szCs w:val="15"/>
          <w:color w:val="auto"/>
        </w:rPr>
        <w:t>The Toro Company</w:t>
      </w:r>
      <w:r>
        <w:rPr>
          <w:sz w:val="20"/>
          <w:szCs w:val="20"/>
          <w:color w:val="auto"/>
        </w:rPr>
        <w:tab/>
      </w:r>
      <w:r>
        <w:rPr>
          <w:rFonts w:ascii="Courier New" w:cs="Courier New" w:eastAsia="Courier New" w:hAnsi="Courier New"/>
          <w:sz w:val="14"/>
          <w:szCs w:val="14"/>
          <w:color w:val="auto"/>
        </w:rPr>
        <w:t>1994 Annual Report</w:t>
      </w:r>
    </w:p>
    <w:p>
      <w:pPr>
        <w:sectPr>
          <w:pgSz w:w="11900" w:h="16838" w:orient="portrait"/>
          <w:cols w:equalWidth="0" w:num="1">
            <w:col w:w="10219"/>
          </w:cols>
          <w:pgMar w:left="240" w:top="141" w:right="1440" w:bottom="1440" w:gutter="0" w:footer="0" w:header="0"/>
        </w:sectPr>
      </w:pPr>
    </w:p>
    <w:bookmarkStart w:id="43" w:name="page44"/>
    <w:bookmarkEnd w:id="43"/>
    <w:p>
      <w:pPr>
        <w:spacing w:after="0" w:line="32"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In the ordinary course of business, the company may become liable with respect to pending and threatened litigation, taxes and environmental and other matters. While the ultimate results of investigations, lawsuits and claims involving the company cannot be determined, management does not expect that these matters will have a material adverse effect on the consolidated financial position of the company.</w:t>
      </w:r>
    </w:p>
    <w:p>
      <w:pPr>
        <w:spacing w:after="0" w:line="34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11 Financial Instruments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OFF-BALANCE SHEET RISK</w:t>
      </w:r>
    </w:p>
    <w:p>
      <w:pPr>
        <w:spacing w:after="0" w:line="3"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Letters of credit are issued by the company during the ordinary course of business, as required by certain vendor contracts, through major domestic banks. As of July 31, 1994, and 1993, the company had $16,872,000 and $11,876,000, respectively, in outstanding letters of credit.</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CONCENTRATIONS OF CREDIT RISK</w:t>
      </w:r>
    </w:p>
    <w:p>
      <w:pPr>
        <w:spacing w:after="0" w:line="3" w:lineRule="exact"/>
        <w:rPr>
          <w:sz w:val="20"/>
          <w:szCs w:val="20"/>
          <w:color w:val="auto"/>
        </w:rPr>
      </w:pPr>
    </w:p>
    <w:p>
      <w:pPr>
        <w:ind w:left="9" w:right="3119"/>
        <w:spacing w:after="0" w:line="260" w:lineRule="auto"/>
        <w:rPr>
          <w:sz w:val="20"/>
          <w:szCs w:val="20"/>
          <w:color w:val="auto"/>
        </w:rPr>
      </w:pPr>
      <w:r>
        <w:rPr>
          <w:rFonts w:ascii="Courier New" w:cs="Courier New" w:eastAsia="Courier New" w:hAnsi="Courier New"/>
          <w:sz w:val="14"/>
          <w:szCs w:val="14"/>
          <w:color w:val="auto"/>
        </w:rPr>
        <w:t>Financial instruments which potentially subject the company to concentrations of credit risk consist principally of accounts receivable which are concentrated in the lawn and turf care business sector. The credit risk associated with this sector is limited because of the large number of customers in the company's customer base and their geographic dispersion. Generally, the company does not require collateral or other security to support customer receivables.</w:t>
      </w:r>
    </w:p>
    <w:p>
      <w:pPr>
        <w:spacing w:after="0" w:line="16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FAIR VALUE</w:t>
      </w:r>
    </w:p>
    <w:p>
      <w:pPr>
        <w:spacing w:after="0" w:line="3"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The following disclosure of the estimated fair value of financial instruments is made in accordance with the requirements of FAS Statement 107 "Disclosures about Fair Value of Financial Instruments." Estimated fair value amounts have been determined using available information and appropriate valuation methodologies. Because considerable judgement is required in developing the estimates of fair value, these estimates are not necessarily indicative of the amounts that could be realized in a current market exchange.</w:t>
      </w:r>
    </w:p>
    <w:p>
      <w:pPr>
        <w:spacing w:after="0" w:line="176" w:lineRule="exact"/>
        <w:rPr>
          <w:sz w:val="20"/>
          <w:szCs w:val="20"/>
          <w:color w:val="auto"/>
        </w:rPr>
      </w:pPr>
    </w:p>
    <w:p>
      <w:pPr>
        <w:ind w:left="9" w:right="4019" w:firstLine="444"/>
        <w:spacing w:after="0" w:line="238" w:lineRule="auto"/>
        <w:rPr>
          <w:sz w:val="20"/>
          <w:szCs w:val="20"/>
          <w:color w:val="auto"/>
        </w:rPr>
      </w:pPr>
      <w:r>
        <w:rPr>
          <w:rFonts w:ascii="Courier New" w:cs="Courier New" w:eastAsia="Courier New" w:hAnsi="Courier New"/>
          <w:sz w:val="15"/>
          <w:szCs w:val="15"/>
          <w:color w:val="auto"/>
        </w:rPr>
        <w:t>The carrying and estimated fair values of the company's financial instruments at July 31, 1994, are as follows:</w:t>
      </w:r>
    </w:p>
    <w:p>
      <w:pPr>
        <w:spacing w:after="0" w:line="200" w:lineRule="exact"/>
        <w:rPr>
          <w:sz w:val="20"/>
          <w:szCs w:val="20"/>
          <w:color w:val="auto"/>
        </w:rPr>
      </w:pPr>
    </w:p>
    <w:p>
      <w:pPr>
        <w:spacing w:after="0" w:line="316" w:lineRule="exact"/>
        <w:rPr>
          <w:sz w:val="20"/>
          <w:szCs w:val="20"/>
          <w:color w:val="auto"/>
        </w:rPr>
      </w:pPr>
    </w:p>
    <w:p>
      <w:pPr>
        <w:ind w:left="169" w:hanging="169"/>
        <w:spacing w:after="0"/>
        <w:tabs>
          <w:tab w:leader="none" w:pos="169"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9" w:lineRule="exact"/>
        <w:rPr>
          <w:rFonts w:ascii="Courier New" w:cs="Courier New" w:eastAsia="Courier New" w:hAnsi="Courier New"/>
          <w:sz w:val="14"/>
          <w:szCs w:val="14"/>
          <w:color w:val="auto"/>
        </w:rPr>
      </w:pPr>
    </w:p>
    <w:p>
      <w:pPr>
        <w:ind w:left="514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Carrying   Estimated</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780" w:type="dxa"/>
            <w:vAlign w:val="bottom"/>
            <w:gridSpan w:val="4"/>
          </w:tcPr>
          <w:p>
            <w:pPr>
              <w:spacing w:after="0"/>
              <w:rPr>
                <w:sz w:val="20"/>
                <w:szCs w:val="20"/>
                <w:color w:val="auto"/>
              </w:rPr>
            </w:pPr>
            <w:r>
              <w:rPr>
                <w:rFonts w:ascii="Courier New" w:cs="Courier New" w:eastAsia="Courier New" w:hAnsi="Courier New"/>
                <w:sz w:val="15"/>
                <w:szCs w:val="15"/>
                <w:color w:val="auto"/>
              </w:rPr>
              <w:t>(Dollars in millions)</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Value</w:t>
            </w:r>
          </w:p>
        </w:tc>
        <w:tc>
          <w:tcPr>
            <w:tcW w:w="186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Fair Value</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71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4780" w:type="dxa"/>
            <w:vAlign w:val="bottom"/>
            <w:gridSpan w:val="4"/>
          </w:tcPr>
          <w:p>
            <w:pPr>
              <w:spacing w:after="0"/>
              <w:rPr>
                <w:sz w:val="20"/>
                <w:szCs w:val="20"/>
                <w:color w:val="auto"/>
              </w:rPr>
            </w:pPr>
            <w:r>
              <w:rPr>
                <w:rFonts w:ascii="Courier New" w:cs="Courier New" w:eastAsia="Courier New" w:hAnsi="Courier New"/>
                <w:sz w:val="15"/>
                <w:szCs w:val="15"/>
                <w:color w:val="auto"/>
              </w:rPr>
              <w:t>Long-term debt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$101,325</w:t>
            </w:r>
          </w:p>
        </w:tc>
        <w:tc>
          <w:tcPr>
            <w:tcW w:w="186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$105,107</w:t>
            </w:r>
          </w:p>
        </w:tc>
      </w:tr>
      <w:tr>
        <w:trPr>
          <w:trHeight w:val="171"/>
        </w:trPr>
        <w:tc>
          <w:tcPr>
            <w:tcW w:w="4780" w:type="dxa"/>
            <w:vAlign w:val="bottom"/>
            <w:gridSpan w:val="4"/>
          </w:tcPr>
          <w:p>
            <w:pPr>
              <w:spacing w:after="0"/>
              <w:rPr>
                <w:sz w:val="20"/>
                <w:szCs w:val="20"/>
                <w:color w:val="auto"/>
              </w:rPr>
            </w:pPr>
            <w:r>
              <w:rPr>
                <w:rFonts w:ascii="Courier New" w:cs="Courier New" w:eastAsia="Courier New" w:hAnsi="Courier New"/>
                <w:sz w:val="15"/>
                <w:szCs w:val="15"/>
                <w:color w:val="auto"/>
              </w:rPr>
              <w:t>Deferred income (interest rate exchange agreement)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5,250</w:t>
            </w:r>
          </w:p>
        </w:tc>
        <w:tc>
          <w:tcPr>
            <w:tcW w:w="186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3,928</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71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w:t>
            </w:r>
          </w:p>
        </w:tc>
      </w:tr>
    </w:tbl>
    <w:p>
      <w:pPr>
        <w:spacing w:after="0" w:line="345" w:lineRule="exact"/>
        <w:rPr>
          <w:sz w:val="20"/>
          <w:szCs w:val="20"/>
          <w:color w:val="auto"/>
        </w:rPr>
      </w:pPr>
    </w:p>
    <w:p>
      <w:pPr>
        <w:ind w:left="9" w:right="3219" w:firstLine="444"/>
        <w:spacing w:after="0" w:line="238" w:lineRule="auto"/>
        <w:rPr>
          <w:sz w:val="20"/>
          <w:szCs w:val="20"/>
          <w:color w:val="auto"/>
        </w:rPr>
      </w:pPr>
      <w:r>
        <w:rPr>
          <w:rFonts w:ascii="Courier New" w:cs="Courier New" w:eastAsia="Courier New" w:hAnsi="Courier New"/>
          <w:sz w:val="15"/>
          <w:szCs w:val="15"/>
          <w:color w:val="auto"/>
        </w:rPr>
        <w:t>For cash and cash equivalents, receivables, and accounts payable, carrying value is a reasonable estimate of fair value.</w:t>
      </w:r>
    </w:p>
    <w:p>
      <w:pPr>
        <w:spacing w:after="0" w:line="17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For long-term debt with fixed interest rates, fair value is estimated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by discounting the projected cash flows using the rate at which similar amounts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could currently be borrowed.</w:t>
      </w:r>
    </w:p>
    <w:p>
      <w:pPr>
        <w:spacing w:after="0" w:line="174" w:lineRule="exact"/>
        <w:rPr>
          <w:sz w:val="20"/>
          <w:szCs w:val="20"/>
          <w:color w:val="auto"/>
        </w:rPr>
      </w:pPr>
    </w:p>
    <w:p>
      <w:pPr>
        <w:ind w:left="9" w:right="3119" w:firstLine="444"/>
        <w:spacing w:after="0" w:line="238" w:lineRule="auto"/>
        <w:rPr>
          <w:sz w:val="20"/>
          <w:szCs w:val="20"/>
          <w:color w:val="auto"/>
        </w:rPr>
      </w:pPr>
      <w:r>
        <w:rPr>
          <w:rFonts w:ascii="Courier New" w:cs="Courier New" w:eastAsia="Courier New" w:hAnsi="Courier New"/>
          <w:sz w:val="15"/>
          <w:szCs w:val="15"/>
          <w:color w:val="auto"/>
        </w:rPr>
        <w:t>The fair value of the 11% sinking fund debentures represents the amount the company would pay to redeem the notes based on the terms of the debenture.</w:t>
      </w:r>
    </w:p>
    <w:p>
      <w:pPr>
        <w:spacing w:after="0" w:line="175"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The estimated fair value of the deferred income represents the cost to terminate the interest rate exchange agreement, had management elected to do so, which would have resulted in a gain of approximately $1,300,000.</w:t>
      </w:r>
    </w:p>
    <w:p>
      <w:pPr>
        <w:spacing w:after="0" w:line="34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12 Restructuring Expense</w:t>
      </w:r>
    </w:p>
    <w:p>
      <w:pPr>
        <w:spacing w:after="0" w:line="345"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In 1992, the company recognized $24,900,000 of restructuring charges (after-tax effect of $16,900,000 or $1.41 per share) related to the consolidations of its consumer products manufacturing, marketing and administrative operations, its irrigation manufacturing operations and its distribution facilities. The charges included costs for plant and office closings, workforce reductions, inventory obsolescence and other related costs.</w:t>
      </w:r>
    </w:p>
    <w:p>
      <w:pPr>
        <w:spacing w:after="0" w:line="34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13 Consolidated Finance Subsidiary --</w:t>
      </w:r>
    </w:p>
    <w:p>
      <w:pPr>
        <w:spacing w:after="0" w:line="1"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Toro Credit Company</w:t>
      </w:r>
    </w:p>
    <w:p>
      <w:pPr>
        <w:spacing w:after="0" w:line="174" w:lineRule="exact"/>
        <w:rPr>
          <w:sz w:val="20"/>
          <w:szCs w:val="20"/>
          <w:color w:val="auto"/>
        </w:rPr>
      </w:pPr>
    </w:p>
    <w:p>
      <w:pPr>
        <w:ind w:left="9" w:right="3579"/>
        <w:spacing w:after="0" w:line="239" w:lineRule="auto"/>
        <w:rPr>
          <w:sz w:val="20"/>
          <w:szCs w:val="20"/>
          <w:color w:val="auto"/>
        </w:rPr>
      </w:pPr>
      <w:r>
        <w:rPr>
          <w:rFonts w:ascii="Courier New" w:cs="Courier New" w:eastAsia="Courier New" w:hAnsi="Courier New"/>
          <w:sz w:val="15"/>
          <w:szCs w:val="15"/>
          <w:color w:val="auto"/>
        </w:rPr>
        <w:t>Toro Credit Company is a consolidated finance subsidiary of the company and operates primarily in the finance industry with wholesale financing of distributor and dealer inventories under various financing (floor plan) arrangements and other programs.</w:t>
      </w:r>
    </w:p>
    <w:p>
      <w:pPr>
        <w:spacing w:after="0" w:line="200" w:lineRule="exact"/>
        <w:rPr>
          <w:sz w:val="20"/>
          <w:szCs w:val="20"/>
          <w:color w:val="auto"/>
        </w:rPr>
      </w:pPr>
    </w:p>
    <w:p>
      <w:pPr>
        <w:spacing w:after="0" w:line="318" w:lineRule="exact"/>
        <w:rPr>
          <w:sz w:val="20"/>
          <w:szCs w:val="20"/>
          <w:color w:val="auto"/>
        </w:rPr>
      </w:pPr>
    </w:p>
    <w:p>
      <w:pPr>
        <w:ind w:left="169" w:hanging="169"/>
        <w:spacing w:after="0"/>
        <w:tabs>
          <w:tab w:leader="none" w:pos="169"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(Dollars in thousands)</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920" w:type="dxa"/>
            <w:vAlign w:val="bottom"/>
            <w:gridSpan w:val="2"/>
          </w:tcPr>
          <w:p>
            <w:pPr>
              <w:spacing w:after="0"/>
              <w:rPr>
                <w:sz w:val="20"/>
                <w:szCs w:val="20"/>
                <w:color w:val="auto"/>
              </w:rPr>
            </w:pPr>
            <w:r>
              <w:rPr>
                <w:rFonts w:ascii="Courier New" w:cs="Courier New" w:eastAsia="Courier New" w:hAnsi="Courier New"/>
                <w:sz w:val="15"/>
                <w:szCs w:val="15"/>
                <w:color w:val="auto"/>
              </w:rPr>
              <w:t>Years ended July 31</w:t>
            </w:r>
          </w:p>
        </w:tc>
        <w:tc>
          <w:tcPr>
            <w:tcW w:w="2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1994</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1993</w:t>
            </w:r>
          </w:p>
        </w:tc>
        <w:tc>
          <w:tcPr>
            <w:tcW w:w="172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1992</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 - - -</w:t>
            </w:r>
          </w:p>
        </w:tc>
        <w:tc>
          <w:tcPr>
            <w:tcW w:w="714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660" w:type="dxa"/>
            <w:vAlign w:val="bottom"/>
          </w:tcPr>
          <w:p>
            <w:pPr>
              <w:spacing w:after="0"/>
              <w:rPr>
                <w:sz w:val="20"/>
                <w:szCs w:val="20"/>
                <w:color w:val="auto"/>
              </w:rPr>
            </w:pPr>
            <w:r>
              <w:rPr>
                <w:rFonts w:ascii="Courier New" w:cs="Courier New" w:eastAsia="Courier New" w:hAnsi="Courier New"/>
                <w:sz w:val="15"/>
                <w:szCs w:val="15"/>
                <w:color w:val="auto"/>
              </w:rPr>
              <w:t>SUMMARY</w:t>
            </w:r>
          </w:p>
        </w:tc>
        <w:tc>
          <w:tcPr>
            <w:tcW w:w="2260" w:type="dxa"/>
            <w:vAlign w:val="bottom"/>
          </w:tcPr>
          <w:p>
            <w:pPr>
              <w:ind w:left="40"/>
              <w:spacing w:after="0"/>
              <w:rPr>
                <w:sz w:val="20"/>
                <w:szCs w:val="20"/>
                <w:color w:val="auto"/>
              </w:rPr>
            </w:pPr>
            <w:r>
              <w:rPr>
                <w:rFonts w:ascii="Courier New" w:cs="Courier New" w:eastAsia="Courier New" w:hAnsi="Courier New"/>
                <w:sz w:val="15"/>
                <w:szCs w:val="15"/>
                <w:color w:val="auto"/>
              </w:rPr>
              <w:t>OF EARNINGS</w:t>
            </w:r>
          </w:p>
        </w:tc>
        <w:tc>
          <w:tcPr>
            <w:tcW w:w="2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Finance</w:t>
            </w:r>
          </w:p>
        </w:tc>
        <w:tc>
          <w:tcPr>
            <w:tcW w:w="2260" w:type="dxa"/>
            <w:vAlign w:val="bottom"/>
          </w:tcPr>
          <w:p>
            <w:pPr>
              <w:ind w:left="40"/>
              <w:spacing w:after="0"/>
              <w:rPr>
                <w:sz w:val="20"/>
                <w:szCs w:val="20"/>
                <w:color w:val="auto"/>
              </w:rPr>
            </w:pPr>
            <w:r>
              <w:rPr>
                <w:rFonts w:ascii="Courier New" w:cs="Courier New" w:eastAsia="Courier New" w:hAnsi="Courier New"/>
                <w:sz w:val="15"/>
                <w:szCs w:val="15"/>
                <w:color w:val="auto"/>
              </w:rPr>
              <w:t>revenues</w:t>
            </w:r>
          </w:p>
        </w:tc>
        <w:tc>
          <w:tcPr>
            <w:tcW w:w="2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$17,436</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$17,060</w:t>
            </w:r>
          </w:p>
        </w:tc>
        <w:tc>
          <w:tcPr>
            <w:tcW w:w="172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$17,702</w:t>
            </w:r>
          </w:p>
        </w:tc>
      </w:tr>
      <w:tr>
        <w:trPr>
          <w:trHeight w:val="171"/>
        </w:trPr>
        <w:tc>
          <w:tcPr>
            <w:tcW w:w="2920" w:type="dxa"/>
            <w:vAlign w:val="bottom"/>
            <w:gridSpan w:val="2"/>
          </w:tcPr>
          <w:p>
            <w:pPr>
              <w:spacing w:after="0"/>
              <w:rPr>
                <w:sz w:val="20"/>
                <w:szCs w:val="20"/>
                <w:color w:val="auto"/>
              </w:rPr>
            </w:pPr>
            <w:r>
              <w:rPr>
                <w:rFonts w:ascii="Courier New" w:cs="Courier New" w:eastAsia="Courier New" w:hAnsi="Courier New"/>
                <w:sz w:val="15"/>
                <w:szCs w:val="15"/>
                <w:color w:val="auto"/>
              </w:rPr>
              <w:t>Expenses:</w:t>
            </w:r>
          </w:p>
        </w:tc>
        <w:tc>
          <w:tcPr>
            <w:tcW w:w="2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1"/>
        </w:trPr>
        <w:tc>
          <w:tcPr>
            <w:tcW w:w="29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Operating</w:t>
            </w:r>
          </w:p>
        </w:tc>
        <w:tc>
          <w:tcPr>
            <w:tcW w:w="2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2,068</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1,841</w:t>
            </w:r>
          </w:p>
        </w:tc>
        <w:tc>
          <w:tcPr>
            <w:tcW w:w="172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1,659</w:t>
            </w:r>
          </w:p>
        </w:tc>
      </w:tr>
      <w:tr>
        <w:trPr>
          <w:trHeight w:val="171"/>
        </w:trPr>
        <w:tc>
          <w:tcPr>
            <w:tcW w:w="29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Interest</w:t>
            </w:r>
          </w:p>
        </w:tc>
        <w:tc>
          <w:tcPr>
            <w:tcW w:w="2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4,737</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5,879</w:t>
            </w:r>
          </w:p>
        </w:tc>
        <w:tc>
          <w:tcPr>
            <w:tcW w:w="172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6,279</w:t>
            </w:r>
          </w:p>
        </w:tc>
      </w:tr>
    </w:tbl>
    <w:p>
      <w:pPr>
        <w:sectPr>
          <w:pgSz w:w="11900" w:h="16870" w:orient="portrait"/>
          <w:cols w:equalWidth="0" w:num="1">
            <w:col w:w="10228"/>
          </w:cols>
          <w:pgMar w:left="231" w:top="631" w:right="1440" w:bottom="0" w:gutter="0" w:footer="0" w:header="0"/>
        </w:sectPr>
      </w:pPr>
    </w:p>
    <w:bookmarkStart w:id="44" w:name="page45"/>
    <w:bookmarkEnd w:id="44"/>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4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Foreign currency exchange</w:t>
            </w:r>
          </w:p>
        </w:tc>
        <w:tc>
          <w:tcPr>
            <w:tcW w:w="1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1"/>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net</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rPr>
              <w:t>losses</w:t>
            </w:r>
          </w:p>
        </w:tc>
        <w:tc>
          <w:tcPr>
            <w:tcW w:w="16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96</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31</w:t>
            </w:r>
          </w:p>
        </w:tc>
        <w:tc>
          <w:tcPr>
            <w:tcW w:w="172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37</w:t>
            </w:r>
          </w:p>
        </w:tc>
      </w:tr>
      <w:tr>
        <w:trPr>
          <w:trHeight w:val="171"/>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 - - -</w:t>
            </w:r>
          </w:p>
        </w:tc>
        <w:tc>
          <w:tcPr>
            <w:tcW w:w="714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rPr>
              <w:t>expenses</w:t>
            </w:r>
          </w:p>
        </w:tc>
        <w:tc>
          <w:tcPr>
            <w:tcW w:w="16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6,901</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7,751</w:t>
            </w:r>
          </w:p>
        </w:tc>
        <w:tc>
          <w:tcPr>
            <w:tcW w:w="172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7,975</w:t>
            </w:r>
          </w:p>
        </w:tc>
      </w:tr>
      <w:tr>
        <w:trPr>
          <w:trHeight w:val="171"/>
        </w:trPr>
        <w:tc>
          <w:tcPr>
            <w:tcW w:w="34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Earnings before income taxes</w:t>
            </w:r>
          </w:p>
        </w:tc>
        <w:tc>
          <w:tcPr>
            <w:tcW w:w="16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10,535</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9,309</w:t>
            </w:r>
          </w:p>
        </w:tc>
        <w:tc>
          <w:tcPr>
            <w:tcW w:w="172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9,727</w:t>
            </w:r>
          </w:p>
        </w:tc>
      </w:tr>
      <w:tr>
        <w:trPr>
          <w:trHeight w:val="171"/>
        </w:trPr>
        <w:tc>
          <w:tcPr>
            <w:tcW w:w="3400" w:type="dxa"/>
            <w:vAlign w:val="bottom"/>
            <w:gridSpan w:val="2"/>
          </w:tcPr>
          <w:p>
            <w:pPr>
              <w:spacing w:after="0"/>
              <w:rPr>
                <w:sz w:val="20"/>
                <w:szCs w:val="20"/>
                <w:color w:val="auto"/>
              </w:rPr>
            </w:pPr>
            <w:r>
              <w:rPr>
                <w:rFonts w:ascii="Courier New" w:cs="Courier New" w:eastAsia="Courier New" w:hAnsi="Courier New"/>
                <w:sz w:val="15"/>
                <w:szCs w:val="15"/>
                <w:color w:val="auto"/>
              </w:rPr>
              <w:t>Provision for income taxes</w:t>
            </w:r>
          </w:p>
        </w:tc>
        <w:tc>
          <w:tcPr>
            <w:tcW w:w="16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3,669</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3,310</w:t>
            </w:r>
          </w:p>
        </w:tc>
        <w:tc>
          <w:tcPr>
            <w:tcW w:w="172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3,049</w:t>
            </w:r>
          </w:p>
        </w:tc>
      </w:tr>
      <w:tr>
        <w:trPr>
          <w:trHeight w:val="171"/>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 - - -</w:t>
            </w:r>
          </w:p>
        </w:tc>
        <w:tc>
          <w:tcPr>
            <w:tcW w:w="714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4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Net earnings</w:t>
            </w:r>
          </w:p>
        </w:tc>
        <w:tc>
          <w:tcPr>
            <w:tcW w:w="16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$ 6,866</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$ 5,999</w:t>
            </w:r>
          </w:p>
        </w:tc>
        <w:tc>
          <w:tcPr>
            <w:tcW w:w="172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$ 6,678</w:t>
            </w:r>
          </w:p>
        </w:tc>
      </w:tr>
    </w:tbl>
    <w:p>
      <w:pPr>
        <w:spacing w:after="0" w:line="3" w:lineRule="exact"/>
        <w:rPr>
          <w:sz w:val="20"/>
          <w:szCs w:val="20"/>
          <w:color w:val="auto"/>
        </w:rPr>
      </w:pPr>
    </w:p>
    <w:p>
      <w:pPr>
        <w:ind w:left="169" w:hanging="169"/>
        <w:spacing w:after="0"/>
        <w:tabs>
          <w:tab w:leader="none" w:pos="169"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94"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(Dollars in thousands)</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580" w:type="dxa"/>
            <w:vAlign w:val="bottom"/>
          </w:tcPr>
          <w:p>
            <w:pPr>
              <w:spacing w:after="0"/>
              <w:rPr>
                <w:sz w:val="20"/>
                <w:szCs w:val="20"/>
                <w:color w:val="auto"/>
              </w:rPr>
            </w:pPr>
            <w:r>
              <w:rPr>
                <w:rFonts w:ascii="Courier New" w:cs="Courier New" w:eastAsia="Courier New" w:hAnsi="Courier New"/>
                <w:sz w:val="15"/>
                <w:szCs w:val="15"/>
                <w:color w:val="auto"/>
              </w:rPr>
              <w:t>Years ended July 31</w:t>
            </w:r>
          </w:p>
        </w:tc>
        <w:tc>
          <w:tcPr>
            <w:tcW w:w="26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1994</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bl>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 - - -</w:t>
            </w:r>
          </w:p>
        </w:tc>
        <w:tc>
          <w:tcPr>
            <w:tcW w:w="714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660" w:type="dxa"/>
            <w:vAlign w:val="bottom"/>
          </w:tcPr>
          <w:p>
            <w:pPr>
              <w:spacing w:after="0"/>
              <w:rPr>
                <w:sz w:val="20"/>
                <w:szCs w:val="20"/>
                <w:color w:val="auto"/>
              </w:rPr>
            </w:pPr>
            <w:r>
              <w:rPr>
                <w:rFonts w:ascii="Courier New" w:cs="Courier New" w:eastAsia="Courier New" w:hAnsi="Courier New"/>
                <w:sz w:val="15"/>
                <w:szCs w:val="15"/>
                <w:color w:val="auto"/>
              </w:rPr>
              <w:t>Summary</w:t>
            </w:r>
          </w:p>
        </w:tc>
        <w:tc>
          <w:tcPr>
            <w:tcW w:w="3140" w:type="dxa"/>
            <w:vAlign w:val="bottom"/>
          </w:tcPr>
          <w:p>
            <w:pPr>
              <w:ind w:left="40"/>
              <w:spacing w:after="0"/>
              <w:rPr>
                <w:sz w:val="20"/>
                <w:szCs w:val="20"/>
                <w:color w:val="auto"/>
              </w:rPr>
            </w:pPr>
            <w:r>
              <w:rPr>
                <w:rFonts w:ascii="Courier New" w:cs="Courier New" w:eastAsia="Courier New" w:hAnsi="Courier New"/>
                <w:sz w:val="15"/>
                <w:szCs w:val="15"/>
                <w:color w:val="auto"/>
              </w:rPr>
              <w:t>Balance Sheets</w:t>
            </w:r>
          </w:p>
        </w:tc>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1"/>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Cash and cash equivalents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4,394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18,602</w:t>
            </w:r>
          </w:p>
        </w:tc>
      </w:tr>
      <w:tr>
        <w:trPr>
          <w:trHeight w:val="171"/>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Receivables-net</w:t>
            </w:r>
          </w:p>
        </w:tc>
        <w:tc>
          <w:tcPr>
            <w:tcW w:w="14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99,932</w:t>
            </w:r>
          </w:p>
        </w:tc>
        <w:tc>
          <w:tcPr>
            <w:tcW w:w="280" w:type="dxa"/>
            <w:vAlign w:val="bottom"/>
          </w:tcPr>
          <w:p>
            <w:pPr>
              <w:spacing w:after="0"/>
              <w:rPr>
                <w:sz w:val="14"/>
                <w:szCs w:val="14"/>
                <w:color w:val="auto"/>
              </w:rPr>
            </w:pPr>
          </w:p>
        </w:tc>
        <w:tc>
          <w:tcPr>
            <w:tcW w:w="15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94,628</w:t>
            </w:r>
          </w:p>
        </w:tc>
      </w:tr>
      <w:tr>
        <w:trPr>
          <w:trHeight w:val="171"/>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Other receivables and assets</w:t>
            </w:r>
          </w:p>
        </w:tc>
        <w:tc>
          <w:tcPr>
            <w:tcW w:w="14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1,377</w:t>
            </w:r>
          </w:p>
        </w:tc>
        <w:tc>
          <w:tcPr>
            <w:tcW w:w="280" w:type="dxa"/>
            <w:vAlign w:val="bottom"/>
          </w:tcPr>
          <w:p>
            <w:pPr>
              <w:spacing w:after="0"/>
              <w:rPr>
                <w:sz w:val="14"/>
                <w:szCs w:val="14"/>
                <w:color w:val="auto"/>
              </w:rPr>
            </w:pPr>
          </w:p>
        </w:tc>
        <w:tc>
          <w:tcPr>
            <w:tcW w:w="15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1,510</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 - - -</w:t>
            </w:r>
          </w:p>
        </w:tc>
        <w:tc>
          <w:tcPr>
            <w:tcW w:w="714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8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Total assets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105,703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806"/>
              <w:spacing w:after="0"/>
              <w:rPr>
                <w:sz w:val="20"/>
                <w:szCs w:val="20"/>
                <w:color w:val="auto"/>
              </w:rPr>
            </w:pPr>
            <w:r>
              <w:rPr>
                <w:rFonts w:ascii="Courier New" w:cs="Courier New" w:eastAsia="Courier New" w:hAnsi="Courier New"/>
                <w:sz w:val="15"/>
                <w:szCs w:val="15"/>
                <w:color w:val="auto"/>
                <w:w w:val="95"/>
              </w:rPr>
              <w:t>114,740</w:t>
            </w:r>
          </w:p>
        </w:tc>
      </w:tr>
    </w:tbl>
    <w:p>
      <w:pPr>
        <w:spacing w:after="0" w:line="3" w:lineRule="exact"/>
        <w:rPr>
          <w:sz w:val="20"/>
          <w:szCs w:val="20"/>
          <w:color w:val="auto"/>
        </w:rPr>
      </w:pPr>
    </w:p>
    <w:p>
      <w:pPr>
        <w:ind w:left="169" w:hanging="169"/>
        <w:spacing w:after="0"/>
        <w:tabs>
          <w:tab w:leader="none" w:pos="169"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LIABILITIES AND SHAREHOLDERS' EQUITY</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Current portion</w:t>
            </w:r>
          </w:p>
        </w:tc>
        <w:tc>
          <w:tcPr>
            <w:tcW w:w="2800" w:type="dxa"/>
            <w:vAlign w:val="bottom"/>
          </w:tcPr>
          <w:p>
            <w:pPr>
              <w:ind w:left="60"/>
              <w:spacing w:after="0"/>
              <w:rPr>
                <w:sz w:val="20"/>
                <w:szCs w:val="20"/>
                <w:color w:val="auto"/>
              </w:rPr>
            </w:pPr>
            <w:r>
              <w:rPr>
                <w:rFonts w:ascii="Courier New" w:cs="Courier New" w:eastAsia="Courier New" w:hAnsi="Courier New"/>
                <w:sz w:val="15"/>
                <w:szCs w:val="15"/>
                <w:color w:val="auto"/>
              </w:rPr>
              <w:t>of long-term debt</w:t>
            </w:r>
          </w:p>
        </w:tc>
        <w:tc>
          <w:tcPr>
            <w:tcW w:w="1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$ 20,000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$ 15,000</w:t>
            </w:r>
          </w:p>
        </w:tc>
      </w:tr>
      <w:tr>
        <w:trPr>
          <w:trHeight w:val="171"/>
        </w:trPr>
        <w:tc>
          <w:tcPr>
            <w:tcW w:w="4160" w:type="dxa"/>
            <w:vAlign w:val="bottom"/>
            <w:gridSpan w:val="2"/>
          </w:tcPr>
          <w:p>
            <w:pPr>
              <w:spacing w:after="0"/>
              <w:rPr>
                <w:sz w:val="20"/>
                <w:szCs w:val="20"/>
                <w:color w:val="auto"/>
              </w:rPr>
            </w:pPr>
            <w:r>
              <w:rPr>
                <w:rFonts w:ascii="Courier New" w:cs="Courier New" w:eastAsia="Courier New" w:hAnsi="Courier New"/>
                <w:sz w:val="15"/>
                <w:szCs w:val="15"/>
                <w:color w:val="auto"/>
              </w:rPr>
              <w:t>Other liabilities</w:t>
            </w:r>
          </w:p>
        </w:tc>
        <w:tc>
          <w:tcPr>
            <w:tcW w:w="1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7,994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8,897</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Long-term debt,</w:t>
            </w:r>
          </w:p>
        </w:tc>
        <w:tc>
          <w:tcPr>
            <w:tcW w:w="2800" w:type="dxa"/>
            <w:vAlign w:val="bottom"/>
          </w:tcPr>
          <w:p>
            <w:pPr>
              <w:ind w:left="60"/>
              <w:spacing w:after="0"/>
              <w:rPr>
                <w:sz w:val="20"/>
                <w:szCs w:val="20"/>
                <w:color w:val="auto"/>
              </w:rPr>
            </w:pPr>
            <w:r>
              <w:rPr>
                <w:rFonts w:ascii="Courier New" w:cs="Courier New" w:eastAsia="Courier New" w:hAnsi="Courier New"/>
                <w:sz w:val="15"/>
                <w:szCs w:val="15"/>
                <w:color w:val="auto"/>
              </w:rPr>
              <w:t>less current portion</w:t>
            </w:r>
          </w:p>
        </w:tc>
        <w:tc>
          <w:tcPr>
            <w:tcW w:w="1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25,000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45,000</w:t>
            </w:r>
          </w:p>
        </w:tc>
      </w:tr>
      <w:tr>
        <w:trPr>
          <w:trHeight w:val="171"/>
        </w:trPr>
        <w:tc>
          <w:tcPr>
            <w:tcW w:w="4160" w:type="dxa"/>
            <w:vAlign w:val="bottom"/>
            <w:gridSpan w:val="2"/>
          </w:tcPr>
          <w:p>
            <w:pPr>
              <w:spacing w:after="0"/>
              <w:rPr>
                <w:sz w:val="20"/>
                <w:szCs w:val="20"/>
                <w:color w:val="auto"/>
              </w:rPr>
            </w:pPr>
            <w:r>
              <w:rPr>
                <w:rFonts w:ascii="Courier New" w:cs="Courier New" w:eastAsia="Courier New" w:hAnsi="Courier New"/>
                <w:sz w:val="15"/>
                <w:szCs w:val="15"/>
                <w:color w:val="auto"/>
              </w:rPr>
              <w:t>Shareholders' equity</w:t>
            </w:r>
          </w:p>
        </w:tc>
        <w:tc>
          <w:tcPr>
            <w:tcW w:w="1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52,709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45,843</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 --------------------------------------------------------------------------------</w:t>
      </w:r>
    </w:p>
    <w:p>
      <w:pPr>
        <w:spacing w:after="0" w:line="9" w:lineRule="exact"/>
        <w:rPr>
          <w:sz w:val="20"/>
          <w:szCs w:val="20"/>
          <w:color w:val="auto"/>
        </w:rPr>
      </w:pPr>
    </w:p>
    <w:tbl>
      <w:tblPr>
        <w:tblLayout w:type="fixed"/>
        <w:tblInd w:w="349" w:type="dxa"/>
        <w:tblCellMar>
          <w:top w:w="0" w:type="dxa"/>
          <w:left w:w="0" w:type="dxa"/>
          <w:bottom w:w="0" w:type="dxa"/>
          <w:right w:w="0" w:type="dxa"/>
        </w:tblCellMar>
      </w:tblP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$105,703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$114,740</w:t>
            </w:r>
          </w:p>
        </w:tc>
      </w:tr>
    </w:tbl>
    <w:p>
      <w:pPr>
        <w:spacing w:after="0" w:line="3" w:lineRule="exact"/>
        <w:rPr>
          <w:sz w:val="20"/>
          <w:szCs w:val="20"/>
          <w:color w:val="auto"/>
        </w:rPr>
      </w:pPr>
    </w:p>
    <w:p>
      <w:pPr>
        <w:ind w:left="169" w:hanging="169"/>
        <w:spacing w:after="0"/>
        <w:tabs>
          <w:tab w:leader="none" w:pos="169"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189"/>
        <w:spacing w:after="0"/>
        <w:tabs>
          <w:tab w:leader="none" w:pos="5029" w:val="left"/>
          <w:tab w:leader="none" w:pos="6909" w:val="left"/>
        </w:tabs>
        <w:rPr>
          <w:sz w:val="20"/>
          <w:szCs w:val="20"/>
          <w:color w:val="auto"/>
        </w:rPr>
      </w:pPr>
      <w:r>
        <w:rPr>
          <w:rFonts w:ascii="Courier New" w:cs="Courier New" w:eastAsia="Courier New" w:hAnsi="Courier New"/>
          <w:sz w:val="15"/>
          <w:szCs w:val="15"/>
          <w:color w:val="auto"/>
        </w:rPr>
        <w:t>The Toro Company</w:t>
      </w:r>
      <w:r>
        <w:rPr>
          <w:sz w:val="20"/>
          <w:szCs w:val="20"/>
          <w:color w:val="auto"/>
        </w:rPr>
        <w:tab/>
      </w:r>
      <w:r>
        <w:rPr>
          <w:rFonts w:ascii="Courier New" w:cs="Courier New" w:eastAsia="Courier New" w:hAnsi="Courier New"/>
          <w:sz w:val="15"/>
          <w:szCs w:val="15"/>
          <w:color w:val="auto"/>
        </w:rPr>
        <w:t>1994 Annual Report</w:t>
      </w:r>
      <w:r>
        <w:rPr>
          <w:sz w:val="20"/>
          <w:szCs w:val="20"/>
          <w:color w:val="auto"/>
        </w:rPr>
        <w:tab/>
      </w:r>
      <w:r>
        <w:rPr>
          <w:rFonts w:ascii="Courier New" w:cs="Courier New" w:eastAsia="Courier New" w:hAnsi="Courier New"/>
          <w:sz w:val="15"/>
          <w:szCs w:val="15"/>
          <w:color w:val="auto"/>
        </w:rPr>
        <w:t>27</w:t>
      </w:r>
    </w:p>
    <w:p>
      <w:pPr>
        <w:sectPr>
          <w:pgSz w:w="11900" w:h="16838" w:orient="portrait"/>
          <w:cols w:equalWidth="0" w:num="1">
            <w:col w:w="10228"/>
          </w:cols>
          <w:pgMar w:left="231" w:top="139" w:right="1440" w:bottom="1440" w:gutter="0" w:footer="0" w:header="0"/>
        </w:sectPr>
      </w:pPr>
    </w:p>
    <w:bookmarkStart w:id="45" w:name="page46"/>
    <w:bookmarkEnd w:id="45"/>
    <w:p>
      <w:pPr>
        <w:ind w:left="449"/>
        <w:spacing w:after="0"/>
        <w:rPr>
          <w:sz w:val="20"/>
          <w:szCs w:val="20"/>
          <w:color w:val="auto"/>
        </w:rPr>
      </w:pPr>
      <w:r>
        <w:rPr>
          <w:rFonts w:ascii="Courier New" w:cs="Courier New" w:eastAsia="Courier New" w:hAnsi="Courier New"/>
          <w:sz w:val="15"/>
          <w:szCs w:val="15"/>
          <w:color w:val="auto"/>
        </w:rPr>
        <w:t>Of the finance revenues presented previously, $13,272,000 in 1994,</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$12,659,000 in 1993 and $13,314,000 in 1992 represent transactions with TCC's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parent company, The Toro Company, which are eliminated in consolidation.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remaining finance revenues of $4,164,000 in 1994, $4,401,000 in 1993 and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$4,388,000 in 1992 are included in other income, net in The Toro Company's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Consolidated Statements of Operations. The expenses and balance sheet items (net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of eliminations) are included in the Consolidated Statements of Operations and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Consolidated Balance Sheets under the corresponding classifications.</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14 Quarterly Financial Data (unaudited)</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Summarized quarterly financial data for 1994 and 1993 is as follows:</w:t>
      </w:r>
    </w:p>
    <w:p>
      <w:pPr>
        <w:spacing w:after="0" w:line="200" w:lineRule="exact"/>
        <w:rPr>
          <w:sz w:val="20"/>
          <w:szCs w:val="20"/>
          <w:color w:val="auto"/>
        </w:rPr>
      </w:pPr>
    </w:p>
    <w:p>
      <w:pPr>
        <w:spacing w:after="0" w:line="315" w:lineRule="exact"/>
        <w:rPr>
          <w:sz w:val="20"/>
          <w:szCs w:val="20"/>
          <w:color w:val="auto"/>
        </w:rPr>
      </w:pPr>
    </w:p>
    <w:p>
      <w:pPr>
        <w:ind w:left="169" w:hanging="169"/>
        <w:spacing w:after="0"/>
        <w:tabs>
          <w:tab w:leader="none" w:pos="169"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(Dollars in thousands except per-share data)</w:t>
      </w:r>
    </w:p>
    <w:p>
      <w:pPr>
        <w:spacing w:after="0" w:line="1" w:lineRule="exact"/>
        <w:rPr>
          <w:sz w:val="20"/>
          <w:szCs w:val="20"/>
          <w:color w:val="auto"/>
        </w:rPr>
      </w:pPr>
    </w:p>
    <w:p>
      <w:pPr>
        <w:ind w:left="9"/>
        <w:spacing w:after="0"/>
        <w:tabs>
          <w:tab w:leader="none" w:pos="3269" w:val="left"/>
          <w:tab w:leader="none" w:pos="4249" w:val="left"/>
          <w:tab w:leader="none" w:pos="5389" w:val="left"/>
          <w:tab w:leader="none" w:pos="6369" w:val="left"/>
        </w:tabs>
        <w:rPr>
          <w:sz w:val="20"/>
          <w:szCs w:val="20"/>
          <w:color w:val="auto"/>
        </w:rPr>
      </w:pPr>
      <w:r>
        <w:rPr>
          <w:rFonts w:ascii="Courier New" w:cs="Courier New" w:eastAsia="Courier New" w:hAnsi="Courier New"/>
          <w:sz w:val="15"/>
          <w:szCs w:val="15"/>
          <w:color w:val="auto"/>
        </w:rPr>
        <w:t>Quarter</w:t>
      </w:r>
      <w:r>
        <w:rPr>
          <w:sz w:val="20"/>
          <w:szCs w:val="20"/>
          <w:color w:val="auto"/>
        </w:rPr>
        <w:tab/>
      </w:r>
      <w:r>
        <w:rPr>
          <w:rFonts w:ascii="Courier New" w:cs="Courier New" w:eastAsia="Courier New" w:hAnsi="Courier New"/>
          <w:sz w:val="15"/>
          <w:szCs w:val="15"/>
          <w:color w:val="auto"/>
        </w:rPr>
        <w:t>First</w:t>
      </w:r>
      <w:r>
        <w:rPr>
          <w:sz w:val="20"/>
          <w:szCs w:val="20"/>
          <w:color w:val="auto"/>
        </w:rPr>
        <w:tab/>
      </w:r>
      <w:r>
        <w:rPr>
          <w:rFonts w:ascii="Courier New" w:cs="Courier New" w:eastAsia="Courier New" w:hAnsi="Courier New"/>
          <w:sz w:val="15"/>
          <w:szCs w:val="15"/>
          <w:color w:val="auto"/>
        </w:rPr>
        <w:t>Second</w:t>
      </w:r>
      <w:r>
        <w:rPr>
          <w:sz w:val="20"/>
          <w:szCs w:val="20"/>
          <w:color w:val="auto"/>
        </w:rPr>
        <w:tab/>
      </w:r>
      <w:r>
        <w:rPr>
          <w:rFonts w:ascii="Courier New" w:cs="Courier New" w:eastAsia="Courier New" w:hAnsi="Courier New"/>
          <w:sz w:val="15"/>
          <w:szCs w:val="15"/>
          <w:color w:val="auto"/>
        </w:rPr>
        <w:t>Third</w:t>
      </w:r>
      <w:r>
        <w:rPr>
          <w:sz w:val="20"/>
          <w:szCs w:val="20"/>
          <w:color w:val="auto"/>
        </w:rPr>
        <w:tab/>
      </w:r>
      <w:r>
        <w:rPr>
          <w:rFonts w:ascii="Courier New" w:cs="Courier New" w:eastAsia="Courier New" w:hAnsi="Courier New"/>
          <w:sz w:val="15"/>
          <w:szCs w:val="15"/>
          <w:color w:val="auto"/>
        </w:rPr>
        <w:t>Fourth</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78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27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$135,761</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$189,413</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$276,476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$192,691</w:t>
            </w:r>
          </w:p>
        </w:tc>
      </w:tr>
      <w:tr>
        <w:trPr>
          <w:trHeight w:val="171"/>
        </w:trPr>
        <w:tc>
          <w:tcPr>
            <w:tcW w:w="278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49,035</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66,587</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97,689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74,214</w:t>
            </w:r>
          </w:p>
        </w:tc>
      </w:tr>
      <w:tr>
        <w:trPr>
          <w:trHeight w:val="171"/>
        </w:trPr>
        <w:tc>
          <w:tcPr>
            <w:tcW w:w="2780" w:type="dxa"/>
            <w:vAlign w:val="bottom"/>
          </w:tcPr>
          <w:p>
            <w:pPr>
              <w:spacing w:after="0"/>
              <w:rPr>
                <w:sz w:val="20"/>
                <w:szCs w:val="20"/>
                <w:color w:val="auto"/>
              </w:rPr>
            </w:pPr>
            <w:r>
              <w:rPr>
                <w:rFonts w:ascii="Courier New" w:cs="Courier New" w:eastAsia="Courier New" w:hAnsi="Courier New"/>
                <w:sz w:val="15"/>
                <w:szCs w:val="15"/>
                <w:color w:val="auto"/>
              </w:rPr>
              <w:t>Net earnings (loss)</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(1,895)</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4,477</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15,637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4,011</w:t>
            </w:r>
          </w:p>
        </w:tc>
      </w:tr>
      <w:tr>
        <w:trPr>
          <w:trHeight w:val="171"/>
        </w:trPr>
        <w:tc>
          <w:tcPr>
            <w:tcW w:w="2780" w:type="dxa"/>
            <w:vAlign w:val="bottom"/>
          </w:tcPr>
          <w:p>
            <w:pPr>
              <w:spacing w:after="0"/>
              <w:rPr>
                <w:sz w:val="20"/>
                <w:szCs w:val="20"/>
                <w:color w:val="auto"/>
              </w:rPr>
            </w:pPr>
            <w:r>
              <w:rPr>
                <w:rFonts w:ascii="Courier New" w:cs="Courier New" w:eastAsia="Courier New" w:hAnsi="Courier New"/>
                <w:sz w:val="15"/>
                <w:szCs w:val="15"/>
                <w:color w:val="auto"/>
              </w:rPr>
              <w:t>Net earnings (loss) per share</w:t>
            </w: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2780" w:type="dxa"/>
            <w:vAlign w:val="bottom"/>
          </w:tcPr>
          <w:p>
            <w:pPr>
              <w:ind w:left="160"/>
              <w:spacing w:after="0"/>
              <w:rPr>
                <w:sz w:val="20"/>
                <w:szCs w:val="20"/>
                <w:color w:val="auto"/>
              </w:rPr>
            </w:pPr>
            <w:r>
              <w:rPr>
                <w:rFonts w:ascii="Courier New" w:cs="Courier New" w:eastAsia="Courier New" w:hAnsi="Courier New"/>
                <w:sz w:val="15"/>
                <w:szCs w:val="15"/>
                <w:color w:val="auto"/>
              </w:rPr>
              <w:t>of common stock and common</w:t>
            </w: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2780" w:type="dxa"/>
            <w:vAlign w:val="bottom"/>
          </w:tcPr>
          <w:p>
            <w:pPr>
              <w:ind w:left="160"/>
              <w:spacing w:after="0"/>
              <w:rPr>
                <w:sz w:val="20"/>
                <w:szCs w:val="20"/>
                <w:color w:val="auto"/>
              </w:rPr>
            </w:pPr>
            <w:r>
              <w:rPr>
                <w:rFonts w:ascii="Courier New" w:cs="Courier New" w:eastAsia="Courier New" w:hAnsi="Courier New"/>
                <w:sz w:val="15"/>
                <w:szCs w:val="15"/>
                <w:color w:val="auto"/>
              </w:rPr>
              <w:t>stock equivalent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(0.15)</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0.35</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0.31</w:t>
            </w:r>
          </w:p>
        </w:tc>
      </w:tr>
      <w:tr>
        <w:trPr>
          <w:trHeight w:val="171"/>
        </w:trPr>
        <w:tc>
          <w:tcPr>
            <w:tcW w:w="2780" w:type="dxa"/>
            <w:vAlign w:val="bottom"/>
          </w:tcPr>
          <w:p>
            <w:pPr>
              <w:spacing w:after="0"/>
              <w:rPr>
                <w:sz w:val="20"/>
                <w:szCs w:val="20"/>
                <w:color w:val="auto"/>
              </w:rPr>
            </w:pPr>
            <w:r>
              <w:rPr>
                <w:rFonts w:ascii="Courier New" w:cs="Courier New" w:eastAsia="Courier New" w:hAnsi="Courier New"/>
                <w:sz w:val="15"/>
                <w:szCs w:val="15"/>
                <w:color w:val="auto"/>
              </w:rPr>
              <w:t>Dividends per common share</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0.12</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0.12</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0.12</w:t>
            </w:r>
          </w:p>
        </w:tc>
      </w:tr>
      <w:tr>
        <w:trPr>
          <w:trHeight w:val="171"/>
        </w:trPr>
        <w:tc>
          <w:tcPr>
            <w:tcW w:w="2780" w:type="dxa"/>
            <w:vAlign w:val="bottom"/>
          </w:tcPr>
          <w:p>
            <w:pPr>
              <w:spacing w:after="0"/>
              <w:rPr>
                <w:sz w:val="20"/>
                <w:szCs w:val="20"/>
                <w:color w:val="auto"/>
              </w:rPr>
            </w:pPr>
            <w:r>
              <w:rPr>
                <w:rFonts w:ascii="Courier New" w:cs="Courier New" w:eastAsia="Courier New" w:hAnsi="Courier New"/>
                <w:sz w:val="15"/>
                <w:szCs w:val="15"/>
                <w:color w:val="auto"/>
              </w:rPr>
              <w:t>Market price of common stock</w:t>
            </w: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2780" w:type="dxa"/>
            <w:vAlign w:val="bottom"/>
          </w:tcPr>
          <w:p>
            <w:pPr>
              <w:ind w:left="160"/>
              <w:spacing w:after="0"/>
              <w:rPr>
                <w:sz w:val="20"/>
                <w:szCs w:val="20"/>
                <w:color w:val="auto"/>
              </w:rPr>
            </w:pPr>
            <w:r>
              <w:rPr>
                <w:rFonts w:ascii="Courier New" w:cs="Courier New" w:eastAsia="Courier New" w:hAnsi="Courier New"/>
                <w:sz w:val="15"/>
                <w:szCs w:val="15"/>
                <w:color w:val="auto"/>
              </w:rPr>
              <w:t>High bid</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 3/4</w:t>
            </w:r>
          </w:p>
        </w:tc>
        <w:tc>
          <w:tcPr>
            <w:tcW w:w="10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28</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 1/2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26 3/4</w:t>
            </w:r>
          </w:p>
        </w:tc>
      </w:tr>
      <w:tr>
        <w:trPr>
          <w:trHeight w:val="171"/>
        </w:trPr>
        <w:tc>
          <w:tcPr>
            <w:tcW w:w="2780" w:type="dxa"/>
            <w:vAlign w:val="bottom"/>
          </w:tcPr>
          <w:p>
            <w:pPr>
              <w:ind w:left="160"/>
              <w:spacing w:after="0"/>
              <w:rPr>
                <w:sz w:val="20"/>
                <w:szCs w:val="20"/>
                <w:color w:val="auto"/>
              </w:rPr>
            </w:pPr>
            <w:r>
              <w:rPr>
                <w:rFonts w:ascii="Courier New" w:cs="Courier New" w:eastAsia="Courier New" w:hAnsi="Courier New"/>
                <w:sz w:val="15"/>
                <w:szCs w:val="15"/>
                <w:color w:val="auto"/>
              </w:rPr>
              <w:t>Low bid</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 3/4</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 5/8</w:t>
            </w: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20 7/8</w:t>
            </w:r>
          </w:p>
        </w:tc>
      </w:tr>
    </w:tbl>
    <w:p>
      <w:pPr>
        <w:spacing w:after="0" w:line="3" w:lineRule="exact"/>
        <w:rPr>
          <w:sz w:val="20"/>
          <w:szCs w:val="20"/>
          <w:color w:val="auto"/>
        </w:rPr>
      </w:pPr>
    </w:p>
    <w:p>
      <w:pPr>
        <w:ind w:left="169" w:hanging="169"/>
        <w:spacing w:after="0"/>
        <w:tabs>
          <w:tab w:leader="none" w:pos="169"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1993</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sales</w:t>
            </w:r>
          </w:p>
        </w:tc>
        <w:tc>
          <w:tcPr>
            <w:tcW w:w="164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$113,443</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$153,172</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$241,347</w:t>
            </w:r>
          </w:p>
        </w:tc>
        <w:tc>
          <w:tcPr>
            <w:tcW w:w="178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$176,362</w:t>
            </w:r>
          </w:p>
        </w:tc>
      </w:tr>
      <w:tr>
        <w:trPr>
          <w:trHeight w:val="171"/>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Gross profit</w:t>
            </w:r>
          </w:p>
        </w:tc>
        <w:tc>
          <w:tcPr>
            <w:tcW w:w="164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38,889</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53,709</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83,794</w:t>
            </w:r>
          </w:p>
        </w:tc>
        <w:tc>
          <w:tcPr>
            <w:tcW w:w="178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62,437</w:t>
            </w: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earnings</w:t>
            </w:r>
          </w:p>
        </w:tc>
        <w:tc>
          <w:tcPr>
            <w:tcW w:w="1640" w:type="dxa"/>
            <w:vAlign w:val="bottom"/>
          </w:tcPr>
          <w:p>
            <w:pPr>
              <w:ind w:left="40"/>
              <w:spacing w:after="0"/>
              <w:rPr>
                <w:sz w:val="20"/>
                <w:szCs w:val="20"/>
                <w:color w:val="auto"/>
              </w:rPr>
            </w:pPr>
            <w:r>
              <w:rPr>
                <w:rFonts w:ascii="Courier New" w:cs="Courier New" w:eastAsia="Courier New" w:hAnsi="Courier New"/>
                <w:sz w:val="15"/>
                <w:szCs w:val="15"/>
                <w:color w:val="auto"/>
              </w:rPr>
              <w:t>(loss)</w:t>
            </w: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(4,135)</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1,816</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12,742</w:t>
            </w:r>
          </w:p>
        </w:tc>
        <w:tc>
          <w:tcPr>
            <w:tcW w:w="178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2,617</w:t>
            </w: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earnings</w:t>
            </w:r>
          </w:p>
        </w:tc>
        <w:tc>
          <w:tcPr>
            <w:tcW w:w="1640" w:type="dxa"/>
            <w:vAlign w:val="bottom"/>
          </w:tcPr>
          <w:p>
            <w:pPr>
              <w:ind w:left="40"/>
              <w:spacing w:after="0"/>
              <w:rPr>
                <w:sz w:val="20"/>
                <w:szCs w:val="20"/>
                <w:color w:val="auto"/>
              </w:rPr>
            </w:pPr>
            <w:r>
              <w:rPr>
                <w:rFonts w:ascii="Courier New" w:cs="Courier New" w:eastAsia="Courier New" w:hAnsi="Courier New"/>
                <w:sz w:val="15"/>
                <w:szCs w:val="15"/>
                <w:color w:val="auto"/>
              </w:rPr>
              <w:t>(loss) per</w:t>
            </w: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71"/>
        </w:trPr>
        <w:tc>
          <w:tcPr>
            <w:tcW w:w="274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share of common stock and</w:t>
            </w: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71"/>
        </w:trPr>
        <w:tc>
          <w:tcPr>
            <w:tcW w:w="274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common stock equivalent</w:t>
            </w: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(0.34)</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0.15</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1.01</w:t>
            </w:r>
          </w:p>
        </w:tc>
        <w:tc>
          <w:tcPr>
            <w:tcW w:w="178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0.21</w:t>
            </w:r>
          </w:p>
        </w:tc>
      </w:tr>
      <w:tr>
        <w:trPr>
          <w:trHeight w:val="171"/>
        </w:trPr>
        <w:tc>
          <w:tcPr>
            <w:tcW w:w="2740" w:type="dxa"/>
            <w:vAlign w:val="bottom"/>
            <w:gridSpan w:val="3"/>
          </w:tcPr>
          <w:p>
            <w:pPr>
              <w:spacing w:after="0"/>
              <w:rPr>
                <w:sz w:val="20"/>
                <w:szCs w:val="20"/>
                <w:color w:val="auto"/>
              </w:rPr>
            </w:pPr>
            <w:r>
              <w:rPr>
                <w:rFonts w:ascii="Courier New" w:cs="Courier New" w:eastAsia="Courier New" w:hAnsi="Courier New"/>
                <w:sz w:val="15"/>
                <w:szCs w:val="15"/>
                <w:color w:val="auto"/>
              </w:rPr>
              <w:t>Dividends per common share</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0.12</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0.12</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0.12</w:t>
            </w:r>
          </w:p>
        </w:tc>
        <w:tc>
          <w:tcPr>
            <w:tcW w:w="178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0.12</w:t>
            </w:r>
          </w:p>
        </w:tc>
      </w:tr>
      <w:tr>
        <w:trPr>
          <w:trHeight w:val="171"/>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Market price</w:t>
            </w:r>
          </w:p>
        </w:tc>
        <w:tc>
          <w:tcPr>
            <w:tcW w:w="1640" w:type="dxa"/>
            <w:vAlign w:val="bottom"/>
          </w:tcPr>
          <w:p>
            <w:pPr>
              <w:ind w:left="40"/>
              <w:spacing w:after="0"/>
              <w:rPr>
                <w:sz w:val="20"/>
                <w:szCs w:val="20"/>
                <w:color w:val="auto"/>
              </w:rPr>
            </w:pPr>
            <w:r>
              <w:rPr>
                <w:rFonts w:ascii="Courier New" w:cs="Courier New" w:eastAsia="Courier New" w:hAnsi="Courier New"/>
                <w:sz w:val="15"/>
                <w:szCs w:val="15"/>
                <w:color w:val="auto"/>
              </w:rPr>
              <w:t>of common stock</w:t>
            </w: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71"/>
        </w:trPr>
        <w:tc>
          <w:tcPr>
            <w:tcW w:w="1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High bid</w:t>
            </w:r>
          </w:p>
        </w:tc>
        <w:tc>
          <w:tcPr>
            <w:tcW w:w="164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 1/4</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 3/8</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 7/8</w:t>
            </w:r>
          </w:p>
        </w:tc>
        <w:tc>
          <w:tcPr>
            <w:tcW w:w="178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20 1/4</w:t>
            </w:r>
          </w:p>
        </w:tc>
      </w:tr>
      <w:tr>
        <w:trPr>
          <w:trHeight w:val="171"/>
        </w:trPr>
        <w:tc>
          <w:tcPr>
            <w:tcW w:w="1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Low bid</w:t>
            </w:r>
          </w:p>
        </w:tc>
        <w:tc>
          <w:tcPr>
            <w:tcW w:w="164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 3/8</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 1/8</w:t>
            </w: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18</w:t>
            </w:r>
          </w:p>
        </w:tc>
        <w:tc>
          <w:tcPr>
            <w:tcW w:w="178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16 3/4</w:t>
            </w: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500" w:type="dxa"/>
            <w:vAlign w:val="bottom"/>
            <w:gridSpan w:val="6"/>
          </w:tcPr>
          <w:p>
            <w:pPr>
              <w:ind w:left="40"/>
              <w:spacing w:after="0"/>
              <w:rPr>
                <w:sz w:val="20"/>
                <w:szCs w:val="20"/>
                <w:color w:val="auto"/>
              </w:rPr>
            </w:pPr>
            <w:r>
              <w:rPr>
                <w:rFonts w:ascii="Courier New" w:cs="Courier New" w:eastAsia="Courier New" w:hAnsi="Courier New"/>
                <w:sz w:val="15"/>
                <w:szCs w:val="15"/>
                <w:color w:val="auto"/>
                <w:w w:val="98"/>
              </w:rPr>
              <w:t>- - --------------------------------------------------------------------------------</w:t>
            </w:r>
          </w:p>
        </w:tc>
      </w:tr>
    </w:tbl>
    <w:p>
      <w:pPr>
        <w:spacing w:after="0" w:line="200" w:lineRule="exact"/>
        <w:rPr>
          <w:sz w:val="20"/>
          <w:szCs w:val="20"/>
          <w:color w:val="auto"/>
        </w:rPr>
      </w:pPr>
    </w:p>
    <w:p>
      <w:pPr>
        <w:spacing w:after="0" w:line="313" w:lineRule="exact"/>
        <w:rPr>
          <w:sz w:val="20"/>
          <w:szCs w:val="20"/>
          <w:color w:val="auto"/>
        </w:rPr>
      </w:pPr>
    </w:p>
    <w:p>
      <w:pPr>
        <w:ind w:left="9"/>
        <w:spacing w:after="0"/>
        <w:tabs>
          <w:tab w:leader="none" w:pos="429" w:val="left"/>
          <w:tab w:leader="none" w:pos="2289" w:val="left"/>
        </w:tabs>
        <w:rPr>
          <w:sz w:val="20"/>
          <w:szCs w:val="20"/>
          <w:color w:val="auto"/>
        </w:rPr>
      </w:pPr>
      <w:r>
        <w:rPr>
          <w:rFonts w:ascii="Courier New" w:cs="Courier New" w:eastAsia="Courier New" w:hAnsi="Courier New"/>
          <w:sz w:val="15"/>
          <w:szCs w:val="15"/>
          <w:color w:val="auto"/>
        </w:rPr>
        <w:t>28</w:t>
      </w:r>
      <w:r>
        <w:rPr>
          <w:sz w:val="20"/>
          <w:szCs w:val="20"/>
          <w:color w:val="auto"/>
        </w:rPr>
        <w:tab/>
      </w:r>
      <w:r>
        <w:rPr>
          <w:rFonts w:ascii="Courier New" w:cs="Courier New" w:eastAsia="Courier New" w:hAnsi="Courier New"/>
          <w:sz w:val="15"/>
          <w:szCs w:val="15"/>
          <w:color w:val="auto"/>
        </w:rPr>
        <w:t>The Toro Company</w:t>
      </w:r>
      <w:r>
        <w:rPr>
          <w:sz w:val="20"/>
          <w:szCs w:val="20"/>
          <w:color w:val="auto"/>
        </w:rPr>
        <w:tab/>
      </w:r>
      <w:r>
        <w:rPr>
          <w:rFonts w:ascii="Courier New" w:cs="Courier New" w:eastAsia="Courier New" w:hAnsi="Courier New"/>
          <w:sz w:val="14"/>
          <w:szCs w:val="14"/>
          <w:color w:val="auto"/>
        </w:rPr>
        <w:t>1994 Annual Report</w:t>
      </w:r>
    </w:p>
    <w:p>
      <w:pPr>
        <w:sectPr>
          <w:pgSz w:w="11900" w:h="16838" w:orient="portrait"/>
          <w:cols w:equalWidth="0" w:num="1">
            <w:col w:w="10228"/>
          </w:cols>
          <w:pgMar w:left="231" w:top="628" w:right="1440" w:bottom="1440" w:gutter="0" w:footer="0" w:header="0"/>
        </w:sectPr>
      </w:pPr>
    </w:p>
    <w:bookmarkStart w:id="46" w:name="page47"/>
    <w:bookmarkEnd w:id="46"/>
    <w:p>
      <w:pPr>
        <w:ind w:left="5580"/>
        <w:spacing w:after="0"/>
        <w:rPr>
          <w:sz w:val="20"/>
          <w:szCs w:val="20"/>
          <w:color w:val="auto"/>
        </w:rPr>
      </w:pPr>
      <w:r>
        <w:rPr>
          <w:rFonts w:ascii="Courier New" w:cs="Courier New" w:eastAsia="Courier New" w:hAnsi="Courier New"/>
          <w:sz w:val="15"/>
          <w:szCs w:val="15"/>
          <w:color w:val="auto"/>
        </w:rPr>
        <w:t>Exhibit 21</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THE TORO COMPANY</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SUBSIDIARIES OF REGISTRANT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the following subsidiaries are included in the consolidated financial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statements of The Toro Company as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31, 1994.</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4360" w:type="dxa"/>
            <w:vAlign w:val="bottom"/>
          </w:tcPr>
          <w:p>
            <w:pPr>
              <w:spacing w:after="0"/>
              <w:rPr>
                <w:sz w:val="14"/>
                <w:szCs w:val="14"/>
                <w:color w:val="auto"/>
              </w:rPr>
            </w:pPr>
          </w:p>
        </w:tc>
        <w:tc>
          <w:tcPr>
            <w:tcW w:w="274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8"/>
              </w:rPr>
              <w:t>STATE OR OTHER</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PERCENTAGE OF</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VOTING</w:t>
            </w:r>
          </w:p>
        </w:tc>
      </w:tr>
      <w:tr>
        <w:trPr>
          <w:trHeight w:val="171"/>
        </w:trPr>
        <w:tc>
          <w:tcPr>
            <w:tcW w:w="4360" w:type="dxa"/>
            <w:vAlign w:val="bottom"/>
          </w:tcPr>
          <w:p>
            <w:pPr>
              <w:spacing w:after="0"/>
              <w:rPr>
                <w:sz w:val="14"/>
                <w:szCs w:val="14"/>
                <w:color w:val="auto"/>
              </w:rPr>
            </w:pPr>
          </w:p>
        </w:tc>
        <w:tc>
          <w:tcPr>
            <w:tcW w:w="27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JURISDICTION</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SECURITIES</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OWNED</w:t>
            </w:r>
          </w:p>
        </w:tc>
      </w:tr>
      <w:tr>
        <w:trPr>
          <w:trHeight w:val="171"/>
        </w:trPr>
        <w:tc>
          <w:tcPr>
            <w:tcW w:w="4360" w:type="dxa"/>
            <w:vAlign w:val="bottom"/>
          </w:tcPr>
          <w:p>
            <w:pPr>
              <w:ind w:left="1340"/>
              <w:spacing w:after="0"/>
              <w:rPr>
                <w:sz w:val="20"/>
                <w:szCs w:val="20"/>
                <w:color w:val="auto"/>
              </w:rPr>
            </w:pPr>
            <w:r>
              <w:rPr>
                <w:rFonts w:ascii="Courier New" w:cs="Courier New" w:eastAsia="Courier New" w:hAnsi="Courier New"/>
                <w:sz w:val="15"/>
                <w:szCs w:val="15"/>
                <w:color w:val="auto"/>
              </w:rPr>
              <w:t>NAME</w:t>
            </w:r>
          </w:p>
        </w:tc>
        <w:tc>
          <w:tcPr>
            <w:tcW w:w="27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OF INCORPORATION</w:t>
            </w:r>
          </w:p>
        </w:tc>
        <w:tc>
          <w:tcPr>
            <w:tcW w:w="258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BY IMMEDIATE PARENT</w:t>
            </w:r>
          </w:p>
        </w:tc>
      </w:tr>
      <w:tr>
        <w:trPr>
          <w:trHeight w:val="171"/>
        </w:trPr>
        <w:tc>
          <w:tcPr>
            <w:tcW w:w="43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7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2580" w:type="dxa"/>
            <w:vAlign w:val="bottom"/>
            <w:gridSpan w:val="2"/>
          </w:tcPr>
          <w:p>
            <w:pPr>
              <w:jc w:val="center"/>
              <w:ind w:left="546"/>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4360" w:type="dxa"/>
            <w:vAlign w:val="bottom"/>
          </w:tcPr>
          <w:p>
            <w:pPr>
              <w:spacing w:after="0"/>
              <w:rPr>
                <w:sz w:val="20"/>
                <w:szCs w:val="20"/>
                <w:color w:val="auto"/>
              </w:rPr>
            </w:pPr>
            <w:r>
              <w:rPr>
                <w:rFonts w:ascii="Courier New" w:cs="Courier New" w:eastAsia="Courier New" w:hAnsi="Courier New"/>
                <w:sz w:val="15"/>
                <w:szCs w:val="15"/>
                <w:color w:val="auto"/>
              </w:rPr>
              <w:t>Toro Australia Pty. Limited</w:t>
            </w:r>
          </w:p>
        </w:tc>
        <w:tc>
          <w:tcPr>
            <w:tcW w:w="2740" w:type="dxa"/>
            <w:vAlign w:val="bottom"/>
          </w:tcPr>
          <w:p>
            <w:pPr>
              <w:ind w:left="880"/>
              <w:spacing w:after="0"/>
              <w:rPr>
                <w:sz w:val="20"/>
                <w:szCs w:val="20"/>
                <w:color w:val="auto"/>
              </w:rPr>
            </w:pPr>
            <w:r>
              <w:rPr>
                <w:rFonts w:ascii="Courier New" w:cs="Courier New" w:eastAsia="Courier New" w:hAnsi="Courier New"/>
                <w:sz w:val="15"/>
                <w:szCs w:val="15"/>
                <w:color w:val="auto"/>
              </w:rPr>
              <w:t>Australia</w:t>
            </w:r>
          </w:p>
        </w:tc>
        <w:tc>
          <w:tcPr>
            <w:tcW w:w="1820" w:type="dxa"/>
            <w:vAlign w:val="bottom"/>
          </w:tcPr>
          <w:p>
            <w:pPr>
              <w:jc w:val="center"/>
              <w:ind w:left="1306"/>
              <w:spacing w:after="0"/>
              <w:rPr>
                <w:sz w:val="20"/>
                <w:szCs w:val="20"/>
                <w:color w:val="auto"/>
              </w:rPr>
            </w:pPr>
            <w:r>
              <w:rPr>
                <w:rFonts w:ascii="Courier New" w:cs="Courier New" w:eastAsia="Courier New" w:hAnsi="Courier New"/>
                <w:sz w:val="15"/>
                <w:szCs w:val="15"/>
                <w:color w:val="auto"/>
                <w:w w:val="99"/>
              </w:rPr>
              <w:t>100%</w:t>
            </w:r>
          </w:p>
        </w:tc>
        <w:tc>
          <w:tcPr>
            <w:tcW w:w="760" w:type="dxa"/>
            <w:vAlign w:val="bottom"/>
          </w:tcPr>
          <w:p>
            <w:pPr>
              <w:spacing w:after="0"/>
              <w:rPr>
                <w:sz w:val="24"/>
                <w:szCs w:val="24"/>
                <w:color w:val="auto"/>
              </w:rPr>
            </w:pPr>
          </w:p>
        </w:tc>
      </w:tr>
      <w:tr>
        <w:trPr>
          <w:trHeight w:val="341"/>
        </w:trPr>
        <w:tc>
          <w:tcPr>
            <w:tcW w:w="4360" w:type="dxa"/>
            <w:vAlign w:val="bottom"/>
          </w:tcPr>
          <w:p>
            <w:pPr>
              <w:spacing w:after="0"/>
              <w:rPr>
                <w:sz w:val="20"/>
                <w:szCs w:val="20"/>
                <w:color w:val="auto"/>
              </w:rPr>
            </w:pPr>
            <w:r>
              <w:rPr>
                <w:rFonts w:ascii="Courier New" w:cs="Courier New" w:eastAsia="Courier New" w:hAnsi="Courier New"/>
                <w:sz w:val="15"/>
                <w:szCs w:val="15"/>
                <w:color w:val="auto"/>
              </w:rPr>
              <w:t>Toro Credit Company</w:t>
            </w:r>
          </w:p>
        </w:tc>
        <w:tc>
          <w:tcPr>
            <w:tcW w:w="2740" w:type="dxa"/>
            <w:vAlign w:val="bottom"/>
          </w:tcPr>
          <w:p>
            <w:pPr>
              <w:ind w:left="880"/>
              <w:spacing w:after="0"/>
              <w:rPr>
                <w:sz w:val="20"/>
                <w:szCs w:val="20"/>
                <w:color w:val="auto"/>
              </w:rPr>
            </w:pPr>
            <w:r>
              <w:rPr>
                <w:rFonts w:ascii="Courier New" w:cs="Courier New" w:eastAsia="Courier New" w:hAnsi="Courier New"/>
                <w:sz w:val="15"/>
                <w:szCs w:val="15"/>
                <w:color w:val="auto"/>
              </w:rPr>
              <w:t>Minnesota</w:t>
            </w:r>
          </w:p>
        </w:tc>
        <w:tc>
          <w:tcPr>
            <w:tcW w:w="1820" w:type="dxa"/>
            <w:vAlign w:val="bottom"/>
          </w:tcPr>
          <w:p>
            <w:pPr>
              <w:jc w:val="center"/>
              <w:ind w:left="1306"/>
              <w:spacing w:after="0"/>
              <w:rPr>
                <w:sz w:val="20"/>
                <w:szCs w:val="20"/>
                <w:color w:val="auto"/>
              </w:rPr>
            </w:pPr>
            <w:r>
              <w:rPr>
                <w:rFonts w:ascii="Courier New" w:cs="Courier New" w:eastAsia="Courier New" w:hAnsi="Courier New"/>
                <w:sz w:val="15"/>
                <w:szCs w:val="15"/>
                <w:color w:val="auto"/>
                <w:w w:val="99"/>
              </w:rPr>
              <w:t>100%</w:t>
            </w:r>
          </w:p>
        </w:tc>
        <w:tc>
          <w:tcPr>
            <w:tcW w:w="760" w:type="dxa"/>
            <w:vAlign w:val="bottom"/>
          </w:tcPr>
          <w:p>
            <w:pPr>
              <w:spacing w:after="0"/>
              <w:rPr>
                <w:sz w:val="24"/>
                <w:szCs w:val="24"/>
                <w:color w:val="auto"/>
              </w:rPr>
            </w:pPr>
          </w:p>
        </w:tc>
      </w:tr>
      <w:tr>
        <w:trPr>
          <w:trHeight w:val="341"/>
        </w:trPr>
        <w:tc>
          <w:tcPr>
            <w:tcW w:w="4360" w:type="dxa"/>
            <w:vAlign w:val="bottom"/>
          </w:tcPr>
          <w:p>
            <w:pPr>
              <w:spacing w:after="0"/>
              <w:rPr>
                <w:sz w:val="20"/>
                <w:szCs w:val="20"/>
                <w:color w:val="auto"/>
              </w:rPr>
            </w:pPr>
            <w:r>
              <w:rPr>
                <w:rFonts w:ascii="Courier New" w:cs="Courier New" w:eastAsia="Courier New" w:hAnsi="Courier New"/>
                <w:sz w:val="15"/>
                <w:szCs w:val="15"/>
                <w:color w:val="auto"/>
              </w:rPr>
              <w:t>Toro Europe</w:t>
            </w:r>
          </w:p>
        </w:tc>
        <w:tc>
          <w:tcPr>
            <w:tcW w:w="2740" w:type="dxa"/>
            <w:vAlign w:val="bottom"/>
          </w:tcPr>
          <w:p>
            <w:pPr>
              <w:ind w:left="880"/>
              <w:spacing w:after="0"/>
              <w:rPr>
                <w:sz w:val="20"/>
                <w:szCs w:val="20"/>
                <w:color w:val="auto"/>
              </w:rPr>
            </w:pPr>
            <w:r>
              <w:rPr>
                <w:rFonts w:ascii="Courier New" w:cs="Courier New" w:eastAsia="Courier New" w:hAnsi="Courier New"/>
                <w:sz w:val="15"/>
                <w:szCs w:val="15"/>
                <w:color w:val="auto"/>
              </w:rPr>
              <w:t>Belgium</w:t>
            </w:r>
          </w:p>
        </w:tc>
        <w:tc>
          <w:tcPr>
            <w:tcW w:w="1820" w:type="dxa"/>
            <w:vAlign w:val="bottom"/>
          </w:tcPr>
          <w:p>
            <w:pPr>
              <w:jc w:val="center"/>
              <w:ind w:left="1306"/>
              <w:spacing w:after="0"/>
              <w:rPr>
                <w:sz w:val="20"/>
                <w:szCs w:val="20"/>
                <w:color w:val="auto"/>
              </w:rPr>
            </w:pPr>
            <w:r>
              <w:rPr>
                <w:rFonts w:ascii="Courier New" w:cs="Courier New" w:eastAsia="Courier New" w:hAnsi="Courier New"/>
                <w:sz w:val="15"/>
                <w:szCs w:val="15"/>
                <w:color w:val="auto"/>
                <w:w w:val="99"/>
              </w:rPr>
              <w:t>100%</w:t>
            </w:r>
          </w:p>
        </w:tc>
        <w:tc>
          <w:tcPr>
            <w:tcW w:w="760" w:type="dxa"/>
            <w:vAlign w:val="bottom"/>
          </w:tcPr>
          <w:p>
            <w:pPr>
              <w:spacing w:after="0"/>
              <w:rPr>
                <w:sz w:val="24"/>
                <w:szCs w:val="24"/>
                <w:color w:val="auto"/>
              </w:rPr>
            </w:pPr>
          </w:p>
        </w:tc>
      </w:tr>
      <w:tr>
        <w:trPr>
          <w:trHeight w:val="341"/>
        </w:trPr>
        <w:tc>
          <w:tcPr>
            <w:tcW w:w="4360" w:type="dxa"/>
            <w:vAlign w:val="bottom"/>
          </w:tcPr>
          <w:p>
            <w:pPr>
              <w:spacing w:after="0"/>
              <w:rPr>
                <w:sz w:val="20"/>
                <w:szCs w:val="20"/>
                <w:color w:val="auto"/>
              </w:rPr>
            </w:pPr>
            <w:r>
              <w:rPr>
                <w:rFonts w:ascii="Courier New" w:cs="Courier New" w:eastAsia="Courier New" w:hAnsi="Courier New"/>
                <w:sz w:val="15"/>
                <w:szCs w:val="15"/>
                <w:color w:val="auto"/>
              </w:rPr>
              <w:t>Toro Foreign Sales Corporation</w:t>
            </w:r>
          </w:p>
        </w:tc>
        <w:tc>
          <w:tcPr>
            <w:tcW w:w="2740" w:type="dxa"/>
            <w:vAlign w:val="bottom"/>
          </w:tcPr>
          <w:p>
            <w:pPr>
              <w:ind w:left="880"/>
              <w:spacing w:after="0"/>
              <w:rPr>
                <w:sz w:val="20"/>
                <w:szCs w:val="20"/>
                <w:color w:val="auto"/>
              </w:rPr>
            </w:pPr>
            <w:r>
              <w:rPr>
                <w:rFonts w:ascii="Courier New" w:cs="Courier New" w:eastAsia="Courier New" w:hAnsi="Courier New"/>
                <w:sz w:val="15"/>
                <w:szCs w:val="15"/>
                <w:color w:val="auto"/>
              </w:rPr>
              <w:t>Barbados</w:t>
            </w:r>
          </w:p>
        </w:tc>
        <w:tc>
          <w:tcPr>
            <w:tcW w:w="1820" w:type="dxa"/>
            <w:vAlign w:val="bottom"/>
          </w:tcPr>
          <w:p>
            <w:pPr>
              <w:jc w:val="center"/>
              <w:ind w:left="1306"/>
              <w:spacing w:after="0"/>
              <w:rPr>
                <w:sz w:val="20"/>
                <w:szCs w:val="20"/>
                <w:color w:val="auto"/>
              </w:rPr>
            </w:pPr>
            <w:r>
              <w:rPr>
                <w:rFonts w:ascii="Courier New" w:cs="Courier New" w:eastAsia="Courier New" w:hAnsi="Courier New"/>
                <w:sz w:val="15"/>
                <w:szCs w:val="15"/>
                <w:color w:val="auto"/>
                <w:w w:val="99"/>
              </w:rPr>
              <w:t>100%</w:t>
            </w:r>
          </w:p>
        </w:tc>
        <w:tc>
          <w:tcPr>
            <w:tcW w:w="760" w:type="dxa"/>
            <w:vAlign w:val="bottom"/>
          </w:tcPr>
          <w:p>
            <w:pPr>
              <w:spacing w:after="0"/>
              <w:rPr>
                <w:sz w:val="24"/>
                <w:szCs w:val="24"/>
                <w:color w:val="auto"/>
              </w:rPr>
            </w:pPr>
          </w:p>
        </w:tc>
      </w:tr>
      <w:tr>
        <w:trPr>
          <w:trHeight w:val="341"/>
        </w:trPr>
        <w:tc>
          <w:tcPr>
            <w:tcW w:w="4360" w:type="dxa"/>
            <w:vAlign w:val="bottom"/>
          </w:tcPr>
          <w:p>
            <w:pPr>
              <w:spacing w:after="0"/>
              <w:rPr>
                <w:sz w:val="20"/>
                <w:szCs w:val="20"/>
                <w:color w:val="auto"/>
              </w:rPr>
            </w:pPr>
            <w:r>
              <w:rPr>
                <w:rFonts w:ascii="Courier New" w:cs="Courier New" w:eastAsia="Courier New" w:hAnsi="Courier New"/>
                <w:sz w:val="15"/>
                <w:szCs w:val="15"/>
                <w:color w:val="auto"/>
              </w:rPr>
              <w:t>Lawn-Boy Inc.</w:t>
            </w:r>
          </w:p>
        </w:tc>
        <w:tc>
          <w:tcPr>
            <w:tcW w:w="2740" w:type="dxa"/>
            <w:vAlign w:val="bottom"/>
          </w:tcPr>
          <w:p>
            <w:pPr>
              <w:ind w:left="880"/>
              <w:spacing w:after="0"/>
              <w:rPr>
                <w:sz w:val="20"/>
                <w:szCs w:val="20"/>
                <w:color w:val="auto"/>
              </w:rPr>
            </w:pPr>
            <w:r>
              <w:rPr>
                <w:rFonts w:ascii="Courier New" w:cs="Courier New" w:eastAsia="Courier New" w:hAnsi="Courier New"/>
                <w:sz w:val="15"/>
                <w:szCs w:val="15"/>
                <w:color w:val="auto"/>
              </w:rPr>
              <w:t>Delaware</w:t>
            </w:r>
          </w:p>
        </w:tc>
        <w:tc>
          <w:tcPr>
            <w:tcW w:w="1820" w:type="dxa"/>
            <w:vAlign w:val="bottom"/>
          </w:tcPr>
          <w:p>
            <w:pPr>
              <w:jc w:val="center"/>
              <w:ind w:left="1306"/>
              <w:spacing w:after="0"/>
              <w:rPr>
                <w:sz w:val="20"/>
                <w:szCs w:val="20"/>
                <w:color w:val="auto"/>
              </w:rPr>
            </w:pPr>
            <w:r>
              <w:rPr>
                <w:rFonts w:ascii="Courier New" w:cs="Courier New" w:eastAsia="Courier New" w:hAnsi="Courier New"/>
                <w:sz w:val="15"/>
                <w:szCs w:val="15"/>
                <w:color w:val="auto"/>
                <w:w w:val="99"/>
              </w:rPr>
              <w:t>100%</w:t>
            </w:r>
          </w:p>
        </w:tc>
        <w:tc>
          <w:tcPr>
            <w:tcW w:w="760" w:type="dxa"/>
            <w:vAlign w:val="bottom"/>
          </w:tcPr>
          <w:p>
            <w:pPr>
              <w:spacing w:after="0"/>
              <w:rPr>
                <w:sz w:val="24"/>
                <w:szCs w:val="24"/>
                <w:color w:val="auto"/>
              </w:rPr>
            </w:pPr>
          </w:p>
        </w:tc>
      </w:tr>
      <w:tr>
        <w:trPr>
          <w:trHeight w:val="341"/>
        </w:trPr>
        <w:tc>
          <w:tcPr>
            <w:tcW w:w="4360" w:type="dxa"/>
            <w:vAlign w:val="bottom"/>
          </w:tcPr>
          <w:p>
            <w:pPr>
              <w:spacing w:after="0"/>
              <w:rPr>
                <w:sz w:val="20"/>
                <w:szCs w:val="20"/>
                <w:color w:val="auto"/>
              </w:rPr>
            </w:pPr>
            <w:r>
              <w:rPr>
                <w:rFonts w:ascii="Courier New" w:cs="Courier New" w:eastAsia="Courier New" w:hAnsi="Courier New"/>
                <w:sz w:val="15"/>
                <w:szCs w:val="15"/>
                <w:color w:val="auto"/>
              </w:rPr>
              <w:t>Toro Probiotic Products, Inc.</w:t>
            </w:r>
          </w:p>
        </w:tc>
        <w:tc>
          <w:tcPr>
            <w:tcW w:w="2740" w:type="dxa"/>
            <w:vAlign w:val="bottom"/>
          </w:tcPr>
          <w:p>
            <w:pPr>
              <w:ind w:left="880"/>
              <w:spacing w:after="0"/>
              <w:rPr>
                <w:sz w:val="20"/>
                <w:szCs w:val="20"/>
                <w:color w:val="auto"/>
              </w:rPr>
            </w:pPr>
            <w:r>
              <w:rPr>
                <w:rFonts w:ascii="Courier New" w:cs="Courier New" w:eastAsia="Courier New" w:hAnsi="Courier New"/>
                <w:sz w:val="15"/>
                <w:szCs w:val="15"/>
                <w:color w:val="auto"/>
              </w:rPr>
              <w:t>Minnesota</w:t>
            </w:r>
          </w:p>
        </w:tc>
        <w:tc>
          <w:tcPr>
            <w:tcW w:w="1820" w:type="dxa"/>
            <w:vAlign w:val="bottom"/>
          </w:tcPr>
          <w:p>
            <w:pPr>
              <w:jc w:val="center"/>
              <w:ind w:left="1306"/>
              <w:spacing w:after="0"/>
              <w:rPr>
                <w:sz w:val="20"/>
                <w:szCs w:val="20"/>
                <w:color w:val="auto"/>
              </w:rPr>
            </w:pPr>
            <w:r>
              <w:rPr>
                <w:rFonts w:ascii="Courier New" w:cs="Courier New" w:eastAsia="Courier New" w:hAnsi="Courier New"/>
                <w:sz w:val="15"/>
                <w:szCs w:val="15"/>
                <w:color w:val="auto"/>
                <w:w w:val="99"/>
              </w:rPr>
              <w:t>100%</w:t>
            </w:r>
          </w:p>
        </w:tc>
        <w:tc>
          <w:tcPr>
            <w:tcW w:w="760" w:type="dxa"/>
            <w:vAlign w:val="bottom"/>
          </w:tcPr>
          <w:p>
            <w:pPr>
              <w:spacing w:after="0"/>
              <w:rPr>
                <w:sz w:val="24"/>
                <w:szCs w:val="24"/>
                <w:color w:val="auto"/>
              </w:rPr>
            </w:pPr>
          </w:p>
        </w:tc>
      </w:tr>
      <w:tr>
        <w:trPr>
          <w:trHeight w:val="341"/>
        </w:trPr>
        <w:tc>
          <w:tcPr>
            <w:tcW w:w="4360" w:type="dxa"/>
            <w:vAlign w:val="bottom"/>
          </w:tcPr>
          <w:p>
            <w:pPr>
              <w:spacing w:after="0"/>
              <w:rPr>
                <w:sz w:val="20"/>
                <w:szCs w:val="20"/>
                <w:color w:val="auto"/>
              </w:rPr>
            </w:pPr>
            <w:r>
              <w:rPr>
                <w:rFonts w:ascii="Courier New" w:cs="Courier New" w:eastAsia="Courier New" w:hAnsi="Courier New"/>
                <w:sz w:val="15"/>
                <w:szCs w:val="15"/>
                <w:color w:val="auto"/>
              </w:rPr>
              <w:t>Toro Sales Company</w:t>
            </w:r>
          </w:p>
        </w:tc>
        <w:tc>
          <w:tcPr>
            <w:tcW w:w="2740" w:type="dxa"/>
            <w:vAlign w:val="bottom"/>
          </w:tcPr>
          <w:p>
            <w:pPr>
              <w:ind w:left="880"/>
              <w:spacing w:after="0"/>
              <w:rPr>
                <w:sz w:val="20"/>
                <w:szCs w:val="20"/>
                <w:color w:val="auto"/>
              </w:rPr>
            </w:pPr>
            <w:r>
              <w:rPr>
                <w:rFonts w:ascii="Courier New" w:cs="Courier New" w:eastAsia="Courier New" w:hAnsi="Courier New"/>
                <w:sz w:val="15"/>
                <w:szCs w:val="15"/>
                <w:color w:val="auto"/>
              </w:rPr>
              <w:t>Minnesota</w:t>
            </w:r>
          </w:p>
        </w:tc>
        <w:tc>
          <w:tcPr>
            <w:tcW w:w="1820" w:type="dxa"/>
            <w:vAlign w:val="bottom"/>
          </w:tcPr>
          <w:p>
            <w:pPr>
              <w:jc w:val="center"/>
              <w:ind w:left="1306"/>
              <w:spacing w:after="0"/>
              <w:rPr>
                <w:sz w:val="20"/>
                <w:szCs w:val="20"/>
                <w:color w:val="auto"/>
              </w:rPr>
            </w:pPr>
            <w:r>
              <w:rPr>
                <w:rFonts w:ascii="Courier New" w:cs="Courier New" w:eastAsia="Courier New" w:hAnsi="Courier New"/>
                <w:sz w:val="15"/>
                <w:szCs w:val="15"/>
                <w:color w:val="auto"/>
                <w:w w:val="99"/>
              </w:rPr>
              <w:t>100%</w:t>
            </w:r>
          </w:p>
        </w:tc>
        <w:tc>
          <w:tcPr>
            <w:tcW w:w="760" w:type="dxa"/>
            <w:vAlign w:val="bottom"/>
          </w:tcPr>
          <w:p>
            <w:pPr>
              <w:spacing w:after="0"/>
              <w:rPr>
                <w:sz w:val="24"/>
                <w:szCs w:val="24"/>
                <w:color w:val="auto"/>
              </w:rPr>
            </w:pPr>
          </w:p>
        </w:tc>
      </w:tr>
      <w:tr>
        <w:trPr>
          <w:trHeight w:val="341"/>
        </w:trPr>
        <w:tc>
          <w:tcPr>
            <w:tcW w:w="4360" w:type="dxa"/>
            <w:vAlign w:val="bottom"/>
          </w:tcPr>
          <w:p>
            <w:pPr>
              <w:spacing w:after="0"/>
              <w:rPr>
                <w:sz w:val="20"/>
                <w:szCs w:val="20"/>
                <w:color w:val="auto"/>
              </w:rPr>
            </w:pPr>
            <w:r>
              <w:rPr>
                <w:rFonts w:ascii="Courier New" w:cs="Courier New" w:eastAsia="Courier New" w:hAnsi="Courier New"/>
                <w:sz w:val="15"/>
                <w:szCs w:val="15"/>
                <w:color w:val="auto"/>
              </w:rPr>
              <w:t>Toro Southwest, Inc.</w:t>
            </w:r>
          </w:p>
        </w:tc>
        <w:tc>
          <w:tcPr>
            <w:tcW w:w="2740" w:type="dxa"/>
            <w:vAlign w:val="bottom"/>
          </w:tcPr>
          <w:p>
            <w:pPr>
              <w:ind w:left="880"/>
              <w:spacing w:after="0"/>
              <w:rPr>
                <w:sz w:val="20"/>
                <w:szCs w:val="20"/>
                <w:color w:val="auto"/>
              </w:rPr>
            </w:pPr>
            <w:r>
              <w:rPr>
                <w:rFonts w:ascii="Courier New" w:cs="Courier New" w:eastAsia="Courier New" w:hAnsi="Courier New"/>
                <w:sz w:val="15"/>
                <w:szCs w:val="15"/>
                <w:color w:val="auto"/>
              </w:rPr>
              <w:t>California</w:t>
            </w:r>
          </w:p>
        </w:tc>
        <w:tc>
          <w:tcPr>
            <w:tcW w:w="1820" w:type="dxa"/>
            <w:vAlign w:val="bottom"/>
          </w:tcPr>
          <w:p>
            <w:pPr>
              <w:jc w:val="center"/>
              <w:ind w:left="1306"/>
              <w:spacing w:after="0"/>
              <w:rPr>
                <w:sz w:val="20"/>
                <w:szCs w:val="20"/>
                <w:color w:val="auto"/>
              </w:rPr>
            </w:pPr>
            <w:r>
              <w:rPr>
                <w:rFonts w:ascii="Courier New" w:cs="Courier New" w:eastAsia="Courier New" w:hAnsi="Courier New"/>
                <w:sz w:val="15"/>
                <w:szCs w:val="15"/>
                <w:color w:val="auto"/>
                <w:w w:val="99"/>
              </w:rPr>
              <w:t>100%</w:t>
            </w:r>
          </w:p>
        </w:tc>
        <w:tc>
          <w:tcPr>
            <w:tcW w:w="760" w:type="dxa"/>
            <w:vAlign w:val="bottom"/>
          </w:tcPr>
          <w:p>
            <w:pPr>
              <w:spacing w:after="0"/>
              <w:rPr>
                <w:sz w:val="24"/>
                <w:szCs w:val="24"/>
                <w:color w:val="auto"/>
              </w:rPr>
            </w:pPr>
          </w:p>
        </w:tc>
      </w:tr>
    </w:tbl>
    <w:p>
      <w:pPr>
        <w:sectPr>
          <w:pgSz w:w="11900" w:h="16838" w:orient="portrait"/>
          <w:cols w:equalWidth="0" w:num="1">
            <w:col w:w="10219"/>
          </w:cols>
          <w:pgMar w:left="240" w:top="480" w:right="1440" w:bottom="1440" w:gutter="0" w:footer="0" w:header="0"/>
        </w:sectPr>
      </w:pPr>
    </w:p>
    <w:bookmarkStart w:id="47" w:name="page48"/>
    <w:bookmarkEnd w:id="47"/>
    <w:p>
      <w:pPr>
        <w:jc w:val="right"/>
        <w:ind w:right="3119"/>
        <w:spacing w:after="0"/>
        <w:rPr>
          <w:sz w:val="20"/>
          <w:szCs w:val="20"/>
          <w:color w:val="auto"/>
        </w:rPr>
      </w:pPr>
      <w:r>
        <w:rPr>
          <w:rFonts w:ascii="Courier New" w:cs="Courier New" w:eastAsia="Courier New" w:hAnsi="Courier New"/>
          <w:sz w:val="15"/>
          <w:szCs w:val="15"/>
          <w:color w:val="auto"/>
        </w:rPr>
        <w:t>EXHIBIT 23</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[KPMG Peat Marwick LLP Letterhead]</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INDEPENDENT AUDITORS' CONSENT</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Toro Company:</w:t>
      </w:r>
    </w:p>
    <w:p>
      <w:pPr>
        <w:spacing w:after="0" w:line="34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We consent to incorporation by reference in the registration statements (Nos. 33-22469, 33-31586, 33-26268, 33-38308, 33-44668, 33-51563, 33-55550, 33-67748) on Form S-8 of The Toro Company of our reports dated September 8, 1994, relating to the consolidated balance sheets of The Toro Company and subsidiaries as of July 31, 1994 and 1993, and the related consolidated statements of operations and cash flows and related financial statement schedules for each of the years in the three-year period ended July 31, 1994, which reports are included in or incorporated by reference in the July 31, 1994 annual report on Form 10-K of The Toro Company.</w:t>
      </w:r>
    </w:p>
    <w:p>
      <w:pPr>
        <w:spacing w:after="0" w:line="34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/s/ KPMG Peat Marwick LLP</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KPMG Peat Marwick LLP</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Minneapolis, Minnesota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28, 1994</w:t>
      </w:r>
    </w:p>
    <w:sectPr>
      <w:pgSz w:w="11900" w:h="16838" w:orient="portrait"/>
      <w:cols w:equalWidth="0" w:num="1">
        <w:col w:w="10219"/>
      </w:cols>
      <w:pgMar w:left="240" w:top="4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A6D8D3C"/>
    <w:multiLevelType w:val="hybridMultilevel"/>
    <w:lvl w:ilvl="0">
      <w:lvlJc w:val="left"/>
      <w:lvlText w:val="[%1]"/>
      <w:numFmt w:val="upperLetter"/>
      <w:start w:val="24"/>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1)"/>
      <w:numFmt w:val="lowerLetter"/>
      <w:start w:val="1"/>
    </w:lvl>
  </w:abstractNum>
  <w:abstractNum w:abstractNumId="3">
    <w:nsid w:val="6DE91B18"/>
    <w:multiLevelType w:val="hybridMultilevel"/>
    <w:lvl w:ilvl="0">
      <w:lvlJc w:val="left"/>
      <w:lvlText w:val="(%1)"/>
      <w:numFmt w:val="lowerLetter"/>
      <w:start w:val="1"/>
    </w:lvl>
  </w:abstractNum>
  <w:abstractNum w:abstractNumId="4">
    <w:nsid w:val="38437FDB"/>
    <w:multiLevelType w:val="hybridMultilevel"/>
    <w:lvl w:ilvl="0">
      <w:lvlJc w:val="left"/>
      <w:lvlText w:val="(%1)"/>
      <w:numFmt w:val="lowerLetter"/>
      <w:start w:val="1"/>
    </w:lvl>
  </w:abstractNum>
  <w:abstractNum w:abstractNumId="5">
    <w:nsid w:val="7644A45C"/>
    <w:multiLevelType w:val="hybridMultilevel"/>
    <w:lvl w:ilvl="0">
      <w:lvlJc w:val="left"/>
      <w:lvlText w:val="(%1)"/>
      <w:numFmt w:val="lowerLetter"/>
      <w:start w:val="1"/>
    </w:lvl>
  </w:abstractNum>
  <w:abstractNum w:abstractNumId="6">
    <w:nsid w:val="32FFF902"/>
    <w:multiLevelType w:val="hybridMultilevel"/>
    <w:lvl w:ilvl="0">
      <w:lvlJc w:val="left"/>
      <w:lvlText w:val="%1"/>
      <w:numFmt w:val="decimal"/>
      <w:start w:val="11"/>
    </w:lvl>
  </w:abstractNum>
  <w:abstractNum w:abstractNumId="7">
    <w:nsid w:val="684A481A"/>
    <w:multiLevelType w:val="hybridMultilevel"/>
    <w:lvl w:ilvl="0">
      <w:lvlJc w:val="left"/>
      <w:lvlText w:val="%1"/>
      <w:numFmt w:val="lowerLetter"/>
      <w:start w:val="1"/>
    </w:lvl>
    <w:lvl w:ilvl="1">
      <w:lvlJc w:val="left"/>
      <w:lvlText w:val="%2"/>
      <w:numFmt w:val="decimal"/>
      <w:start w:val="23"/>
    </w:lvl>
  </w:abstractNum>
  <w:abstractNum w:abstractNumId="8">
    <w:nsid w:val="579478FE"/>
    <w:multiLevelType w:val="hybridMultilevel"/>
    <w:lvl w:ilvl="0">
      <w:lvlJc w:val="left"/>
      <w:lvlText w:val="(%1)"/>
      <w:numFmt w:val="lowerLetter"/>
      <w:start w:val="2"/>
    </w:lvl>
    <w:lvl w:ilvl="1">
      <w:lvlJc w:val="left"/>
      <w:lvlText w:val="%2"/>
      <w:numFmt w:val="decimal"/>
      <w:start w:val="1"/>
    </w:lvl>
  </w:abstractNum>
  <w:abstractNum w:abstractNumId="9">
    <w:nsid w:val="749ABB43"/>
    <w:multiLevelType w:val="hybridMultilevel"/>
    <w:lvl w:ilvl="0">
      <w:lvlJc w:val="left"/>
      <w:lvlText w:val="-"/>
      <w:numFmt w:val="bullet"/>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
      <w:numFmt w:val="bullet"/>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1)"/>
      <w:numFmt w:val="lowerLetter"/>
      <w:start w:val="1"/>
    </w:lvl>
    <w:lvl w:ilvl="1">
      <w:lvlJc w:val="left"/>
      <w:lvlText w:val="-"/>
      <w:numFmt w:val="bullet"/>
      <w:start w:val="1"/>
    </w:lvl>
  </w:abstractNum>
  <w:abstractNum w:abstractNumId="17">
    <w:nsid w:val="374A3FE6"/>
    <w:multiLevelType w:val="hybridMultilevel"/>
    <w:lvl w:ilvl="0">
      <w:lvlJc w:val="left"/>
      <w:lvlText w:val="(%1)"/>
      <w:numFmt w:val="decimal"/>
      <w:start w:val="1"/>
    </w:lvl>
  </w:abstractNum>
  <w:abstractNum w:abstractNumId="18">
    <w:nsid w:val="4F4EF005"/>
    <w:multiLevelType w:val="hybridMultilevel"/>
    <w:lvl w:ilvl="0">
      <w:lvlJc w:val="left"/>
      <w:lvlText w:val="*"/>
      <w:numFmt w:val="bullet"/>
      <w:start w:val="1"/>
    </w:lvl>
    <w:lvl w:ilvl="1">
      <w:lvlJc w:val="left"/>
      <w:lvlText w:val="-"/>
      <w:numFmt w:val="bullet"/>
      <w:start w:val="1"/>
    </w:lvl>
  </w:abstractNum>
  <w:abstractNum w:abstractNumId="19">
    <w:nsid w:val="23F9C13C"/>
    <w:multiLevelType w:val="hybridMultilevel"/>
    <w:lvl w:ilvl="0">
      <w:lvlJc w:val="left"/>
      <w:lvlText w:val="(%1)"/>
      <w:numFmt w:val="decimal"/>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
      <w:numFmt w:val="bullet"/>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
      <w:numFmt w:val="bullet"/>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
      <w:numFmt w:val="bullet"/>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
      <w:numFmt w:val="bullet"/>
      <w:start w:val="1"/>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
      <w:numFmt w:val="bullet"/>
      <w:start w:val="1"/>
    </w:lvl>
  </w:abstractNum>
  <w:abstractNum w:abstractNumId="32">
    <w:nsid w:val="3F6AB60F"/>
    <w:multiLevelType w:val="hybridMultilevel"/>
    <w:lvl w:ilvl="0">
      <w:lvlJc w:val="left"/>
      <w:lvlText w:val="-"/>
      <w:numFmt w:val="bullet"/>
      <w:start w:val="1"/>
    </w:lvl>
  </w:abstractNum>
  <w:abstractNum w:abstractNumId="33">
    <w:nsid w:val="61574095"/>
    <w:multiLevelType w:val="hybridMultilevel"/>
    <w:lvl w:ilvl="0">
      <w:lvlJc w:val="left"/>
      <w:lvlText w:val="-"/>
      <w:numFmt w:val="bullet"/>
      <w:start w:val="1"/>
    </w:lvl>
  </w:abstractNum>
  <w:abstractNum w:abstractNumId="34">
    <w:nsid w:val="7E0C57B1"/>
    <w:multiLevelType w:val="hybridMultilevel"/>
    <w:lvl w:ilvl="0">
      <w:lvlJc w:val="left"/>
      <w:lvlText w:val="-"/>
      <w:numFmt w:val="bullet"/>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
      <w:numFmt w:val="bullet"/>
      <w:start w:val="1"/>
    </w:lvl>
  </w:abstractNum>
  <w:abstractNum w:abstractNumId="38">
    <w:nsid w:val="5FF87E05"/>
    <w:multiLevelType w:val="hybridMultilevel"/>
    <w:lvl w:ilvl="0">
      <w:lvlJc w:val="left"/>
      <w:lvlText w:val="-"/>
      <w:numFmt w:val="bullet"/>
      <w:start w:val="1"/>
    </w:lvl>
  </w:abstractNum>
  <w:abstractNum w:abstractNumId="39">
    <w:nsid w:val="2F305DEF"/>
    <w:multiLevelType w:val="hybridMultilevel"/>
    <w:lvl w:ilvl="0">
      <w:lvlJc w:val="left"/>
      <w:lvlText w:val="-"/>
      <w:numFmt w:val="bullet"/>
      <w:start w:val="1"/>
    </w:lvl>
  </w:abstractNum>
  <w:abstractNum w:abstractNumId="40">
    <w:nsid w:val="25A70BF7"/>
    <w:multiLevelType w:val="hybridMultilevel"/>
    <w:lvl w:ilvl="0">
      <w:lvlJc w:val="left"/>
      <w:lvlText w:val="-"/>
      <w:numFmt w:val="bullet"/>
      <w:start w:val="1"/>
    </w:lvl>
  </w:abstractNum>
  <w:abstractNum w:abstractNumId="41">
    <w:nsid w:val="1DBABF00"/>
    <w:multiLevelType w:val="hybridMultilevel"/>
    <w:lvl w:ilvl="0">
      <w:lvlJc w:val="left"/>
      <w:lvlText w:val="-"/>
      <w:numFmt w:val="bullet"/>
      <w:start w:val="1"/>
    </w:lvl>
  </w:abstractNum>
  <w:abstractNum w:abstractNumId="42">
    <w:nsid w:val="4AD084E9"/>
    <w:multiLevelType w:val="hybridMultilevel"/>
    <w:lvl w:ilvl="0">
      <w:lvlJc w:val="left"/>
      <w:lvlText w:val="-"/>
      <w:numFmt w:val="bullet"/>
      <w:start w:val="1"/>
    </w:lvl>
  </w:abstractNum>
  <w:abstractNum w:abstractNumId="43">
    <w:nsid w:val="1F48EAA1"/>
    <w:multiLevelType w:val="hybridMultilevel"/>
    <w:lvl w:ilvl="0">
      <w:lvlJc w:val="left"/>
      <w:lvlText w:val="-"/>
      <w:numFmt w:val="bullet"/>
      <w:start w:val="1"/>
    </w:lvl>
  </w:abstractNum>
  <w:abstractNum w:abstractNumId="44">
    <w:nsid w:val="1381823A"/>
    <w:multiLevelType w:val="hybridMultilevel"/>
    <w:lvl w:ilvl="0">
      <w:lvlJc w:val="left"/>
      <w:lvlText w:val="-"/>
      <w:numFmt w:val="bullet"/>
      <w:start w:val="1"/>
    </w:lvl>
  </w:abstractNum>
  <w:abstractNum w:abstractNumId="45">
    <w:nsid w:val="5DB70AE5"/>
    <w:multiLevelType w:val="hybridMultilevel"/>
    <w:lvl w:ilvl="0">
      <w:lvlJc w:val="left"/>
      <w:lvlText w:val="-"/>
      <w:numFmt w:val="bullet"/>
      <w:start w:val="1"/>
    </w:lvl>
  </w:abstractNum>
  <w:abstractNum w:abstractNumId="46">
    <w:nsid w:val="100F8FCA"/>
    <w:multiLevelType w:val="hybridMultilevel"/>
    <w:lvl w:ilvl="0">
      <w:lvlJc w:val="left"/>
      <w:lvlText w:val="-"/>
      <w:numFmt w:val="bullet"/>
      <w:start w:val="1"/>
    </w:lvl>
  </w:abstractNum>
  <w:abstractNum w:abstractNumId="47">
    <w:nsid w:val="6590700B"/>
    <w:multiLevelType w:val="hybridMultilevel"/>
    <w:lvl w:ilvl="0">
      <w:lvlJc w:val="left"/>
      <w:lvlText w:val="-"/>
      <w:numFmt w:val="bullet"/>
      <w:start w:val="1"/>
    </w:lvl>
  </w:abstractNum>
  <w:abstractNum w:abstractNumId="48">
    <w:nsid w:val="15014ACB"/>
    <w:multiLevelType w:val="hybridMultilevel"/>
    <w:lvl w:ilvl="0">
      <w:lvlJc w:val="left"/>
      <w:lvlText w:val="-"/>
      <w:numFmt w:val="bullet"/>
      <w:start w:val="1"/>
    </w:lvl>
  </w:abstractNum>
  <w:abstractNum w:abstractNumId="49">
    <w:nsid w:val="5F5E7FD0"/>
    <w:multiLevelType w:val="hybridMultilevel"/>
    <w:lvl w:ilvl="0">
      <w:lvlJc w:val="left"/>
      <w:lvlText w:val="-"/>
      <w:numFmt w:val="bullet"/>
      <w:start w:val="1"/>
    </w:lvl>
  </w:abstractNum>
  <w:abstractNum w:abstractNumId="50">
    <w:nsid w:val="98A3148"/>
    <w:multiLevelType w:val="hybridMultilevel"/>
    <w:lvl w:ilvl="0">
      <w:lvlJc w:val="left"/>
      <w:lvlText w:val="1"/>
      <w:numFmt w:val="bullet"/>
      <w:start w:val="1"/>
    </w:lvl>
  </w:abstractNum>
  <w:abstractNum w:abstractNumId="51">
    <w:nsid w:val="799D0247"/>
    <w:multiLevelType w:val="hybridMultilevel"/>
    <w:lvl w:ilvl="0">
      <w:lvlJc w:val="left"/>
      <w:lvlText w:val="2"/>
      <w:numFmt w:val="bullet"/>
      <w:start w:val="1"/>
    </w:lvl>
  </w:abstractNum>
  <w:abstractNum w:abstractNumId="52">
    <w:nsid w:val="6B94764"/>
    <w:multiLevelType w:val="hybridMultilevel"/>
    <w:lvl w:ilvl="0">
      <w:lvlJc w:val="left"/>
      <w:lvlText w:val="3"/>
      <w:numFmt w:val="bullet"/>
      <w:start w:val="1"/>
    </w:lvl>
  </w:abstractNum>
  <w:abstractNum w:abstractNumId="53">
    <w:nsid w:val="42C296BD"/>
    <w:multiLevelType w:val="hybridMultilevel"/>
    <w:lvl w:ilvl="0">
      <w:lvlJc w:val="left"/>
      <w:lvlText w:val="-"/>
      <w:numFmt w:val="bullet"/>
      <w:start w:val="1"/>
    </w:lvl>
  </w:abstractNum>
  <w:abstractNum w:abstractNumId="54">
    <w:nsid w:val="168E121F"/>
    <w:multiLevelType w:val="hybridMultilevel"/>
    <w:lvl w:ilvl="0">
      <w:lvlJc w:val="left"/>
      <w:lvlText w:val="-"/>
      <w:numFmt w:val="bullet"/>
      <w:start w:val="1"/>
    </w:lvl>
  </w:abstractNum>
  <w:abstractNum w:abstractNumId="55">
    <w:nsid w:val="1EBA5D23"/>
    <w:multiLevelType w:val="hybridMultilevel"/>
    <w:lvl w:ilvl="0">
      <w:lvlJc w:val="left"/>
      <w:lvlText w:val="4"/>
      <w:numFmt w:val="bullet"/>
      <w:start w:val="1"/>
    </w:lvl>
  </w:abstractNum>
  <w:abstractNum w:abstractNumId="56">
    <w:nsid w:val="661E3F1E"/>
    <w:multiLevelType w:val="hybridMultilevel"/>
    <w:lvl w:ilvl="0">
      <w:lvlJc w:val="left"/>
      <w:lvlText w:val="-"/>
      <w:numFmt w:val="bullet"/>
      <w:start w:val="1"/>
    </w:lvl>
  </w:abstractNum>
  <w:abstractNum w:abstractNumId="57">
    <w:nsid w:val="5DC79EA8"/>
    <w:multiLevelType w:val="hybridMultilevel"/>
    <w:lvl w:ilvl="0">
      <w:lvlJc w:val="left"/>
      <w:lvlText w:val="-"/>
      <w:numFmt w:val="bullet"/>
      <w:start w:val="1"/>
    </w:lvl>
  </w:abstractNum>
  <w:abstractNum w:abstractNumId="58">
    <w:nsid w:val="540A471C"/>
    <w:multiLevelType w:val="hybridMultilevel"/>
    <w:lvl w:ilvl="0">
      <w:lvlJc w:val="left"/>
      <w:lvlText w:val="-"/>
      <w:numFmt w:val="bullet"/>
      <w:start w:val="1"/>
    </w:lvl>
  </w:abstractNum>
  <w:abstractNum w:abstractNumId="59">
    <w:nsid w:val="7BD3EE7B"/>
    <w:multiLevelType w:val="hybridMultilevel"/>
    <w:lvl w:ilvl="0">
      <w:lvlJc w:val="left"/>
      <w:lvlText w:val="-"/>
      <w:numFmt w:val="bullet"/>
      <w:start w:val="1"/>
    </w:lvl>
  </w:abstractNum>
  <w:abstractNum w:abstractNumId="60">
    <w:nsid w:val="51D9C564"/>
    <w:multiLevelType w:val="hybridMultilevel"/>
    <w:lvl w:ilvl="0">
      <w:lvlJc w:val="left"/>
      <w:lvlText w:val="-"/>
      <w:numFmt w:val="bullet"/>
      <w:start w:val="1"/>
    </w:lvl>
  </w:abstractNum>
  <w:abstractNum w:abstractNumId="61">
    <w:nsid w:val="613EFDC5"/>
    <w:multiLevelType w:val="hybridMultilevel"/>
    <w:lvl w:ilvl="0">
      <w:lvlJc w:val="left"/>
      <w:lvlText w:val="-"/>
      <w:numFmt w:val="bullet"/>
      <w:start w:val="1"/>
    </w:lvl>
  </w:abstractNum>
  <w:abstractNum w:abstractNumId="62">
    <w:nsid w:val="BF72B14"/>
    <w:multiLevelType w:val="hybridMultilevel"/>
    <w:lvl w:ilvl="0">
      <w:lvlJc w:val="left"/>
      <w:lvlText w:val="-"/>
      <w:numFmt w:val="bullet"/>
      <w:start w:val="1"/>
    </w:lvl>
  </w:abstractNum>
  <w:abstractNum w:abstractNumId="63">
    <w:nsid w:val="11447B73"/>
    <w:multiLevelType w:val="hybridMultilevel"/>
    <w:lvl w:ilvl="0">
      <w:lvlJc w:val="left"/>
      <w:lvlText w:val="-"/>
      <w:numFmt w:val="bullet"/>
      <w:start w:val="1"/>
    </w:lvl>
  </w:abstractNum>
  <w:abstractNum w:abstractNumId="64">
    <w:nsid w:val="42963E5A"/>
    <w:multiLevelType w:val="hybridMultilevel"/>
    <w:lvl w:ilvl="0">
      <w:lvlJc w:val="left"/>
      <w:lvlText w:val="5"/>
      <w:numFmt w:val="bullet"/>
      <w:start w:val="1"/>
    </w:lvl>
  </w:abstractNum>
  <w:abstractNum w:abstractNumId="65">
    <w:nsid w:val="A0382C5"/>
    <w:multiLevelType w:val="hybridMultilevel"/>
    <w:lvl w:ilvl="0">
      <w:lvlJc w:val="left"/>
      <w:lvlText w:val="-"/>
      <w:numFmt w:val="bullet"/>
      <w:start w:val="1"/>
    </w:lvl>
  </w:abstractNum>
  <w:abstractNum w:abstractNumId="66">
    <w:nsid w:val="8F2B15E"/>
    <w:multiLevelType w:val="hybridMultilevel"/>
    <w:lvl w:ilvl="0">
      <w:lvlJc w:val="left"/>
      <w:lvlText w:val="-"/>
      <w:numFmt w:val="bullet"/>
      <w:start w:val="1"/>
    </w:lvl>
  </w:abstractNum>
  <w:abstractNum w:abstractNumId="67">
    <w:nsid w:val="1A32234B"/>
    <w:multiLevelType w:val="hybridMultilevel"/>
    <w:lvl w:ilvl="0">
      <w:lvlJc w:val="left"/>
      <w:lvlText w:val="-"/>
      <w:numFmt w:val="bullet"/>
      <w:start w:val="1"/>
    </w:lvl>
  </w:abstractNum>
  <w:abstractNum w:abstractNumId="68">
    <w:nsid w:val="3B0FD379"/>
    <w:multiLevelType w:val="hybridMultilevel"/>
    <w:lvl w:ilvl="0">
      <w:lvlJc w:val="left"/>
      <w:lvlText w:val="-"/>
      <w:numFmt w:val="bullet"/>
      <w:start w:val="1"/>
    </w:lvl>
  </w:abstractNum>
  <w:abstractNum w:abstractNumId="69">
    <w:nsid w:val="68EB2F63"/>
    <w:multiLevelType w:val="hybridMultilevel"/>
    <w:lvl w:ilvl="0">
      <w:lvlJc w:val="left"/>
      <w:lvlText w:val="6"/>
      <w:numFmt w:val="bullet"/>
      <w:start w:val="1"/>
    </w:lvl>
  </w:abstractNum>
  <w:abstractNum w:abstractNumId="70">
    <w:nsid w:val="4962813B"/>
    <w:multiLevelType w:val="hybridMultilevel"/>
    <w:lvl w:ilvl="0">
      <w:lvlJc w:val="left"/>
      <w:lvlText w:val="-"/>
      <w:numFmt w:val="bullet"/>
      <w:start w:val="1"/>
    </w:lvl>
  </w:abstractNum>
  <w:abstractNum w:abstractNumId="71">
    <w:nsid w:val="60B6DF70"/>
    <w:multiLevelType w:val="hybridMultilevel"/>
    <w:lvl w:ilvl="0">
      <w:lvlJc w:val="left"/>
      <w:lvlText w:val="-"/>
      <w:numFmt w:val="bullet"/>
      <w:start w:val="1"/>
    </w:lvl>
  </w:abstractNum>
  <w:abstractNum w:abstractNumId="72">
    <w:nsid w:val="6A5EE64"/>
    <w:multiLevelType w:val="hybridMultilevel"/>
    <w:lvl w:ilvl="0">
      <w:lvlJc w:val="left"/>
      <w:lvlText w:val="-"/>
      <w:numFmt w:val="bullet"/>
      <w:start w:val="1"/>
    </w:lvl>
  </w:abstractNum>
  <w:abstractNum w:abstractNumId="73">
    <w:nsid w:val="14330624"/>
    <w:multiLevelType w:val="hybridMultilevel"/>
    <w:lvl w:ilvl="0">
      <w:lvlJc w:val="left"/>
      <w:lvlText w:val="-"/>
      <w:numFmt w:val="bullet"/>
      <w:start w:val="1"/>
    </w:lvl>
  </w:abstractNum>
  <w:abstractNum w:abstractNumId="74">
    <w:nsid w:val="7FFFCA11"/>
    <w:multiLevelType w:val="hybridMultilevel"/>
    <w:lvl w:ilvl="0">
      <w:lvlJc w:val="left"/>
      <w:lvlText w:val="-"/>
      <w:numFmt w:val="bullet"/>
      <w:start w:val="1"/>
    </w:lvl>
  </w:abstractNum>
  <w:abstractNum w:abstractNumId="75">
    <w:nsid w:val="1A27709E"/>
    <w:multiLevelType w:val="hybridMultilevel"/>
    <w:lvl w:ilvl="0">
      <w:lvlJc w:val="left"/>
      <w:lvlText w:val="-"/>
      <w:numFmt w:val="bullet"/>
      <w:start w:val="1"/>
    </w:lvl>
  </w:abstractNum>
  <w:abstractNum w:abstractNumId="76">
    <w:nsid w:val="71EA1109"/>
    <w:multiLevelType w:val="hybridMultilevel"/>
    <w:lvl w:ilvl="0">
      <w:lvlJc w:val="left"/>
      <w:lvlText w:val="7"/>
      <w:numFmt w:val="bullet"/>
      <w:start w:val="1"/>
    </w:lvl>
  </w:abstractNum>
  <w:abstractNum w:abstractNumId="77">
    <w:nsid w:val="100F59DC"/>
    <w:multiLevelType w:val="hybridMultilevel"/>
    <w:lvl w:ilvl="0">
      <w:lvlJc w:val="left"/>
      <w:lvlText w:val="8"/>
      <w:numFmt w:val="bullet"/>
      <w:start w:val="1"/>
    </w:lvl>
  </w:abstractNum>
  <w:abstractNum w:abstractNumId="78">
    <w:nsid w:val="7FB7E0AA"/>
    <w:multiLevelType w:val="hybridMultilevel"/>
    <w:lvl w:ilvl="0">
      <w:lvlJc w:val="left"/>
      <w:lvlText w:val="-"/>
      <w:numFmt w:val="bullet"/>
      <w:start w:val="1"/>
    </w:lvl>
  </w:abstractNum>
  <w:abstractNum w:abstractNumId="79">
    <w:nsid w:val="6EB5BD4"/>
    <w:multiLevelType w:val="hybridMultilevel"/>
    <w:lvl w:ilvl="0">
      <w:lvlJc w:val="left"/>
      <w:lvlText w:val="-"/>
      <w:numFmt w:val="bullet"/>
      <w:start w:val="1"/>
    </w:lvl>
  </w:abstractNum>
  <w:abstractNum w:abstractNumId="80">
    <w:nsid w:val="6F6DD9AC"/>
    <w:multiLevelType w:val="hybridMultilevel"/>
    <w:lvl w:ilvl="0">
      <w:lvlJc w:val="left"/>
      <w:lvlText w:val="9"/>
      <w:numFmt w:val="bullet"/>
      <w:start w:val="1"/>
    </w:lvl>
  </w:abstractNum>
  <w:abstractNum w:abstractNumId="81">
    <w:nsid w:val="94211F2"/>
    <w:multiLevelType w:val="hybridMultilevel"/>
    <w:lvl w:ilvl="0">
      <w:lvlJc w:val="left"/>
      <w:lvlText w:val="-"/>
      <w:numFmt w:val="bullet"/>
      <w:start w:val="1"/>
    </w:lvl>
  </w:abstractNum>
  <w:abstractNum w:abstractNumId="82">
    <w:nsid w:val="885E1B"/>
    <w:multiLevelType w:val="hybridMultilevel"/>
    <w:lvl w:ilvl="0">
      <w:lvlJc w:val="left"/>
      <w:lvlText w:val="-"/>
      <w:numFmt w:val="bullet"/>
      <w:start w:val="1"/>
    </w:lvl>
  </w:abstractNum>
  <w:abstractNum w:abstractNumId="83">
    <w:nsid w:val="76272110"/>
    <w:multiLevelType w:val="hybridMultilevel"/>
    <w:lvl w:ilvl="0">
      <w:lvlJc w:val="left"/>
      <w:lvlText w:val="-"/>
      <w:numFmt w:val="bullet"/>
      <w:start w:val="1"/>
    </w:lvl>
  </w:abstractNum>
  <w:abstractNum w:abstractNumId="84">
    <w:nsid w:val="4C04A8AF"/>
    <w:multiLevelType w:val="hybridMultilevel"/>
    <w:lvl w:ilvl="0">
      <w:lvlJc w:val="left"/>
      <w:lvlText w:val="-"/>
      <w:numFmt w:val="bullet"/>
      <w:start w:val="1"/>
    </w:lvl>
  </w:abstractNum>
  <w:abstractNum w:abstractNumId="85">
    <w:nsid w:val="1716703B"/>
    <w:multiLevelType w:val="hybridMultilevel"/>
    <w:lvl w:ilvl="0">
      <w:lvlJc w:val="left"/>
      <w:lvlText w:val="-"/>
      <w:numFmt w:val="bullet"/>
      <w:start w:val="1"/>
    </w:lvl>
  </w:abstractNum>
  <w:abstractNum w:abstractNumId="86">
    <w:nsid w:val="14E17E33"/>
    <w:multiLevelType w:val="hybridMultilevel"/>
    <w:lvl w:ilvl="0">
      <w:lvlJc w:val="left"/>
      <w:lvlText w:val="-"/>
      <w:numFmt w:val="bullet"/>
      <w:start w:val="1"/>
    </w:lvl>
  </w:abstractNum>
  <w:abstractNum w:abstractNumId="87">
    <w:nsid w:val="3222E7CD"/>
    <w:multiLevelType w:val="hybridMultilevel"/>
    <w:lvl w:ilvl="0">
      <w:lvlJc w:val="left"/>
      <w:lvlText w:val="-"/>
      <w:numFmt w:val="bullet"/>
      <w:start w:val="1"/>
    </w:lvl>
  </w:abstractNum>
  <w:abstractNum w:abstractNumId="88">
    <w:nsid w:val="74DE0EE3"/>
    <w:multiLevelType w:val="hybridMultilevel"/>
    <w:lvl w:ilvl="0">
      <w:lvlJc w:val="left"/>
      <w:lvlText w:val="-"/>
      <w:numFmt w:val="bullet"/>
      <w:start w:val="1"/>
    </w:lvl>
  </w:abstractNum>
  <w:abstractNum w:abstractNumId="89">
    <w:nsid w:val="68EBC55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2019-12-13T13:50:36Z</dcterms:created>
  <dcterms:modified xsi:type="dcterms:W3CDTF">2019-12-13T13:50:36Z</dcterms:modified>
</cp:coreProperties>
</file>