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January 28, 2005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0" w:gutter="0" w:footer="0" w:header="0"/>
        </w:sectPr>
      </w:pPr>
    </w:p>
    <w:p>
      <w:pPr>
        <w:spacing w:after="0" w:line="22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0"/>
          <w:szCs w:val="20"/>
          <w:color w:val="auto"/>
        </w:rPr>
      </w:pPr>
    </w:p>
    <w:p>
      <w:pPr>
        <w:sectPr>
          <w:pgSz w:w="11900" w:h="16838" w:orient="portrait"/>
          <w:cols w:equalWidth="0" w:num="3">
            <w:col w:w="3980" w:space="720"/>
            <w:col w:w="2740" w:space="720"/>
            <w:col w:w="3260"/>
          </w:cols>
          <w:pgMar w:left="240" w:top="122" w:right="239" w:bottom="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Telephone number: (952) 888-8801</w:t>
      </w:r>
    </w:p>
    <w:p>
      <w:pPr>
        <w:sectPr>
          <w:pgSz w:w="11900" w:h="16838" w:orient="portrait"/>
          <w:cols w:equalWidth="0" w:num="1">
            <w:col w:w="11420"/>
          </w:cols>
          <w:pgMar w:left="240" w:top="122" w:right="239" w:bottom="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8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38" w:lineRule="exact"/>
        <w:rPr>
          <w:sz w:val="20"/>
          <w:szCs w:val="20"/>
          <w:color w:val="auto"/>
        </w:rPr>
      </w:pPr>
    </w:p>
    <w:p>
      <w:pPr>
        <w:ind w:left="2480"/>
        <w:spacing w:after="0" w:line="207" w:lineRule="exact"/>
        <w:tabs>
          <w:tab w:leader="none" w:pos="8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368" w:lineRule="exact"/>
        <w:rPr>
          <w:sz w:val="20"/>
          <w:szCs w:val="20"/>
          <w:color w:val="auto"/>
        </w:rPr>
      </w:pPr>
    </w:p>
    <w:p>
      <w:pPr>
        <w:ind w:left="2480"/>
        <w:spacing w:after="0" w:line="207" w:lineRule="exact"/>
        <w:tabs>
          <w:tab w:leader="none" w:pos="8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outstanding as of February 25, 2005 was 21,617,296.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 w:type="dxa"/>
            <w:vAlign w:val="bottom"/>
            <w:gridSpan w:val="2"/>
            <w:vMerge w:val="restart"/>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60" w:type="dxa"/>
            <w:vAlign w:val="bottom"/>
            <w:vMerge w:val="restart"/>
          </w:tcPr>
          <w:p>
            <w:pPr>
              <w:spacing w:after="0"/>
              <w:rPr>
                <w:sz w:val="14"/>
                <w:szCs w:val="14"/>
                <w:color w:val="auto"/>
              </w:rPr>
            </w:pPr>
          </w:p>
        </w:tc>
        <w:tc>
          <w:tcPr>
            <w:tcW w:w="440" w:type="dxa"/>
            <w:vAlign w:val="bottom"/>
            <w:vMerge w:val="restart"/>
          </w:tcPr>
          <w:p>
            <w:pPr>
              <w:spacing w:after="0"/>
              <w:rPr>
                <w:sz w:val="14"/>
                <w:szCs w:val="14"/>
                <w:color w:val="auto"/>
              </w:rPr>
            </w:pPr>
          </w:p>
        </w:tc>
        <w:tc>
          <w:tcPr>
            <w:tcW w:w="2460" w:type="dxa"/>
            <w:vAlign w:val="bottom"/>
            <w:gridSpan w:val="9"/>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880" w:type="dxa"/>
            <w:vAlign w:val="bottom"/>
            <w:gridSpan w:val="10"/>
            <w:vMerge w:val="restart"/>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97"/>
              </w:rPr>
              <w:t>Page Number</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EE"/>
            </w:tcBorders>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60" w:type="dxa"/>
            <w:vAlign w:val="bottom"/>
            <w:tcBorders>
              <w:bottom w:val="single" w:sz="8" w:color="0000EE"/>
            </w:tcBorders>
            <w:gridSpan w:val="9"/>
            <w:vMerge w:val="continue"/>
          </w:tcPr>
          <w:p>
            <w:pPr>
              <w:spacing w:after="0"/>
              <w:rPr>
                <w:sz w:val="14"/>
                <w:szCs w:val="14"/>
                <w:color w:val="auto"/>
              </w:rPr>
            </w:pPr>
          </w:p>
        </w:tc>
        <w:tc>
          <w:tcPr>
            <w:tcW w:w="6880" w:type="dxa"/>
            <w:vAlign w:val="bottom"/>
            <w:gridSpan w:val="10"/>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9780" w:type="dxa"/>
            <w:vAlign w:val="bottom"/>
            <w:gridSpan w:val="20"/>
          </w:tcPr>
          <w:p>
            <w:pPr>
              <w:ind w:left="44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Earnings (Unaudited) -</w:t>
              </w:r>
            </w:hyperlink>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Three Months Ended January 28, 2005 and January 30, 2004</w:t>
              </w:r>
            </w:hyperlink>
          </w:p>
        </w:tc>
        <w:tc>
          <w:tcPr>
            <w:tcW w:w="4540" w:type="dxa"/>
            <w:vAlign w:val="bottom"/>
            <w:gridSpan w:val="5"/>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(Unaudited) -</w:t>
              </w:r>
            </w:hyperlink>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January 28, 2005, January 30, 2004 and October 31, 2004</w:t>
              </w:r>
            </w:hyperlink>
          </w:p>
        </w:tc>
        <w:tc>
          <w:tcPr>
            <w:tcW w:w="4760" w:type="dxa"/>
            <w:vAlign w:val="bottom"/>
            <w:gridSpan w:val="7"/>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w:t>
              </w:r>
            </w:hyperlink>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Three Months Ended January 28, 2005 and January 30, 2004</w:t>
              </w:r>
            </w:hyperlink>
          </w:p>
        </w:tc>
        <w:tc>
          <w:tcPr>
            <w:tcW w:w="140" w:type="dxa"/>
            <w:vAlign w:val="bottom"/>
            <w:tcBorders>
              <w:top w:val="single" w:sz="8" w:color="0000EE"/>
            </w:tcBorders>
          </w:tcPr>
          <w:p>
            <w:pPr>
              <w:spacing w:after="0"/>
              <w:rPr>
                <w:sz w:val="17"/>
                <w:szCs w:val="17"/>
                <w:color w:val="auto"/>
              </w:rPr>
            </w:pPr>
          </w:p>
        </w:tc>
        <w:tc>
          <w:tcPr>
            <w:tcW w:w="4400" w:type="dxa"/>
            <w:vAlign w:val="bottom"/>
            <w:gridSpan w:val="4"/>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700" w:type="dxa"/>
            <w:vAlign w:val="bottom"/>
            <w:gridSpan w:val="3"/>
            <w:vMerge w:val="restart"/>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Item 2.</w:t>
              </w:r>
            </w:hyperlink>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4220" w:type="dxa"/>
            <w:vAlign w:val="bottom"/>
            <w:gridSpan w:val="3"/>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8"/>
              </w:rPr>
              <w:t>6-11</w:t>
            </w:r>
          </w:p>
        </w:tc>
        <w:tc>
          <w:tcPr>
            <w:tcW w:w="0" w:type="dxa"/>
            <w:vAlign w:val="bottom"/>
          </w:tcPr>
          <w:p>
            <w:pPr>
              <w:spacing w:after="0"/>
              <w:rPr>
                <w:sz w:val="1"/>
                <w:szCs w:val="1"/>
                <w:color w:val="auto"/>
              </w:rPr>
            </w:pPr>
          </w:p>
        </w:tc>
      </w:tr>
      <w:tr>
        <w:trPr>
          <w:trHeight w:val="196"/>
        </w:trPr>
        <w:tc>
          <w:tcPr>
            <w:tcW w:w="70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12-19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3.</w:t>
              </w:r>
            </w:hyperlink>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19-20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4.</w:t>
              </w:r>
            </w:hyperlink>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b w:val="1"/>
                <w:bCs w:val="1"/>
                <w:color w:val="0000EE"/>
                <w:w w:val="98"/>
              </w:rPr>
            </w:pPr>
            <w:hyperlink w:anchor="page22">
              <w:r>
                <w:rPr>
                  <w:rFonts w:ascii="Arial" w:cs="Arial" w:eastAsia="Arial" w:hAnsi="Arial"/>
                  <w:sz w:val="18"/>
                  <w:szCs w:val="18"/>
                  <w:b w:val="1"/>
                  <w:bCs w:val="1"/>
                  <w:color w:val="0000EE"/>
                  <w:w w:val="98"/>
                </w:rPr>
                <w:t>PART II.</w:t>
              </w:r>
            </w:hyperlink>
          </w:p>
        </w:tc>
        <w:tc>
          <w:tcPr>
            <w:tcW w:w="440" w:type="dxa"/>
            <w:vAlign w:val="bottom"/>
          </w:tcPr>
          <w:p>
            <w:pPr>
              <w:spacing w:after="0"/>
              <w:rPr>
                <w:sz w:val="17"/>
                <w:szCs w:val="17"/>
                <w:color w:val="auto"/>
              </w:rPr>
            </w:pPr>
          </w:p>
        </w:tc>
        <w:tc>
          <w:tcPr>
            <w:tcW w:w="9340" w:type="dxa"/>
            <w:vAlign w:val="bottom"/>
            <w:gridSpan w:val="19"/>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OTHER INFORMATION:</w:t>
              </w:r>
            </w:hyperlink>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1.</w:t>
              </w:r>
            </w:hyperlink>
          </w:p>
        </w:tc>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7260" w:type="dxa"/>
            <w:vAlign w:val="bottom"/>
            <w:gridSpan w:val="11"/>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540" w:type="dxa"/>
            <w:vAlign w:val="bottom"/>
            <w:gridSpan w:val="11"/>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2.</w:t>
              </w:r>
            </w:hyperlink>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Changes in Securities, Use of Proceeds, and Issuer Purchases of Equity Securities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120" w:type="dxa"/>
            <w:vAlign w:val="bottom"/>
            <w:gridSpan w:val="13"/>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Item 6.</w:t>
              </w:r>
            </w:hyperlink>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80" w:type="dxa"/>
            <w:vAlign w:val="bottom"/>
            <w:gridSpan w:val="1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CEO - Section 302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CFO - Section 302</w:t>
      </w:r>
    </w:p>
    <w:p>
      <w:pPr>
        <w:sectPr>
          <w:pgSz w:w="11900" w:h="16838" w:orient="portrait"/>
          <w:cols w:equalWidth="0" w:num="1">
            <w:col w:w="11420"/>
          </w:cols>
          <w:pgMar w:left="240" w:top="122" w:right="239" w:bottom="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Certification of CEO and CFO - Section 906</w:t>
      </w:r>
    </w:p>
    <w:p>
      <w:pPr>
        <w:spacing w:after="0" w:line="17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INFORMATION</w:t>
      </w:r>
    </w:p>
    <w:p>
      <w:pPr>
        <w:spacing w:after="0" w:line="18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TORO COMPANY AND SUBSIDIARIES</w:t>
      </w:r>
    </w:p>
    <w:p>
      <w:pPr>
        <w:spacing w:after="0" w:line="18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January 28,</w:t>
            </w: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2"/>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980" w:type="dxa"/>
            <w:vAlign w:val="bottom"/>
            <w:gridSpan w:val="2"/>
            <w:shd w:val="clear" w:color="auto" w:fill="CCEEFF"/>
          </w:tcPr>
          <w:p>
            <w:pPr>
              <w:ind w:left="38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346,913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 of sales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225,250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200,963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121,663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102,239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from operations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expense</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(3,760)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Earnings before income taxes</w:t>
            </w:r>
          </w:p>
        </w:tc>
        <w:tc>
          <w:tcPr>
            <w:tcW w:w="3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Net earnings</w:t>
            </w:r>
          </w:p>
        </w:tc>
        <w:tc>
          <w:tcPr>
            <w:tcW w:w="3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share of common stock</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gridSpan w:val="2"/>
          </w:tcPr>
          <w:p>
            <w:pPr>
              <w:spacing w:after="0"/>
              <w:rPr>
                <w:sz w:val="20"/>
                <w:szCs w:val="20"/>
                <w:color w:val="auto"/>
              </w:rPr>
            </w:pPr>
            <w:r>
              <w:rPr>
                <w:rFonts w:ascii="Arial" w:cs="Arial" w:eastAsia="Arial" w:hAnsi="Arial"/>
                <w:sz w:val="18"/>
                <w:szCs w:val="18"/>
                <w:color w:val="auto"/>
              </w:rPr>
              <w:t>Diluted net earnings per share of common stock</w:t>
            </w:r>
          </w:p>
        </w:tc>
        <w:tc>
          <w:tcPr>
            <w:tcW w:w="3980" w:type="dxa"/>
            <w:vAlign w:val="bottom"/>
            <w:gridSpan w:val="2"/>
          </w:tcPr>
          <w:p>
            <w:pPr>
              <w:ind w:left="38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0.47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number of shares of common stock outstanding - Basic</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24,926</w:t>
            </w:r>
          </w:p>
        </w:tc>
        <w:tc>
          <w:tcPr>
            <w:tcW w:w="0" w:type="dxa"/>
            <w:vAlign w:val="bottom"/>
          </w:tcPr>
          <w:p>
            <w:pPr>
              <w:spacing w:after="0"/>
              <w:rPr>
                <w:sz w:val="1"/>
                <w:szCs w:val="1"/>
                <w:color w:val="auto"/>
              </w:rPr>
            </w:pP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color w:val="auto"/>
                <w:w w:val="91"/>
              </w:rPr>
              <w:t>Weighted average number of shares of common stock outstanding - Dilutive</w:t>
            </w: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23,879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26,129</w:t>
            </w:r>
          </w:p>
        </w:tc>
        <w:tc>
          <w:tcPr>
            <w:tcW w:w="0" w:type="dxa"/>
            <w:vAlign w:val="bottom"/>
          </w:tcPr>
          <w:p>
            <w:pPr>
              <w:spacing w:after="0"/>
              <w:rPr>
                <w:sz w:val="1"/>
                <w:szCs w:val="1"/>
                <w:color w:val="auto"/>
              </w:rPr>
            </w:pPr>
          </w:p>
        </w:tc>
      </w:tr>
      <w:tr>
        <w:trPr>
          <w:trHeight w:val="405"/>
        </w:trPr>
        <w:tc>
          <w:tcPr>
            <w:tcW w:w="5580" w:type="dxa"/>
            <w:vAlign w:val="bottom"/>
            <w:gridSpan w:val="2"/>
          </w:tcPr>
          <w:p>
            <w:pPr>
              <w:spacing w:after="0"/>
              <w:rPr>
                <w:sz w:val="20"/>
                <w:szCs w:val="20"/>
                <w:color w:val="auto"/>
              </w:rPr>
            </w:pPr>
            <w:r>
              <w:rPr>
                <w:rFonts w:ascii="Arial" w:cs="Arial" w:eastAsia="Arial" w:hAnsi="Arial"/>
                <w:sz w:val="18"/>
                <w:szCs w:val="18"/>
                <w:color w:val="auto"/>
                <w:w w:val="94"/>
              </w:rPr>
              <w:t>See accompanying notes to condensed consolidated financial statements.</w:t>
            </w: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880" w:type="dxa"/>
            <w:vAlign w:val="bottom"/>
          </w:tcPr>
          <w:p>
            <w:pPr>
              <w:jc w:val="right"/>
              <w:ind w:right="36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color w:val="auto"/>
              </w:rPr>
              <w:t>January 28,</w:t>
            </w:r>
          </w:p>
        </w:tc>
        <w:tc>
          <w:tcPr>
            <w:tcW w:w="2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color w:val="auto"/>
              </w:rPr>
              <w:t>January 30,</w:t>
            </w:r>
          </w:p>
        </w:tc>
        <w:tc>
          <w:tcPr>
            <w:tcW w:w="1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7,467</w:t>
            </w:r>
          </w:p>
        </w:tc>
        <w:tc>
          <w:tcPr>
            <w:tcW w:w="2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17,925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318,063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311,451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285,736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276,364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271,071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43,253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44,552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662,756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657,410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665,175</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479,901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469,281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476,117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319,183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308,552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311,452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160,718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160,729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164,665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21,465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20,088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78,082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925,103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920,161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928,747</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Short-term debt</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62,162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90,459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84,766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227,127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202,332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227,279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379,793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289,631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315,570</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175,035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175,080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Deferred revenue and other long-term liabilities</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13,245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11,775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tcPr>
          <w:p>
            <w:pPr>
              <w:ind w:left="200"/>
              <w:spacing w:after="0" w:line="201" w:lineRule="exact"/>
              <w:rPr>
                <w:sz w:val="20"/>
                <w:szCs w:val="20"/>
                <w:color w:val="auto"/>
              </w:rPr>
            </w:pPr>
            <w:r>
              <w:rPr>
                <w:rFonts w:ascii="Arial" w:cs="Arial" w:eastAsia="Arial" w:hAnsi="Arial"/>
                <w:sz w:val="18"/>
                <w:szCs w:val="18"/>
                <w:color w:val="auto"/>
                <w:w w:val="97"/>
              </w:rPr>
              <w:t>Preferred stock, par value $1.00 per share, authorized 1,000,000 voting and 850,000 non-voting shares,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none issued and outstanding</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par value $1.00 per share, authorized 50,000,000 shares, issued and outstanding</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21,628,606 shares as of January 28, 2005 (net of 5,387,504 treasury shares), 24,091,130 shares as of</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January 30, 2004 (net of 2,924,980 treasury shares), and 22,518,329 shares as of October 31, 2004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4,497,781 treasury shares)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21,629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24,091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6,282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341,683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425,797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409,443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(10,119)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(12,495)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353,193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443,675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420,819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925,103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920,161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928,747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4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top w:val="single" w:sz="8" w:color="auto"/>
            </w:tcBorders>
            <w:gridSpan w:val="4"/>
          </w:tcPr>
          <w:p>
            <w:pPr>
              <w:spacing w:after="0" w:line="123" w:lineRule="exact"/>
              <w:rPr>
                <w:sz w:val="20"/>
                <w:szCs w:val="20"/>
                <w:color w:val="auto"/>
              </w:rPr>
            </w:pPr>
            <w:r>
              <w:rPr>
                <w:rFonts w:ascii="Arial" w:cs="Arial" w:eastAsia="Arial" w:hAnsi="Arial"/>
                <w:sz w:val="14"/>
                <w:szCs w:val="14"/>
                <w:color w:val="auto"/>
              </w:rPr>
              <w:t>January 28,</w:t>
            </w:r>
          </w:p>
        </w:tc>
        <w:tc>
          <w:tcPr>
            <w:tcW w:w="70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0"/>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11,176</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Non-cash asset impairment recovery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losses from an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Provision for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9,429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disposal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2"/>
              </w:rPr>
              <w:t>(28,291)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w w:val="92"/>
              </w:rPr>
              <w:t>(53,832)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(39,289)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rPr>
              <w:t>Accounts payable, accrued expenses, and 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2"/>
              </w:rPr>
              <w:t>(54,778)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(60,000)</w:t>
            </w:r>
          </w:p>
        </w:tc>
        <w:tc>
          <w:tcPr>
            <w:tcW w:w="0" w:type="dxa"/>
            <w:vAlign w:val="bottom"/>
          </w:tcPr>
          <w:p>
            <w:pPr>
              <w:spacing w:after="0"/>
              <w:rPr>
                <w:sz w:val="1"/>
                <w:szCs w:val="1"/>
                <w:color w:val="auto"/>
              </w:rPr>
            </w:pPr>
          </w:p>
        </w:tc>
      </w:tr>
      <w:tr>
        <w:trPr>
          <w:trHeight w:val="439"/>
        </w:trPr>
        <w:tc>
          <w:tcPr>
            <w:tcW w:w="95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(7,319)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Proceeds from disposal of 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investment in affiliates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(Increase) decrease in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business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(7,587)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Increase in short-term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61,023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Excess tax benefits from share-based arrangements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Purchases of Toro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w w:val="92"/>
              </w:rPr>
              <w:t>(83,763)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on Toro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(20,885)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9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5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w w:val="92"/>
              </w:rPr>
              <w:t>(83,289)</w:t>
            </w: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110,287</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28,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January 28, 2005 cannot be annualized to determine the expected results for the fiscal year ending October 31, 2005. Certain amounts from prior period’s financial statements have been reclassified to conform to this period’s presentation.</w:t>
      </w:r>
    </w:p>
    <w:p>
      <w:pPr>
        <w:spacing w:after="0" w:line="151"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41"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2004. The policies described in that report are used for preparing quarterly reports.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0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preparing the consolidated financial statements in conformity with accounting principles generally accepted in the United States of America, management must make decisions that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Annual Report on Form 10-K provides a summary of the significant accounting policies followed in the preparation of the financial statements. Other footnotes in the company’s Annual Report on Form 10-K describe various elements of the financial statements and the assumptions made in determining specific amounts.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Divestiture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2005, the company completed the sale of its southwestern-based distribution company.</w:t>
      </w:r>
    </w:p>
    <w:p>
      <w:pPr>
        <w:spacing w:after="0" w:line="198" w:lineRule="exact"/>
        <w:rPr>
          <w:sz w:val="20"/>
          <w:szCs w:val="20"/>
          <w:color w:val="auto"/>
        </w:rPr>
      </w:pPr>
    </w:p>
    <w:p>
      <w:pPr>
        <w:ind w:right="160" w:firstLine="225"/>
        <w:spacing w:after="0" w:line="291" w:lineRule="auto"/>
        <w:rPr>
          <w:sz w:val="20"/>
          <w:szCs w:val="20"/>
          <w:color w:val="auto"/>
        </w:rPr>
      </w:pPr>
      <w:r>
        <w:rPr>
          <w:rFonts w:ascii="Arial" w:cs="Arial" w:eastAsia="Arial" w:hAnsi="Arial"/>
          <w:sz w:val="16"/>
          <w:szCs w:val="16"/>
          <w:color w:val="auto"/>
        </w:rPr>
        <w:t>On February 8, 2005, the company completed the acquisition of certain assets and assumed certain liabilities of Hayter Limited (Hayter). Hayter designs, manufactures, and markets residential and professional turf maintenance equipment for the European market, with expected sales of approximately</w:t>
      </w:r>
    </w:p>
    <w:p>
      <w:pPr>
        <w:spacing w:after="0" w:line="253" w:lineRule="auto"/>
        <w:rPr>
          <w:sz w:val="20"/>
          <w:szCs w:val="20"/>
          <w:color w:val="auto"/>
        </w:rPr>
      </w:pPr>
      <w:r>
        <w:rPr>
          <w:rFonts w:ascii="Arial" w:cs="Arial" w:eastAsia="Arial" w:hAnsi="Arial"/>
          <w:sz w:val="18"/>
          <w:szCs w:val="18"/>
          <w:color w:val="auto"/>
        </w:rPr>
        <w:t>$35 million for fiscal 2005. If the acquisition of Hayter would have consummated as of November 1, 2004, the expected impact on Toro’s sales would have been approximately $50 million. The preliminary purchase price was approximately $35 million, which was paid in cash. The purchase price should be finalized during the third quarter of fiscal 2005, with any necessary adjustments based on settlement of the final working capital statement. The purchase price will be allocated to the identifiable assets acquired and liabilities assumed based on their estimated fair values, with the excess purchase price recorded as goodwill.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were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January 28,</w:t>
            </w: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0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60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11,176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translation adjustments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Unrealized gain (loss) on derivative instruments, net of taxes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12,199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Effective November 1, 2004, the company adopted the provisions of Statement of Financial Accounting Standards (SFAS) No. 123 (Revised 2004), “Share-Based Payment.” The company adopted the provisions of SFAS No. 123R using the modified prospective application, which applies to new awards granted, unvested awards as of the date of adoption, and to awards modified, repurchased or cancelled after the date of adoption. SFAS No. 123R focuses primarily on accounting for transactions in which an entity obtains employee services through share-based payment transactions. SFAS No. 123R requires a public entity to measure the cost of employee services received in exchange for the award of equity instruments based on the fair value of the award as of the date of grant. The company had previously accounted for share-based compensation under the recognition and measurement principles of Accounting Principles Board Opinion No. 25, “Accounting for Stock Issued to Employees,” (APB No. 25), and related Interpretations.</w:t>
      </w:r>
    </w:p>
    <w:p>
      <w:pPr>
        <w:spacing w:after="0" w:line="127"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color w:val="auto"/>
        </w:rPr>
        <w:t>During the first quarter of fiscal 2005, option awards were granted with an exercise price equal to the market price of the company’s stock as of the date of grant. For certain non-officer employees, options vest over two years and have a five-year contractual term, which was the first time the two-year vesting was required for options granted for the non-officer employee group. For other options granted during the first quarter of fiscal 2005, the options vest over a one-to three-year period and have a ten-year contractual term.</w:t>
      </w:r>
    </w:p>
    <w:p>
      <w:pPr>
        <w:spacing w:after="0" w:line="146"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The company also issues Performance Shares to key employees. Under the provisions of APB No. 25, each quarter the change in value of these Performance Shares was recognized in the financial statements based on Toro’s stock price over the vesting period. Under the provisions of SFAS No. 123R, the company determines the fair value of these Performance Shares as of the date of grant and recognizes the expense over the vesting period.</w:t>
      </w:r>
    </w:p>
    <w:p>
      <w:pPr>
        <w:spacing w:after="0" w:line="1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illustrates the effect on net earnings and net earnings per share if the company had applied the fair value recognition provisions of SFAS No. 123R for the first quarter of fiscal 2005 and 2004.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23"/>
        </w:trPr>
        <w:tc>
          <w:tcPr>
            <w:tcW w:w="7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January 28,</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660" w:type="dxa"/>
            <w:vAlign w:val="bottom"/>
          </w:tcPr>
          <w:p>
            <w:pPr>
              <w:spacing w:after="0"/>
              <w:rPr>
                <w:sz w:val="20"/>
                <w:szCs w:val="20"/>
                <w:color w:val="auto"/>
              </w:rPr>
            </w:pPr>
            <w:r>
              <w:rPr>
                <w:rFonts w:ascii="Arial" w:cs="Arial" w:eastAsia="Arial" w:hAnsi="Arial"/>
                <w:sz w:val="14"/>
                <w:szCs w:val="14"/>
                <w:color w:val="auto"/>
              </w:rPr>
              <w:t>(Dollars in thousands, except per share data)</w:t>
            </w:r>
          </w:p>
        </w:tc>
        <w:tc>
          <w:tcPr>
            <w:tcW w:w="1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19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11,176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Share-based compensation cost, net of tax, included in net earnings as reported</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cost, net of tax, if fair value method had been applied</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Pro forma net earnings as if fair-value method had been applied</w:t>
            </w:r>
          </w:p>
        </w:tc>
        <w:tc>
          <w:tcPr>
            <w:tcW w:w="1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data:</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As reported - Basic</w:t>
            </w:r>
          </w:p>
        </w:tc>
        <w:tc>
          <w:tcPr>
            <w:tcW w:w="198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0.48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 - Basic</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20"/>
              <w:spacing w:after="0"/>
              <w:rPr>
                <w:sz w:val="20"/>
                <w:szCs w:val="20"/>
                <w:color w:val="auto"/>
              </w:rPr>
            </w:pPr>
            <w:r>
              <w:rPr>
                <w:rFonts w:ascii="Arial" w:cs="Arial" w:eastAsia="Arial" w:hAnsi="Arial"/>
                <w:sz w:val="18"/>
                <w:szCs w:val="18"/>
                <w:color w:val="auto"/>
              </w:rPr>
              <w:t>As reported - Diluted</w:t>
            </w: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 – Diluted</w:t>
            </w:r>
          </w:p>
        </w:tc>
        <w:tc>
          <w:tcPr>
            <w:tcW w:w="19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5660"/>
              <w:spacing w:after="0"/>
              <w:rPr>
                <w:sz w:val="20"/>
                <w:szCs w:val="20"/>
                <w:color w:val="auto"/>
              </w:rPr>
            </w:pPr>
            <w:r>
              <w:rPr>
                <w:rFonts w:ascii="Arial" w:cs="Arial" w:eastAsia="Arial" w:hAnsi="Arial"/>
                <w:sz w:val="18"/>
                <w:szCs w:val="18"/>
                <w:color w:val="auto"/>
              </w:rPr>
              <w:t>7</w:t>
            </w: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66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66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fair value of each share-based option is estimated on the date of grant using a Black-Scholes valuation method that uses the assumptions noted in the following table. The expected life is a significant assumption as it determines the period for which the risk-free interest rate, volatility, and dividend yield must be applied. The expected life is the average length of time the employee groups will exercise their options, which is based on historical experience with similar grants. Separate groups of employees that have similar historical exercise behavior are considered separately for valuation purposes. Expected volatilities are based on the movement of the company’s stock over the most recent historical period equivalent to the expected life of the option. The risk-free rate for periods within the contractual life of the option is based on the U.S. Treasury rate over the expected life at the time of grant. Dividend yield is estimated over the expected life based on the company’s dividend policy, historical dividends paid, and expected increase in the company’s stock price. The following table illustrates the assumptions for options granted in the following fiscal periods.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Three Months Ended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160" w:type="dxa"/>
            <w:vAlign w:val="bottom"/>
          </w:tcPr>
          <w:p>
            <w:pPr>
              <w:spacing w:after="0"/>
              <w:rPr>
                <w:sz w:val="12"/>
                <w:szCs w:val="12"/>
                <w:color w:val="auto"/>
              </w:rPr>
            </w:pPr>
          </w:p>
        </w:tc>
        <w:tc>
          <w:tcPr>
            <w:tcW w:w="136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color w:val="auto"/>
              </w:rPr>
              <w:t>January 28, 2005</w:t>
            </w:r>
          </w:p>
        </w:tc>
        <w:tc>
          <w:tcPr>
            <w:tcW w:w="420" w:type="dxa"/>
            <w:vAlign w:val="bottom"/>
          </w:tcPr>
          <w:p>
            <w:pPr>
              <w:spacing w:after="0"/>
              <w:rPr>
                <w:sz w:val="12"/>
                <w:szCs w:val="12"/>
                <w:color w:val="auto"/>
              </w:rPr>
            </w:pPr>
          </w:p>
        </w:tc>
        <w:tc>
          <w:tcPr>
            <w:tcW w:w="138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color w:val="auto"/>
              </w:rPr>
              <w:t>January 30, 2004</w:t>
            </w:r>
          </w:p>
        </w:tc>
        <w:tc>
          <w:tcPr>
            <w:tcW w:w="100" w:type="dxa"/>
            <w:vAlign w:val="bottom"/>
          </w:tcPr>
          <w:p>
            <w:pPr>
              <w:spacing w:after="0"/>
              <w:rPr>
                <w:sz w:val="12"/>
                <w:szCs w:val="12"/>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w:t>
            </w:r>
          </w:p>
        </w:tc>
        <w:tc>
          <w:tcPr>
            <w:tcW w:w="10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25.87%</w:t>
            </w:r>
          </w:p>
        </w:tc>
        <w:tc>
          <w:tcPr>
            <w:tcW w:w="680" w:type="dxa"/>
            <w:vAlign w:val="bottom"/>
          </w:tcPr>
          <w:p>
            <w:pPr>
              <w:ind w:left="20"/>
              <w:spacing w:after="0"/>
              <w:rPr>
                <w:sz w:val="20"/>
                <w:szCs w:val="20"/>
                <w:color w:val="auto"/>
              </w:rPr>
            </w:pPr>
            <w:r>
              <w:rPr>
                <w:rFonts w:ascii="Arial" w:cs="Arial" w:eastAsia="Arial" w:hAnsi="Arial"/>
                <w:sz w:val="18"/>
                <w:szCs w:val="18"/>
                <w:color w:val="auto"/>
                <w:w w:val="88"/>
              </w:rPr>
              <w:t>- 30.41%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27.60%</w:t>
            </w:r>
          </w:p>
        </w:tc>
        <w:tc>
          <w:tcPr>
            <w:tcW w:w="700" w:type="dxa"/>
            <w:vAlign w:val="bottom"/>
          </w:tcPr>
          <w:p>
            <w:pPr>
              <w:ind w:left="20"/>
              <w:spacing w:after="0"/>
              <w:rPr>
                <w:sz w:val="20"/>
                <w:szCs w:val="20"/>
                <w:color w:val="auto"/>
              </w:rPr>
            </w:pPr>
            <w:r>
              <w:rPr>
                <w:rFonts w:ascii="Arial" w:cs="Arial" w:eastAsia="Arial" w:hAnsi="Arial"/>
                <w:sz w:val="18"/>
                <w:szCs w:val="18"/>
                <w:color w:val="auto"/>
                <w:w w:val="91"/>
              </w:rPr>
              <w:t>- 27.84%</w:t>
            </w: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3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28.04%</w:t>
            </w:r>
          </w:p>
        </w:tc>
        <w:tc>
          <w:tcPr>
            <w:tcW w:w="18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27.72%</w:t>
            </w:r>
          </w:p>
        </w:tc>
        <w:tc>
          <w:tcPr>
            <w:tcW w:w="10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Risk-free rate</w:t>
            </w:r>
          </w:p>
        </w:tc>
        <w:tc>
          <w:tcPr>
            <w:tcW w:w="680" w:type="dxa"/>
            <w:vAlign w:val="bottom"/>
          </w:tcPr>
          <w:p>
            <w:pPr>
              <w:jc w:val="right"/>
              <w:spacing w:after="0"/>
              <w:rPr>
                <w:sz w:val="20"/>
                <w:szCs w:val="20"/>
                <w:color w:val="auto"/>
              </w:rPr>
            </w:pPr>
            <w:r>
              <w:rPr>
                <w:rFonts w:ascii="Arial" w:cs="Arial" w:eastAsia="Arial" w:hAnsi="Arial"/>
                <w:sz w:val="18"/>
                <w:szCs w:val="18"/>
                <w:color w:val="auto"/>
              </w:rPr>
              <w:t>3.22%</w:t>
            </w:r>
          </w:p>
        </w:tc>
        <w:tc>
          <w:tcPr>
            <w:tcW w:w="680" w:type="dxa"/>
            <w:vAlign w:val="bottom"/>
          </w:tcPr>
          <w:p>
            <w:pPr>
              <w:ind w:left="20"/>
              <w:spacing w:after="0"/>
              <w:rPr>
                <w:sz w:val="20"/>
                <w:szCs w:val="20"/>
                <w:color w:val="auto"/>
              </w:rPr>
            </w:pPr>
            <w:r>
              <w:rPr>
                <w:rFonts w:ascii="Arial" w:cs="Arial" w:eastAsia="Arial" w:hAnsi="Arial"/>
                <w:sz w:val="18"/>
                <w:szCs w:val="18"/>
                <w:color w:val="auto"/>
              </w:rPr>
              <w:t>- 4.04%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700" w:type="dxa"/>
            <w:vAlign w:val="bottom"/>
          </w:tcPr>
          <w:p>
            <w:pPr>
              <w:ind w:left="20"/>
              <w:spacing w:after="0"/>
              <w:rPr>
                <w:sz w:val="20"/>
                <w:szCs w:val="20"/>
                <w:color w:val="auto"/>
              </w:rPr>
            </w:pPr>
            <w:r>
              <w:rPr>
                <w:rFonts w:ascii="Arial" w:cs="Arial" w:eastAsia="Arial" w:hAnsi="Arial"/>
                <w:sz w:val="18"/>
                <w:szCs w:val="18"/>
                <w:color w:val="auto"/>
              </w:rPr>
              <w:t>- 4.10%</w:t>
            </w: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- 0.39%</w:t>
            </w:r>
          </w:p>
        </w:tc>
        <w:tc>
          <w:tcPr>
            <w:tcW w:w="100" w:type="dxa"/>
            <w:vAlign w:val="bottom"/>
            <w:shd w:val="clear" w:color="auto" w:fill="CCEEFF"/>
          </w:tcPr>
          <w:p>
            <w:pPr>
              <w:spacing w:after="0"/>
              <w:rPr>
                <w:sz w:val="18"/>
                <w:szCs w:val="18"/>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1360" w:type="dxa"/>
            <w:vAlign w:val="bottom"/>
            <w:gridSpan w:val="2"/>
          </w:tcPr>
          <w:p>
            <w:pPr>
              <w:jc w:val="right"/>
              <w:ind w:right="314"/>
              <w:spacing w:after="0"/>
              <w:rPr>
                <w:sz w:val="20"/>
                <w:szCs w:val="20"/>
                <w:color w:val="auto"/>
              </w:rPr>
            </w:pPr>
            <w:r>
              <w:rPr>
                <w:rFonts w:ascii="Arial" w:cs="Arial" w:eastAsia="Arial" w:hAnsi="Arial"/>
                <w:sz w:val="18"/>
                <w:szCs w:val="18"/>
                <w:color w:val="auto"/>
              </w:rPr>
              <w:t>0.22%</w:t>
            </w:r>
          </w:p>
        </w:tc>
        <w:tc>
          <w:tcPr>
            <w:tcW w:w="1800" w:type="dxa"/>
            <w:vAlign w:val="bottom"/>
            <w:gridSpan w:val="3"/>
          </w:tcPr>
          <w:p>
            <w:pPr>
              <w:jc w:val="right"/>
              <w:ind w:right="33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weighted-average fair value of options granted during the first fiscal quarter of fiscal 2005 and 2004 was $22.27 and $15.37, respectively. The fair value of Performance Shares granted during the first fiscal quarter of fiscal 2005 and 2004 was $74.04 and $48.32, respectively.</w:t>
      </w:r>
    </w:p>
    <w:p>
      <w:pPr>
        <w:spacing w:after="0" w:line="13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illustrates the effect on the company’s earnings, net earnings, and earnings per share if the company had applied the original provisions of APB No. 25 and related interpretations on the company’s financial statements for the first quarter of fiscal 2005 instead of SFAS No. 123R.</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w w:val="94"/>
              </w:rPr>
              <w:t>Increase (decrease)</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Three months ended</w:t>
            </w:r>
          </w:p>
        </w:tc>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rPr>
              <w:t>impact of adopting</w:t>
            </w:r>
          </w:p>
        </w:tc>
        <w:tc>
          <w:tcPr>
            <w:tcW w:w="0" w:type="dxa"/>
            <w:vAlign w:val="bottom"/>
          </w:tcPr>
          <w:p>
            <w:pPr>
              <w:spacing w:after="0"/>
              <w:rPr>
                <w:sz w:val="1"/>
                <w:szCs w:val="1"/>
                <w:color w:val="auto"/>
              </w:rPr>
            </w:pPr>
          </w:p>
        </w:tc>
      </w:tr>
      <w:tr>
        <w:trPr>
          <w:trHeight w:val="167"/>
        </w:trPr>
        <w:tc>
          <w:tcPr>
            <w:tcW w:w="3720" w:type="dxa"/>
            <w:vAlign w:val="bottom"/>
            <w:gridSpan w:val="2"/>
          </w:tcPr>
          <w:p>
            <w:pPr>
              <w:spacing w:after="0"/>
              <w:rPr>
                <w:sz w:val="20"/>
                <w:szCs w:val="20"/>
                <w:color w:val="auto"/>
              </w:rPr>
            </w:pPr>
            <w:r>
              <w:rPr>
                <w:rFonts w:ascii="Arial" w:cs="Arial" w:eastAsia="Arial" w:hAnsi="Arial"/>
                <w:sz w:val="14"/>
                <w:szCs w:val="14"/>
                <w:color w:val="auto"/>
              </w:rPr>
              <w:t>January 28, 2005</w:t>
            </w:r>
          </w:p>
        </w:tc>
        <w:tc>
          <w:tcPr>
            <w:tcW w:w="39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As Reported (1)</w:t>
            </w:r>
          </w:p>
        </w:tc>
        <w:tc>
          <w:tcPr>
            <w:tcW w:w="1420" w:type="dxa"/>
            <w:vAlign w:val="bottom"/>
            <w:gridSpan w:val="3"/>
          </w:tcPr>
          <w:p>
            <w:pPr>
              <w:jc w:val="right"/>
              <w:ind w:right="420"/>
              <w:spacing w:after="0"/>
              <w:rPr>
                <w:sz w:val="20"/>
                <w:szCs w:val="20"/>
                <w:color w:val="auto"/>
              </w:rPr>
            </w:pPr>
            <w:r>
              <w:rPr>
                <w:rFonts w:ascii="Arial" w:cs="Arial" w:eastAsia="Arial" w:hAnsi="Arial"/>
                <w:sz w:val="14"/>
                <w:szCs w:val="14"/>
                <w:color w:val="auto"/>
              </w:rPr>
              <w:t>Pro Forma (2)</w:t>
            </w: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SFAS No. 123R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416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19,424</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15,894</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16,805</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13,275</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11,176</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8,828</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0.38</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0.47</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0.37</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cash used in:</w:t>
            </w: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(54,778)</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(53,069)</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(20,885)</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(22,594)</w:t>
            </w:r>
          </w:p>
        </w:tc>
        <w:tc>
          <w:tcPr>
            <w:tcW w:w="3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3208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(1) As reported reflects the application of the provisions of SFAS No. 123R.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Pro forma assumes the application of the provisions of APB No. 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January 28,</w:t>
            </w: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January 30,</w:t>
            </w:r>
          </w:p>
        </w:tc>
        <w:tc>
          <w:tcPr>
            <w:tcW w:w="2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67"/>
        </w:trPr>
        <w:tc>
          <w:tcPr>
            <w:tcW w:w="4100" w:type="dxa"/>
            <w:vAlign w:val="bottom"/>
          </w:tcPr>
          <w:p>
            <w:pPr>
              <w:spacing w:after="0"/>
              <w:rPr>
                <w:sz w:val="20"/>
                <w:szCs w:val="20"/>
                <w:color w:val="auto"/>
              </w:rPr>
            </w:pPr>
            <w:r>
              <w:rPr>
                <w:rFonts w:ascii="Arial" w:cs="Arial" w:eastAsia="Arial" w:hAnsi="Arial"/>
                <w:sz w:val="14"/>
                <w:szCs w:val="14"/>
                <w:color w:val="auto"/>
              </w:rPr>
              <w:t>(Dollars in thousands)</w:t>
            </w: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4320" w:type="dxa"/>
            <w:vAlign w:val="bottom"/>
            <w:gridSpan w:val="2"/>
            <w:shd w:val="clear" w:color="auto" w:fill="CCEEFF"/>
          </w:tcPr>
          <w:p>
            <w:pPr>
              <w:ind w:left="4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73,805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80,269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64,169</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Finished goods and service parts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253,636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240,436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210,141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327,441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320,705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274,310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Less: LIFO</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30,227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32,151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30,227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reserves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4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276,364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271,071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227,200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220" w:type="dxa"/>
            <w:vAlign w:val="bottom"/>
            <w:vMerge w:val="restart"/>
          </w:tcPr>
          <w:p>
            <w:pPr>
              <w:jc w:val="right"/>
              <w:ind w:right="24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1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dilutive weighted average shares of common stock outstanding are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January 28,</w:t>
            </w:r>
          </w:p>
        </w:tc>
        <w:tc>
          <w:tcPr>
            <w:tcW w:w="780" w:type="dxa"/>
            <w:vAlign w:val="bottom"/>
            <w:gridSpan w:val="2"/>
          </w:tcPr>
          <w:p>
            <w:pPr>
              <w:spacing w:after="0"/>
              <w:rPr>
                <w:sz w:val="20"/>
                <w:szCs w:val="20"/>
                <w:color w:val="auto"/>
              </w:rPr>
            </w:pPr>
            <w:r>
              <w:rPr>
                <w:rFonts w:ascii="Arial" w:cs="Arial" w:eastAsia="Arial" w:hAnsi="Arial"/>
                <w:sz w:val="14"/>
                <w:szCs w:val="14"/>
                <w:color w:val="auto"/>
              </w:rPr>
              <w:t>January 30,</w:t>
            </w:r>
          </w:p>
        </w:tc>
      </w:tr>
      <w:tr>
        <w:trPr>
          <w:trHeight w:val="167"/>
        </w:trPr>
        <w:tc>
          <w:tcPr>
            <w:tcW w:w="9500" w:type="dxa"/>
            <w:vAlign w:val="bottom"/>
          </w:tcPr>
          <w:p>
            <w:pPr>
              <w:spacing w:after="0"/>
              <w:rPr>
                <w:sz w:val="20"/>
                <w:szCs w:val="20"/>
                <w:color w:val="auto"/>
              </w:rPr>
            </w:pPr>
            <w:r>
              <w:rPr>
                <w:rFonts w:ascii="Arial" w:cs="Arial" w:eastAsia="Arial" w:hAnsi="Arial"/>
                <w:sz w:val="14"/>
                <w:szCs w:val="14"/>
                <w:color w:val="auto"/>
              </w:rPr>
              <w:t>(Shares in thousands)</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10"/>
        </w:trPr>
        <w:tc>
          <w:tcPr>
            <w:tcW w:w="9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Basic</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Weighted average number of shares of common stock</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22,996</w:t>
            </w:r>
          </w:p>
        </w:tc>
        <w:tc>
          <w:tcPr>
            <w:tcW w:w="4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24,883</w:t>
            </w: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23"/>
        </w:trPr>
        <w:tc>
          <w:tcPr>
            <w:tcW w:w="9500" w:type="dxa"/>
            <w:vAlign w:val="bottom"/>
          </w:tcPr>
          <w:p>
            <w:pPr>
              <w:spacing w:after="0"/>
              <w:rPr>
                <w:sz w:val="20"/>
                <w:szCs w:val="20"/>
                <w:color w:val="auto"/>
              </w:rPr>
            </w:pPr>
            <w:r>
              <w:rPr>
                <w:rFonts w:ascii="Arial" w:cs="Arial" w:eastAsia="Arial" w:hAnsi="Arial"/>
                <w:sz w:val="18"/>
                <w:szCs w:val="18"/>
                <w:color w:val="auto"/>
              </w:rPr>
              <w:t>Weighted average number of shares of common stock and assumed issuance of contingent shares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24,926</w:t>
            </w:r>
          </w:p>
        </w:tc>
        <w:tc>
          <w:tcPr>
            <w:tcW w:w="100" w:type="dxa"/>
            <w:vAlign w:val="bottom"/>
          </w:tcPr>
          <w:p>
            <w:pPr>
              <w:spacing w:after="0"/>
              <w:rPr>
                <w:sz w:val="19"/>
                <w:szCs w:val="19"/>
                <w:color w:val="auto"/>
              </w:rPr>
            </w:pPr>
          </w:p>
        </w:tc>
      </w:tr>
      <w:tr>
        <w:trPr>
          <w:trHeight w:val="20"/>
        </w:trPr>
        <w:tc>
          <w:tcPr>
            <w:tcW w:w="9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Dilutive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Weighted average number of shares of common stock and assumed issuance of contingent shares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23,068</w:t>
            </w:r>
          </w:p>
        </w:tc>
        <w:tc>
          <w:tcPr>
            <w:tcW w:w="4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24,926</w:t>
            </w: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r>
      <w:tr>
        <w:trPr>
          <w:trHeight w:val="223"/>
        </w:trPr>
        <w:tc>
          <w:tcPr>
            <w:tcW w:w="9500" w:type="dxa"/>
            <w:vAlign w:val="bottom"/>
          </w:tcPr>
          <w:p>
            <w:pPr>
              <w:spacing w:after="0"/>
              <w:rPr>
                <w:sz w:val="20"/>
                <w:szCs w:val="20"/>
                <w:color w:val="auto"/>
              </w:rPr>
            </w:pPr>
            <w:r>
              <w:rPr>
                <w:rFonts w:ascii="Arial" w:cs="Arial" w:eastAsia="Arial" w:hAnsi="Arial"/>
                <w:sz w:val="18"/>
                <w:szCs w:val="18"/>
                <w:color w:val="auto"/>
                <w:w w:val="93"/>
              </w:rPr>
              <w:t>Weighted average number of shares of common stock, assumed issuance of contingent shares, and effect of dilutive securities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26,129</w:t>
            </w:r>
          </w:p>
        </w:tc>
        <w:tc>
          <w:tcPr>
            <w:tcW w:w="100" w:type="dxa"/>
            <w:vAlign w:val="bottom"/>
          </w:tcPr>
          <w:p>
            <w:pPr>
              <w:spacing w:after="0"/>
              <w:rPr>
                <w:sz w:val="19"/>
                <w:szCs w:val="19"/>
                <w:color w:val="auto"/>
              </w:rPr>
            </w:pPr>
          </w:p>
        </w:tc>
      </w:tr>
      <w:tr>
        <w:trPr>
          <w:trHeight w:val="20"/>
        </w:trPr>
        <w:tc>
          <w:tcPr>
            <w:tcW w:w="9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 Effective the beginning of fiscal 2005, the company combined the Distribution segment with the Other segment because the company-owned distributorships that comprised the former Distribution segment do not meet the quantitative thresholds for separate reporting as an operating segment for all periods presented. Prior periods have been reclassified to conform to the current period presentation.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60" w:type="dxa"/>
            <w:vAlign w:val="bottom"/>
          </w:tcPr>
          <w:p>
            <w:pPr>
              <w:spacing w:after="0"/>
              <w:rPr>
                <w:sz w:val="20"/>
                <w:szCs w:val="20"/>
                <w:color w:val="auto"/>
              </w:rPr>
            </w:pPr>
            <w:r>
              <w:rPr>
                <w:rFonts w:ascii="Arial" w:cs="Arial" w:eastAsia="Arial" w:hAnsi="Arial"/>
                <w:sz w:val="14"/>
                <w:szCs w:val="14"/>
                <w:color w:val="auto"/>
              </w:rPr>
              <w:t>(Dollars in thousands)</w:t>
            </w:r>
          </w:p>
        </w:tc>
        <w:tc>
          <w:tcPr>
            <w:tcW w:w="3360" w:type="dxa"/>
            <w:vAlign w:val="bottom"/>
            <w:gridSpan w:val="3"/>
          </w:tcPr>
          <w:p>
            <w:pPr>
              <w:jc w:val="right"/>
              <w:ind w:right="440"/>
              <w:spacing w:after="0"/>
              <w:rPr>
                <w:sz w:val="20"/>
                <w:szCs w:val="20"/>
                <w:color w:val="auto"/>
              </w:rPr>
            </w:pPr>
            <w:r>
              <w:rPr>
                <w:rFonts w:ascii="Arial" w:cs="Arial" w:eastAsia="Arial" w:hAnsi="Arial"/>
                <w:sz w:val="14"/>
                <w:szCs w:val="14"/>
                <w:color w:val="auto"/>
              </w:rPr>
              <w:t>Professional</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Total</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January 28, 2005</w:t>
            </w:r>
          </w:p>
        </w:tc>
        <w:tc>
          <w:tcPr>
            <w:tcW w:w="2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sales</w:t>
            </w:r>
          </w:p>
        </w:tc>
        <w:tc>
          <w:tcPr>
            <w:tcW w:w="3360" w:type="dxa"/>
            <w:vAlign w:val="bottom"/>
            <w:gridSpan w:val="3"/>
          </w:tcPr>
          <w:p>
            <w:pPr>
              <w:jc w:val="right"/>
              <w:ind w:right="460"/>
              <w:spacing w:after="0"/>
              <w:rPr>
                <w:sz w:val="20"/>
                <w:szCs w:val="20"/>
                <w:color w:val="auto"/>
              </w:rPr>
            </w:pPr>
            <w:r>
              <w:rPr>
                <w:rFonts w:ascii="Arial" w:cs="Arial" w:eastAsia="Arial" w:hAnsi="Arial"/>
                <w:sz w:val="18"/>
                <w:szCs w:val="18"/>
                <w:color w:val="auto"/>
              </w:rPr>
              <w:t>$ 245,230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95,876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5,807</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$ 346,913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Intersegment gross sales</w:t>
            </w:r>
          </w:p>
        </w:tc>
        <w:tc>
          <w:tcPr>
            <w:tcW w:w="3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9,897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(10,586)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3360" w:type="dxa"/>
            <w:vAlign w:val="bottom"/>
            <w:gridSpan w:val="3"/>
          </w:tcPr>
          <w:p>
            <w:pPr>
              <w:jc w:val="right"/>
              <w:ind w:right="460"/>
              <w:spacing w:after="0"/>
              <w:rPr>
                <w:sz w:val="20"/>
                <w:szCs w:val="20"/>
                <w:color w:val="auto"/>
              </w:rPr>
            </w:pPr>
            <w:r>
              <w:rPr>
                <w:rFonts w:ascii="Arial" w:cs="Arial" w:eastAsia="Arial" w:hAnsi="Arial"/>
                <w:sz w:val="18"/>
                <w:szCs w:val="18"/>
                <w:color w:val="auto"/>
              </w:rPr>
              <w:t>38,865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(26,494)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16,805</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456,715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214,636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253,752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925,103</w:t>
            </w: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Three months ended January 30, 2004</w:t>
            </w: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$ 207,678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$ 313,573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360" w:type="dxa"/>
            <w:vAlign w:val="bottom"/>
            <w:gridSpan w:val="3"/>
          </w:tcPr>
          <w:p>
            <w:pPr>
              <w:jc w:val="right"/>
              <w:ind w:right="460"/>
              <w:spacing w:after="0"/>
              <w:rPr>
                <w:sz w:val="20"/>
                <w:szCs w:val="20"/>
                <w:color w:val="auto"/>
              </w:rPr>
            </w:pPr>
            <w:r>
              <w:rPr>
                <w:rFonts w:ascii="Arial" w:cs="Arial" w:eastAsia="Arial" w:hAnsi="Arial"/>
                <w:sz w:val="18"/>
                <w:szCs w:val="18"/>
                <w:color w:val="auto"/>
              </w:rPr>
              <w:t>13,934</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(14,765)</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28,449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(22,764)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14,022</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Total assets</w:t>
            </w:r>
          </w:p>
        </w:tc>
        <w:tc>
          <w:tcPr>
            <w:tcW w:w="3360" w:type="dxa"/>
            <w:vAlign w:val="bottom"/>
            <w:gridSpan w:val="3"/>
          </w:tcPr>
          <w:p>
            <w:pPr>
              <w:jc w:val="right"/>
              <w:ind w:right="460"/>
              <w:spacing w:after="0"/>
              <w:rPr>
                <w:sz w:val="20"/>
                <w:szCs w:val="20"/>
                <w:color w:val="auto"/>
              </w:rPr>
            </w:pPr>
            <w:r>
              <w:rPr>
                <w:rFonts w:ascii="Arial" w:cs="Arial" w:eastAsia="Arial" w:hAnsi="Arial"/>
                <w:sz w:val="18"/>
                <w:szCs w:val="18"/>
                <w:color w:val="auto"/>
              </w:rPr>
              <w:t>457,759</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203,154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259,248</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920,161</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Other segment earnings (loss) before income taxes: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920" w:type="dxa"/>
            <w:vAlign w:val="bottom"/>
            <w:gridSpan w:val="5"/>
          </w:tcPr>
          <w:p>
            <w:pPr>
              <w:jc w:val="right"/>
              <w:ind w:right="3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180"/>
              <w:spacing w:after="0" w:line="123" w:lineRule="exact"/>
              <w:rPr>
                <w:sz w:val="20"/>
                <w:szCs w:val="20"/>
                <w:color w:val="auto"/>
              </w:rPr>
            </w:pPr>
            <w:r>
              <w:rPr>
                <w:rFonts w:ascii="Arial" w:cs="Arial" w:eastAsia="Arial" w:hAnsi="Arial"/>
                <w:sz w:val="14"/>
                <w:szCs w:val="14"/>
                <w:color w:val="auto"/>
                <w:w w:val="90"/>
              </w:rPr>
              <w:t>January 28,</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7"/>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400" w:type="dxa"/>
            <w:vAlign w:val="bottom"/>
          </w:tcPr>
          <w:p>
            <w:pPr>
              <w:spacing w:after="0"/>
              <w:rPr>
                <w:sz w:val="20"/>
                <w:szCs w:val="20"/>
                <w:color w:val="auto"/>
              </w:rPr>
            </w:pPr>
            <w:r>
              <w:rPr>
                <w:rFonts w:ascii="Arial" w:cs="Arial" w:eastAsia="Arial" w:hAnsi="Arial"/>
                <w:sz w:val="14"/>
                <w:szCs w:val="14"/>
                <w:color w:val="auto"/>
              </w:rPr>
              <w:t>(Dollars in thousands)</w:t>
            </w:r>
          </w:p>
        </w:tc>
        <w:tc>
          <w:tcPr>
            <w:tcW w:w="5100" w:type="dxa"/>
            <w:vAlign w:val="bottom"/>
          </w:tcPr>
          <w:p>
            <w:pPr>
              <w:spacing w:after="0"/>
              <w:rPr>
                <w:sz w:val="14"/>
                <w:szCs w:val="14"/>
                <w:color w:val="auto"/>
              </w:rPr>
            </w:pPr>
          </w:p>
        </w:tc>
        <w:tc>
          <w:tcPr>
            <w:tcW w:w="7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color w:val="auto"/>
              </w:rPr>
              <w:t>2005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6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(25,947)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(20,477)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Finance charge revenue</w:t>
            </w:r>
          </w:p>
        </w:tc>
        <w:tc>
          <w:tcPr>
            <w:tcW w:w="6040" w:type="dxa"/>
            <w:vAlign w:val="bottom"/>
            <w:gridSpan w:val="3"/>
          </w:tcPr>
          <w:p>
            <w:pPr>
              <w:jc w:val="right"/>
              <w:ind w:right="160"/>
              <w:spacing w:after="0"/>
              <w:rPr>
                <w:sz w:val="20"/>
                <w:szCs w:val="20"/>
                <w:color w:val="auto"/>
              </w:rPr>
            </w:pPr>
            <w:r>
              <w:rPr>
                <w:rFonts w:ascii="Arial" w:cs="Arial" w:eastAsia="Arial" w:hAnsi="Arial"/>
                <w:sz w:val="18"/>
                <w:szCs w:val="18"/>
                <w:color w:val="auto"/>
              </w:rPr>
              <w:t>658</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corporate financing expense</w:t>
            </w:r>
          </w:p>
        </w:tc>
        <w:tc>
          <w:tcPr>
            <w:tcW w:w="6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2,974</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expense, net</w:t>
            </w:r>
          </w:p>
        </w:tc>
        <w:tc>
          <w:tcPr>
            <w:tcW w:w="6040" w:type="dxa"/>
            <w:vAlign w:val="bottom"/>
            <w:gridSpan w:val="3"/>
          </w:tcPr>
          <w:p>
            <w:pPr>
              <w:jc w:val="right"/>
              <w:ind w:right="100"/>
              <w:spacing w:after="0"/>
              <w:rPr>
                <w:sz w:val="20"/>
                <w:szCs w:val="20"/>
                <w:color w:val="auto"/>
              </w:rPr>
            </w:pPr>
            <w:r>
              <w:rPr>
                <w:rFonts w:ascii="Arial" w:cs="Arial" w:eastAsia="Arial" w:hAnsi="Arial"/>
                <w:sz w:val="18"/>
                <w:szCs w:val="18"/>
                <w:color w:val="auto"/>
              </w:rPr>
              <w:t>(3,760)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5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(26,494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(22,764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100" w:type="dxa"/>
            <w:vAlign w:val="bottom"/>
            <w:vMerge w:val="restart"/>
          </w:tcPr>
          <w:p>
            <w:pPr>
              <w:jc w:val="right"/>
              <w:ind w:right="3650"/>
              <w:spacing w:after="0"/>
              <w:rPr>
                <w:sz w:val="20"/>
                <w:szCs w:val="20"/>
                <w:color w:val="auto"/>
              </w:rPr>
            </w:pPr>
            <w:r>
              <w:rPr>
                <w:rFonts w:ascii="Arial" w:cs="Arial" w:eastAsia="Arial" w:hAnsi="Arial"/>
                <w:sz w:val="18"/>
                <w:szCs w:val="18"/>
                <w:color w:val="auto"/>
              </w:rPr>
              <w:t>9</w:t>
            </w: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quarter of fiscal 2005 were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Professional</w:t>
            </w:r>
          </w:p>
        </w:tc>
        <w:tc>
          <w:tcPr>
            <w:tcW w:w="900" w:type="dxa"/>
            <w:vAlign w:val="bottom"/>
            <w:gridSpan w:val="3"/>
          </w:tcPr>
          <w:p>
            <w:pPr>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3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5"/>
              </w:rPr>
              <w:t>Segment</w:t>
            </w:r>
          </w:p>
        </w:tc>
        <w:tc>
          <w:tcPr>
            <w:tcW w:w="44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Segment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31, 2004</w:t>
            </w:r>
          </w:p>
        </w:tc>
        <w:tc>
          <w:tcPr>
            <w:tcW w:w="314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68,996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78,055</w:t>
            </w: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Translation adjustment</w:t>
            </w:r>
          </w:p>
        </w:tc>
        <w:tc>
          <w:tcPr>
            <w:tcW w:w="3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28, 2005</w:t>
            </w:r>
          </w:p>
        </w:tc>
        <w:tc>
          <w:tcPr>
            <w:tcW w:w="314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69,004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78,082</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color w:val="auto"/>
                <w:w w:val="94"/>
              </w:rPr>
              <w:t>January 28, 2005</w:t>
            </w:r>
          </w:p>
        </w:tc>
        <w:tc>
          <w:tcPr>
            <w:tcW w:w="5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color w:val="auto"/>
                <w:w w:val="94"/>
              </w:rPr>
              <w:t>October 31, 2004</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980" w:type="dxa"/>
            <w:vAlign w:val="bottom"/>
            <w:gridSpan w:val="3"/>
          </w:tcPr>
          <w:p>
            <w:pPr>
              <w:ind w:left="220"/>
              <w:spacing w:after="0" w:line="123" w:lineRule="exact"/>
              <w:rPr>
                <w:sz w:val="20"/>
                <w:szCs w:val="20"/>
                <w:color w:val="auto"/>
              </w:rPr>
            </w:pPr>
            <w:r>
              <w:rPr>
                <w:rFonts w:ascii="Arial" w:cs="Arial" w:eastAsia="Arial" w:hAnsi="Arial"/>
                <w:sz w:val="14"/>
                <w:szCs w:val="14"/>
                <w:color w:val="auto"/>
                <w:w w:val="91"/>
              </w:rPr>
              <w:t>Accumulated</w:t>
            </w:r>
          </w:p>
        </w:tc>
        <w:tc>
          <w:tcPr>
            <w:tcW w:w="44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980" w:type="dxa"/>
            <w:vAlign w:val="bottom"/>
            <w:gridSpan w:val="3"/>
          </w:tcPr>
          <w:p>
            <w:pPr>
              <w:ind w:left="22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7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4"/>
                <w:szCs w:val="14"/>
                <w:color w:val="auto"/>
              </w:rPr>
            </w:pPr>
          </w:p>
        </w:tc>
        <w:tc>
          <w:tcPr>
            <w:tcW w:w="740" w:type="dxa"/>
            <w:vAlign w:val="bottom"/>
          </w:tcPr>
          <w:p>
            <w:pPr>
              <w:jc w:val="right"/>
              <w:ind w:right="135"/>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Amount</w:t>
            </w:r>
          </w:p>
        </w:tc>
        <w:tc>
          <w:tcPr>
            <w:tcW w:w="1080" w:type="dxa"/>
            <w:vAlign w:val="bottom"/>
            <w:gridSpan w:val="4"/>
          </w:tcPr>
          <w:p>
            <w:pPr>
              <w:ind w:left="22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(5,361)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6,553</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(1,100)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(1,055)</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(7,210</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Amortization expense for intangible assets during the first quarter of fiscal 2005 was $157,000. Estimated amortization expense for the remainder of fiscal 2005 and succeeding fiscal years is as follows, excluding the impact of newly acquired intangibles related to Hayter: 2005 (remainder), $471,000; 2006, $601,000; 2007, $408,000; 2008, $281,000; 2009, $121,000; 2010, $45,000; and after 2010, $116,000.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products are warranted to ensure customer confidence in design, workmanship, and overall quality. Warranty coverage ranges from a period of six months to seven years, and generally covers parts, labor, and other expenses for non-maintenance repairs, provided operator abuse, improper use, or negligence did not necessitate the repair. An authorized Toro distributor or dealer must perform warranty work. Distributors, dealers, and contactors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additional warranty coverage on select products when the factory warranty period expires.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provisions, claims, and changes in estimates for the three-month periods in fiscal 2005 and 2004 were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color w:val="auto"/>
              </w:rPr>
              <w:t>(Dollars in thousands)</w:t>
            </w:r>
          </w:p>
        </w:tc>
        <w:tc>
          <w:tcPr>
            <w:tcW w:w="3560" w:type="dxa"/>
            <w:vAlign w:val="bottom"/>
            <w:gridSpan w:val="2"/>
          </w:tcPr>
          <w:p>
            <w:pPr>
              <w:jc w:val="right"/>
              <w:ind w:right="216"/>
              <w:spacing w:after="0"/>
              <w:rPr>
                <w:sz w:val="20"/>
                <w:szCs w:val="20"/>
                <w:color w:val="auto"/>
              </w:rPr>
            </w:pPr>
            <w:r>
              <w:rPr>
                <w:rFonts w:ascii="Arial" w:cs="Arial" w:eastAsia="Arial" w:hAnsi="Arial"/>
                <w:sz w:val="14"/>
                <w:szCs w:val="14"/>
                <w:color w:val="auto"/>
              </w:rPr>
              <w:t>Beginning</w:t>
            </w:r>
          </w:p>
        </w:tc>
        <w:tc>
          <w:tcPr>
            <w:tcW w:w="1160" w:type="dxa"/>
            <w:vAlign w:val="bottom"/>
            <w:gridSpan w:val="2"/>
          </w:tcPr>
          <w:p>
            <w:pPr>
              <w:jc w:val="right"/>
              <w:ind w:right="230"/>
              <w:spacing w:after="0"/>
              <w:rPr>
                <w:sz w:val="20"/>
                <w:szCs w:val="20"/>
                <w:color w:val="auto"/>
              </w:rPr>
            </w:pPr>
            <w:r>
              <w:rPr>
                <w:rFonts w:ascii="Arial" w:cs="Arial" w:eastAsia="Arial" w:hAnsi="Arial"/>
                <w:sz w:val="14"/>
                <w:szCs w:val="14"/>
                <w:color w:val="auto"/>
              </w:rPr>
              <w:t>Warranty</w:t>
            </w:r>
          </w:p>
        </w:tc>
        <w:tc>
          <w:tcPr>
            <w:tcW w:w="1140" w:type="dxa"/>
            <w:vAlign w:val="bottom"/>
            <w:gridSpan w:val="2"/>
          </w:tcPr>
          <w:p>
            <w:pPr>
              <w:jc w:val="right"/>
              <w:ind w:right="236"/>
              <w:spacing w:after="0"/>
              <w:rPr>
                <w:sz w:val="20"/>
                <w:szCs w:val="20"/>
                <w:color w:val="auto"/>
              </w:rPr>
            </w:pPr>
            <w:r>
              <w:rPr>
                <w:rFonts w:ascii="Arial" w:cs="Arial" w:eastAsia="Arial" w:hAnsi="Arial"/>
                <w:sz w:val="14"/>
                <w:szCs w:val="14"/>
                <w:color w:val="auto"/>
              </w:rPr>
              <w:t>Warranty</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Changes in</w:t>
            </w:r>
          </w:p>
        </w:tc>
        <w:tc>
          <w:tcPr>
            <w:tcW w:w="320" w:type="dxa"/>
            <w:vAlign w:val="bottom"/>
          </w:tcPr>
          <w:p>
            <w:pPr>
              <w:spacing w:after="0"/>
              <w:rPr>
                <w:sz w:val="14"/>
                <w:szCs w:val="14"/>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color w:val="auto"/>
                <w:w w:val="96"/>
              </w:rPr>
              <w:t>Ending</w:t>
            </w:r>
          </w:p>
        </w:tc>
      </w:tr>
      <w:tr>
        <w:trPr>
          <w:trHeight w:val="167"/>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Three Months Ended</w:t>
            </w:r>
          </w:p>
        </w:tc>
        <w:tc>
          <w:tcPr>
            <w:tcW w:w="2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w w:val="90"/>
              </w:rPr>
              <w:t>Balance</w:t>
            </w:r>
          </w:p>
        </w:tc>
        <w:tc>
          <w:tcPr>
            <w:tcW w:w="11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color w:val="auto"/>
              </w:rPr>
              <w:t>Provisions</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w w:val="98"/>
              </w:rPr>
              <w:t>Claims</w:t>
            </w: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Estimates</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86"/>
              </w:rPr>
              <w:t>Balance</w:t>
            </w:r>
          </w:p>
        </w:tc>
      </w:tr>
      <w:tr>
        <w:trPr>
          <w:trHeight w:val="224"/>
        </w:trPr>
        <w:tc>
          <w:tcPr>
            <w:tcW w:w="3460" w:type="dxa"/>
            <w:vAlign w:val="bottom"/>
          </w:tcPr>
          <w:p>
            <w:pPr>
              <w:spacing w:after="0"/>
              <w:rPr>
                <w:sz w:val="20"/>
                <w:szCs w:val="20"/>
                <w:color w:val="auto"/>
              </w:rPr>
            </w:pPr>
            <w:r>
              <w:rPr>
                <w:rFonts w:ascii="Arial" w:cs="Arial" w:eastAsia="Arial" w:hAnsi="Arial"/>
                <w:sz w:val="18"/>
                <w:szCs w:val="18"/>
                <w:color w:val="auto"/>
              </w:rPr>
              <w:t>January 28, 2005</w:t>
            </w:r>
          </w:p>
        </w:tc>
        <w:tc>
          <w:tcPr>
            <w:tcW w:w="27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6"/>
              <w:spacing w:after="0"/>
              <w:rPr>
                <w:sz w:val="20"/>
                <w:szCs w:val="20"/>
                <w:color w:val="auto"/>
              </w:rPr>
            </w:pPr>
            <w:r>
              <w:rPr>
                <w:rFonts w:ascii="Arial" w:cs="Arial" w:eastAsia="Arial" w:hAnsi="Arial"/>
                <w:sz w:val="18"/>
                <w:szCs w:val="18"/>
                <w:color w:val="auto"/>
              </w:rPr>
              <w:t>60,988</w:t>
            </w:r>
          </w:p>
        </w:tc>
        <w:tc>
          <w:tcPr>
            <w:tcW w:w="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7,848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(9,594)</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59,296</w:t>
            </w:r>
          </w:p>
        </w:tc>
      </w:tr>
      <w:tr>
        <w:trPr>
          <w:trHeight w:val="431"/>
        </w:trPr>
        <w:tc>
          <w:tcPr>
            <w:tcW w:w="3460" w:type="dxa"/>
            <w:vAlign w:val="bottom"/>
          </w:tcPr>
          <w:p>
            <w:pPr>
              <w:spacing w:after="0"/>
              <w:rPr>
                <w:sz w:val="20"/>
                <w:szCs w:val="20"/>
                <w:color w:val="auto"/>
              </w:rPr>
            </w:pPr>
            <w:r>
              <w:rPr>
                <w:rFonts w:ascii="Arial" w:cs="Arial" w:eastAsia="Arial" w:hAnsi="Arial"/>
                <w:sz w:val="18"/>
                <w:szCs w:val="18"/>
                <w:color w:val="auto"/>
              </w:rPr>
              <w:t>January 30, 2004</w:t>
            </w:r>
          </w:p>
        </w:tc>
        <w:tc>
          <w:tcPr>
            <w:tcW w:w="27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6"/>
              <w:spacing w:after="0"/>
              <w:rPr>
                <w:sz w:val="20"/>
                <w:szCs w:val="20"/>
                <w:color w:val="auto"/>
              </w:rPr>
            </w:pPr>
            <w:r>
              <w:rPr>
                <w:rFonts w:ascii="Arial" w:cs="Arial" w:eastAsia="Arial" w:hAnsi="Arial"/>
                <w:sz w:val="18"/>
                <w:szCs w:val="18"/>
                <w:color w:val="auto"/>
              </w:rPr>
              <w:t>59,372</w:t>
            </w:r>
          </w:p>
        </w:tc>
        <w:tc>
          <w:tcPr>
            <w:tcW w:w="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7,876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(8,220)</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1,089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60,117</w:t>
            </w:r>
          </w:p>
        </w:tc>
      </w:tr>
      <w:tr>
        <w:trPr>
          <w:trHeight w:val="392"/>
        </w:trPr>
        <w:tc>
          <w:tcPr>
            <w:tcW w:w="3460" w:type="dxa"/>
            <w:vAlign w:val="bottom"/>
          </w:tcPr>
          <w:p>
            <w:pPr>
              <w:spacing w:after="0"/>
              <w:rPr>
                <w:sz w:val="24"/>
                <w:szCs w:val="24"/>
                <w:color w:val="auto"/>
              </w:rPr>
            </w:pPr>
          </w:p>
        </w:tc>
        <w:tc>
          <w:tcPr>
            <w:tcW w:w="2720" w:type="dxa"/>
            <w:vAlign w:val="bottom"/>
          </w:tcPr>
          <w:p>
            <w:pPr>
              <w:jc w:val="right"/>
              <w:ind w:right="294"/>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6"/>
        </w:trPr>
        <w:tc>
          <w:tcPr>
            <w:tcW w:w="346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period benefit costs: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ind w:left="160"/>
              <w:spacing w:after="0"/>
              <w:rPr>
                <w:sz w:val="20"/>
                <w:szCs w:val="20"/>
                <w:color w:val="auto"/>
              </w:rPr>
            </w:pPr>
            <w:r>
              <w:rPr>
                <w:rFonts w:ascii="Arial" w:cs="Arial" w:eastAsia="Arial" w:hAnsi="Arial"/>
                <w:sz w:val="14"/>
                <w:szCs w:val="14"/>
                <w:color w:val="auto"/>
              </w:rPr>
              <w:t>Three Months Ended</w:t>
            </w:r>
          </w:p>
        </w:tc>
      </w:tr>
      <w:tr>
        <w:trPr>
          <w:trHeight w:val="123"/>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9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January 28,</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January 30,</w:t>
            </w:r>
          </w:p>
        </w:tc>
        <w:tc>
          <w:tcPr>
            <w:tcW w:w="100" w:type="dxa"/>
            <w:vAlign w:val="bottom"/>
          </w:tcPr>
          <w:p>
            <w:pPr>
              <w:spacing w:after="0"/>
              <w:rPr>
                <w:sz w:val="10"/>
                <w:szCs w:val="10"/>
                <w:color w:val="auto"/>
              </w:rPr>
            </w:pPr>
          </w:p>
        </w:tc>
      </w:tr>
      <w:tr>
        <w:trPr>
          <w:trHeight w:val="167"/>
        </w:trPr>
        <w:tc>
          <w:tcPr>
            <w:tcW w:w="55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3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060" w:type="dxa"/>
            <w:vAlign w:val="bottom"/>
            <w:gridSpan w:val="2"/>
            <w:shd w:val="clear" w:color="auto" w:fill="CCEEFF"/>
          </w:tcPr>
          <w:p>
            <w:pPr>
              <w:ind w:left="39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cost</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Amortization of losses</w:t>
            </w:r>
          </w:p>
        </w:tc>
        <w:tc>
          <w:tcPr>
            <w:tcW w:w="3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expense</w:t>
            </w:r>
          </w:p>
        </w:tc>
        <w:tc>
          <w:tcPr>
            <w:tcW w:w="4060" w:type="dxa"/>
            <w:vAlign w:val="bottom"/>
            <w:gridSpan w:val="2"/>
            <w:shd w:val="clear" w:color="auto" w:fill="CCEEFF"/>
          </w:tcPr>
          <w:p>
            <w:pPr>
              <w:ind w:left="39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January 28, 2005, approximately $105,000 of contributions had been made. The company presently expects to contribute a total of $450,000 to its postretirement health-care benefit plan in fiscal 2005.</w:t>
      </w:r>
    </w:p>
    <w:p>
      <w:pPr>
        <w:spacing w:after="0" w:line="143"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company maintains The Toro Company Investment, Savings and Employee Stock Ownership Plan for eligible employees. The company’s expenses under this plan were $3.7 million for the first quarter of fiscal 2005 and $3.4 million for the first quarter of fiscal 2004.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derivative instruments to assist in the management of exposure to currency exchange rates. The company uses derivative instruments only to limit underlying exposure to currency fluctuations, and not for trading purposes. The company documents relationships between hedging instruments and the hedged items, as well as its risk-management objective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spacing w:after="0" w:line="161"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The company enters into foreign currency exchange contracts to hedge the risk from forecasted settlements in local currencies of trade sales and purchases. These contracts are designated as cash flow hedges with the fair value recorded in accumulated other comprehensive income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income (loss) into earnings. During the first quarter ended January 28, 2005, the amount of losses reclassified to earnings for such cash flow hedges was $1.3 million. As of January 28, 2005, the amount of such contracts outstanding was $106.2 million. The unrecognized after-tax loss portion of the fair value of the contracts recorded in accumulated other comprehensive loss as of January 28, 2005 was $1.0 million.</w:t>
      </w:r>
    </w:p>
    <w:p>
      <w:pPr>
        <w:spacing w:after="0" w:line="12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company also enters into other foreign currency exchange contracts. These contracts are intended to hedge intercompany financing transactions and other activities that are not subject to the accounting criteria of SFAS No. 133; therefore, changes in fair value of these instruments are recorded in other income, net.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(Ronnie Phillips et al. v. Sears Roebuck Corporation et. al., No.04-L-334 (20th Judicial Circuit, St., Clair County, IL)) against the company and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by the defendants. The complaint seeks an injunction, unspecified compensatory and punitive damages, and attorneys’ fees. No answers have been entered in the case, and there has been no formal discovery. A number of procedural motions have been filed by the defendants, but have not yet been decided. Management continues to evaluate this lawsuit. The company has not established a reserve for any potential loss in connection with this lawsuit since the company is unable to provide a reasonable estimate of the amount or range of loss that could result from this litigation. The company is also unable to assess at this time whether the lawsuit will have a material adverse effect on its consolidated operating results or financial condition.</w:t>
      </w:r>
    </w:p>
    <w:p>
      <w:pPr>
        <w:spacing w:after="0" w:line="126"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the ordinary course of business, the company may become liable with respect to pending and threatened litigation in addition to that described above, as well as tax, patent, environmental, and other matters. While the ultimate results of current claims, investigations, and lawsuits involving the company are unknown at this time, management believes that, except for the lawsuit discussed above, the outcomes of these cases are unlikely to have a material adverse effect on the consolidated operating results or financial position of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18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and services, turf and agricultural irrigation systems, landscaping equipment, and residential yard products worldwide. Our products are sold through a network of distributors, dealers, hardware retailers, home centers, mass retailers, and over the Internet, mainly through Internet retailers. Our businesses are organized into two segments: professional and residential. A third segment called “other” consists of domestic distribution companies and corporate activities. Our emphasis is to provide well-built, dependable, and innovative products supported by an extensive service network. A significant portion of our revenues has historically been attributable to new and enhanced products. As we continue with our “6 + 8” profitability and growth initiative, we expect to invest in growth strategies at higher than historical levels. The goals of this initiative are to achieve a consistent after-tax return on net sales of 6 percent or more and grow revenues at an average rate of 8 percent or more over the three-year period ending October 31, 2006.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results for the first quarter of fiscal 2005 were strong with double digit sales and earnings growth. Our net earnings rose 19.8 percent compared to the first quarter of fiscal 2004 on net sales growth of 10.6 percent. Sales were up for our professional segment as a result of strong retail demand for our products, price increases, and favorable currency rates. Even though residential segment net sales were slightly down for the first quarter comparison, we anticipate a strong year as we introduce new, innovative products with expanded placement at key retailers. As part of our “6 + 8” initiative, we are investing in growth strategies directed at underserved markets, such as revitalizing the Lawn-Boy brand with new products and accelerating our growth in international markets, as evidenced by our recently announced acquisition of substantially all of the assets of Hayter Limited, an international company that designs, manufactures, and markets residential and professional turf maintenance equipment primarily for the United Kingdom market. Gross margins are expected to continue to be hampered by rising commodity prices; however, we will attempt to mitigate the impact of rising commodity costs through internal cost reduction efforts from past and continuing initiatives driven by our emphasis on lean manufacturing methods and selective price increases. Our financial condition remains strong with only modest increases in receivables and inventory levels. This has allowed us to continue to repurchase shares of our common stock and double our fiscal 2005 first quarter cash dividend from $0.06 per share to $0.12 per share.</w:t>
      </w:r>
    </w:p>
    <w:p>
      <w:pPr>
        <w:spacing w:after="0" w:line="132"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Our first quarter of fiscal 2005 results were strong, and we are optimistic results for the full fiscal year of 2005 will end strong. However, as net sales and earnings for the first quarter of our fiscal year are typically lower than other quarters, the results of our first quarter are not necessarily an indicator of spring season sales trends, which are still ahead. Sales are expected to grow at an annual rate of 9 to 11 percent in fiscal 2005 and diluted net earnings per share are expected to grow at an annual rate of 12 to 15 percent over fiscal 2004, which includes the impact of adopting SFAS No. 123R and the acquisition of Hayter Limited during the second quarter of fiscal 2005. We continue, however, to keep a cautionary eye on the world economies, weather, field inventory levels, commodity prices, competitive actions, and other factors identified below under the heading “Forward-Looking Information,” which could cause our actual results to differ from our outlook.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Transition</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17, 2005, the Board of Directors elected Michael J. Hoffman to the position of Chief Executive Officer effective on March 15, 2005. At the same time, Kendrick B. Melrose will step down as Chief Executive Officer of The Toro Company and assume the role of Executive Chairman of the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02"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First quarter net earnings were $11.2 million or $0.47 per diluted share compared to $9.3 million or $0.36 per diluted share last year, a net earnings increase of 19.8 percent. The primary factors contributing to this increase were higher sales volumes and improved leveraging of selling, general, and administrative costs, somewhat offset by lower gross margin. In addition, first quarter of fiscal 2005 diluted earnings per share were benefited by approximately $0.04 per share compared to the first quarter of fiscal 2004 as a result of reduced shares outstanding due to our significant Toro common stock repurchases.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Effective November 1, 2005, we adopted the provisions of SFAS No. 123R as previously discussed. However, if we had applied the provisions of SFAS No. 123R during the first quarter of fiscal 2004, diluted earnings per share would have been $0.29 per share compared to $0.47 per diluted share for the first quarter of fiscal 2005, an increase of $0.18 per diluted share or 62.1 percent. A portion of this increase is due to the new two-year vesting for options granted in the first quarter of fiscal 2005 to non-officer employees. Options to non-officer employees granted prior to fiscal 2005, which generally occurred in December, were fully vested on the date of grant; therefore, the entire fair value of the option would have been expensed on the date of grant.</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2020" w:type="dxa"/>
            <w:vAlign w:val="bottom"/>
            <w:gridSpan w:val="4"/>
          </w:tcPr>
          <w:p>
            <w:pPr>
              <w:jc w:val="right"/>
              <w:ind w:right="4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38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480"/>
              <w:spacing w:after="0" w:line="123" w:lineRule="exact"/>
              <w:rPr>
                <w:sz w:val="20"/>
                <w:szCs w:val="20"/>
                <w:color w:val="auto"/>
              </w:rPr>
            </w:pPr>
            <w:r>
              <w:rPr>
                <w:rFonts w:ascii="Arial" w:cs="Arial" w:eastAsia="Arial" w:hAnsi="Arial"/>
                <w:sz w:val="14"/>
                <w:szCs w:val="14"/>
                <w:color w:val="auto"/>
                <w:w w:val="90"/>
              </w:rPr>
              <w:t>January 28,</w:t>
            </w: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0"/>
              </w:rPr>
              <w:t>January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2005</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64.9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(29.5)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income, net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Net earnings</w:t>
            </w: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0" w:type="dxa"/>
            <w:vAlign w:val="bottom"/>
            <w:gridSpan w:val="2"/>
            <w:vMerge w:val="continue"/>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Worldwide consolidated net sales for the first quarter of fiscal 2005 were up 10.6 percent compared to last year’s first quarter. Factoring out the effect of our southeastern-based distributorship sold in October 2004 and our southwestern-based distributorship sold in November 2004, fiscal 2005 first quarter net sales increased 11.5 percent over last year’s first quarter. The sales increase was due to strong professional segment sales as the result of positive market conditions and strong retail demand, mainly for our mowing equipment products; price increases introduced on some products; and the success of introducing new products within the past two years. In addition, favorable currency rates contributed approximately 1.6 percent of the sales growth for the quarter. International sales were up 18.9 percent compared to last year’s first quarter driven primarily by a weaker U.S. dollar, strong customer demand, and new product introductions. Disregarding currency effects, international sales increased 12.1 percent. Residential segment sales were slightly down due to lower shipments of Toro walk power mowers, riding products, and retail irrigation products. This was somewhat offset by higher shipments of snow throwers and the introduction of new products. Other segment net sales were also down for the first quarter comparison due to the sale of the two distribution companies, as previously mentioned.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Gross profit for the first quarter of fiscal 2005 increased 8.0 percent compared to the first quarter of fiscal 2004 due to increased sales. As a percentage of net sales, gross profit for the first quarter of fiscal 2005 was 35.1 percent compared to 35.9 percent in the first quarter of fiscal 2004. The decrease in gross profit as a percentage of net sales was the result of the following factors: (i) higher costs for steel, resin, and other commodities and (ii) increased outbound freight costs due to higher fuel costs and increased demand for transportation. Somewhat offsetting these negative factors were (i) price increases introduced on some products; (ii) cost reduction efforts from profit improvement initiatives; (iii) lower manufacturing costs from increased plant utilization; (iv) increased sales of higher-margin products; and (v) favorable foreign currency exchange rates compared to the U.S. dollar.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 (SG&amp;A) for the first quarter of fiscal 2005 increased by 6.5 percent compared to the same period last year.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However, SG&amp;A as a percentage of net sales was 29.5 percent in the first quarter of fiscal 2005 compared to 30.6 percent in the first quarter of fiscal 2004.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SG&amp;A expense as a percentage of net sales was due primarily to leveraging fixed SG&amp;A costs over higher sales volumes as well as:</w:t>
      </w:r>
    </w:p>
    <w:p>
      <w:pPr>
        <w:spacing w:after="0" w:line="21" w:lineRule="exact"/>
        <w:rPr>
          <w:sz w:val="20"/>
          <w:szCs w:val="20"/>
          <w:color w:val="auto"/>
        </w:rPr>
      </w:pPr>
    </w:p>
    <w:p>
      <w:pPr>
        <w:ind w:right="320" w:firstLine="8"/>
        <w:spacing w:after="0" w:line="302" w:lineRule="auto"/>
        <w:tabs>
          <w:tab w:leader="none" w:pos="215"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reduced warranty costs as a result of a special provision last year for a product modification and improved product quality; and (ii) lower marketing expense. Somewhat offsetting those decreases were: (i) increased investments in engineering as part of our “6 + 8” initiative and (ii) higher administrative expenses, mainly from continued investments in information systems, increased insurance costs, and higher incentive compensation expense.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ind w:right="2220"/>
        <w:spacing w:after="0" w:line="454" w:lineRule="auto"/>
        <w:rPr>
          <w:sz w:val="20"/>
          <w:szCs w:val="20"/>
          <w:color w:val="auto"/>
        </w:rPr>
      </w:pPr>
      <w:r>
        <w:rPr>
          <w:rFonts w:ascii="Arial" w:cs="Arial" w:eastAsia="Arial" w:hAnsi="Arial"/>
          <w:sz w:val="18"/>
          <w:szCs w:val="18"/>
          <w:color w:val="auto"/>
        </w:rPr>
        <w:t xml:space="preserve">Interest expense for the first quarter of fiscal 2005 slightly decreased by 3.1 percent compared to the first quarter of fiscal 2004. </w:t>
      </w:r>
      <w:r>
        <w:rPr>
          <w:rFonts w:ascii="Arial" w:cs="Arial" w:eastAsia="Arial" w:hAnsi="Arial"/>
          <w:sz w:val="18"/>
          <w:szCs w:val="18"/>
          <w:b w:val="1"/>
          <w:bCs w:val="1"/>
          <w:color w:val="auto"/>
        </w:rPr>
        <w:t>Other Income, Net</w:t>
      </w:r>
    </w:p>
    <w:p>
      <w:pPr>
        <w:ind w:right="260"/>
        <w:spacing w:after="0" w:line="342" w:lineRule="auto"/>
        <w:rPr>
          <w:sz w:val="20"/>
          <w:szCs w:val="20"/>
          <w:color w:val="auto"/>
        </w:rPr>
      </w:pPr>
      <w:r>
        <w:rPr>
          <w:rFonts w:ascii="Arial" w:cs="Arial" w:eastAsia="Arial" w:hAnsi="Arial"/>
          <w:sz w:val="16"/>
          <w:szCs w:val="16"/>
          <w:color w:val="auto"/>
        </w:rPr>
        <w:t>Other income, net for the first quarter of fiscal 2005 was $1.1 million compared to $1.3 million for the same period last year, a decline of $0.2 million. The decrease was due primarily to a loss from the sale of a distributorship, somewhat offset by higher levels of interest income and finance charge revenue.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first quarter of fiscal 2005 remained unchanged at 33.5 percent compared to the first quarter of fiscal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0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described previously, we operate in two reportable business segments: professional and residential. A third reportable segment called “other” consists of domestic company-owned distributorships, corporate activities, and financing functions. Operating earnings (loss) for each of our two business segments is defined as earnings (loss) from operations plus other income, net. Effective the beginning of fiscal 2005, the company combined the distribution segment with the other segment because Toro’s distribution segment no longer met the quantitative thresholds for separate reporting as an operating segment for all periods presented. Prior periods have been reclassified to conform to the current period presentation. Operating loss for our third “other” segment includes earnings (loss) from operations, corporate activities, including corporate financing activities, other income, net, and interest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by segment: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w w:val="94"/>
              </w:rPr>
              <w:t>Three Months Ended</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7"/>
          </w:tcPr>
          <w:p>
            <w:pPr>
              <w:jc w:val="right"/>
              <w:ind w:right="160"/>
              <w:spacing w:after="0" w:line="123" w:lineRule="exact"/>
              <w:rPr>
                <w:sz w:val="20"/>
                <w:szCs w:val="20"/>
                <w:color w:val="auto"/>
              </w:rPr>
            </w:pPr>
            <w:r>
              <w:rPr>
                <w:rFonts w:ascii="Arial" w:cs="Arial" w:eastAsia="Arial" w:hAnsi="Arial"/>
                <w:sz w:val="14"/>
                <w:szCs w:val="14"/>
                <w:color w:val="auto"/>
                <w:w w:val="87"/>
              </w:rPr>
              <w:t>January 28,</w:t>
            </w:r>
          </w:p>
        </w:tc>
        <w:tc>
          <w:tcPr>
            <w:tcW w:w="320" w:type="dxa"/>
            <w:vAlign w:val="bottom"/>
          </w:tcPr>
          <w:p>
            <w:pPr>
              <w:spacing w:after="0"/>
              <w:rPr>
                <w:sz w:val="10"/>
                <w:szCs w:val="10"/>
                <w:color w:val="auto"/>
              </w:rPr>
            </w:pPr>
          </w:p>
        </w:tc>
        <w:tc>
          <w:tcPr>
            <w:tcW w:w="1060" w:type="dxa"/>
            <w:vAlign w:val="bottom"/>
            <w:gridSpan w:val="3"/>
          </w:tcPr>
          <w:p>
            <w:pPr>
              <w:jc w:val="center"/>
              <w:ind w:right="360"/>
              <w:spacing w:after="0" w:line="123" w:lineRule="exact"/>
              <w:rPr>
                <w:sz w:val="20"/>
                <w:szCs w:val="20"/>
                <w:color w:val="auto"/>
              </w:rPr>
            </w:pPr>
            <w:r>
              <w:rPr>
                <w:rFonts w:ascii="Arial" w:cs="Arial" w:eastAsia="Arial" w:hAnsi="Arial"/>
                <w:sz w:val="14"/>
                <w:szCs w:val="14"/>
                <w:color w:val="auto"/>
                <w:w w:val="90"/>
              </w:rPr>
              <w:t>January 30,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160" w:type="dxa"/>
            <w:vAlign w:val="bottom"/>
          </w:tcPr>
          <w:p>
            <w:pPr>
              <w:spacing w:after="0"/>
              <w:rPr>
                <w:sz w:val="20"/>
                <w:szCs w:val="20"/>
                <w:color w:val="auto"/>
              </w:rPr>
            </w:pPr>
            <w:r>
              <w:rPr>
                <w:rFonts w:ascii="Arial" w:cs="Arial" w:eastAsia="Arial" w:hAnsi="Arial"/>
                <w:sz w:val="14"/>
                <w:szCs w:val="14"/>
                <w:color w:val="auto"/>
              </w:rPr>
              <w:t>(Dollars in thousands)</w:t>
            </w:r>
          </w:p>
        </w:tc>
        <w:tc>
          <w:tcPr>
            <w:tcW w:w="2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2004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Change</w:t>
            </w:r>
          </w:p>
        </w:tc>
        <w:tc>
          <w:tcPr>
            <w:tcW w:w="440" w:type="dxa"/>
            <w:vAlign w:val="bottom"/>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4"/>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4"/>
              </w:rPr>
              <w:t>$ 245,230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$ 207,678</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37,552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Residential</w:t>
            </w: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95,876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right"/>
              <w:ind w:right="360"/>
              <w:spacing w:after="0"/>
              <w:rPr>
                <w:sz w:val="20"/>
                <w:szCs w:val="20"/>
                <w:color w:val="auto"/>
              </w:rPr>
            </w:pPr>
            <w:r>
              <w:rPr>
                <w:rFonts w:ascii="Arial" w:cs="Arial" w:eastAsia="Arial" w:hAnsi="Arial"/>
                <w:sz w:val="18"/>
                <w:szCs w:val="18"/>
                <w:color w:val="auto"/>
              </w:rPr>
              <w:t>97,887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(2,011)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5,807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(2,201)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7160" w:type="dxa"/>
            <w:vAlign w:val="bottom"/>
          </w:tcPr>
          <w:p>
            <w:pPr>
              <w:ind w:left="220"/>
              <w:spacing w:after="0"/>
              <w:rPr>
                <w:sz w:val="20"/>
                <w:szCs w:val="20"/>
                <w:color w:val="auto"/>
              </w:rPr>
            </w:pPr>
            <w:r>
              <w:rPr>
                <w:rFonts w:ascii="Arial" w:cs="Arial" w:eastAsia="Arial" w:hAnsi="Arial"/>
                <w:sz w:val="18"/>
                <w:szCs w:val="18"/>
                <w:color w:val="auto"/>
              </w:rPr>
              <w:t>Total *</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2"/>
              </w:rPr>
              <w:t>$ 346,913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$ 313,573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33,340</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 Includes international sales of:</w:t>
            </w: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line="20" w:lineRule="exact"/>
              <w:rPr>
                <w:sz w:val="1"/>
                <w:szCs w:val="1"/>
                <w:color w:val="auto"/>
              </w:rPr>
            </w:pPr>
          </w:p>
        </w:tc>
      </w:tr>
      <w:tr>
        <w:trPr>
          <w:trHeight w:val="211"/>
        </w:trPr>
        <w:tc>
          <w:tcPr>
            <w:tcW w:w="7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4"/>
              </w:rPr>
              <w:t>$ 89,653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$ 75,378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14,275</w:t>
            </w:r>
          </w:p>
        </w:tc>
        <w:tc>
          <w:tcPr>
            <w:tcW w:w="4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7160" w:type="dxa"/>
            <w:vAlign w:val="bottom"/>
          </w:tcPr>
          <w:p>
            <w:pPr>
              <w:spacing w:after="0"/>
              <w:rPr>
                <w:sz w:val="20"/>
                <w:szCs w:val="20"/>
                <w:color w:val="auto"/>
              </w:rPr>
            </w:pPr>
            <w:r>
              <w:rPr>
                <w:rFonts w:ascii="Arial" w:cs="Arial" w:eastAsia="Arial" w:hAnsi="Arial"/>
                <w:sz w:val="18"/>
                <w:szCs w:val="18"/>
                <w:color w:val="auto"/>
              </w:rPr>
              <w:t>The following table summarizes operating earnings (loss) by segment: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1"/>
              </w:rPr>
              <w:t>Three Months Ended</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7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5"/>
          </w:tcPr>
          <w:p>
            <w:pPr>
              <w:jc w:val="right"/>
              <w:ind w:right="120"/>
              <w:spacing w:after="0" w:line="123" w:lineRule="exact"/>
              <w:rPr>
                <w:sz w:val="20"/>
                <w:szCs w:val="20"/>
                <w:color w:val="auto"/>
              </w:rPr>
            </w:pPr>
            <w:r>
              <w:rPr>
                <w:rFonts w:ascii="Arial" w:cs="Arial" w:eastAsia="Arial" w:hAnsi="Arial"/>
                <w:sz w:val="14"/>
                <w:szCs w:val="14"/>
                <w:color w:val="auto"/>
                <w:w w:val="84"/>
              </w:rPr>
              <w:t>January 28,</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jc w:val="center"/>
              <w:ind w:right="360"/>
              <w:spacing w:after="0" w:line="123" w:lineRule="exact"/>
              <w:rPr>
                <w:sz w:val="20"/>
                <w:szCs w:val="20"/>
                <w:color w:val="auto"/>
              </w:rPr>
            </w:pPr>
            <w:r>
              <w:rPr>
                <w:rFonts w:ascii="Arial" w:cs="Arial" w:eastAsia="Arial" w:hAnsi="Arial"/>
                <w:sz w:val="14"/>
                <w:szCs w:val="14"/>
                <w:color w:val="auto"/>
                <w:w w:val="92"/>
              </w:rPr>
              <w:t>January 30,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160" w:type="dxa"/>
            <w:vAlign w:val="bottom"/>
          </w:tcPr>
          <w:p>
            <w:pPr>
              <w:spacing w:after="0"/>
              <w:rPr>
                <w:sz w:val="20"/>
                <w:szCs w:val="20"/>
                <w:color w:val="auto"/>
              </w:rPr>
            </w:pPr>
            <w:r>
              <w:rPr>
                <w:rFonts w:ascii="Arial" w:cs="Arial" w:eastAsia="Arial" w:hAnsi="Arial"/>
                <w:sz w:val="14"/>
                <w:szCs w:val="14"/>
                <w:color w:val="auto"/>
              </w:rPr>
              <w:t>(Dollars in thousands)</w:t>
            </w:r>
          </w:p>
        </w:tc>
        <w:tc>
          <w:tcPr>
            <w:tcW w:w="80" w:type="dxa"/>
            <w:vAlign w:val="bottom"/>
            <w:gridSpan w:val="3"/>
          </w:tcPr>
          <w:p>
            <w:pPr>
              <w:spacing w:after="0"/>
              <w:rPr>
                <w:sz w:val="14"/>
                <w:szCs w:val="14"/>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2005</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Change</w:t>
            </w:r>
          </w:p>
        </w:tc>
        <w:tc>
          <w:tcPr>
            <w:tcW w:w="440" w:type="dxa"/>
            <w:vAlign w:val="bottom"/>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4"/>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$ 38,865</w:t>
            </w:r>
          </w:p>
        </w:tc>
        <w:tc>
          <w:tcPr>
            <w:tcW w:w="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$ 28,449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10,416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Residential</w:t>
            </w:r>
          </w:p>
        </w:tc>
        <w:tc>
          <w:tcPr>
            <w:tcW w:w="760" w:type="dxa"/>
            <w:vAlign w:val="bottom"/>
            <w:gridSpan w:val="7"/>
          </w:tcPr>
          <w:p>
            <w:pPr>
              <w:jc w:val="right"/>
              <w:ind w:right="20"/>
              <w:spacing w:after="0"/>
              <w:rPr>
                <w:sz w:val="20"/>
                <w:szCs w:val="20"/>
                <w:color w:val="auto"/>
              </w:rPr>
            </w:pPr>
            <w:r>
              <w:rPr>
                <w:rFonts w:ascii="Arial" w:cs="Arial" w:eastAsia="Arial" w:hAnsi="Arial"/>
                <w:sz w:val="18"/>
                <w:szCs w:val="18"/>
                <w:color w:val="auto"/>
              </w:rPr>
              <w:t>4,434</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8,337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(3,903)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(26,494)</w:t>
            </w:r>
          </w:p>
        </w:tc>
        <w:tc>
          <w:tcPr>
            <w:tcW w:w="13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(22,764)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(3,730)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7160" w:type="dxa"/>
            <w:vAlign w:val="bottom"/>
          </w:tcPr>
          <w:p>
            <w:pPr>
              <w:ind w:left="220"/>
              <w:spacing w:after="0"/>
              <w:rPr>
                <w:sz w:val="20"/>
                <w:szCs w:val="20"/>
                <w:color w:val="auto"/>
              </w:rPr>
            </w:pPr>
            <w:r>
              <w:rPr>
                <w:rFonts w:ascii="Arial" w:cs="Arial" w:eastAsia="Arial" w:hAnsi="Arial"/>
                <w:sz w:val="18"/>
                <w:szCs w:val="18"/>
                <w:color w:val="auto"/>
              </w:rPr>
              <w:t>Total</w:t>
            </w:r>
          </w:p>
        </w:tc>
        <w:tc>
          <w:tcPr>
            <w:tcW w:w="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$ 16,805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$ 14,022</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net sales for the professional segment in the first quarter of fiscal 2005 were up 18.1 percent compared to the first quarter of fiscal 2004.</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professional segment sales of most product lines were up due to positive market conditions and strong retail demand, mainly for our mowing equipment products; price increases introduced on some products; and the success of introducing new products within the past two years. International professional segment net sales increased 17.1 percent due to the same reasons mentioned above and were also benefited from a weaker U.S. dollar. Field inventory levels for some product lines in this segment increased from the comparable quarter due to strong early season stocking orders from our customers in anticipation of strong retail demand during fiscal 2005.</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were $38.9 million in the first quarter of fiscal 2005 compared to $28.4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fiscal 2004, an increase of 36.6 percent. Expressed as a percentage of net sales, professional segment operating margins increased to</w:t>
      </w:r>
    </w:p>
    <w:p>
      <w:pPr>
        <w:ind w:right="60"/>
        <w:spacing w:after="0" w:line="255" w:lineRule="auto"/>
        <w:rPr>
          <w:sz w:val="20"/>
          <w:szCs w:val="20"/>
          <w:color w:val="auto"/>
        </w:rPr>
      </w:pPr>
      <w:r>
        <w:rPr>
          <w:rFonts w:ascii="Arial" w:cs="Arial" w:eastAsia="Arial" w:hAnsi="Arial"/>
          <w:sz w:val="18"/>
          <w:szCs w:val="18"/>
          <w:color w:val="auto"/>
        </w:rPr>
        <w:t>15.8 percent compared to 13.7 percent in the first quarter of fiscal 2004. The profit improvement was the result of lower SG&amp;A expense as a percentage of net sales due to leveraging the fixed portion of SG&amp;A costs over higher sales volumes. Somewhat offsetting the operating earnings increase were lower gross margins as a result of the same factors discussed previously in the Gross Profit section.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color w:val="auto"/>
        </w:rPr>
        <w:t>. Worldwide net sales for the residential segment in the first quarter of fiscal 2005 were slightly down by 2.1 percent compared to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2004. This decline was led by lower domestic shipments of Toro walk power mowers due to customers ordering product closer to retail demand as well as production scheduling later than normal for some new products. Riding product shipments were also down from the comparative quarter due to continued strong competition, initial stocking orders last year for the TimeCutter® zero-turning radius riding mowers in a home center distribution channel, and production delays for some products. Retail irrigation product sales also declined from the comparative quarter primarily from unfavorable weather conditions in key domestic markets. Somewhat offsetting those decreases were higher snow thrower product shipments due to the successful introduction of new products as well as heavy snowfalls in key markets. Lawn-Boy walk power mower sales also increased due mainly to additional store placement in the home center distribution channel and the introduction of new products. International residential segment sales were up 23.5 percent due to a weaker U.S. dollar and the successful introduction of new products.</w:t>
      </w:r>
    </w:p>
    <w:p>
      <w:pPr>
        <w:spacing w:after="0" w:line="1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Operating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for the residential segment decreased 46.8 percent in the first quarter of fiscal 2005 compared to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2004. Expressed as a percentage of net sales, residential segment operating margins decreased to 4.6 percent compared to 8.5 percent in the first quarter of fiscal 2004. The decrease was due mainly to lower gross margins as a result of higher costs for steel and other commodities as well as increased transportation costs. Somewhat offsetting the operating earnings decrease was lower SG&amp;A expense due mainly to reduced warranty costs as a result of a special provision last year for a product modification.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Net sales for the other segment include sales from our wholly owned domestic distribution companies less sales from the professional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segments to those distribution companies. In addition, elimination of the professional and residential segments’ floor plan interest costs from Toro Credit Company are also included in this segment. The other segment net sales declined by 27.5 percent in the first quarter of fiscal 2005 compared to the first quarter of fiscal 2004 due to the sale of the two distribution companies, as previously mentioned.</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color w:val="auto"/>
        </w:rPr>
        <w:t>. Operating losses for the other segment were up $3.7 million or 16.4 percent for the first quarter of fiscal 2005 compared to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2004. This loss increase was due to the following factors: (i) higher administrative costs, mainly from continued investments in information systems, increased insurance costs, and higher incentive compensation expense and (ii) an increase in bad debt expense due to the effect of collecting receivables previously written off in fiscal 2004.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8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During the first quarter of fiscal 2005, our financial condition remained strong, and emphasis continued on improving asset management. Average working capital for the first three months of fiscal 2005 was $312.0 million compared to $361.1 million for the first three months of fiscal 2004. The decrease of 13.6 percent was due to higher average short-term debt, lower average cash and cash equivalents, and higher average accounts payables and accrued liabilities. The primary factor contributing to the higher average short-term debt and lower cash levels was our continued emphasis on repurchasing shares of our common stock during the first quarter of fiscal 2005. Average receivables for the first three months of fiscal 2005 increased by 7.0 percent compared to the first three months of fiscal 2004 on a sales increase of 10.6 percent. Our average days sales outstanding for receivables improved to 76.6 days based on sales for the last twelve months ended January 28, 2005, compared to 83.5 days for the twelve months ended January 30, 2004. Average inventory levels slightly increased by 0.6 percent for the first three months of fiscal 2005 compared to the first three months of fiscal 2004, and average inventory turnover improved 16.8 percent for the last twelve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months ended January 28, 2005 compared to the last twelve months ended January 30, 2004. These improvements reflect our continuing efforts to improve asset utilization.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operating requirements. We believe that the funds available through existing or anticipated financing arrangements and forecasted cash flows, will be sufficient to provide the necessary capital resources for our anticipated working capital, capital expenditures, acquisitions, debt repayments, dividend payments, and stock repurchases for at least the next twelve months.</w:t>
      </w:r>
    </w:p>
    <w:p>
      <w:pPr>
        <w:spacing w:after="0" w:line="15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Our Board of Directors approved an increase in our fiscal 2005 first quarter cash dividend, paid on January 10, 2005, from our historical rate of $0.06 per share to $0.12 per share.</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Our first fiscal quarter historically uses more operating cash than other quarters due to the seasonality of our business. Cash used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for the first three months of fiscal 2005 was 8.7 percent lower than the first three months of fiscal 2004 due primarily to higher earnings, a lower increase in receivables, and a higher increase in accounts payable and accrued liabilities, somewhat offset by a higher increase in inventory levels for the first three months of fiscal 2005 compared to the first three months of fiscal 2004. Cash used in investing activities was lower by 21.9 percent compared to the first quarter of fiscal 2004, due mainly to a lower level of purchases of property, plant, and equipment. Cash used in financing activities was lower by 8.0 percent compared to the first three months of fiscal 2004. This change was due to a higher increase in short-term debt and lower repayments of long-term debt, somewhat offset by an increase of $64 million in shares of our common stock repurchased during the first three months of fiscal 2005 compared to the first three months of fiscal 2004.</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u w:val="single" w:color="auto"/>
          <w:color w:val="auto"/>
        </w:rPr>
        <w:t>Credit Lines and Other Capital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is seasonal, with accounts receivable balances historically increasing between January and April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 February and May. Seasonal cash requirements are financed from operations and with short- and medium-term financing arrangements, including a $175.0 million unsecured senior five-year revolving credit facility, which expires in September 2009. We also have a $75.0 million secured credit line backed by a multi-year credit agreement, expiring in July 2006, which is renewable annually. Interest expense on these credit lines is determined based on a LIBOR or commercial paper rate plus a basis point spread defined in the credit agreements. In addition, our non-U.S. operations and a domestic subsidiary also maintain unsecured short-term lines of credit of approximately $16.6 million. These facilities bear interest at various rates depending on the rates in their respective countries of operation. We also have a letter of credit subfacility as part of our credit agreements. Average short-term debt was $22.3 million in the first quarter of fiscal 2005 compared to $2.7 million in the first quarter of fiscal 2004, an increase of $19.6 million. This increase was primarily attributable to shares of our common stock repurchased during the period. As of January 28, 2005, we had $204.4 million of unutilized availability under our credit agreements.</w:t>
      </w:r>
    </w:p>
    <w:p>
      <w:pPr>
        <w:spacing w:after="0" w:line="139"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Significant financial covenants in our credit agreements are interest coverage and debt to capitalization ratios. We were in compliance with all covenants related to our credit agreements as of January 28, 2005, and expect to be in compliance with all covenants during fiscal 2005. If we were out of compliance with any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under the credit agreements would increase, but the credit commitments could not be cancelled by the banks based only on a ratings downgrade. Our debt rating for long-term unsecured senior, non-credit enhanced debt has been unchanged for the first quarter of fiscal 2005 by Standard and Poor’s Ratings Group at BBB-and by Moody’s Investors Service at Baa3.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off-balance sheet arrangements generally relate to customer financing activities, inventory purchase commitments, operating lease commitments, and currency contracts. See our most recently filed Annual Report on Form 10-K for further details regarding our off-balance sheet arrangements and contractual obligations. There has been no material change in this information.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subject to the effects of inflation and changing prices. In the first quarter of fiscal 2005, average prices paid for steel and other commodities were higher compared to the first quarter of fiscal 2004, which resulted in a negative impact on our gross margin and net earnings. We expect this trend to continue for the remainder of fiscal 2005. We will attempt to mitigate the impact of these anticipated increases in steel and other commodity prices and other inflationary pressures by actively pursuing internal cost reduction efforts. In addition, we also introduced moderate price increases on some products in fiscal 2005.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preparing the consolidated financial statements in conformity with accounting principles generally accepted in the United States of America, we must make decisions which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46"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Our significant accounting policies are described in Note 1 to the consolidated financial statements included in our Annual Report on Form 10-K for the fiscal year ended October 31, 2004.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estimates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138"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u w:val="single" w:color="auto"/>
          <w:color w:val="auto"/>
        </w:rPr>
        <w:t>Warranty Reserve</w:t>
      </w:r>
      <w:r>
        <w:rPr>
          <w:rFonts w:ascii="Arial" w:cs="Arial" w:eastAsia="Arial" w:hAnsi="Arial"/>
          <w:sz w:val="17"/>
          <w:szCs w:val="17"/>
          <w:color w:val="auto"/>
        </w:rPr>
        <w:t>. Warranty coverage on our products ranges from a period of six months to seven years, and covers parts, labor, and other expenses for non-maintenance repairs, provided operator abuse, improper use or negligence did not necessitate the repair. At the time of sale, we accrue a warranty reserve by product line for estimated costs in connection with future warranty claims. We also establish reserves for major rework campaigns upon approval.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of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 Accrual for future estimated warranty claims was $59.3 million in the first quarter of fiscal 2005 compared to $60.1 million in the first quarter of fiscal 2004</w:t>
      </w:r>
    </w:p>
    <w:p>
      <w:pPr>
        <w:spacing w:after="0" w:line="14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u w:val="single" w:color="auto"/>
          <w:color w:val="auto"/>
        </w:rPr>
        <w:t>Accounts and Notes Receivable Valuation</w:t>
      </w:r>
      <w:r>
        <w:rPr>
          <w:rFonts w:ascii="Arial" w:cs="Arial" w:eastAsia="Arial" w:hAnsi="Arial"/>
          <w:sz w:val="16"/>
          <w:szCs w:val="16"/>
          <w:color w:val="auto"/>
        </w:rPr>
        <w:t>. We value accounts and notes receivable, net of an allowance for doubtful accounts. Each quarter, we estimate our</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our actual future losses from uncollectible accounts may differ from our estimates. In the event we determined that a smaller or larger uncollectible accounts reserve is appropriate, we would record a credit or charge 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selling, general, and administrative expense in the period that we made such a determination. As of January 28, 2005, we had $2.3 million reserved against our accounts and notes receivable compared to $2.9 million as of January 30, 2004.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To Be Adopted</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2004, the FASB issued SFAS No. 151, “Inventory Costs,” which amends the guidance in ARB No. 43, Chapter 4, “Inventory Pricing,” to clarify the accounting for abnormal amounts of idle facility expense, freight, handling costs, and wasted material. This Statement requires that those items be recognized as current-period charges regardless of whether they meet the criterion of “so abnormal.” In addition, this Statement requires allocation of fixed production overheads to the costs of conversion be based on the normal capacity of the production facilities. The company is currently evaluating the provisions of SFAS No. 151 and will adopt it on November 1, 2005, as required.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u w:val="single" w:color="auto"/>
          <w:color w:val="auto"/>
        </w:rPr>
        <w:t>Safe Harbor Statement</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This Quarterly Report on Form 10-Q contains or incorporates by reference not only historical information, but also forward-looking statements within the meaning of Section 27A of the Securities Act of 1933 and Section 21E of the Securities Exchange Act of 1934. In addition, we or others on our behalf may make forward-looking statements from time to time in oral presentations, including telephone conferences and/or web casts open to the public, in press releases or reports, on our Internet web sites or otherwise. Statements that are not historical are forward-looking and reflect expectations and assumptions. We try to identify forward-looking statements in this report and elsewhere by using words such as “expect”, “looking ahead”, “anticipate”, “estimate”, “believe”, “should”, “intend”, and similar expressions. Our forward-looking statements generally relate to our future performance, including our anticipated operating results and liquidity requirements, our business strategies and goals, and the effect of laws, rules and regulations and outstanding litigation on our business.</w:t>
      </w:r>
    </w:p>
    <w:p>
      <w:pPr>
        <w:spacing w:after="0" w:line="1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Forward-looking statements involve risks and uncertainties. These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81" w:lineRule="exact"/>
        <w:rPr>
          <w:sz w:val="20"/>
          <w:szCs w:val="20"/>
          <w:color w:val="auto"/>
        </w:rPr>
      </w:pPr>
    </w:p>
    <w:p>
      <w:pPr>
        <w:ind w:left="180" w:right="660" w:hanging="172"/>
        <w:spacing w:after="0" w:line="342" w:lineRule="auto"/>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global and domestic economies, including but not limited to slow growth rate, slow down in home sales, rise in interest rates, inflation, unemployment, weaker consumer confidence, and currency exchange rates, which could have a negative impact on our financial results.</w:t>
      </w:r>
    </w:p>
    <w:p>
      <w:pPr>
        <w:spacing w:after="0" w:line="123" w:lineRule="exact"/>
        <w:rPr>
          <w:rFonts w:ascii="Arial" w:cs="Arial" w:eastAsia="Arial" w:hAnsi="Arial"/>
          <w:sz w:val="16"/>
          <w:szCs w:val="16"/>
          <w:color w:val="auto"/>
        </w:rPr>
      </w:pPr>
    </w:p>
    <w:p>
      <w:pPr>
        <w:ind w:left="180" w:right="32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such as steel and other commodities, and increased dependence on suppliers and our ability to maintain favorable supplier arrangements and relationships.</w:t>
      </w:r>
    </w:p>
    <w:p>
      <w:pPr>
        <w:spacing w:after="0" w:line="170" w:lineRule="exact"/>
        <w:rPr>
          <w:rFonts w:ascii="Arial" w:cs="Arial" w:eastAsia="Arial" w:hAnsi="Arial"/>
          <w:sz w:val="18"/>
          <w:szCs w:val="18"/>
          <w:color w:val="auto"/>
        </w:rPr>
      </w:pPr>
    </w:p>
    <w:p>
      <w:pPr>
        <w:ind w:left="180" w:right="220" w:hanging="172"/>
        <w:spacing w:after="0" w:line="30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achieve goals of the “6 + 8: Teamwork to the Top” initiative that is intended to achieve a consistent after-tax return on sales of 6 percent or more and grow revenues at an average annual rate of 8 percent or more over the three-year period ending October 31, 2006.</w:t>
      </w:r>
    </w:p>
    <w:p>
      <w:pPr>
        <w:spacing w:after="0" w:line="146" w:lineRule="exact"/>
        <w:rPr>
          <w:rFonts w:ascii="Arial" w:cs="Arial" w:eastAsia="Arial" w:hAnsi="Arial"/>
          <w:sz w:val="17"/>
          <w:szCs w:val="17"/>
          <w:color w:val="auto"/>
        </w:rPr>
      </w:pPr>
    </w:p>
    <w:p>
      <w:pPr>
        <w:ind w:left="180" w:right="8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lean manufacturing and other productivity improvement initiatives, which are intended to improve gross margins, offset a portion of rising raw material costs, and provide investment funding for new products and services.</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dependence on The Home Depot, Inc. as a customer for the residential segment.</w:t>
      </w:r>
    </w:p>
    <w:p>
      <w:pPr>
        <w:spacing w:after="0" w:line="225" w:lineRule="exact"/>
        <w:rPr>
          <w:rFonts w:ascii="Arial" w:cs="Arial" w:eastAsia="Arial" w:hAnsi="Arial"/>
          <w:sz w:val="18"/>
          <w:szCs w:val="18"/>
          <w:color w:val="auto"/>
        </w:rPr>
      </w:pPr>
    </w:p>
    <w:p>
      <w:pPr>
        <w:ind w:left="180" w:right="4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acquire, develop, integrate new businesses and acquisitions, and manage alliances and joint venture arrangements successfully, both of which are important to our revenue growth.</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that reduce demand for our products.</w:t>
      </w:r>
    </w:p>
    <w:p>
      <w:pPr>
        <w:spacing w:after="0" w:line="225" w:lineRule="exact"/>
        <w:rPr>
          <w:rFonts w:ascii="Arial" w:cs="Arial" w:eastAsia="Arial" w:hAnsi="Arial"/>
          <w:sz w:val="18"/>
          <w:szCs w:val="18"/>
          <w:color w:val="auto"/>
        </w:rPr>
      </w:pPr>
    </w:p>
    <w:p>
      <w:pPr>
        <w:ind w:left="180" w:right="2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competition, including competitive pricing pressures, new competitors entering the markets we serve, potential loss of market share, new product introductions, and financing programs offered by both domestic and foreign companies.</w:t>
      </w:r>
    </w:p>
    <w:p>
      <w:pPr>
        <w:spacing w:after="0" w:line="170" w:lineRule="exact"/>
        <w:rPr>
          <w:rFonts w:ascii="Arial" w:cs="Arial" w:eastAsia="Arial" w:hAnsi="Arial"/>
          <w:sz w:val="18"/>
          <w:szCs w:val="18"/>
          <w:color w:val="auto"/>
        </w:rPr>
      </w:pPr>
    </w:p>
    <w:p>
      <w:pPr>
        <w:ind w:left="180" w:right="12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Rising transportation costs as a result of higher fuel costs, capacity issues in the transportation industry, and government regulation that limits the hours of service and increases fuel consumption.</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smoothly transition leadership roles and responsibilities.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relationship with and terms from third party financing sources utilized by our customers.</w:t>
      </w:r>
    </w:p>
    <w:p>
      <w:pPr>
        <w:spacing w:after="0" w:line="225" w:lineRule="exact"/>
        <w:rPr>
          <w:rFonts w:ascii="Arial" w:cs="Arial" w:eastAsia="Arial" w:hAnsi="Arial"/>
          <w:sz w:val="18"/>
          <w:szCs w:val="18"/>
          <w:color w:val="auto"/>
        </w:rPr>
      </w:pPr>
    </w:p>
    <w:p>
      <w:pPr>
        <w:ind w:left="180" w:right="42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threat of terrorist acts and war, which may result in heightened security and higher costs for import and export shipments of components or finished goods, and contraction of the U.S. and worldwide economies.</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projected sales and earnings growth for fiscal 2005.</w:t>
      </w:r>
    </w:p>
    <w:p>
      <w:pPr>
        <w:spacing w:after="0" w:line="225" w:lineRule="exact"/>
        <w:rPr>
          <w:rFonts w:ascii="Arial" w:cs="Arial" w:eastAsia="Arial" w:hAnsi="Arial"/>
          <w:sz w:val="18"/>
          <w:szCs w:val="18"/>
          <w:color w:val="auto"/>
        </w:rPr>
      </w:pPr>
    </w:p>
    <w:p>
      <w:pPr>
        <w:ind w:left="180" w:right="240" w:hanging="172"/>
        <w:spacing w:after="0" w:line="264"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Elimination or reduction of shelf space for our products at retailers.</w:t>
      </w:r>
    </w:p>
    <w:p>
      <w:pPr>
        <w:sectPr>
          <w:pgSz w:w="11900" w:h="16838" w:orient="portrait"/>
          <w:cols w:equalWidth="0" w:num="1">
            <w:col w:w="11400"/>
          </w:cols>
          <w:pgMar w:left="240" w:top="419" w:right="259" w:bottom="1068"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068"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80" w:right="220" w:hanging="172"/>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inventory adjustments or changes in purchasing patterns by our customers, which could reduce sales and necessitate lowering manufacturing volumes, or increase inventory above acceptable levels.</w:t>
      </w:r>
    </w:p>
    <w:p>
      <w:pPr>
        <w:spacing w:after="0" w:line="170" w:lineRule="exact"/>
        <w:rPr>
          <w:rFonts w:ascii="Arial" w:cs="Arial" w:eastAsia="Arial" w:hAnsi="Arial"/>
          <w:sz w:val="18"/>
          <w:szCs w:val="18"/>
          <w:color w:val="auto"/>
        </w:rPr>
      </w:pPr>
    </w:p>
    <w:p>
      <w:pPr>
        <w:ind w:left="180" w:right="320" w:hanging="172"/>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product quality problems in the development and production of new and existing products that could result in loss of market share, reduced sales, and higher warranty expense.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Degree of success in plant consolidation, including our ability to cost-effectively expand existing and move production between manufacturing facilities.</w:t>
      </w:r>
    </w:p>
    <w:p>
      <w:pPr>
        <w:spacing w:after="0" w:line="248" w:lineRule="exact"/>
        <w:rPr>
          <w:rFonts w:ascii="Arial" w:cs="Arial" w:eastAsia="Arial" w:hAnsi="Arial"/>
          <w:sz w:val="16"/>
          <w:szCs w:val="16"/>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restrictions placed on water usage as well as water availability.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growth in the new golf course construction market and amount of investments in course renovations and improvements.</w:t>
      </w:r>
    </w:p>
    <w:p>
      <w:pPr>
        <w:spacing w:after="0" w:line="225" w:lineRule="exact"/>
        <w:rPr>
          <w:rFonts w:ascii="Arial" w:cs="Arial" w:eastAsia="Arial" w:hAnsi="Arial"/>
          <w:sz w:val="18"/>
          <w:szCs w:val="18"/>
          <w:color w:val="auto"/>
        </w:rPr>
      </w:pPr>
    </w:p>
    <w:p>
      <w:pPr>
        <w:ind w:left="180" w:right="320" w:hanging="172"/>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Changing buying patterns, including but not limited to, a trend away from purchases at dealer outlets to price and value sensitive purchases at hardware retailers, home centers, and mass retailers.</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government spending for grounds maintenance equipment due to reduced tax revenue and tighter government budgets.</w:t>
      </w:r>
    </w:p>
    <w:p>
      <w:pPr>
        <w:spacing w:after="0" w:line="225" w:lineRule="exact"/>
        <w:rPr>
          <w:rFonts w:ascii="Arial" w:cs="Arial" w:eastAsia="Arial" w:hAnsi="Arial"/>
          <w:sz w:val="18"/>
          <w:szCs w:val="18"/>
          <w:color w:val="auto"/>
        </w:rPr>
      </w:pPr>
    </w:p>
    <w:p>
      <w:pPr>
        <w:ind w:left="180" w:hanging="172"/>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viability of some distributors and dealers, changes in distributor ownership, our success in partnering with new dealers, and our customers’ ability to pay amounts owed to us.</w:t>
      </w:r>
    </w:p>
    <w:p>
      <w:pPr>
        <w:spacing w:after="0" w:line="170" w:lineRule="exact"/>
        <w:rPr>
          <w:rFonts w:ascii="Arial" w:cs="Arial" w:eastAsia="Arial" w:hAnsi="Arial"/>
          <w:sz w:val="18"/>
          <w:szCs w:val="18"/>
          <w:color w:val="auto"/>
        </w:rPr>
      </w:pPr>
    </w:p>
    <w:p>
      <w:pPr>
        <w:ind w:left="180" w:right="280" w:hanging="172"/>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regulations, including changes in accounting standards; taxation changes, including tax rate changes, new tax laws, revised tax law interpretations; and environmental laws.</w:t>
      </w:r>
    </w:p>
    <w:p>
      <w:pPr>
        <w:spacing w:after="0" w:line="170" w:lineRule="exact"/>
        <w:rPr>
          <w:rFonts w:ascii="Arial" w:cs="Arial" w:eastAsia="Arial" w:hAnsi="Arial"/>
          <w:sz w:val="18"/>
          <w:szCs w:val="18"/>
          <w:color w:val="auto"/>
        </w:rPr>
      </w:pPr>
    </w:p>
    <w:p>
      <w:pPr>
        <w:ind w:left="180" w:right="60" w:hanging="172"/>
        <w:spacing w:after="0" w:line="286"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Unknown impact on our business and our consolidated operating results or financial condition as a result of the pending litigation against the company and others in our industry that challenges engine horsepower ratings of lawnmower products, of which the company is currently unable to assess whether the litigation would have a material adverse effect on the company’s consolidated operating results or financial condition.</w:t>
      </w:r>
    </w:p>
    <w:p>
      <w:pPr>
        <w:spacing w:after="0" w:line="165" w:lineRule="exact"/>
        <w:rPr>
          <w:rFonts w:ascii="Arial" w:cs="Arial" w:eastAsia="Arial" w:hAnsi="Arial"/>
          <w:sz w:val="17"/>
          <w:szCs w:val="17"/>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other litigation, including threatened or pending litigation, on matters relating to patent infringement, employment, and commercial disputes.</w:t>
      </w:r>
    </w:p>
    <w:p>
      <w:pPr>
        <w:spacing w:after="0" w:line="24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we file with or furnish to the Securities and Exchange Commission.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QUALITIATIVE DISCLOSURES ABOUT MARKET RISK</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w:t>
      </w:r>
    </w:p>
    <w:p>
      <w:pPr>
        <w:spacing w:after="0" w:line="13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color w:val="auto"/>
        </w:rPr>
        <w:t>. In the normal course of business, we actively manage the exposure to foreign currency market risk by entering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hedging instruments, authorized under company policies that place controls on these activities, with counterparties that are highly rated financial institutions. Our hedging activities involve the use of a variety of derivative financial instruments. We use derivative instruments only in an attempt to limit underlying exposure from currency fluctuations and to minimize earnings and cash volatility associated with foreign exchange rate changes, and not for trading purposes.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exposures are with the Euro, the Japanese yen, the Australian dollar, the Canadian dollar, the British pound, and the Mexican peso against the U.S. dollar.</w:t>
      </w:r>
    </w:p>
    <w:p>
      <w:pPr>
        <w:spacing w:after="0" w:line="140"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enter into various contracts, principally forward contracts that change in value as foreign exchange rates change, to protect the value of existing foreign currency assets, liabilities, anticipated sales, and probable commitments. Decisions on whether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quarter ended January 28, 2005, the amount of losses reclassified to earnings for cash flow hedges was $1.3 million.</w:t>
      </w:r>
    </w:p>
    <w:p>
      <w:pPr>
        <w:spacing w:after="0" w:line="161"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following foreign currency exchange contracts held by us have maturity dates in fiscal 2005.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loss (AOCL), and fair value impact of derivative instruments in other income, net as of January 28, 2005 were as follows:</w:t>
      </w: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704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1100" w:type="dxa"/>
            <w:vAlign w:val="bottom"/>
            <w:tcBorders>
              <w:top w:val="single" w:sz="8" w:color="auto"/>
              <w:right w:val="single" w:sz="8" w:color="auto"/>
            </w:tcBorders>
          </w:tcPr>
          <w:p>
            <w:pPr>
              <w:jc w:val="center"/>
              <w:ind w:right="35"/>
              <w:spacing w:after="0" w:line="13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Borders>
              <w:top w:val="single" w:sz="8" w:color="auto"/>
              <w:right w:val="single" w:sz="8" w:color="auto"/>
            </w:tcBorders>
            <w:vMerge w:val="restart"/>
          </w:tcPr>
          <w:p>
            <w:pPr>
              <w:jc w:val="right"/>
              <w:ind w:right="254"/>
              <w:spacing w:after="0"/>
              <w:rPr>
                <w:sz w:val="20"/>
                <w:szCs w:val="20"/>
                <w:color w:val="auto"/>
              </w:rPr>
            </w:pPr>
            <w:r>
              <w:rPr>
                <w:rFonts w:ascii="Arial" w:cs="Arial" w:eastAsia="Arial" w:hAnsi="Arial"/>
                <w:sz w:val="14"/>
                <w:szCs w:val="14"/>
                <w:b w:val="1"/>
                <w:bCs w:val="1"/>
                <w:color w:val="auto"/>
              </w:rPr>
              <w:t>Notional</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jc w:val="center"/>
              <w:ind w:right="254"/>
              <w:spacing w:after="0" w:line="139" w:lineRule="exact"/>
              <w:rPr>
                <w:sz w:val="20"/>
                <w:szCs w:val="20"/>
                <w:color w:val="auto"/>
              </w:rPr>
            </w:pPr>
            <w:r>
              <w:rPr>
                <w:rFonts w:ascii="Arial" w:cs="Arial" w:eastAsia="Arial" w:hAnsi="Arial"/>
                <w:sz w:val="14"/>
                <w:szCs w:val="14"/>
                <w:b w:val="1"/>
                <w:bCs w:val="1"/>
                <w:color w:val="auto"/>
                <w:w w:val="93"/>
              </w:rPr>
              <w:t>Value in</w:t>
            </w:r>
          </w:p>
        </w:tc>
        <w:tc>
          <w:tcPr>
            <w:tcW w:w="1020" w:type="dxa"/>
            <w:vAlign w:val="bottom"/>
            <w:tcBorders>
              <w:top w:val="single" w:sz="8" w:color="auto"/>
              <w:right w:val="single" w:sz="8" w:color="auto"/>
            </w:tcBorders>
          </w:tcPr>
          <w:p>
            <w:pPr>
              <w:jc w:val="center"/>
              <w:ind w:right="35"/>
              <w:spacing w:after="0" w:line="13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7040" w:type="dxa"/>
            <w:vAlign w:val="bottom"/>
            <w:tcBorders>
              <w:left w:val="single" w:sz="8" w:color="auto"/>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Contracted</w:t>
            </w:r>
          </w:p>
        </w:tc>
        <w:tc>
          <w:tcPr>
            <w:tcW w:w="1080" w:type="dxa"/>
            <w:vAlign w:val="bottom"/>
            <w:tcBorders>
              <w:right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Borders>
              <w:right w:val="single" w:sz="8" w:color="auto"/>
            </w:tcBorders>
          </w:tcPr>
          <w:p>
            <w:pPr>
              <w:jc w:val="center"/>
              <w:ind w:right="254"/>
              <w:spacing w:after="0" w:line="149" w:lineRule="exact"/>
              <w:rPr>
                <w:sz w:val="20"/>
                <w:szCs w:val="20"/>
                <w:color w:val="auto"/>
              </w:rPr>
            </w:pPr>
            <w:r>
              <w:rPr>
                <w:rFonts w:ascii="Arial" w:cs="Arial" w:eastAsia="Arial" w:hAnsi="Arial"/>
                <w:sz w:val="14"/>
                <w:szCs w:val="14"/>
                <w:b w:val="1"/>
                <w:bCs w:val="1"/>
                <w:color w:val="auto"/>
              </w:rPr>
              <w:t>AOCL</w:t>
            </w:r>
          </w:p>
        </w:tc>
        <w:tc>
          <w:tcPr>
            <w:tcW w:w="1020" w:type="dxa"/>
            <w:vAlign w:val="bottom"/>
            <w:tcBorders>
              <w:right w:val="single" w:sz="8" w:color="auto"/>
            </w:tcBorders>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7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(except average contracted rate)</w:t>
            </w:r>
          </w:p>
        </w:tc>
        <w:tc>
          <w:tcPr>
            <w:tcW w:w="1100" w:type="dxa"/>
            <w:vAlign w:val="bottom"/>
            <w:tcBorders>
              <w:bottom w:val="single" w:sz="8" w:color="auto"/>
              <w:right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Rate</w:t>
            </w:r>
          </w:p>
        </w:tc>
        <w:tc>
          <w:tcPr>
            <w:tcW w:w="1080" w:type="dxa"/>
            <w:vAlign w:val="bottom"/>
            <w:tcBorders>
              <w:bottom w:val="single" w:sz="8" w:color="auto"/>
              <w:right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right w:val="single" w:sz="8" w:color="auto"/>
            </w:tcBorders>
            <w:gridSpan w:val="2"/>
          </w:tcPr>
          <w:p>
            <w:pPr>
              <w:jc w:val="center"/>
              <w:ind w:right="34"/>
              <w:spacing w:after="0"/>
              <w:rPr>
                <w:sz w:val="20"/>
                <w:szCs w:val="20"/>
                <w:color w:val="auto"/>
              </w:rPr>
            </w:pPr>
            <w:r>
              <w:rPr>
                <w:rFonts w:ascii="Arial" w:cs="Arial" w:eastAsia="Arial" w:hAnsi="Arial"/>
                <w:sz w:val="14"/>
                <w:szCs w:val="14"/>
                <w:b w:val="1"/>
                <w:bCs w:val="1"/>
                <w:color w:val="auto"/>
                <w:w w:val="90"/>
              </w:rPr>
              <w:t>Income (Loss)</w:t>
            </w:r>
          </w:p>
        </w:tc>
        <w:tc>
          <w:tcPr>
            <w:tcW w:w="1020" w:type="dxa"/>
            <w:vAlign w:val="bottom"/>
            <w:tcBorders>
              <w:bottom w:val="single" w:sz="8" w:color="auto"/>
              <w:right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10"/>
        </w:trPr>
        <w:tc>
          <w:tcPr>
            <w:tcW w:w="70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 US dollar/Sell Australian dollar</w:t>
            </w:r>
          </w:p>
        </w:tc>
        <w:tc>
          <w:tcPr>
            <w:tcW w:w="110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0.7680</w:t>
            </w:r>
          </w:p>
        </w:tc>
        <w:tc>
          <w:tcPr>
            <w:tcW w:w="1080" w:type="dxa"/>
            <w:vAlign w:val="bottom"/>
            <w:tcBorders>
              <w:bottom w:val="single" w:sz="8" w:color="auto"/>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6"/>
              </w:rPr>
              <w:t>$ 34,714.3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57.2</w:t>
            </w:r>
          </w:p>
        </w:tc>
        <w:tc>
          <w:tcPr>
            <w:tcW w:w="1020" w:type="dxa"/>
            <w:vAlign w:val="bottom"/>
            <w:tcBorders>
              <w:bottom w:val="single" w:sz="8" w:color="auto"/>
              <w:right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  (247.7)</w:t>
            </w:r>
          </w:p>
        </w:tc>
        <w:tc>
          <w:tcPr>
            <w:tcW w:w="0" w:type="dxa"/>
            <w:vAlign w:val="bottom"/>
          </w:tcPr>
          <w:p>
            <w:pPr>
              <w:spacing w:after="0"/>
              <w:rPr>
                <w:sz w:val="1"/>
                <w:szCs w:val="1"/>
                <w:color w:val="auto"/>
              </w:rPr>
            </w:pPr>
          </w:p>
        </w:tc>
      </w:tr>
      <w:tr>
        <w:trPr>
          <w:trHeight w:val="210"/>
        </w:trPr>
        <w:tc>
          <w:tcPr>
            <w:tcW w:w="7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 US dollar/Sell Canadian dollar</w:t>
            </w:r>
          </w:p>
        </w:tc>
        <w:tc>
          <w:tcPr>
            <w:tcW w:w="110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0.7612</w:t>
            </w:r>
          </w:p>
        </w:tc>
        <w:tc>
          <w:tcPr>
            <w:tcW w:w="1080" w:type="dxa"/>
            <w:vAlign w:val="bottom"/>
            <w:tcBorders>
              <w:bottom w:val="single" w:sz="8" w:color="auto"/>
              <w:right w:val="single" w:sz="8" w:color="auto"/>
            </w:tcBorders>
          </w:tcPr>
          <w:p>
            <w:pPr>
              <w:jc w:val="right"/>
              <w:ind w:right="154"/>
              <w:spacing w:after="0"/>
              <w:rPr>
                <w:sz w:val="20"/>
                <w:szCs w:val="20"/>
                <w:color w:val="auto"/>
              </w:rPr>
            </w:pPr>
            <w:r>
              <w:rPr>
                <w:rFonts w:ascii="Arial" w:cs="Arial" w:eastAsia="Arial" w:hAnsi="Arial"/>
                <w:sz w:val="18"/>
                <w:szCs w:val="18"/>
                <w:color w:val="auto"/>
              </w:rPr>
              <w:t>4,202.0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color w:val="auto"/>
              </w:rPr>
              <w:t>(272.0)</w:t>
            </w:r>
          </w:p>
        </w:tc>
        <w:tc>
          <w:tcPr>
            <w:tcW w:w="1020" w:type="dxa"/>
            <w:vAlign w:val="bottom"/>
            <w:tcBorders>
              <w:bottom w:val="single" w:sz="8" w:color="auto"/>
              <w:right w:val="single" w:sz="8" w:color="auto"/>
            </w:tcBorders>
          </w:tcPr>
          <w:p>
            <w:pPr>
              <w:jc w:val="right"/>
              <w:ind w:right="7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70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 US dollar/Sell Euro</w:t>
            </w:r>
          </w:p>
        </w:tc>
        <w:tc>
          <w:tcPr>
            <w:tcW w:w="110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1.2676</w:t>
            </w:r>
          </w:p>
        </w:tc>
        <w:tc>
          <w:tcPr>
            <w:tcW w:w="1080" w:type="dxa"/>
            <w:vAlign w:val="bottom"/>
            <w:tcBorders>
              <w:bottom w:val="single" w:sz="8" w:color="auto"/>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88,178.5</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(2,108.5)</w:t>
            </w:r>
          </w:p>
        </w:tc>
        <w:tc>
          <w:tcPr>
            <w:tcW w:w="1020" w:type="dxa"/>
            <w:vAlign w:val="bottom"/>
            <w:tcBorders>
              <w:bottom w:val="single" w:sz="8" w:color="auto"/>
              <w:right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10"/>
        </w:trPr>
        <w:tc>
          <w:tcPr>
            <w:tcW w:w="7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 Australian dollar/Sell US dollar</w:t>
            </w:r>
          </w:p>
        </w:tc>
        <w:tc>
          <w:tcPr>
            <w:tcW w:w="110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0.7601</w:t>
            </w:r>
          </w:p>
        </w:tc>
        <w:tc>
          <w:tcPr>
            <w:tcW w:w="1080" w:type="dxa"/>
            <w:vAlign w:val="bottom"/>
            <w:tcBorders>
              <w:bottom w:val="single" w:sz="8" w:color="auto"/>
              <w:right w:val="single" w:sz="8" w:color="auto"/>
            </w:tcBorders>
          </w:tcPr>
          <w:p>
            <w:pPr>
              <w:jc w:val="right"/>
              <w:ind w:right="154"/>
              <w:spacing w:after="0"/>
              <w:rPr>
                <w:sz w:val="20"/>
                <w:szCs w:val="20"/>
                <w:color w:val="auto"/>
              </w:rPr>
            </w:pPr>
            <w:r>
              <w:rPr>
                <w:rFonts w:ascii="Arial" w:cs="Arial" w:eastAsia="Arial" w:hAnsi="Arial"/>
                <w:sz w:val="18"/>
                <w:szCs w:val="18"/>
                <w:color w:val="auto"/>
              </w:rPr>
              <w:t>2,014.3</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color w:val="auto"/>
              </w:rPr>
              <w:t>(6.8)</w:t>
            </w:r>
          </w:p>
        </w:tc>
        <w:tc>
          <w:tcPr>
            <w:tcW w:w="102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70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 Euro/Sell U.S. dollar</w:t>
            </w:r>
          </w:p>
        </w:tc>
        <w:tc>
          <w:tcPr>
            <w:tcW w:w="110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1.3271</w:t>
            </w:r>
          </w:p>
        </w:tc>
        <w:tc>
          <w:tcPr>
            <w:tcW w:w="1080" w:type="dxa"/>
            <w:vAlign w:val="bottom"/>
            <w:tcBorders>
              <w:bottom w:val="single" w:sz="8" w:color="auto"/>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3,238.1</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1.5</w:t>
            </w:r>
          </w:p>
        </w:tc>
        <w:tc>
          <w:tcPr>
            <w:tcW w:w="1020" w:type="dxa"/>
            <w:vAlign w:val="bottom"/>
            <w:tcBorders>
              <w:bottom w:val="single" w:sz="8" w:color="auto"/>
              <w:right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0"/>
        </w:trPr>
        <w:tc>
          <w:tcPr>
            <w:tcW w:w="7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 British pound/Sell U.S. dollar</w:t>
            </w:r>
          </w:p>
        </w:tc>
        <w:tc>
          <w:tcPr>
            <w:tcW w:w="110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1.7879</w:t>
            </w:r>
          </w:p>
        </w:tc>
        <w:tc>
          <w:tcPr>
            <w:tcW w:w="1080" w:type="dxa"/>
            <w:vAlign w:val="bottom"/>
            <w:tcBorders>
              <w:bottom w:val="single" w:sz="8" w:color="auto"/>
              <w:right w:val="single" w:sz="8" w:color="auto"/>
            </w:tcBorders>
          </w:tcPr>
          <w:p>
            <w:pPr>
              <w:jc w:val="right"/>
              <w:ind w:right="154"/>
              <w:spacing w:after="0"/>
              <w:rPr>
                <w:sz w:val="20"/>
                <w:szCs w:val="20"/>
                <w:color w:val="auto"/>
              </w:rPr>
            </w:pPr>
            <w:r>
              <w:rPr>
                <w:rFonts w:ascii="Arial" w:cs="Arial" w:eastAsia="Arial" w:hAnsi="Arial"/>
                <w:sz w:val="18"/>
                <w:szCs w:val="18"/>
                <w:color w:val="auto"/>
              </w:rPr>
              <w:t>911.8</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134"/>
              <w:spacing w:after="0"/>
              <w:rPr>
                <w:sz w:val="20"/>
                <w:szCs w:val="20"/>
                <w:color w:val="auto"/>
              </w:rPr>
            </w:pPr>
            <w:r>
              <w:rPr>
                <w:rFonts w:ascii="Arial" w:cs="Arial" w:eastAsia="Arial" w:hAnsi="Arial"/>
                <w:sz w:val="18"/>
                <w:szCs w:val="18"/>
                <w:color w:val="auto"/>
              </w:rPr>
              <w:t>29.6</w:t>
            </w:r>
          </w:p>
        </w:tc>
        <w:tc>
          <w:tcPr>
            <w:tcW w:w="102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70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 Japanese yen/Sell U.S. dollar</w:t>
            </w:r>
          </w:p>
        </w:tc>
        <w:tc>
          <w:tcPr>
            <w:tcW w:w="110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107.7720</w:t>
            </w:r>
          </w:p>
        </w:tc>
        <w:tc>
          <w:tcPr>
            <w:tcW w:w="1080" w:type="dxa"/>
            <w:vAlign w:val="bottom"/>
            <w:tcBorders>
              <w:bottom w:val="single" w:sz="8" w:color="auto"/>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5,892.1</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270.3</w:t>
            </w:r>
          </w:p>
        </w:tc>
        <w:tc>
          <w:tcPr>
            <w:tcW w:w="102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0"/>
        </w:trPr>
        <w:tc>
          <w:tcPr>
            <w:tcW w:w="7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 Mexican peso/Sell U.S. dollar</w:t>
            </w:r>
          </w:p>
        </w:tc>
        <w:tc>
          <w:tcPr>
            <w:tcW w:w="110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11.9229</w:t>
            </w:r>
          </w:p>
        </w:tc>
        <w:tc>
          <w:tcPr>
            <w:tcW w:w="1080" w:type="dxa"/>
            <w:vAlign w:val="bottom"/>
            <w:tcBorders>
              <w:bottom w:val="single" w:sz="8" w:color="auto"/>
              <w:right w:val="single" w:sz="8" w:color="auto"/>
            </w:tcBorders>
          </w:tcPr>
          <w:p>
            <w:pPr>
              <w:jc w:val="right"/>
              <w:ind w:right="154"/>
              <w:spacing w:after="0"/>
              <w:rPr>
                <w:sz w:val="20"/>
                <w:szCs w:val="20"/>
                <w:color w:val="auto"/>
              </w:rPr>
            </w:pPr>
            <w:r>
              <w:rPr>
                <w:rFonts w:ascii="Arial" w:cs="Arial" w:eastAsia="Arial" w:hAnsi="Arial"/>
                <w:sz w:val="18"/>
                <w:szCs w:val="18"/>
                <w:color w:val="auto"/>
              </w:rPr>
              <w:t>13,914.4</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134"/>
              <w:spacing w:after="0"/>
              <w:rPr>
                <w:sz w:val="20"/>
                <w:szCs w:val="20"/>
                <w:color w:val="auto"/>
              </w:rPr>
            </w:pPr>
            <w:r>
              <w:rPr>
                <w:rFonts w:ascii="Arial" w:cs="Arial" w:eastAsia="Arial" w:hAnsi="Arial"/>
                <w:sz w:val="18"/>
                <w:szCs w:val="18"/>
                <w:color w:val="auto"/>
              </w:rPr>
              <w:t>495.7</w:t>
            </w:r>
          </w:p>
        </w:tc>
        <w:tc>
          <w:tcPr>
            <w:tcW w:w="102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u w:val="single" w:color="auto"/>
          <w:color w:val="auto"/>
        </w:rPr>
        <w:t>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We are exposed to interest rate risk arising from transactions that are entered into during the normal course of business. Our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rates are dependent upon a LIBOR or commercial paper rate plus a basis point spread defined in our credit agreements. See our most recently filed Annual Report on Form 10-K (Item 7A). There has been no material change in this information.</w:t>
      </w:r>
    </w:p>
    <w:p>
      <w:pPr>
        <w:spacing w:after="0" w:line="15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We manage some of this risk by using a</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short- and long-term agreements with some vendors. The primary commodity price exposures are with steel, aluminum, plastic resin, and linerboard. Further information regarding rising prices for steel and other commodities is presented in Item 2, section entitled “Inflation.”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 maintains disclosure controls and procedures (as defined in Exchange Act Rules 13a-15(e) and 15d-15(e)) that are designed to ensure that information required to be disclosed by the company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The company’s management evaluated, with the participation of the company’s Chief Executive Officer and Chief Financial Officer, the effectiveness of the design and operation of the company’s disclosure controls and procedures as of the end of the period covered in this Quarterly Report on Form 10-Q. Based on that evaluation, the company’s Chief Executive Officer and Chief Financial Officer concluded that the company’s disclosure controls and procedures were effective as of the end of such period. There was no change in the company’s internal control over financial reporting that occurred during the company’s fiscal first quarter ended January 28, 2005 that has materially affected, or is reasonably likely to materially affect, the company’s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(Ronnie Phillips et al. v. Sears Roebuck Corporation et. al., No.04-L-334 (20th Judicial Circuit, St., Clair County, IL)) against the company and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by the defendants. The complaint seeks an injunction, unspecified compensatory and punitive damages, and attorneys’ fees. No answers have been entered in the case, and there has been no formal discovery. A number of procedural motions have been filed by the defendants, but have not yet been decided. Management continues to evaluate this lawsuit. The company has not established a reserve for any potential loss in connection with this lawsuit since the company is unable to provide a reasonable estimate of the amount or range of loss that could result from this litigation. The company is also unable to assess at this time whether the lawsuit will have a material adverse effect on its consolidated operating results or financial condition.</w:t>
      </w:r>
    </w:p>
    <w:p>
      <w:pPr>
        <w:spacing w:after="0" w:line="126"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both as a plaintiff and as a defendant. While the ultimate results of the current cases are unknown at this time, management believes that, except for the lawsuit discussed above, the outcomes of these cases are unlikely to have a material adverse effect on our consolidated operating results or financial position. Further, we maintain insurance against some product liability losses.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first quarter of fiscal 2005 stock repurchase activity: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Total Number of</w:t>
            </w:r>
          </w:p>
        </w:tc>
        <w:tc>
          <w:tcPr>
            <w:tcW w:w="1360" w:type="dxa"/>
            <w:vAlign w:val="bottom"/>
            <w:gridSpan w:val="3"/>
          </w:tcPr>
          <w:p>
            <w:pPr>
              <w:jc w:val="center"/>
              <w:ind w:left="14"/>
              <w:spacing w:after="0"/>
              <w:rPr>
                <w:sz w:val="20"/>
                <w:szCs w:val="20"/>
                <w:color w:val="auto"/>
              </w:rPr>
            </w:pPr>
            <w:r>
              <w:rPr>
                <w:rFonts w:ascii="Arial" w:cs="Arial" w:eastAsia="Arial" w:hAnsi="Arial"/>
                <w:sz w:val="14"/>
                <w:szCs w:val="14"/>
                <w:color w:val="auto"/>
                <w:w w:val="96"/>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Shares Purchased</w:t>
            </w:r>
          </w:p>
        </w:tc>
        <w:tc>
          <w:tcPr>
            <w:tcW w:w="1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As Part of Publicly</w:t>
            </w:r>
          </w:p>
        </w:tc>
        <w:tc>
          <w:tcPr>
            <w:tcW w:w="1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Total Number of</w:t>
            </w: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rPr>
              <w:t>Average Price</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Announced Plans</w:t>
            </w:r>
          </w:p>
        </w:tc>
        <w:tc>
          <w:tcPr>
            <w:tcW w:w="1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Under the Plans 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20" w:type="dxa"/>
            <w:vAlign w:val="bottom"/>
          </w:tcPr>
          <w:p>
            <w:pPr>
              <w:ind w:left="2520"/>
              <w:spacing w:after="0"/>
              <w:rPr>
                <w:sz w:val="20"/>
                <w:szCs w:val="20"/>
                <w:color w:val="auto"/>
              </w:rPr>
            </w:pPr>
            <w:r>
              <w:rPr>
                <w:rFonts w:ascii="Arial" w:cs="Arial" w:eastAsia="Arial" w:hAnsi="Arial"/>
                <w:sz w:val="14"/>
                <w:szCs w:val="14"/>
                <w:color w:val="auto"/>
              </w:rPr>
              <w:t>Period</w:t>
            </w:r>
          </w:p>
        </w:tc>
        <w:tc>
          <w:tcPr>
            <w:tcW w:w="260" w:type="dxa"/>
            <w:vAlign w:val="bottom"/>
          </w:tcPr>
          <w:p>
            <w:pPr>
              <w:spacing w:after="0"/>
              <w:rPr>
                <w:sz w:val="14"/>
                <w:szCs w:val="14"/>
                <w:color w:val="auto"/>
              </w:rPr>
            </w:pPr>
          </w:p>
        </w:tc>
        <w:tc>
          <w:tcPr>
            <w:tcW w:w="1880" w:type="dxa"/>
            <w:vAlign w:val="bottom"/>
            <w:gridSpan w:val="2"/>
          </w:tcPr>
          <w:p>
            <w:pPr>
              <w:jc w:val="right"/>
              <w:ind w:right="480"/>
              <w:spacing w:after="0"/>
              <w:rPr>
                <w:sz w:val="20"/>
                <w:szCs w:val="20"/>
                <w:color w:val="auto"/>
              </w:rPr>
            </w:pPr>
            <w:r>
              <w:rPr>
                <w:rFonts w:ascii="Arial" w:cs="Arial" w:eastAsia="Arial" w:hAnsi="Arial"/>
                <w:sz w:val="14"/>
                <w:szCs w:val="14"/>
                <w:color w:val="auto"/>
                <w:w w:val="90"/>
              </w:rPr>
              <w:t>Shares Purchased (1)(2)</w:t>
            </w:r>
          </w:p>
        </w:tc>
        <w:tc>
          <w:tcPr>
            <w:tcW w:w="1200" w:type="dxa"/>
            <w:vAlign w:val="bottom"/>
            <w:gridSpan w:val="3"/>
          </w:tcPr>
          <w:p>
            <w:pPr>
              <w:jc w:val="right"/>
              <w:ind w:right="360"/>
              <w:spacing w:after="0"/>
              <w:rPr>
                <w:sz w:val="20"/>
                <w:szCs w:val="20"/>
                <w:color w:val="auto"/>
              </w:rPr>
            </w:pPr>
            <w:r>
              <w:rPr>
                <w:rFonts w:ascii="Arial" w:cs="Arial" w:eastAsia="Arial" w:hAnsi="Arial"/>
                <w:sz w:val="14"/>
                <w:szCs w:val="14"/>
                <w:color w:val="auto"/>
                <w:w w:val="87"/>
              </w:rPr>
              <w:t>Paid per Share</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or Programs</w:t>
            </w:r>
          </w:p>
        </w:tc>
        <w:tc>
          <w:tcPr>
            <w:tcW w:w="18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Programs (1)(2)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November 1, 2004 through November 26, 2004</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53,400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67.66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color w:val="auto"/>
              </w:rPr>
              <w:t>November 27, 2004 through December 24, 2004</w:t>
            </w:r>
          </w:p>
        </w:tc>
        <w:tc>
          <w:tcPr>
            <w:tcW w:w="2140" w:type="dxa"/>
            <w:vAlign w:val="bottom"/>
            <w:gridSpan w:val="3"/>
          </w:tcPr>
          <w:p>
            <w:pPr>
              <w:jc w:val="right"/>
              <w:ind w:right="500"/>
              <w:spacing w:after="0"/>
              <w:rPr>
                <w:sz w:val="20"/>
                <w:szCs w:val="20"/>
                <w:color w:val="auto"/>
              </w:rPr>
            </w:pPr>
            <w:r>
              <w:rPr>
                <w:rFonts w:ascii="Arial" w:cs="Arial" w:eastAsia="Arial" w:hAnsi="Arial"/>
                <w:sz w:val="18"/>
                <w:szCs w:val="18"/>
                <w:color w:val="auto"/>
              </w:rPr>
              <w:t>87,602</w:t>
            </w:r>
          </w:p>
        </w:tc>
        <w:tc>
          <w:tcPr>
            <w:tcW w:w="26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77.63</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87,602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1,743,495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December 25, 2004 through January 28, 2005</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911,377(3)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80.58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910,290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60" w:type="dxa"/>
            <w:vAlign w:val="bottom"/>
            <w:vMerge w:val="restart"/>
          </w:tcPr>
          <w:p>
            <w:pPr>
              <w:spacing w:after="0" w:line="20" w:lineRule="exact"/>
              <w:rPr>
                <w:sz w:val="1"/>
                <w:szCs w:val="1"/>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1,052,379</w:t>
            </w:r>
          </w:p>
        </w:tc>
        <w:tc>
          <w:tcPr>
            <w:tcW w:w="500" w:type="dxa"/>
            <w:vAlign w:val="bottom"/>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79.68</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1,051,292</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320" w:right="100" w:hanging="312"/>
        <w:spacing w:after="0" w:line="293"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March 12, 2004, the company’s Board of Directors authorized the repurchase of 1,000,000 shares of the company’s common stock in open-market or private transactions. On May 27, 2004, the company’s Board of Directors authorized the repurchase of up to an additional 2,000,000 shares under this repurchase program, bringing the total maximum number of shares the company is authorized to repurchase under this program to 3,000,000 shares, and authorizing such repurchases to be made in open-market transactions, tender offers, private transactions or other transactions. This program has no expiration date but may be terminated by the company’s Board of Directors at anytime. The company purchased 884,497 shares during the periods indicated above under this program. There are no shares remaining for repurchase under this program.</w:t>
      </w:r>
    </w:p>
    <w:p>
      <w:pPr>
        <w:spacing w:after="0" w:line="164" w:lineRule="exact"/>
        <w:rPr>
          <w:rFonts w:ascii="Arial" w:cs="Arial" w:eastAsia="Arial" w:hAnsi="Arial"/>
          <w:sz w:val="16"/>
          <w:szCs w:val="16"/>
          <w:color w:val="auto"/>
        </w:rPr>
      </w:pPr>
    </w:p>
    <w:p>
      <w:pPr>
        <w:ind w:left="320" w:right="160" w:hanging="312"/>
        <w:spacing w:after="0" w:line="286"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September 30, 2004, the company’s Board of Directors authorized the repurchase of up to an additional 1,000,000 shares of the company’s common stock in open-market transactions or in privately negotiated transactions. This program has no expiration date but may be terminated by the company’s Board of Directors at anytime. The company purchased 166,795 shares during the periods indicated above under this program.</w:t>
      </w:r>
    </w:p>
    <w:p>
      <w:pPr>
        <w:spacing w:after="0" w:line="165" w:lineRule="exact"/>
        <w:rPr>
          <w:rFonts w:ascii="Arial" w:cs="Arial" w:eastAsia="Arial" w:hAnsi="Arial"/>
          <w:sz w:val="17"/>
          <w:szCs w:val="17"/>
          <w:color w:val="auto"/>
        </w:rPr>
      </w:pPr>
    </w:p>
    <w:p>
      <w:pPr>
        <w:ind w:left="320" w:right="80" w:hanging="312"/>
        <w:spacing w:after="0" w:line="264"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1,087 units (shares) of the company’s common stock purchased in open-market transactions at an average price of $79.54 per share on behalf of a rabbi trust formed to pay benefit obligations of the company to participants in deferred compensation plans. These 1,087 shares were not repurchased under the company’s repurchase programs described in footnotes (1) and (2) above.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7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ind w:left="3360"/>
              <w:spacing w:after="0"/>
              <w:rPr>
                <w:sz w:val="20"/>
                <w:szCs w:val="20"/>
                <w:color w:val="auto"/>
              </w:rPr>
            </w:pPr>
            <w:r>
              <w:rPr>
                <w:rFonts w:ascii="Arial" w:cs="Arial" w:eastAsia="Arial" w:hAnsi="Arial"/>
                <w:sz w:val="18"/>
                <w:szCs w:val="18"/>
                <w:b w:val="1"/>
                <w:bCs w:val="1"/>
                <w:color w:val="auto"/>
              </w:rPr>
              <w:t>Item 6. EXHIBITS</w:t>
            </w:r>
          </w:p>
        </w:tc>
      </w:tr>
      <w:tr>
        <w:trPr>
          <w:trHeight w:val="405"/>
        </w:trPr>
        <w:tc>
          <w:tcPr>
            <w:tcW w:w="1620" w:type="dxa"/>
            <w:vAlign w:val="bottom"/>
            <w:gridSpan w:val="2"/>
          </w:tcPr>
          <w:p>
            <w:pPr>
              <w:spacing w:after="0"/>
              <w:rPr>
                <w:sz w:val="20"/>
                <w:szCs w:val="20"/>
                <w:color w:val="auto"/>
              </w:rPr>
            </w:pPr>
            <w:r>
              <w:rPr>
                <w:rFonts w:ascii="Arial" w:cs="Arial" w:eastAsia="Arial" w:hAnsi="Arial"/>
                <w:sz w:val="18"/>
                <w:szCs w:val="18"/>
                <w:color w:val="auto"/>
              </w:rPr>
              <w:t>(a) Exhibits</w:t>
            </w:r>
          </w:p>
        </w:tc>
        <w:tc>
          <w:tcPr>
            <w:tcW w:w="9780" w:type="dxa"/>
            <w:vAlign w:val="bottom"/>
          </w:tcPr>
          <w:p>
            <w:pPr>
              <w:spacing w:after="0"/>
              <w:rPr>
                <w:sz w:val="24"/>
                <w:szCs w:val="24"/>
                <w:color w:val="auto"/>
              </w:rPr>
            </w:pPr>
          </w:p>
        </w:tc>
      </w:tr>
      <w:tr>
        <w:trPr>
          <w:trHeight w:val="593"/>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3(i) and 4(a)</w:t>
            </w:r>
          </w:p>
        </w:tc>
        <w:tc>
          <w:tcPr>
            <w:tcW w:w="9780" w:type="dxa"/>
            <w:vAlign w:val="bottom"/>
          </w:tcPr>
          <w:p>
            <w:pPr>
              <w:ind w:left="220"/>
              <w:spacing w:after="0"/>
              <w:rPr>
                <w:sz w:val="20"/>
                <w:szCs w:val="20"/>
                <w:color w:val="auto"/>
              </w:rPr>
            </w:pPr>
            <w:r>
              <w:rPr>
                <w:rFonts w:ascii="Arial" w:cs="Arial" w:eastAsia="Arial" w:hAnsi="Arial"/>
                <w:sz w:val="18"/>
                <w:szCs w:val="18"/>
                <w:color w:val="auto"/>
                <w:w w:val="92"/>
              </w:rPr>
              <w:t>Amended and Restated Certificate of Incorporation of Registrant (incorporated by reference to Exhibit 4(b) to Registrant’s Current</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Report on Form 8-K dated May 28, 2003, Commission File No. 1-8649).</w:t>
            </w:r>
          </w:p>
        </w:tc>
      </w:tr>
      <w:tr>
        <w:trPr>
          <w:trHeight w:val="418"/>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3(ii) and 4(b)</w:t>
            </w:r>
          </w:p>
        </w:tc>
        <w:tc>
          <w:tcPr>
            <w:tcW w:w="9780" w:type="dxa"/>
            <w:vAlign w:val="bottom"/>
          </w:tcPr>
          <w:p>
            <w:pPr>
              <w:ind w:left="220"/>
              <w:spacing w:after="0"/>
              <w:rPr>
                <w:sz w:val="20"/>
                <w:szCs w:val="20"/>
                <w:color w:val="auto"/>
              </w:rPr>
            </w:pPr>
            <w:r>
              <w:rPr>
                <w:rFonts w:ascii="Arial" w:cs="Arial" w:eastAsia="Arial" w:hAnsi="Arial"/>
                <w:sz w:val="18"/>
                <w:szCs w:val="18"/>
                <w:color w:val="auto"/>
                <w:w w:val="94"/>
              </w:rPr>
              <w:t>Bylaws of Registrant (incorporated by reference to Exhibit 4(c) to Registrant’s Current Report on Form 8-K dated May 28, 2003,</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Commission File No. 1-8649).</w:t>
            </w:r>
          </w:p>
        </w:tc>
      </w:tr>
      <w:tr>
        <w:trPr>
          <w:trHeight w:val="418"/>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4(c)</w:t>
            </w:r>
          </w:p>
        </w:tc>
        <w:tc>
          <w:tcPr>
            <w:tcW w:w="9780" w:type="dxa"/>
            <w:vAlign w:val="bottom"/>
          </w:tcPr>
          <w:p>
            <w:pPr>
              <w:ind w:left="220"/>
              <w:spacing w:after="0"/>
              <w:rPr>
                <w:sz w:val="20"/>
                <w:szCs w:val="20"/>
                <w:color w:val="auto"/>
              </w:rPr>
            </w:pPr>
            <w:r>
              <w:rPr>
                <w:rFonts w:ascii="Arial" w:cs="Arial" w:eastAsia="Arial" w:hAnsi="Arial"/>
                <w:sz w:val="18"/>
                <w:szCs w:val="18"/>
                <w:color w:val="auto"/>
                <w:w w:val="91"/>
              </w:rPr>
              <w:t>Specimen form of Common Stock certificate (incorporated by reference to Exhibit 4(c) to Registrant’s Annual Report on Form 10-K</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dated October 31, 2004).</w:t>
            </w:r>
          </w:p>
        </w:tc>
      </w:tr>
      <w:tr>
        <w:trPr>
          <w:trHeight w:val="418"/>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4(d)</w:t>
            </w:r>
          </w:p>
        </w:tc>
        <w:tc>
          <w:tcPr>
            <w:tcW w:w="9780" w:type="dxa"/>
            <w:vAlign w:val="bottom"/>
          </w:tcPr>
          <w:p>
            <w:pPr>
              <w:ind w:left="220"/>
              <w:spacing w:after="0"/>
              <w:rPr>
                <w:sz w:val="20"/>
                <w:szCs w:val="20"/>
                <w:color w:val="auto"/>
              </w:rPr>
            </w:pPr>
            <w:r>
              <w:rPr>
                <w:rFonts w:ascii="Arial" w:cs="Arial" w:eastAsia="Arial" w:hAnsi="Arial"/>
                <w:sz w:val="18"/>
                <w:szCs w:val="18"/>
                <w:color w:val="auto"/>
                <w:w w:val="91"/>
              </w:rPr>
              <w:t>Rights Agreement dated as of May 20, 1998, between Registrant and Wells Fargo Bank Minnesota, National Association relating to</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w w:val="94"/>
              </w:rPr>
              <w:t>rights to purchase Series B Junior Participating Voting Preferred Stock, as amended (incorporated by reference to Registrant’s</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Current Report on Form 8-K dated May 27, 1998, Commission File No. 1-8649).</w:t>
            </w:r>
          </w:p>
        </w:tc>
      </w:tr>
      <w:tr>
        <w:trPr>
          <w:trHeight w:val="418"/>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4(e)</w:t>
            </w:r>
          </w:p>
        </w:tc>
        <w:tc>
          <w:tcPr>
            <w:tcW w:w="9780" w:type="dxa"/>
            <w:vAlign w:val="bottom"/>
          </w:tcPr>
          <w:p>
            <w:pPr>
              <w:ind w:left="220"/>
              <w:spacing w:after="0"/>
              <w:rPr>
                <w:sz w:val="20"/>
                <w:szCs w:val="20"/>
                <w:color w:val="auto"/>
              </w:rPr>
            </w:pPr>
            <w:r>
              <w:rPr>
                <w:rFonts w:ascii="Arial" w:cs="Arial" w:eastAsia="Arial" w:hAnsi="Arial"/>
                <w:sz w:val="18"/>
                <w:szCs w:val="18"/>
                <w:color w:val="auto"/>
                <w:w w:val="97"/>
              </w:rPr>
              <w:t>Certificate of Adjusted Purchase Price or Number of Shares dated April 14, 2003 filed by Registrant with Wells Fargo Bank</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w w:val="94"/>
              </w:rPr>
              <w:t>Minnesota, N.A., as Rights Agent, in connection with Rights Agreement dated as of May 20, 1998 (incorporated by reference to</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w w:val="92"/>
              </w:rPr>
              <w:t>Exhibit 2 to Registrant’s Amendment No. 1 to Registration Statement on Form 8-A/A dated April 14, 2003, Commission File No. 1-</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8649).</w:t>
            </w:r>
          </w:p>
        </w:tc>
      </w:tr>
      <w:tr>
        <w:trPr>
          <w:trHeight w:val="418"/>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4(f)</w:t>
            </w:r>
          </w:p>
        </w:tc>
        <w:tc>
          <w:tcPr>
            <w:tcW w:w="9780" w:type="dxa"/>
            <w:vAlign w:val="bottom"/>
          </w:tcPr>
          <w:p>
            <w:pPr>
              <w:ind w:left="220"/>
              <w:spacing w:after="0"/>
              <w:rPr>
                <w:sz w:val="20"/>
                <w:szCs w:val="20"/>
                <w:color w:val="auto"/>
              </w:rPr>
            </w:pPr>
            <w:r>
              <w:rPr>
                <w:rFonts w:ascii="Arial" w:cs="Arial" w:eastAsia="Arial" w:hAnsi="Arial"/>
                <w:sz w:val="18"/>
                <w:szCs w:val="18"/>
                <w:color w:val="auto"/>
                <w:w w:val="97"/>
              </w:rPr>
              <w:t>Indenture dated as of January 31, 1997, between Registrant and First National Trust Association, as Trustee, relating to the</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w w:val="92"/>
              </w:rPr>
              <w:t>Registrant’s 7.125% Notes due June 15, 2007 and its 7.80% Debentures due June 15, 2027 (incorporated by reference to Exhibit</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4(a) to Registrant’s Current Report on Form 8-K for June 24, 1997, Commission File No. 1-8649).</w:t>
            </w:r>
          </w:p>
        </w:tc>
      </w:tr>
      <w:tr>
        <w:trPr>
          <w:trHeight w:val="432"/>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31(a)</w:t>
            </w:r>
          </w:p>
        </w:tc>
        <w:tc>
          <w:tcPr>
            <w:tcW w:w="978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Pursuant to Rule 13a-14(a) (Section 302 of the Sarbanes-Oxley Act of 2002).</w:t>
            </w:r>
          </w:p>
        </w:tc>
      </w:tr>
      <w:tr>
        <w:trPr>
          <w:trHeight w:val="432"/>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31(b)</w:t>
            </w:r>
          </w:p>
        </w:tc>
        <w:tc>
          <w:tcPr>
            <w:tcW w:w="978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Pursuant to Rule 13a-14(a) (Section 302 of the Sarbanes-Oxley Act of 2002).</w:t>
            </w:r>
          </w:p>
        </w:tc>
      </w:tr>
    </w:tbl>
    <w:p>
      <w:pPr>
        <w:spacing w:after="0" w:line="202" w:lineRule="exact"/>
        <w:rPr>
          <w:sz w:val="20"/>
          <w:szCs w:val="20"/>
          <w:color w:val="auto"/>
        </w:rPr>
      </w:pPr>
    </w:p>
    <w:p>
      <w:pPr>
        <w:ind w:left="1840" w:right="280" w:hanging="1400"/>
        <w:spacing w:after="0" w:line="277" w:lineRule="auto"/>
        <w:tabs>
          <w:tab w:leader="none" w:pos="1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Date: March 4, 2005</w:t>
      </w:r>
      <w:r>
        <w:rPr>
          <w:sz w:val="20"/>
          <w:szCs w:val="20"/>
          <w:color w:val="auto"/>
        </w:rPr>
        <w:tab/>
      </w:r>
      <w:r>
        <w:rPr>
          <w:rFonts w:ascii="Arial" w:cs="Arial" w:eastAsia="Arial" w:hAnsi="Arial"/>
          <w:sz w:val="16"/>
          <w:szCs w:val="16"/>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36277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240" w:top="419" w:right="3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Kendrick B. Melrose, certify that:</w:t>
      </w:r>
    </w:p>
    <w:p>
      <w:pPr>
        <w:spacing w:after="0" w:line="18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98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Kendrick B. Melrose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18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29" w:lineRule="exact"/>
        <w:rPr>
          <w:rFonts w:ascii="Arial" w:cs="Arial" w:eastAsia="Arial" w:hAnsi="Arial"/>
          <w:sz w:val="18"/>
          <w:szCs w:val="18"/>
          <w:color w:val="auto"/>
        </w:rPr>
      </w:pPr>
    </w:p>
    <w:p>
      <w:pPr>
        <w:ind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98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January 28, 2005 as filed with the Securities and Exchange Commission on the date hereof (the “Report”), we, Kendrick B. Melrose, Chairman and Chief Executive Officer of the Company, and Stephen P. Wolfe, Vice President-Finance, Treasurer and Chief Financial Officer of the Company, certify, pursuant to 18 U.S.C. Section 1350, as adopted pursuant to Section 906 of the Sarbanes-Oxley Act of 2002, that:</w:t>
      </w:r>
    </w:p>
    <w:p>
      <w:pPr>
        <w:spacing w:after="0" w:line="1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98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Kendrick B. Melrose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98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2005</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32"/>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2019-12-13T13:51:10Z</dcterms:created>
  <dcterms:modified xsi:type="dcterms:W3CDTF">2019-12-13T13:51:10Z</dcterms:modified>
</cp:coreProperties>
</file>