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395605</wp:posOffset>
            </wp:positionH>
            <wp:positionV relativeFrom="paragraph">
              <wp:posOffset>391795</wp:posOffset>
            </wp:positionV>
            <wp:extent cx="681037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1651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433070</wp:posOffset>
            </wp:positionV>
            <wp:extent cx="6810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64" w:lineRule="exact"/>
        <w:rPr>
          <w:sz w:val="24"/>
          <w:szCs w:val="24"/>
          <w:color w:val="auto"/>
        </w:rPr>
      </w:pPr>
    </w:p>
    <w:p>
      <w:pPr>
        <w:ind w:left="2040" w:hanging="289"/>
        <w:spacing w:after="0"/>
        <w:tabs>
          <w:tab w:leader="none" w:pos="2040" w:val="left"/>
        </w:tabs>
        <w:numPr>
          <w:ilvl w:val="0"/>
          <w:numId w:val="1"/>
        </w:numPr>
        <w:rPr>
          <w:rFonts w:ascii="MS PGothic" w:cs="MS PGothic" w:eastAsia="MS PGothic" w:hAnsi="MS PGothic"/>
          <w:sz w:val="15"/>
          <w:szCs w:val="1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May 5, 2023</w:t>
      </w:r>
    </w:p>
    <w:p>
      <w:pPr>
        <w:spacing w:after="0" w:line="247" w:lineRule="exact"/>
        <w:rPr>
          <w:sz w:val="24"/>
          <w:szCs w:val="24"/>
          <w:color w:val="auto"/>
        </w:rPr>
      </w:pPr>
    </w:p>
    <w:p>
      <w:pPr>
        <w:ind w:left="2040" w:hanging="323"/>
        <w:spacing w:after="0"/>
        <w:tabs>
          <w:tab w:leader="none" w:pos="2040" w:val="left"/>
        </w:tabs>
        <w:numPr>
          <w:ilvl w:val="0"/>
          <w:numId w:val="2"/>
        </w:numPr>
        <w:rPr>
          <w:rFonts w:ascii="MS PGothic" w:cs="MS PGothic" w:eastAsia="MS PGothic" w:hAnsi="MS PGothic"/>
          <w:sz w:val="15"/>
          <w:szCs w:val="1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7" w:lineRule="exact"/>
        <w:rPr>
          <w:sz w:val="24"/>
          <w:szCs w:val="24"/>
          <w:color w:val="auto"/>
        </w:rPr>
      </w:pPr>
    </w:p>
    <w:p>
      <w:pPr>
        <w:jc w:val="right"/>
        <w:ind w:right="4380"/>
        <w:spacing w:after="0"/>
        <w:tabs>
          <w:tab w:leader="none" w:pos="31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8" w:lineRule="exact"/>
        <w:rPr>
          <w:sz w:val="24"/>
          <w:szCs w:val="24"/>
          <w:color w:val="auto"/>
        </w:rPr>
      </w:pPr>
    </w:p>
    <w:p>
      <w:pPr>
        <w:jc w:val="right"/>
        <w:ind w:right="4440"/>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1-8649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230" w:right="339" w:bottom="1440" w:gutter="0" w:footer="0" w:header="0"/>
        </w:sectPr>
      </w:pPr>
    </w:p>
    <w:p>
      <w:pPr>
        <w:spacing w:after="0" w:line="107"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41-0580470</w:t>
      </w:r>
    </w:p>
    <w:p>
      <w:pPr>
        <w:spacing w:after="0" w:line="70" w:lineRule="exact"/>
        <w:rPr>
          <w:sz w:val="24"/>
          <w:szCs w:val="24"/>
          <w:color w:val="auto"/>
        </w:rPr>
      </w:pPr>
    </w:p>
    <w:p>
      <w:pPr>
        <w:sectPr>
          <w:pgSz w:w="11900" w:h="16838" w:orient="portrait"/>
          <w:cols w:equalWidth="0" w:num="2">
            <w:col w:w="8080" w:space="720"/>
            <w:col w:w="2440"/>
          </w:cols>
          <w:pgMar w:left="320" w:top="230" w:right="33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State or Other Jurisdiction of</w:t>
      </w:r>
    </w:p>
    <w:p>
      <w:pPr>
        <w:spacing w:after="0" w:line="6"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366" w:lineRule="exact"/>
        <w:rPr>
          <w:sz w:val="24"/>
          <w:szCs w:val="24"/>
          <w:color w:val="auto"/>
        </w:rPr>
      </w:pPr>
    </w:p>
    <w:p>
      <w:pPr>
        <w:sectPr>
          <w:pgSz w:w="11900" w:h="16838" w:orient="portrait"/>
          <w:cols w:equalWidth="0" w:num="2">
            <w:col w:w="7420" w:space="720"/>
            <w:col w:w="3100"/>
          </w:cols>
          <w:pgMar w:left="320" w:top="230" w:right="339" w:bottom="1440" w:gutter="0" w:footer="0" w:header="0"/>
          <w:type w:val="continuous"/>
        </w:sectPr>
      </w:pPr>
    </w:p>
    <w:p>
      <w:pPr>
        <w:spacing w:after="0" w:line="120" w:lineRule="exact"/>
        <w:rPr>
          <w:sz w:val="24"/>
          <w:szCs w:val="24"/>
          <w:color w:val="auto"/>
        </w:rPr>
      </w:pPr>
    </w:p>
    <w:p>
      <w:pPr>
        <w:ind w:left="4640"/>
        <w:spacing w:after="0"/>
        <w:rPr>
          <w:sz w:val="20"/>
          <w:szCs w:val="20"/>
          <w:color w:val="auto"/>
        </w:rPr>
      </w:pPr>
      <w:r>
        <w:rPr>
          <w:rFonts w:ascii="Arial" w:cs="Arial" w:eastAsia="Arial" w:hAnsi="Arial"/>
          <w:sz w:val="17"/>
          <w:szCs w:val="17"/>
          <w:b w:val="1"/>
          <w:bCs w:val="1"/>
          <w:color w:val="auto"/>
        </w:rPr>
        <w:t>8111 Lyndale Avenue South</w:t>
      </w:r>
    </w:p>
    <w:p>
      <w:pPr>
        <w:spacing w:after="0" w:line="28"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New York Stock Exchange</w:t>
            </w:r>
          </w:p>
        </w:tc>
      </w:tr>
    </w:tbl>
    <w:p>
      <w:pPr>
        <w:spacing w:after="0" w:line="310"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20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1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0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60" w:type="dxa"/>
            <w:vAlign w:val="bottom"/>
          </w:tcPr>
          <w:p>
            <w:pPr>
              <w:spacing w:after="0"/>
              <w:rPr>
                <w:sz w:val="20"/>
                <w:szCs w:val="20"/>
                <w:color w:val="auto"/>
              </w:rPr>
            </w:pPr>
            <w:r>
              <w:rPr>
                <w:rFonts w:ascii="Arial" w:cs="Arial" w:eastAsia="Arial" w:hAnsi="Arial"/>
                <w:sz w:val="17"/>
                <w:szCs w:val="17"/>
                <w:color w:val="auto"/>
              </w:rPr>
              <w:t>Non-accelerated filer</w:t>
            </w:r>
          </w:p>
        </w:tc>
        <w:tc>
          <w:tcPr>
            <w:tcW w:w="340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84" w:lineRule="exact"/>
        <w:rPr>
          <w:sz w:val="24"/>
          <w:szCs w:val="24"/>
          <w:color w:val="auto"/>
        </w:rPr>
      </w:pPr>
    </w:p>
    <w:p>
      <w:pPr>
        <w:spacing w:after="0" w:line="21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360"/>
        <w:spacing w:after="0" w:line="20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June 1, 2023 was 103,905,623.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67310</wp:posOffset>
            </wp:positionV>
            <wp:extent cx="7130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99695</wp:posOffset>
            </wp:positionV>
            <wp:extent cx="713041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165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9"/>
              </w:rPr>
              <w:t>Table of Contents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gridSpan w:val="10"/>
          </w:tcPr>
          <w:p>
            <w:pPr>
              <w:jc w:val="center"/>
              <w:ind w:right="1020"/>
              <w:spacing w:after="0"/>
              <w:rPr>
                <w:sz w:val="20"/>
                <w:szCs w:val="20"/>
                <w:color w:val="auto"/>
              </w:rPr>
            </w:pPr>
            <w:r>
              <w:rPr>
                <w:rFonts w:ascii="Arial" w:cs="Arial" w:eastAsia="Arial" w:hAnsi="Arial"/>
                <w:sz w:val="17"/>
                <w:szCs w:val="17"/>
                <w:b w:val="1"/>
                <w:bCs w:val="1"/>
                <w:color w:val="auto"/>
              </w:rPr>
              <w:t>THE TORO COMPANY</w:t>
            </w: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00" w:type="dxa"/>
            <w:vAlign w:val="bottom"/>
            <w:gridSpan w:val="10"/>
          </w:tcPr>
          <w:p>
            <w:pPr>
              <w:jc w:val="center"/>
              <w:ind w:right="1020"/>
              <w:spacing w:after="0"/>
              <w:rPr>
                <w:sz w:val="20"/>
                <w:szCs w:val="20"/>
                <w:color w:val="auto"/>
              </w:rPr>
            </w:pPr>
            <w:r>
              <w:rPr>
                <w:rFonts w:ascii="Arial" w:cs="Arial" w:eastAsia="Arial" w:hAnsi="Arial"/>
                <w:sz w:val="17"/>
                <w:szCs w:val="17"/>
                <w:b w:val="1"/>
                <w:bCs w:val="1"/>
                <w:color w:val="auto"/>
                <w:w w:val="99"/>
              </w:rPr>
              <w:t>FORM 10-Q</w:t>
            </w: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900" w:type="dxa"/>
            <w:vAlign w:val="bottom"/>
            <w:gridSpan w:val="10"/>
          </w:tcPr>
          <w:p>
            <w:pPr>
              <w:jc w:val="center"/>
              <w:ind w:right="1020"/>
              <w:spacing w:after="0"/>
              <w:rPr>
                <w:sz w:val="20"/>
                <w:szCs w:val="20"/>
                <w:color w:val="auto"/>
              </w:rPr>
            </w:pPr>
            <w:r>
              <w:rPr>
                <w:rFonts w:ascii="Arial" w:cs="Arial" w:eastAsia="Arial" w:hAnsi="Arial"/>
                <w:sz w:val="17"/>
                <w:szCs w:val="17"/>
                <w:b w:val="1"/>
                <w:bCs w:val="1"/>
                <w:color w:val="auto"/>
              </w:rPr>
              <w:t>TABLE OF CONTENTS</w:t>
            </w:r>
          </w:p>
        </w:tc>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Description</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ind w:left="2400"/>
              <w:spacing w:after="0"/>
              <w:rPr>
                <w:sz w:val="20"/>
                <w:szCs w:val="20"/>
                <w:color w:val="auto"/>
              </w:rPr>
            </w:pPr>
            <w:r>
              <w:rPr>
                <w:rFonts w:ascii="Arial" w:cs="Arial" w:eastAsia="Arial" w:hAnsi="Arial"/>
                <w:sz w:val="17"/>
                <w:szCs w:val="17"/>
                <w:b w:val="1"/>
                <w:bCs w:val="1"/>
                <w:color w:val="auto"/>
              </w:rPr>
              <w:t>Page Number</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Borders>
              <w:bottom w:val="single" w:sz="8" w:color="0000FF"/>
            </w:tcBorders>
            <w:gridSpan w:val="24"/>
          </w:tcPr>
          <w:p>
            <w:pPr>
              <w:spacing w:after="0"/>
              <w:rPr>
                <w:sz w:val="20"/>
                <w:szCs w:val="20"/>
                <w:color w:val="auto"/>
              </w:rPr>
            </w:pPr>
            <w:r>
              <w:rPr>
                <w:rFonts w:ascii="Arial" w:cs="Arial" w:eastAsia="Arial" w:hAnsi="Arial"/>
                <w:sz w:val="17"/>
                <w:szCs w:val="17"/>
                <w:b w:val="1"/>
                <w:bCs w:val="1"/>
                <w:color w:val="0000FF"/>
              </w:rPr>
              <w:t>CAUTIONARY NOTE REGARDING FORWARD-LOOKING STATEMENTS</w:t>
            </w:r>
          </w:p>
        </w:tc>
        <w:tc>
          <w:tcPr>
            <w:tcW w:w="1720" w:type="dxa"/>
            <w:vAlign w:val="bottom"/>
            <w:gridSpan w:val="6"/>
          </w:tcPr>
          <w:p>
            <w:pPr>
              <w:spacing w:after="0"/>
              <w:rPr>
                <w:sz w:val="24"/>
                <w:szCs w:val="24"/>
                <w:color w:val="auto"/>
              </w:rPr>
            </w:pPr>
          </w:p>
        </w:tc>
        <w:tc>
          <w:tcPr>
            <w:tcW w:w="35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PART I.</w:t>
            </w:r>
          </w:p>
        </w:tc>
        <w:tc>
          <w:tcPr>
            <w:tcW w:w="200" w:type="dxa"/>
            <w:vAlign w:val="bottom"/>
          </w:tcPr>
          <w:p>
            <w:pPr>
              <w:spacing w:after="0"/>
              <w:rPr>
                <w:sz w:val="24"/>
                <w:szCs w:val="24"/>
                <w:color w:val="auto"/>
              </w:rPr>
            </w:pPr>
          </w:p>
        </w:tc>
        <w:tc>
          <w:tcPr>
            <w:tcW w:w="6160" w:type="dxa"/>
            <w:vAlign w:val="bottom"/>
            <w:gridSpan w:val="24"/>
          </w:tcPr>
          <w:p>
            <w:pPr>
              <w:spacing w:after="0"/>
              <w:rPr>
                <w:sz w:val="20"/>
                <w:szCs w:val="20"/>
                <w:color w:val="auto"/>
              </w:rPr>
            </w:pPr>
            <w:r>
              <w:rPr>
                <w:rFonts w:ascii="Arial" w:cs="Arial" w:eastAsia="Arial" w:hAnsi="Arial"/>
                <w:sz w:val="17"/>
                <w:szCs w:val="17"/>
                <w:b w:val="1"/>
                <w:bCs w:val="1"/>
                <w:color w:val="0000FF"/>
              </w:rPr>
              <w:t>FINANCIAL INFORMATION:</w:t>
            </w: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b w:val="1"/>
                <w:bCs w:val="1"/>
                <w:color w:val="0000FF"/>
                <w:w w:val="92"/>
              </w:rPr>
              <w:t>Item 1.</w:t>
            </w:r>
          </w:p>
        </w:tc>
        <w:tc>
          <w:tcPr>
            <w:tcW w:w="80" w:type="dxa"/>
            <w:vAlign w:val="bottom"/>
            <w:tcBorders>
              <w:top w:val="single" w:sz="8" w:color="0000FF"/>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7"/>
                <w:szCs w:val="17"/>
                <w:color w:val="0000FF"/>
                <w:w w:val="89"/>
              </w:rPr>
              <w:t>Financial Statements</w:t>
            </w:r>
          </w:p>
        </w:tc>
        <w:tc>
          <w:tcPr>
            <w:tcW w:w="900" w:type="dxa"/>
            <w:vAlign w:val="bottom"/>
            <w:tcBorders>
              <w:top w:val="single" w:sz="8" w:color="0000FF"/>
            </w:tcBorders>
            <w:gridSpan w:val="6"/>
          </w:tcPr>
          <w:p>
            <w:pPr>
              <w:spacing w:after="0"/>
              <w:rPr>
                <w:sz w:val="24"/>
                <w:szCs w:val="24"/>
                <w:color w:val="auto"/>
              </w:rPr>
            </w:pPr>
          </w:p>
        </w:tc>
        <w:tc>
          <w:tcPr>
            <w:tcW w:w="3820" w:type="dxa"/>
            <w:vAlign w:val="bottom"/>
            <w:gridSpan w:val="12"/>
          </w:tcPr>
          <w:p>
            <w:pPr>
              <w:spacing w:after="0"/>
              <w:rPr>
                <w:sz w:val="24"/>
                <w:szCs w:val="24"/>
                <w:color w:val="auto"/>
              </w:rPr>
            </w:pP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w w:val="94"/>
              </w:rPr>
              <w:t>Condensed Consolidated Statements of Earnings (Unaudited)</w:t>
            </w:r>
          </w:p>
        </w:tc>
        <w:tc>
          <w:tcPr>
            <w:tcW w:w="1420" w:type="dxa"/>
            <w:vAlign w:val="bottom"/>
            <w:gridSpan w:val="4"/>
          </w:tcPr>
          <w:p>
            <w:pPr>
              <w:spacing w:after="0"/>
              <w:rPr>
                <w:sz w:val="24"/>
                <w:szCs w:val="24"/>
                <w:color w:val="auto"/>
              </w:rPr>
            </w:pPr>
          </w:p>
        </w:tc>
        <w:tc>
          <w:tcPr>
            <w:tcW w:w="35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gridSpan w:val="23"/>
          </w:tcPr>
          <w:p>
            <w:pPr>
              <w:spacing w:after="0"/>
              <w:rPr>
                <w:sz w:val="20"/>
                <w:szCs w:val="20"/>
                <w:color w:val="auto"/>
              </w:rPr>
            </w:pPr>
            <w:r>
              <w:rPr>
                <w:rFonts w:ascii="Arial" w:cs="Arial" w:eastAsia="Arial" w:hAnsi="Arial"/>
                <w:sz w:val="17"/>
                <w:szCs w:val="17"/>
                <w:color w:val="0000FF"/>
              </w:rPr>
              <w:t>Condensed Consolidated Statements of Comprehensive Income (Unaudited)</w:t>
            </w: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7"/>
                <w:szCs w:val="17"/>
                <w:color w:val="0000FF"/>
                <w:w w:val="93"/>
              </w:rPr>
              <w:t>Condensed Consolidated Balance Sheets (Unaudited)</w:t>
            </w:r>
          </w:p>
        </w:tc>
        <w:tc>
          <w:tcPr>
            <w:tcW w:w="1440" w:type="dxa"/>
            <w:vAlign w:val="bottom"/>
            <w:tcBorders>
              <w:top w:val="single" w:sz="8" w:color="0000FF"/>
            </w:tcBorders>
            <w:gridSpan w:val="7"/>
          </w:tcPr>
          <w:p>
            <w:pPr>
              <w:spacing w:after="0"/>
              <w:rPr>
                <w:sz w:val="24"/>
                <w:szCs w:val="24"/>
                <w:color w:val="auto"/>
              </w:rPr>
            </w:pPr>
          </w:p>
        </w:tc>
        <w:tc>
          <w:tcPr>
            <w:tcW w:w="600" w:type="dxa"/>
            <w:vAlign w:val="bottom"/>
          </w:tcPr>
          <w:p>
            <w:pPr>
              <w:spacing w:after="0"/>
              <w:rPr>
                <w:sz w:val="24"/>
                <w:szCs w:val="24"/>
                <w:color w:val="auto"/>
              </w:rPr>
            </w:pPr>
          </w:p>
        </w:tc>
        <w:tc>
          <w:tcPr>
            <w:tcW w:w="356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w w:val="90"/>
              </w:rPr>
              <w:t>Condensed Consolidated Statements of Cash Flows (Unaudited)</w:t>
            </w:r>
          </w:p>
        </w:tc>
        <w:tc>
          <w:tcPr>
            <w:tcW w:w="1420" w:type="dxa"/>
            <w:vAlign w:val="bottom"/>
            <w:gridSpan w:val="4"/>
          </w:tcPr>
          <w:p>
            <w:pPr>
              <w:spacing w:after="0"/>
              <w:rPr>
                <w:sz w:val="24"/>
                <w:szCs w:val="24"/>
                <w:color w:val="auto"/>
              </w:rPr>
            </w:pPr>
          </w:p>
        </w:tc>
        <w:tc>
          <w:tcPr>
            <w:tcW w:w="35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tcBorders>
              <w:bottom w:val="single" w:sz="8" w:color="0000FF"/>
            </w:tcBorders>
            <w:gridSpan w:val="23"/>
          </w:tcPr>
          <w:p>
            <w:pPr>
              <w:spacing w:after="0"/>
              <w:rPr>
                <w:sz w:val="20"/>
                <w:szCs w:val="20"/>
                <w:color w:val="auto"/>
              </w:rPr>
            </w:pPr>
            <w:r>
              <w:rPr>
                <w:rFonts w:ascii="Arial" w:cs="Arial" w:eastAsia="Arial" w:hAnsi="Arial"/>
                <w:sz w:val="17"/>
                <w:szCs w:val="17"/>
                <w:color w:val="0000FF"/>
              </w:rPr>
              <w:t>Condensed Consolidated Statements of Stockholders' Equity (Unaudited)</w:t>
            </w:r>
          </w:p>
        </w:tc>
        <w:tc>
          <w:tcPr>
            <w:tcW w:w="35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w w:val="90"/>
              </w:rPr>
              <w:t>Notes to Condensed Consolidated Financial Statements (Unaudited)</w:t>
            </w:r>
          </w:p>
        </w:tc>
        <w:tc>
          <w:tcPr>
            <w:tcW w:w="1160" w:type="dxa"/>
            <w:vAlign w:val="bottom"/>
            <w:gridSpan w:val="3"/>
          </w:tcPr>
          <w:p>
            <w:pPr>
              <w:spacing w:after="0"/>
              <w:rPr>
                <w:sz w:val="24"/>
                <w:szCs w:val="24"/>
                <w:color w:val="auto"/>
              </w:rPr>
            </w:pPr>
          </w:p>
        </w:tc>
        <w:tc>
          <w:tcPr>
            <w:tcW w:w="35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2.</w:t>
            </w:r>
          </w:p>
        </w:tc>
        <w:tc>
          <w:tcPr>
            <w:tcW w:w="68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24"/>
          </w:tcPr>
          <w:p>
            <w:pPr>
              <w:spacing w:after="0"/>
              <w:rPr>
                <w:sz w:val="20"/>
                <w:szCs w:val="20"/>
                <w:color w:val="auto"/>
              </w:rPr>
            </w:pPr>
            <w:r>
              <w:rPr>
                <w:rFonts w:ascii="Arial" w:cs="Arial" w:eastAsia="Arial" w:hAnsi="Arial"/>
                <w:sz w:val="17"/>
                <w:szCs w:val="17"/>
                <w:color w:val="0000FF"/>
                <w:w w:val="91"/>
              </w:rPr>
              <w:t>Management’s Discussion and Analysis of Financial Condition and Results of Operations</w:t>
            </w: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0000FF"/>
                <w:w w:val="90"/>
              </w:rPr>
              <w:t>Company Overview</w:t>
            </w:r>
          </w:p>
        </w:tc>
        <w:tc>
          <w:tcPr>
            <w:tcW w:w="4480" w:type="dxa"/>
            <w:vAlign w:val="bottom"/>
            <w:gridSpan w:val="15"/>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10"/>
          </w:tcPr>
          <w:p>
            <w:pPr>
              <w:spacing w:after="0"/>
              <w:rPr>
                <w:sz w:val="20"/>
                <w:szCs w:val="20"/>
                <w:color w:val="auto"/>
              </w:rPr>
            </w:pPr>
            <w:r>
              <w:rPr>
                <w:rFonts w:ascii="Arial" w:cs="Arial" w:eastAsia="Arial" w:hAnsi="Arial"/>
                <w:sz w:val="17"/>
                <w:szCs w:val="17"/>
                <w:color w:val="0000FF"/>
              </w:rPr>
              <w:t>Results of Operations</w:t>
            </w:r>
          </w:p>
        </w:tc>
        <w:tc>
          <w:tcPr>
            <w:tcW w:w="4180" w:type="dxa"/>
            <w:vAlign w:val="bottom"/>
            <w:gridSpan w:val="13"/>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7"/>
          </w:tcPr>
          <w:p>
            <w:pPr>
              <w:spacing w:after="0"/>
              <w:rPr>
                <w:sz w:val="20"/>
                <w:szCs w:val="20"/>
                <w:color w:val="auto"/>
              </w:rPr>
            </w:pPr>
            <w:r>
              <w:rPr>
                <w:rFonts w:ascii="Arial" w:cs="Arial" w:eastAsia="Arial" w:hAnsi="Arial"/>
                <w:sz w:val="17"/>
                <w:szCs w:val="17"/>
                <w:color w:val="0000FF"/>
                <w:w w:val="87"/>
              </w:rPr>
              <w:t>Business Segments</w:t>
            </w:r>
          </w:p>
        </w:tc>
        <w:tc>
          <w:tcPr>
            <w:tcW w:w="340" w:type="dxa"/>
            <w:vAlign w:val="bottom"/>
            <w:gridSpan w:val="3"/>
          </w:tcPr>
          <w:p>
            <w:pPr>
              <w:spacing w:after="0"/>
              <w:rPr>
                <w:sz w:val="24"/>
                <w:szCs w:val="24"/>
                <w:color w:val="auto"/>
              </w:rPr>
            </w:pPr>
          </w:p>
        </w:tc>
        <w:tc>
          <w:tcPr>
            <w:tcW w:w="4180" w:type="dxa"/>
            <w:vAlign w:val="bottom"/>
            <w:gridSpan w:val="13"/>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7"/>
                <w:szCs w:val="17"/>
                <w:color w:val="0000FF"/>
                <w:w w:val="93"/>
              </w:rPr>
              <w:t>Financial Position</w:t>
            </w:r>
          </w:p>
        </w:tc>
        <w:tc>
          <w:tcPr>
            <w:tcW w:w="80" w:type="dxa"/>
            <w:vAlign w:val="bottom"/>
          </w:tcPr>
          <w:p>
            <w:pPr>
              <w:spacing w:after="0"/>
              <w:rPr>
                <w:sz w:val="24"/>
                <w:szCs w:val="24"/>
                <w:color w:val="auto"/>
              </w:rPr>
            </w:pPr>
          </w:p>
        </w:tc>
        <w:tc>
          <w:tcPr>
            <w:tcW w:w="4520" w:type="dxa"/>
            <w:vAlign w:val="bottom"/>
            <w:gridSpan w:val="16"/>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gridSpan w:val="23"/>
          </w:tcPr>
          <w:p>
            <w:pPr>
              <w:spacing w:after="0"/>
              <w:rPr>
                <w:sz w:val="20"/>
                <w:szCs w:val="20"/>
                <w:color w:val="auto"/>
              </w:rPr>
            </w:pPr>
            <w:r>
              <w:rPr>
                <w:rFonts w:ascii="Arial" w:cs="Arial" w:eastAsia="Arial" w:hAnsi="Arial"/>
                <w:sz w:val="17"/>
                <w:szCs w:val="17"/>
                <w:color w:val="0000FF"/>
              </w:rPr>
              <w:t>Non-GAAP Financial Measures</w:t>
            </w: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13"/>
          </w:tcPr>
          <w:p>
            <w:pPr>
              <w:spacing w:after="0"/>
              <w:rPr>
                <w:sz w:val="20"/>
                <w:szCs w:val="20"/>
                <w:color w:val="auto"/>
              </w:rPr>
            </w:pPr>
            <w:r>
              <w:rPr>
                <w:rFonts w:ascii="Arial" w:cs="Arial" w:eastAsia="Arial" w:hAnsi="Arial"/>
                <w:sz w:val="17"/>
                <w:szCs w:val="17"/>
                <w:color w:val="0000FF"/>
                <w:w w:val="92"/>
              </w:rPr>
              <w:t>Critical Accounting Policies and Estimates</w:t>
            </w:r>
          </w:p>
        </w:tc>
        <w:tc>
          <w:tcPr>
            <w:tcW w:w="2900" w:type="dxa"/>
            <w:vAlign w:val="bottom"/>
            <w:gridSpan w:val="10"/>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Arial" w:cs="Arial" w:eastAsia="Arial" w:hAnsi="Arial"/>
                <w:sz w:val="17"/>
                <w:szCs w:val="17"/>
                <w:b w:val="1"/>
                <w:bCs w:val="1"/>
                <w:color w:val="0000FF"/>
                <w:w w:val="92"/>
              </w:rPr>
              <w:t>Item 3.</w:t>
            </w:r>
          </w:p>
        </w:tc>
        <w:tc>
          <w:tcPr>
            <w:tcW w:w="680" w:type="dxa"/>
            <w:vAlign w:val="bottom"/>
            <w:gridSpan w:val="4"/>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16"/>
          </w:tcPr>
          <w:p>
            <w:pPr>
              <w:spacing w:after="0"/>
              <w:rPr>
                <w:sz w:val="20"/>
                <w:szCs w:val="20"/>
                <w:color w:val="auto"/>
              </w:rPr>
            </w:pPr>
            <w:r>
              <w:rPr>
                <w:rFonts w:ascii="Arial" w:cs="Arial" w:eastAsia="Arial" w:hAnsi="Arial"/>
                <w:sz w:val="17"/>
                <w:szCs w:val="17"/>
                <w:color w:val="0000FF"/>
                <w:w w:val="92"/>
              </w:rPr>
              <w:t>Quantitative and Qualitative Disclosures about Market Risk</w:t>
            </w:r>
          </w:p>
        </w:tc>
        <w:tc>
          <w:tcPr>
            <w:tcW w:w="2040" w:type="dxa"/>
            <w:vAlign w:val="bottom"/>
            <w:gridSpan w:val="8"/>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4.</w:t>
            </w:r>
          </w:p>
        </w:tc>
        <w:tc>
          <w:tcPr>
            <w:tcW w:w="68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16"/>
          </w:tcPr>
          <w:p>
            <w:pPr>
              <w:spacing w:after="0"/>
              <w:rPr>
                <w:sz w:val="20"/>
                <w:szCs w:val="20"/>
                <w:color w:val="auto"/>
              </w:rPr>
            </w:pPr>
            <w:r>
              <w:rPr>
                <w:rFonts w:ascii="Arial" w:cs="Arial" w:eastAsia="Arial" w:hAnsi="Arial"/>
                <w:sz w:val="17"/>
                <w:szCs w:val="17"/>
                <w:color w:val="0000FF"/>
              </w:rPr>
              <w:t>Controls and Procedures</w:t>
            </w:r>
          </w:p>
        </w:tc>
        <w:tc>
          <w:tcPr>
            <w:tcW w:w="2040" w:type="dxa"/>
            <w:vAlign w:val="bottom"/>
            <w:gridSpan w:val="8"/>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PART II.</w:t>
            </w:r>
          </w:p>
        </w:tc>
        <w:tc>
          <w:tcPr>
            <w:tcW w:w="200" w:type="dxa"/>
            <w:vAlign w:val="bottom"/>
          </w:tcPr>
          <w:p>
            <w:pPr>
              <w:spacing w:after="0"/>
              <w:rPr>
                <w:sz w:val="24"/>
                <w:szCs w:val="24"/>
                <w:color w:val="auto"/>
              </w:rPr>
            </w:pPr>
          </w:p>
        </w:tc>
        <w:tc>
          <w:tcPr>
            <w:tcW w:w="6160" w:type="dxa"/>
            <w:vAlign w:val="bottom"/>
            <w:gridSpan w:val="24"/>
          </w:tcPr>
          <w:p>
            <w:pPr>
              <w:spacing w:after="0"/>
              <w:rPr>
                <w:sz w:val="20"/>
                <w:szCs w:val="20"/>
                <w:color w:val="auto"/>
              </w:rPr>
            </w:pPr>
            <w:r>
              <w:rPr>
                <w:rFonts w:ascii="Arial" w:cs="Arial" w:eastAsia="Arial" w:hAnsi="Arial"/>
                <w:sz w:val="17"/>
                <w:szCs w:val="17"/>
                <w:b w:val="1"/>
                <w:bCs w:val="1"/>
                <w:color w:val="0000FF"/>
              </w:rPr>
              <w:t>OTHER INFORMATION:</w:t>
            </w: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7"/>
                <w:szCs w:val="17"/>
                <w:b w:val="1"/>
                <w:bCs w:val="1"/>
                <w:color w:val="0000FF"/>
                <w:w w:val="92"/>
              </w:rPr>
              <w:t>Item 1.</w:t>
            </w:r>
          </w:p>
        </w:tc>
        <w:tc>
          <w:tcPr>
            <w:tcW w:w="140" w:type="dxa"/>
            <w:vAlign w:val="bottom"/>
            <w:tcBorders>
              <w:top w:val="single" w:sz="8" w:color="0000FF"/>
            </w:tcBorders>
            <w:gridSpan w:val="3"/>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w w:val="86"/>
              </w:rPr>
              <w:t>Legal Proceedings</w:t>
            </w:r>
          </w:p>
        </w:tc>
        <w:tc>
          <w:tcPr>
            <w:tcW w:w="720" w:type="dxa"/>
            <w:vAlign w:val="bottom"/>
            <w:tcBorders>
              <w:top w:val="single" w:sz="8" w:color="0000FF"/>
            </w:tcBorders>
            <w:gridSpan w:val="6"/>
          </w:tcPr>
          <w:p>
            <w:pPr>
              <w:spacing w:after="0"/>
              <w:rPr>
                <w:sz w:val="24"/>
                <w:szCs w:val="24"/>
                <w:color w:val="auto"/>
              </w:rPr>
            </w:pPr>
          </w:p>
        </w:tc>
        <w:tc>
          <w:tcPr>
            <w:tcW w:w="4180" w:type="dxa"/>
            <w:vAlign w:val="bottom"/>
            <w:gridSpan w:val="13"/>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00" w:type="dxa"/>
            <w:vAlign w:val="bottom"/>
            <w:tcBorders>
              <w:left w:val="single" w:sz="8" w:color="0000FF"/>
            </w:tcBorders>
            <w:gridSpan w:val="1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Item 1A.</w:t>
            </w:r>
          </w:p>
        </w:tc>
        <w:tc>
          <w:tcPr>
            <w:tcW w:w="200" w:type="dxa"/>
            <w:vAlign w:val="bottom"/>
          </w:tcPr>
          <w:p>
            <w:pPr>
              <w:spacing w:after="0"/>
              <w:rPr>
                <w:sz w:val="24"/>
                <w:szCs w:val="24"/>
                <w:color w:val="auto"/>
              </w:rPr>
            </w:pPr>
          </w:p>
        </w:tc>
        <w:tc>
          <w:tcPr>
            <w:tcW w:w="6160" w:type="dxa"/>
            <w:vAlign w:val="bottom"/>
            <w:gridSpan w:val="24"/>
          </w:tcPr>
          <w:p>
            <w:pPr>
              <w:spacing w:after="0"/>
              <w:rPr>
                <w:sz w:val="20"/>
                <w:szCs w:val="20"/>
                <w:color w:val="auto"/>
              </w:rPr>
            </w:pPr>
            <w:r>
              <w:rPr>
                <w:rFonts w:ascii="Arial" w:cs="Arial" w:eastAsia="Arial" w:hAnsi="Arial"/>
                <w:sz w:val="17"/>
                <w:szCs w:val="17"/>
                <w:color w:val="0000FF"/>
              </w:rPr>
              <w:t>Risk Factors</w:t>
            </w: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2.</w:t>
            </w:r>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gridSpan w:val="17"/>
          </w:tcPr>
          <w:p>
            <w:pPr>
              <w:spacing w:after="0"/>
              <w:rPr>
                <w:sz w:val="20"/>
                <w:szCs w:val="20"/>
                <w:color w:val="auto"/>
              </w:rPr>
            </w:pPr>
            <w:r>
              <w:rPr>
                <w:rFonts w:ascii="Arial" w:cs="Arial" w:eastAsia="Arial" w:hAnsi="Arial"/>
                <w:sz w:val="17"/>
                <w:szCs w:val="17"/>
                <w:color w:val="0000FF"/>
                <w:w w:val="90"/>
              </w:rPr>
              <w:t>Unregistered Sales of Equity Securities and Use of Proceeds</w:t>
            </w:r>
          </w:p>
        </w:tc>
        <w:tc>
          <w:tcPr>
            <w:tcW w:w="2000" w:type="dxa"/>
            <w:vAlign w:val="bottom"/>
            <w:gridSpan w:val="7"/>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900" w:type="dxa"/>
            <w:vAlign w:val="bottom"/>
            <w:tcBorders>
              <w:left w:val="single" w:sz="8" w:color="0000FF"/>
            </w:tcBorders>
            <w:gridSpan w:val="12"/>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5.</w:t>
            </w:r>
          </w:p>
        </w:tc>
        <w:tc>
          <w:tcPr>
            <w:tcW w:w="68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7"/>
                <w:szCs w:val="17"/>
                <w:color w:val="0000FF"/>
                <w:w w:val="92"/>
              </w:rPr>
              <w:t>Other Information</w:t>
            </w:r>
          </w:p>
        </w:tc>
        <w:tc>
          <w:tcPr>
            <w:tcW w:w="2900" w:type="dxa"/>
            <w:vAlign w:val="bottom"/>
            <w:gridSpan w:val="12"/>
          </w:tcPr>
          <w:p>
            <w:pPr>
              <w:spacing w:after="0"/>
              <w:rPr>
                <w:sz w:val="24"/>
                <w:szCs w:val="24"/>
                <w:color w:val="auto"/>
              </w:rPr>
            </w:pPr>
          </w:p>
        </w:tc>
        <w:tc>
          <w:tcPr>
            <w:tcW w:w="2000" w:type="dxa"/>
            <w:vAlign w:val="bottom"/>
            <w:gridSpan w:val="7"/>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900" w:type="dxa"/>
            <w:vAlign w:val="bottom"/>
            <w:gridSpan w:val="19"/>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6.</w:t>
            </w:r>
          </w:p>
        </w:tc>
        <w:tc>
          <w:tcPr>
            <w:tcW w:w="68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7"/>
                <w:szCs w:val="17"/>
                <w:color w:val="0000FF"/>
                <w:w w:val="94"/>
              </w:rPr>
              <w:t>Exhibits</w:t>
            </w:r>
          </w:p>
        </w:tc>
        <w:tc>
          <w:tcPr>
            <w:tcW w:w="680" w:type="dxa"/>
            <w:vAlign w:val="bottom"/>
            <w:gridSpan w:val="3"/>
          </w:tcPr>
          <w:p>
            <w:pPr>
              <w:spacing w:after="0"/>
              <w:rPr>
                <w:sz w:val="24"/>
                <w:szCs w:val="24"/>
                <w:color w:val="auto"/>
              </w:rPr>
            </w:pPr>
          </w:p>
        </w:tc>
        <w:tc>
          <w:tcPr>
            <w:tcW w:w="4900" w:type="dxa"/>
            <w:vAlign w:val="bottom"/>
            <w:gridSpan w:val="19"/>
          </w:tcPr>
          <w:p>
            <w:pPr>
              <w:spacing w:after="0"/>
              <w:rPr>
                <w:sz w:val="24"/>
                <w:szCs w:val="24"/>
                <w:color w:val="auto"/>
              </w:rPr>
            </w:pP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40" w:type="dxa"/>
            <w:vAlign w:val="bottom"/>
            <w:gridSpan w:val="21"/>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60" w:type="dxa"/>
            <w:vAlign w:val="bottom"/>
            <w:gridSpan w:val="24"/>
          </w:tcPr>
          <w:p>
            <w:pPr>
              <w:spacing w:after="0"/>
              <w:rPr>
                <w:sz w:val="20"/>
                <w:szCs w:val="20"/>
                <w:color w:val="auto"/>
              </w:rPr>
            </w:pPr>
            <w:r>
              <w:rPr>
                <w:rFonts w:ascii="Arial" w:cs="Arial" w:eastAsia="Arial" w:hAnsi="Arial"/>
                <w:sz w:val="17"/>
                <w:szCs w:val="17"/>
                <w:color w:val="0000FF"/>
              </w:rPr>
              <w:t>Signatures</w:t>
            </w:r>
          </w:p>
        </w:tc>
        <w:tc>
          <w:tcPr>
            <w:tcW w:w="3640" w:type="dxa"/>
            <w:vAlign w:val="bottom"/>
            <w:gridSpan w:val="3"/>
          </w:tcPr>
          <w:p>
            <w:pPr>
              <w:jc w:val="right"/>
              <w:spacing w:after="0"/>
              <w:rPr>
                <w:sz w:val="20"/>
                <w:szCs w:val="20"/>
                <w:color w:val="auto"/>
              </w:rPr>
            </w:pPr>
            <w:r>
              <w:rPr>
                <w:rFonts w:ascii="Arial" w:cs="Arial" w:eastAsia="Arial" w:hAnsi="Arial"/>
                <w:sz w:val="17"/>
                <w:szCs w:val="17"/>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This Quarterly Report on Form 10-Q contains not only historical information, but also forward-looking statements within the meaning of the Private Securities Litigation Reform Act of 1995.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"pro forma," variations of such words or the negative thereof, and similar expressions or future dates. Our forward-looking statements generally relate to our future performance, including our anticipated operating results, liquidity requirements and financial condition; the anticipated impacts of current global supply chain disruptions, the inflationary environment, the war between Ukraine and Russia and the related sanctions and geopolitical tensions, tight labor markets and other macroeconomic factors; our business strategies, priorities, goals, and commitments; acquisitions and business initiatives; and the effect of laws, rules, policies, regulations, tax reform, new accounting pronouncements, and outstanding litigation on our business and future performance.</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73" w:lineRule="exact"/>
        <w:rPr>
          <w:sz w:val="20"/>
          <w:szCs w:val="20"/>
          <w:color w:val="auto"/>
        </w:rPr>
      </w:pPr>
    </w:p>
    <w:p>
      <w:pPr>
        <w:jc w:val="both"/>
        <w:ind w:left="620" w:hanging="307"/>
        <w:spacing w:after="0" w:line="289"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Adverse economic conditions and outlook in the United States and in other countries in which we conduct business, such as but not limited to: business slowdowns, suspensions or delays of production and commercial activity; slow or negative economic growth rates or recessionary conditions; reduced or negative consumer confidence; reduced consumer spending levels;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inflationary or deflationary pressures; slowdowns or reductions in levels of interest in the game of golf or golf course activity, development, renovation, or improvement; golf course closures; reduced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higher short-term, mortgage, and other interest rates; and general economic and political conditions and expectations;</w:t>
      </w: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Continuing disruption, and/or shortages in the availability of and the cost of commodities, components, parts, or accessories used in our products;</w:t>
      </w:r>
    </w:p>
    <w:p>
      <w:pPr>
        <w:spacing w:after="0" w:line="22" w:lineRule="exact"/>
        <w:rPr>
          <w:rFonts w:ascii="Arial" w:cs="Arial" w:eastAsia="Arial" w:hAnsi="Arial"/>
          <w:sz w:val="16"/>
          <w:szCs w:val="16"/>
          <w:color w:val="auto"/>
        </w:rPr>
      </w:pPr>
    </w:p>
    <w:p>
      <w:pPr>
        <w:ind w:left="620" w:hanging="307"/>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to enhance existing products and develop and market new products that respond to customer needs and preferences and achieve market acceptance;</w:t>
      </w: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 that weather conditions or climate change have on demand for our products and operations, including our supply chain;</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our product mix;</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 of competition;</w:t>
      </w:r>
    </w:p>
    <w:p>
      <w:pPr>
        <w:spacing w:after="0" w:line="11" w:lineRule="exact"/>
        <w:rPr>
          <w:rFonts w:ascii="Arial" w:cs="Arial" w:eastAsia="Arial" w:hAnsi="Arial"/>
          <w:sz w:val="17"/>
          <w:szCs w:val="17"/>
          <w:color w:val="auto"/>
        </w:rPr>
      </w:pPr>
    </w:p>
    <w:p>
      <w:pPr>
        <w:jc w:val="both"/>
        <w:ind w:left="620" w:hanging="307"/>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cost-effectively expand and renovate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w:t>
      </w:r>
    </w:p>
    <w:p>
      <w:pPr>
        <w:spacing w:after="0" w:line="1" w:lineRule="exact"/>
        <w:rPr>
          <w:rFonts w:ascii="Arial" w:cs="Arial" w:eastAsia="Arial" w:hAnsi="Arial"/>
          <w:sz w:val="17"/>
          <w:szCs w:val="17"/>
          <w:color w:val="auto"/>
        </w:rPr>
      </w:pPr>
    </w:p>
    <w:p>
      <w:pPr>
        <w:jc w:val="both"/>
        <w:ind w:left="620" w:hanging="307"/>
        <w:spacing w:after="0" w:line="269"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1" w:lineRule="exact"/>
        <w:rPr>
          <w:rFonts w:ascii="Arial" w:cs="Arial" w:eastAsia="Arial" w:hAnsi="Arial"/>
          <w:sz w:val="16"/>
          <w:szCs w:val="16"/>
          <w:color w:val="auto"/>
        </w:rPr>
      </w:pPr>
    </w:p>
    <w:p>
      <w:pPr>
        <w:ind w:left="620" w:hanging="307"/>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appropriate inventory levels, including as a result of global supply chain disruptions, and if we underestimate or overestimate demand for our products, and the effect of inventory management decisions of our distribution channel customers;</w:t>
      </w: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composition of, financial viability of, and the relationships with, our distribution channel customers;</w:t>
      </w:r>
    </w:p>
    <w:p>
      <w:pPr>
        <w:spacing w:after="0" w:line="11" w:lineRule="exact"/>
        <w:rPr>
          <w:rFonts w:ascii="Arial" w:cs="Arial" w:eastAsia="Arial" w:hAnsi="Arial"/>
          <w:sz w:val="17"/>
          <w:szCs w:val="17"/>
          <w:color w:val="auto"/>
        </w:rPr>
      </w:pPr>
    </w:p>
    <w:p>
      <w:pPr>
        <w:ind w:left="620" w:hanging="307"/>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our credit arrangements and ratings and any material change in the availability or terms of, or termination or disruption of, credit offered to our customers, distributors, and dealers;</w:t>
      </w:r>
    </w:p>
    <w:p>
      <w:pPr>
        <w:jc w:val="both"/>
        <w:ind w:left="620" w:hanging="307"/>
        <w:spacing w:after="0" w:line="260"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our international operations, including but not limited to the effect of foreign currency exchange rate fluctuations and compliance with foreign legal and regulatory requirements, the war between Ukraine and Russia and the related sanctions and geopolitical tensions, and other potential conflicts;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620" w:hanging="307"/>
        <w:spacing w:after="0" w:line="260"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comply with all applicable legal and regulatory requirements and the effect of product quality issues, product liability claims, and other litigation to which we are or may be subject;</w:t>
      </w:r>
    </w:p>
    <w:p>
      <w:pPr>
        <w:ind w:left="620" w:hanging="307"/>
        <w:spacing w:after="0" w:line="253"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our acquisitions and alliances, joint ventures, investments, or partnerships and our failure to successfully complete divestitures or other restructuring activities;</w:t>
      </w:r>
    </w:p>
    <w:p>
      <w:pPr>
        <w:ind w:left="620" w:hanging="307"/>
        <w:spacing w:after="0" w:line="253"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protect our intellectual property and other proprietary rights or operate our business without infringing upon the intellectual property or other proprietary rights of others;</w:t>
      </w:r>
    </w:p>
    <w:p>
      <w:pPr>
        <w:ind w:left="620" w:hanging="307"/>
        <w:spacing w:after="0" w:line="253"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of our information systems or information security practices or those of our business partners or third-party service providers to adequately perform and/or protect sensitive or confidential information;</w:t>
      </w: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achieve our financial projections or other business initiatives in the time periods that we anticipate or at all;</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accounting or tax standards and policies and/or assumptions utilized in determining accounting tax estimates; and</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Impact of increased scrutiny on our environmental, social and governance (“ESG”) practices and SEC rule making on ESG disclosures.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Part II, Item 1A, "Risk Factors" of this report; and our subsequent filings with the SEC.</w:t>
      </w:r>
    </w:p>
    <w:p>
      <w:pPr>
        <w:spacing w:after="0" w:line="5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and shares 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center"/>
              <w:ind w:right="218"/>
              <w:spacing w:after="0"/>
              <w:rPr>
                <w:sz w:val="20"/>
                <w:szCs w:val="20"/>
                <w:color w:val="auto"/>
              </w:rPr>
            </w:pPr>
            <w:r>
              <w:rPr>
                <w:rFonts w:ascii="Arial" w:cs="Arial" w:eastAsia="Arial" w:hAnsi="Arial"/>
                <w:sz w:val="16"/>
                <w:szCs w:val="16"/>
                <w:b w:val="1"/>
                <w:bCs w:val="1"/>
                <w:color w:val="auto"/>
                <w:w w:val="94"/>
              </w:rPr>
              <w:t>Three Months Ended</w:t>
            </w: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May 5, 2023</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April 29, 2022</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May 5, 2023</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98"/>
              </w:rPr>
              <w:t>April 29, 2022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1,339,326</w:t>
            </w:r>
          </w:p>
        </w:tc>
        <w:tc>
          <w:tcPr>
            <w:tcW w:w="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1,249,478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2,488,166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2,182,128</w:t>
            </w:r>
          </w:p>
        </w:tc>
        <w:tc>
          <w:tcPr>
            <w:tcW w:w="0" w:type="dxa"/>
            <w:vAlign w:val="bottom"/>
          </w:tcPr>
          <w:p>
            <w:pPr>
              <w:spacing w:after="0"/>
              <w:rPr>
                <w:sz w:val="1"/>
                <w:szCs w:val="1"/>
                <w:color w:val="auto"/>
              </w:rPr>
            </w:pPr>
          </w:p>
        </w:tc>
      </w:tr>
      <w:tr>
        <w:trPr>
          <w:trHeight w:val="20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859,605</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844,109</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1,612,521</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1,476,283</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479,721</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405,369</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875,645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705,845</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260,925</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234,792</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520,422</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443,642</w:t>
            </w: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earnings</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218,796</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170,577</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355,223</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262,203</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(14,711)</w:t>
            </w:r>
          </w:p>
        </w:tc>
        <w:tc>
          <w:tcPr>
            <w:tcW w:w="240" w:type="dxa"/>
            <w:vAlign w:val="bottom"/>
          </w:tcPr>
          <w:p>
            <w:pPr>
              <w:spacing w:after="0"/>
              <w:rPr>
                <w:sz w:val="18"/>
                <w:szCs w:val="18"/>
                <w:color w:val="auto"/>
              </w:rPr>
            </w:pPr>
          </w:p>
        </w:tc>
        <w:tc>
          <w:tcPr>
            <w:tcW w:w="1480" w:type="dxa"/>
            <w:vAlign w:val="bottom"/>
          </w:tcPr>
          <w:p>
            <w:pPr>
              <w:jc w:val="right"/>
              <w:ind w:right="58"/>
              <w:spacing w:after="0"/>
              <w:rPr>
                <w:sz w:val="20"/>
                <w:szCs w:val="20"/>
                <w:color w:val="auto"/>
              </w:rPr>
            </w:pPr>
            <w:r>
              <w:rPr>
                <w:rFonts w:ascii="Arial" w:cs="Arial" w:eastAsia="Arial" w:hAnsi="Arial"/>
                <w:sz w:val="16"/>
                <w:szCs w:val="16"/>
                <w:color w:val="auto"/>
              </w:rPr>
              <w:t>(8,024)</w:t>
            </w:r>
          </w:p>
        </w:tc>
        <w:tc>
          <w:tcPr>
            <w:tcW w:w="28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(28,835)</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(15,037)</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6,734</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2,503</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15,745</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5,037</w:t>
            </w:r>
          </w:p>
        </w:tc>
        <w:tc>
          <w:tcPr>
            <w:tcW w:w="0" w:type="dxa"/>
            <w:vAlign w:val="bottom"/>
          </w:tcPr>
          <w:p>
            <w:pPr>
              <w:spacing w:after="0"/>
              <w:rPr>
                <w:sz w:val="1"/>
                <w:szCs w:val="1"/>
                <w:color w:val="auto"/>
              </w:rPr>
            </w:pPr>
          </w:p>
        </w:tc>
      </w:tr>
      <w:tr>
        <w:trPr>
          <w:trHeight w:val="205"/>
        </w:trPr>
        <w:tc>
          <w:tcPr>
            <w:tcW w:w="480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420" w:type="dxa"/>
            <w:vAlign w:val="bottom"/>
          </w:tcPr>
          <w:p>
            <w:pPr>
              <w:spacing w:after="0"/>
              <w:rPr>
                <w:sz w:val="17"/>
                <w:szCs w:val="17"/>
                <w:color w:val="auto"/>
              </w:rPr>
            </w:pPr>
          </w:p>
        </w:tc>
        <w:tc>
          <w:tcPr>
            <w:tcW w:w="1240" w:type="dxa"/>
            <w:vAlign w:val="bottom"/>
          </w:tcPr>
          <w:p>
            <w:pPr>
              <w:jc w:val="right"/>
              <w:ind w:right="38"/>
              <w:spacing w:after="0"/>
              <w:rPr>
                <w:sz w:val="20"/>
                <w:szCs w:val="20"/>
                <w:color w:val="auto"/>
              </w:rPr>
            </w:pPr>
            <w:r>
              <w:rPr>
                <w:rFonts w:ascii="Arial" w:cs="Arial" w:eastAsia="Arial" w:hAnsi="Arial"/>
                <w:sz w:val="16"/>
                <w:szCs w:val="16"/>
                <w:color w:val="auto"/>
              </w:rPr>
              <w:t>210,819</w:t>
            </w:r>
          </w:p>
        </w:tc>
        <w:tc>
          <w:tcPr>
            <w:tcW w:w="240" w:type="dxa"/>
            <w:vAlign w:val="bottom"/>
          </w:tcPr>
          <w:p>
            <w:pPr>
              <w:spacing w:after="0"/>
              <w:rPr>
                <w:sz w:val="17"/>
                <w:szCs w:val="17"/>
                <w:color w:val="auto"/>
              </w:rPr>
            </w:pP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165,056</w:t>
            </w:r>
          </w:p>
        </w:tc>
        <w:tc>
          <w:tcPr>
            <w:tcW w:w="280" w:type="dxa"/>
            <w:vAlign w:val="bottom"/>
          </w:tcPr>
          <w:p>
            <w:pPr>
              <w:spacing w:after="0"/>
              <w:rPr>
                <w:sz w:val="17"/>
                <w:szCs w:val="17"/>
                <w:color w:val="auto"/>
              </w:rPr>
            </w:pPr>
          </w:p>
        </w:tc>
        <w:tc>
          <w:tcPr>
            <w:tcW w:w="1280" w:type="dxa"/>
            <w:vAlign w:val="bottom"/>
          </w:tcPr>
          <w:p>
            <w:pPr>
              <w:jc w:val="right"/>
              <w:ind w:right="58"/>
              <w:spacing w:after="0"/>
              <w:rPr>
                <w:sz w:val="20"/>
                <w:szCs w:val="20"/>
                <w:color w:val="auto"/>
              </w:rPr>
            </w:pPr>
            <w:r>
              <w:rPr>
                <w:rFonts w:ascii="Arial" w:cs="Arial" w:eastAsia="Arial" w:hAnsi="Arial"/>
                <w:sz w:val="16"/>
                <w:szCs w:val="16"/>
                <w:color w:val="auto"/>
              </w:rPr>
              <w:t>342,133</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252,203</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43,354</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33,931</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67,808</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51,568</w:t>
            </w:r>
          </w:p>
        </w:tc>
        <w:tc>
          <w:tcPr>
            <w:tcW w:w="0" w:type="dxa"/>
            <w:vAlign w:val="bottom"/>
          </w:tcPr>
          <w:p>
            <w:pPr>
              <w:spacing w:after="0"/>
              <w:rPr>
                <w:sz w:val="1"/>
                <w:szCs w:val="1"/>
                <w:color w:val="auto"/>
              </w:rPr>
            </w:pPr>
          </w:p>
        </w:tc>
      </w:tr>
      <w:tr>
        <w:trPr>
          <w:trHeight w:val="212"/>
        </w:trPr>
        <w:tc>
          <w:tcPr>
            <w:tcW w:w="4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167,465</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131,125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274,325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200,635</w:t>
            </w:r>
          </w:p>
        </w:tc>
        <w:tc>
          <w:tcPr>
            <w:tcW w:w="0" w:type="dxa"/>
            <w:vAlign w:val="bottom"/>
          </w:tcPr>
          <w:p>
            <w:pPr>
              <w:spacing w:after="0"/>
              <w:rPr>
                <w:sz w:val="1"/>
                <w:szCs w:val="1"/>
                <w:color w:val="auto"/>
              </w:rPr>
            </w:pPr>
          </w:p>
        </w:tc>
      </w:tr>
      <w:tr>
        <w:trPr>
          <w:trHeight w:val="25"/>
        </w:trPr>
        <w:tc>
          <w:tcPr>
            <w:tcW w:w="4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4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1.60</w:t>
            </w:r>
          </w:p>
        </w:tc>
        <w:tc>
          <w:tcPr>
            <w:tcW w:w="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1.25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84"/>
        </w:trPr>
        <w:tc>
          <w:tcPr>
            <w:tcW w:w="4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net earnings per share of common stock</w:t>
            </w:r>
          </w:p>
        </w:tc>
        <w:tc>
          <w:tcPr>
            <w:tcW w:w="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1.59</w:t>
            </w:r>
          </w:p>
        </w:tc>
        <w:tc>
          <w:tcPr>
            <w:tcW w:w="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1.24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02"/>
        </w:trPr>
        <w:tc>
          <w:tcPr>
            <w:tcW w:w="4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8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6"/>
              </w:rPr>
              <w:t>Weighted-average number of shares of common stock outstanding —</w:t>
            </w:r>
          </w:p>
        </w:tc>
        <w:tc>
          <w:tcPr>
            <w:tcW w:w="4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104,650</w:t>
            </w:r>
          </w:p>
        </w:tc>
        <w:tc>
          <w:tcPr>
            <w:tcW w:w="24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98"/>
              <w:spacing w:after="0"/>
              <w:rPr>
                <w:sz w:val="20"/>
                <w:szCs w:val="20"/>
                <w:color w:val="auto"/>
              </w:rPr>
            </w:pPr>
            <w:r>
              <w:rPr>
                <w:rFonts w:ascii="Arial" w:cs="Arial" w:eastAsia="Arial" w:hAnsi="Arial"/>
                <w:sz w:val="16"/>
                <w:szCs w:val="16"/>
                <w:color w:val="auto"/>
              </w:rPr>
              <w:t>104,928</w:t>
            </w:r>
          </w:p>
        </w:tc>
        <w:tc>
          <w:tcPr>
            <w:tcW w:w="2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104,574</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104,982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8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6"/>
              </w:rPr>
              <w:t>Weighted-average number of shares of common stock outstanding —</w:t>
            </w:r>
          </w:p>
        </w:tc>
        <w:tc>
          <w:tcPr>
            <w:tcW w:w="4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105,571</w:t>
            </w:r>
          </w:p>
        </w:tc>
        <w:tc>
          <w:tcPr>
            <w:tcW w:w="24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98"/>
              <w:spacing w:after="0"/>
              <w:rPr>
                <w:sz w:val="20"/>
                <w:szCs w:val="20"/>
                <w:color w:val="auto"/>
              </w:rPr>
            </w:pPr>
            <w:r>
              <w:rPr>
                <w:rFonts w:ascii="Arial" w:cs="Arial" w:eastAsia="Arial" w:hAnsi="Arial"/>
                <w:sz w:val="16"/>
                <w:szCs w:val="16"/>
                <w:color w:val="auto"/>
              </w:rPr>
              <w:t>105,746</w:t>
            </w:r>
          </w:p>
        </w:tc>
        <w:tc>
          <w:tcPr>
            <w:tcW w:w="2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105,573</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105,894</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May 5, 2023</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96"/>
              </w:rPr>
              <w:t>April 29, 2022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May 5, 2023</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98"/>
              </w:rPr>
              <w:t>April 29, 2022</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167,465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131,125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274,325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200,635</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(9,408)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18,987</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(15,398)</w:t>
            </w:r>
          </w:p>
        </w:tc>
        <w:tc>
          <w:tcPr>
            <w:tcW w:w="0" w:type="dxa"/>
            <w:vAlign w:val="bottom"/>
          </w:tcPr>
          <w:p>
            <w:pPr>
              <w:spacing w:after="0"/>
              <w:rPr>
                <w:sz w:val="1"/>
                <w:szCs w:val="1"/>
                <w:color w:val="auto"/>
              </w:rPr>
            </w:pPr>
          </w:p>
        </w:tc>
      </w:tr>
      <w:tr>
        <w:trPr>
          <w:trHeight w:val="155"/>
        </w:trPr>
        <w:tc>
          <w:tcPr>
            <w:tcW w:w="5100" w:type="dxa"/>
            <w:vAlign w:val="bottom"/>
          </w:tcPr>
          <w:p>
            <w:pPr>
              <w:ind w:left="140"/>
              <w:spacing w:after="0" w:line="155" w:lineRule="exact"/>
              <w:rPr>
                <w:sz w:val="20"/>
                <w:szCs w:val="20"/>
                <w:color w:val="auto"/>
              </w:rPr>
            </w:pPr>
            <w:r>
              <w:rPr>
                <w:rFonts w:ascii="Arial" w:cs="Arial" w:eastAsia="Arial" w:hAnsi="Arial"/>
                <w:sz w:val="16"/>
                <w:szCs w:val="16"/>
                <w:color w:val="auto"/>
                <w:w w:val="96"/>
              </w:rPr>
              <w:t>Derivative instruments, net of tax of $304; $2,001; $(5,599); and $4,032,</w:t>
            </w:r>
          </w:p>
        </w:tc>
        <w:tc>
          <w:tcPr>
            <w:tcW w:w="380" w:type="dxa"/>
            <w:vAlign w:val="bottom"/>
          </w:tcPr>
          <w:p>
            <w:pPr>
              <w:spacing w:after="0"/>
              <w:rPr>
                <w:sz w:val="13"/>
                <w:szCs w:val="13"/>
                <w:color w:val="auto"/>
              </w:rPr>
            </w:pPr>
          </w:p>
        </w:tc>
        <w:tc>
          <w:tcPr>
            <w:tcW w:w="1280" w:type="dxa"/>
            <w:vAlign w:val="bottom"/>
            <w:vMerge w:val="restart"/>
          </w:tcPr>
          <w:p>
            <w:pPr>
              <w:jc w:val="right"/>
              <w:ind w:right="18"/>
              <w:spacing w:after="0"/>
              <w:rPr>
                <w:sz w:val="20"/>
                <w:szCs w:val="20"/>
                <w:color w:val="auto"/>
              </w:rPr>
            </w:pPr>
            <w:r>
              <w:rPr>
                <w:rFonts w:ascii="Arial" w:cs="Arial" w:eastAsia="Arial" w:hAnsi="Arial"/>
                <w:sz w:val="16"/>
                <w:szCs w:val="16"/>
                <w:color w:val="auto"/>
              </w:rPr>
              <w:t>1,615</w:t>
            </w:r>
          </w:p>
        </w:tc>
        <w:tc>
          <w:tcPr>
            <w:tcW w:w="180" w:type="dxa"/>
            <w:vAlign w:val="bottom"/>
          </w:tcPr>
          <w:p>
            <w:pPr>
              <w:spacing w:after="0"/>
              <w:rPr>
                <w:sz w:val="13"/>
                <w:szCs w:val="13"/>
                <w:color w:val="auto"/>
              </w:rPr>
            </w:pPr>
          </w:p>
        </w:tc>
        <w:tc>
          <w:tcPr>
            <w:tcW w:w="1240" w:type="dxa"/>
            <w:vAlign w:val="bottom"/>
            <w:vMerge w:val="restart"/>
          </w:tcPr>
          <w:p>
            <w:pPr>
              <w:jc w:val="right"/>
              <w:ind w:right="58"/>
              <w:spacing w:after="0"/>
              <w:rPr>
                <w:sz w:val="20"/>
                <w:szCs w:val="20"/>
                <w:color w:val="auto"/>
              </w:rPr>
            </w:pPr>
            <w:r>
              <w:rPr>
                <w:rFonts w:ascii="Arial" w:cs="Arial" w:eastAsia="Arial" w:hAnsi="Arial"/>
                <w:sz w:val="16"/>
                <w:szCs w:val="16"/>
                <w:color w:val="auto"/>
              </w:rPr>
              <w:t>7,199</w:t>
            </w:r>
          </w:p>
        </w:tc>
        <w:tc>
          <w:tcPr>
            <w:tcW w:w="240" w:type="dxa"/>
            <w:vAlign w:val="bottom"/>
          </w:tcPr>
          <w:p>
            <w:pPr>
              <w:spacing w:after="0"/>
              <w:rPr>
                <w:sz w:val="13"/>
                <w:szCs w:val="13"/>
                <w:color w:val="auto"/>
              </w:rPr>
            </w:pPr>
          </w:p>
        </w:tc>
        <w:tc>
          <w:tcPr>
            <w:tcW w:w="1300" w:type="dxa"/>
            <w:vAlign w:val="bottom"/>
            <w:vMerge w:val="restart"/>
          </w:tcPr>
          <w:p>
            <w:pPr>
              <w:jc w:val="right"/>
              <w:ind w:right="58"/>
              <w:spacing w:after="0"/>
              <w:rPr>
                <w:sz w:val="20"/>
                <w:szCs w:val="20"/>
                <w:color w:val="auto"/>
              </w:rPr>
            </w:pPr>
            <w:r>
              <w:rPr>
                <w:rFonts w:ascii="Arial" w:cs="Arial" w:eastAsia="Arial" w:hAnsi="Arial"/>
                <w:sz w:val="16"/>
                <w:szCs w:val="16"/>
                <w:color w:val="auto"/>
              </w:rPr>
              <w:t>(15,047)</w:t>
            </w:r>
          </w:p>
        </w:tc>
        <w:tc>
          <w:tcPr>
            <w:tcW w:w="2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13,571</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respectively</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(2,209)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3,940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0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166,885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128,916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278,265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198,808</w:t>
            </w: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74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May 5, 2023</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April 29, 2022</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w w:val="95"/>
              </w:rPr>
              <w:t>October 31, 2022</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w w:val="91"/>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151,304</w:t>
            </w:r>
          </w:p>
        </w:tc>
        <w:tc>
          <w:tcPr>
            <w:tcW w:w="2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263,233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188,250</w:t>
            </w:r>
          </w:p>
        </w:tc>
      </w:tr>
      <w:tr>
        <w:trPr>
          <w:trHeight w:val="212"/>
        </w:trPr>
        <w:tc>
          <w:tcPr>
            <w:tcW w:w="20" w:type="dxa"/>
            <w:vAlign w:val="bottom"/>
            <w:shd w:val="clear" w:color="auto" w:fill="CCEEFF"/>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Receivables, net</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461,980</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439,333</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332,713</w:t>
            </w:r>
          </w:p>
        </w:tc>
      </w:tr>
      <w:tr>
        <w:trPr>
          <w:trHeight w:val="213"/>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1,127,474</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891,676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1,051,109</w:t>
            </w:r>
          </w:p>
        </w:tc>
      </w:tr>
      <w:tr>
        <w:trPr>
          <w:trHeight w:val="219"/>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86,076</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69,434</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103,279</w:t>
            </w:r>
          </w:p>
        </w:tc>
      </w:tr>
      <w:tr>
        <w:trPr>
          <w:trHeight w:val="205"/>
        </w:trPr>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1,826,834</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1,663,676</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1,675,351</w:t>
            </w:r>
          </w:p>
        </w:tc>
      </w:tr>
      <w:tr>
        <w:trPr>
          <w:trHeight w:val="96"/>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740" w:type="dxa"/>
            <w:vAlign w:val="bottom"/>
            <w:shd w:val="clear" w:color="auto" w:fill="CCEEFF"/>
          </w:tcPr>
          <w:p>
            <w:pPr>
              <w:spacing w:after="0"/>
              <w:rPr>
                <w:sz w:val="8"/>
                <w:szCs w:val="8"/>
                <w:color w:val="auto"/>
              </w:rPr>
            </w:pPr>
          </w:p>
        </w:tc>
        <w:tc>
          <w:tcPr>
            <w:tcW w:w="2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r>
      <w:tr>
        <w:trPr>
          <w:trHeight w:val="207"/>
        </w:trPr>
        <w:tc>
          <w:tcPr>
            <w:tcW w:w="20" w:type="dxa"/>
            <w:vAlign w:val="bottom"/>
          </w:tcPr>
          <w:p>
            <w:pPr>
              <w:spacing w:after="0"/>
              <w:rPr>
                <w:sz w:val="17"/>
                <w:szCs w:val="17"/>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spacing w:after="0"/>
              <w:rPr>
                <w:sz w:val="17"/>
                <w:szCs w:val="17"/>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605,771</w:t>
            </w:r>
          </w:p>
        </w:tc>
        <w:tc>
          <w:tcPr>
            <w:tcW w:w="260" w:type="dxa"/>
            <w:vAlign w:val="bottom"/>
          </w:tcPr>
          <w:p>
            <w:pPr>
              <w:spacing w:after="0"/>
              <w:rPr>
                <w:sz w:val="17"/>
                <w:szCs w:val="17"/>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512,430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571,661</w:t>
            </w:r>
          </w:p>
        </w:tc>
      </w:tr>
      <w:tr>
        <w:trPr>
          <w:trHeight w:val="21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584,609</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581,318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583,297</w:t>
            </w:r>
          </w:p>
        </w:tc>
      </w:tr>
      <w:tr>
        <w:trPr>
          <w:trHeight w:val="213"/>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568,356</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589,608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585,832</w:t>
            </w:r>
          </w:p>
        </w:tc>
      </w:tr>
      <w:tr>
        <w:trPr>
          <w:trHeight w:val="212"/>
        </w:trPr>
        <w:tc>
          <w:tcPr>
            <w:tcW w:w="20" w:type="dxa"/>
            <w:vAlign w:val="bottom"/>
            <w:shd w:val="clear" w:color="auto" w:fill="CCEEFF"/>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71,856</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75,533</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76,121</w:t>
            </w:r>
          </w:p>
        </w:tc>
      </w:tr>
      <w:tr>
        <w:trPr>
          <w:trHeight w:val="213"/>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Investment in finance affiliate</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53,244</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30,853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39,349</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11,348</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1,908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5,310</w:t>
            </w:r>
          </w:p>
        </w:tc>
      </w:tr>
      <w:tr>
        <w:trPr>
          <w:trHeight w:val="207"/>
        </w:trPr>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19,357</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23,980</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19,077</w:t>
            </w:r>
          </w:p>
        </w:tc>
      </w:tr>
      <w:tr>
        <w:trPr>
          <w:trHeight w:val="231"/>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3,741,375</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3,479,306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3,555,998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3340" w:type="dxa"/>
            <w:vAlign w:val="bottom"/>
            <w:tcBorders>
              <w:bottom w:val="single" w:sz="8" w:color="auto"/>
            </w:tcBorders>
            <w:gridSpan w:val="2"/>
            <w:shd w:val="clear" w:color="auto" w:fill="CCEEFF"/>
          </w:tcPr>
          <w:p>
            <w:pPr>
              <w:spacing w:after="0" w:line="161" w:lineRule="exact"/>
              <w:rPr>
                <w:sz w:val="20"/>
                <w:szCs w:val="20"/>
                <w:color w:val="auto"/>
              </w:rPr>
            </w:pPr>
            <w:r>
              <w:rPr>
                <w:rFonts w:ascii="Arial" w:cs="Arial" w:eastAsia="Arial" w:hAnsi="Arial"/>
                <w:sz w:val="16"/>
                <w:szCs w:val="16"/>
                <w:color w:val="auto"/>
              </w:rPr>
              <w:t>LIABILITIES AND STOCKHOLDERS’ EQUITY</w:t>
            </w:r>
          </w:p>
        </w:tc>
        <w:tc>
          <w:tcPr>
            <w:tcW w:w="27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100,000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514,824</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566,769</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578,624</w:t>
            </w:r>
          </w:p>
        </w:tc>
      </w:tr>
      <w:tr>
        <w:trPr>
          <w:trHeight w:val="213"/>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493,264</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428,230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469,242</w:t>
            </w:r>
          </w:p>
        </w:tc>
      </w:tr>
      <w:tr>
        <w:trPr>
          <w:trHeight w:val="219"/>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Short-term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15,913</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15,729</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15,747</w:t>
            </w:r>
          </w:p>
        </w:tc>
      </w:tr>
      <w:tr>
        <w:trPr>
          <w:trHeight w:val="205"/>
        </w:trPr>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1,024,001</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1,110,728</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1,063,613</w:t>
            </w:r>
          </w:p>
        </w:tc>
      </w:tr>
      <w:tr>
        <w:trPr>
          <w:trHeight w:val="96"/>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740" w:type="dxa"/>
            <w:vAlign w:val="bottom"/>
            <w:shd w:val="clear" w:color="auto" w:fill="CCEEFF"/>
          </w:tcPr>
          <w:p>
            <w:pPr>
              <w:spacing w:after="0"/>
              <w:rPr>
                <w:sz w:val="8"/>
                <w:szCs w:val="8"/>
                <w:color w:val="auto"/>
              </w:rPr>
            </w:pPr>
          </w:p>
        </w:tc>
        <w:tc>
          <w:tcPr>
            <w:tcW w:w="2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r>
      <w:tr>
        <w:trPr>
          <w:trHeight w:val="213"/>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Long-term debt, less current portion</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1,041,162</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990,970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990,768</w:t>
            </w:r>
          </w:p>
        </w:tc>
      </w:tr>
      <w:tr>
        <w:trPr>
          <w:trHeight w:val="212"/>
        </w:trPr>
        <w:tc>
          <w:tcPr>
            <w:tcW w:w="20" w:type="dxa"/>
            <w:vAlign w:val="bottom"/>
            <w:shd w:val="clear" w:color="auto" w:fill="CCEEFF"/>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lease liabilities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57,966</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63,066</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63,604</w:t>
            </w:r>
          </w:p>
        </w:tc>
      </w:tr>
      <w:tr>
        <w:trPr>
          <w:trHeight w:val="213"/>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18,515</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50,349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44,272</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39,734</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40,677</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42,040</w:t>
            </w:r>
          </w:p>
        </w:tc>
      </w:tr>
      <w:tr>
        <w:trPr>
          <w:trHeight w:val="103"/>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07"/>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63"/>
        </w:trPr>
        <w:tc>
          <w:tcPr>
            <w:tcW w:w="20" w:type="dxa"/>
            <w:vAlign w:val="bottom"/>
          </w:tcPr>
          <w:p>
            <w:pPr>
              <w:spacing w:after="0"/>
              <w:rPr>
                <w:sz w:val="14"/>
                <w:szCs w:val="14"/>
                <w:color w:val="auto"/>
              </w:rPr>
            </w:pPr>
          </w:p>
        </w:tc>
        <w:tc>
          <w:tcPr>
            <w:tcW w:w="6040" w:type="dxa"/>
            <w:vAlign w:val="bottom"/>
            <w:gridSpan w:val="3"/>
          </w:tcPr>
          <w:p>
            <w:pPr>
              <w:ind w:left="120"/>
              <w:spacing w:after="0" w:line="163" w:lineRule="exact"/>
              <w:rPr>
                <w:sz w:val="20"/>
                <w:szCs w:val="20"/>
                <w:color w:val="auto"/>
              </w:rPr>
            </w:pPr>
            <w:r>
              <w:rPr>
                <w:rFonts w:ascii="Arial" w:cs="Arial" w:eastAsia="Arial" w:hAnsi="Arial"/>
                <w:sz w:val="16"/>
                <w:szCs w:val="16"/>
                <w:color w:val="auto"/>
                <w:w w:val="92"/>
              </w:rPr>
              <w:t>Preferred stock, par value $1.00 per share, authorized 1,000,000 voting and 850,000 non-</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Arial" w:cs="Arial" w:eastAsia="Arial" w:hAnsi="Arial"/>
                <w:sz w:val="16"/>
                <w:szCs w:val="16"/>
                <w:color w:val="auto"/>
              </w:rPr>
              <w:t>voting shares, none issued and outstanding</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3"/>
        </w:trPr>
        <w:tc>
          <w:tcPr>
            <w:tcW w:w="20" w:type="dxa"/>
            <w:vAlign w:val="bottom"/>
            <w:shd w:val="clear" w:color="auto" w:fill="CCEEFF"/>
          </w:tcPr>
          <w:p>
            <w:pPr>
              <w:spacing w:after="0"/>
              <w:rPr>
                <w:sz w:val="14"/>
                <w:szCs w:val="14"/>
                <w:color w:val="auto"/>
              </w:rPr>
            </w:pPr>
          </w:p>
        </w:tc>
        <w:tc>
          <w:tcPr>
            <w:tcW w:w="6040" w:type="dxa"/>
            <w:vAlign w:val="bottom"/>
            <w:gridSpan w:val="3"/>
            <w:shd w:val="clear" w:color="auto" w:fill="CCEEFF"/>
          </w:tcPr>
          <w:p>
            <w:pPr>
              <w:ind w:left="120"/>
              <w:spacing w:after="0" w:line="163" w:lineRule="exact"/>
              <w:rPr>
                <w:sz w:val="20"/>
                <w:szCs w:val="20"/>
                <w:color w:val="auto"/>
              </w:rPr>
            </w:pPr>
            <w:r>
              <w:rPr>
                <w:rFonts w:ascii="Arial" w:cs="Arial" w:eastAsia="Arial" w:hAnsi="Arial"/>
                <w:sz w:val="16"/>
                <w:szCs w:val="16"/>
                <w:color w:val="auto"/>
                <w:w w:val="96"/>
              </w:rPr>
              <w:t>Common stock, par value $1.00 per share, authorized 175,000,000 shares; issued and</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3"/>
        </w:trPr>
        <w:tc>
          <w:tcPr>
            <w:tcW w:w="20" w:type="dxa"/>
            <w:vAlign w:val="bottom"/>
            <w:shd w:val="clear" w:color="auto" w:fill="CCEEFF"/>
          </w:tcPr>
          <w:p>
            <w:pPr>
              <w:spacing w:after="0"/>
              <w:rPr>
                <w:sz w:val="14"/>
                <w:szCs w:val="14"/>
                <w:color w:val="auto"/>
              </w:rPr>
            </w:pPr>
          </w:p>
        </w:tc>
        <w:tc>
          <w:tcPr>
            <w:tcW w:w="6040" w:type="dxa"/>
            <w:vAlign w:val="bottom"/>
            <w:gridSpan w:val="3"/>
            <w:shd w:val="clear" w:color="auto" w:fill="CCEEFF"/>
          </w:tcPr>
          <w:p>
            <w:pPr>
              <w:ind w:left="120"/>
              <w:spacing w:after="0" w:line="163" w:lineRule="exact"/>
              <w:rPr>
                <w:sz w:val="20"/>
                <w:szCs w:val="20"/>
                <w:color w:val="auto"/>
              </w:rPr>
            </w:pPr>
            <w:r>
              <w:rPr>
                <w:rFonts w:ascii="Arial" w:cs="Arial" w:eastAsia="Arial" w:hAnsi="Arial"/>
                <w:sz w:val="16"/>
                <w:szCs w:val="16"/>
                <w:color w:val="auto"/>
                <w:w w:val="96"/>
              </w:rPr>
              <w:t>outstanding 104,135,643 shares as of May 5, 2023, 104,568,002 shares as of April 29,</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24"/>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2022, and 103,969,805 shares as of October 31, 2022</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104,136</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104,568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103,970</w:t>
            </w:r>
          </w:p>
        </w:tc>
      </w:tr>
      <w:tr>
        <w:trPr>
          <w:trHeight w:val="207"/>
        </w:trPr>
        <w:tc>
          <w:tcPr>
            <w:tcW w:w="20" w:type="dxa"/>
            <w:vAlign w:val="bottom"/>
          </w:tcPr>
          <w:p>
            <w:pPr>
              <w:spacing w:after="0"/>
              <w:rPr>
                <w:sz w:val="17"/>
                <w:szCs w:val="17"/>
                <w:color w:val="auto"/>
              </w:rPr>
            </w:pPr>
          </w:p>
        </w:tc>
        <w:tc>
          <w:tcPr>
            <w:tcW w:w="6040" w:type="dxa"/>
            <w:vAlign w:val="bottom"/>
            <w:gridSpan w:val="3"/>
          </w:tcPr>
          <w:p>
            <w:pPr>
              <w:ind w:left="1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7"/>
                <w:szCs w:val="17"/>
                <w:color w:val="auto"/>
              </w:rPr>
            </w:pPr>
          </w:p>
        </w:tc>
        <w:tc>
          <w:tcPr>
            <w:tcW w:w="1440" w:type="dxa"/>
            <w:vAlign w:val="bottom"/>
          </w:tcPr>
          <w:p>
            <w:pPr>
              <w:jc w:val="right"/>
              <w:ind w:right="18"/>
              <w:spacing w:after="0"/>
              <w:rPr>
                <w:sz w:val="20"/>
                <w:szCs w:val="20"/>
                <w:color w:val="auto"/>
              </w:rPr>
            </w:pPr>
            <w:r>
              <w:rPr>
                <w:rFonts w:ascii="Arial" w:cs="Arial" w:eastAsia="Arial" w:hAnsi="Arial"/>
                <w:sz w:val="16"/>
                <w:szCs w:val="16"/>
                <w:color w:val="auto"/>
              </w:rPr>
              <w:t>1,485,046</w:t>
            </w:r>
          </w:p>
        </w:tc>
        <w:tc>
          <w:tcPr>
            <w:tcW w:w="260" w:type="dxa"/>
            <w:vAlign w:val="bottom"/>
          </w:tcPr>
          <w:p>
            <w:pPr>
              <w:spacing w:after="0"/>
              <w:rPr>
                <w:sz w:val="17"/>
                <w:szCs w:val="17"/>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1,146,771</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1,280,856</w:t>
            </w:r>
          </w:p>
        </w:tc>
      </w:tr>
      <w:tr>
        <w:trPr>
          <w:trHeight w:val="213"/>
        </w:trPr>
        <w:tc>
          <w:tcPr>
            <w:tcW w:w="20" w:type="dxa"/>
            <w:vAlign w:val="bottom"/>
            <w:tcBorders>
              <w:bottom w:val="single" w:sz="8" w:color="auto"/>
            </w:tcBorders>
            <w:shd w:val="clear" w:color="auto" w:fill="CCEEFF"/>
          </w:tcPr>
          <w:p>
            <w:pPr>
              <w:spacing w:after="0"/>
              <w:rPr>
                <w:sz w:val="18"/>
                <w:szCs w:val="18"/>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(29,185)</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(27,823)</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(33,125)</w:t>
            </w:r>
          </w:p>
        </w:tc>
      </w:tr>
      <w:tr>
        <w:trPr>
          <w:trHeight w:val="205"/>
        </w:trPr>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1,559,997</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1,223,516</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1,351,701</w:t>
            </w:r>
          </w:p>
        </w:tc>
      </w:tr>
      <w:tr>
        <w:trPr>
          <w:trHeight w:val="231"/>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3,741,375</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3,479,306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3,555,998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20"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May 5, 2023</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98"/>
              </w:rPr>
              <w:t>April 29, 2022</w:t>
            </w:r>
          </w:p>
        </w:tc>
      </w:tr>
      <w:tr>
        <w:trPr>
          <w:trHeight w:val="214"/>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6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274,325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200,635</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Non-cash income from finance affiliate</w:t>
            </w:r>
          </w:p>
        </w:tc>
        <w:tc>
          <w:tcPr>
            <w:tcW w:w="1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(8,674)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(3,475)</w:t>
            </w:r>
          </w:p>
        </w:tc>
      </w:tr>
      <w:tr>
        <w:trPr>
          <w:trHeight w:val="212"/>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Contributions to finance affiliate, net</w:t>
            </w: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(6,707)</w:t>
            </w: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164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38,256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37,318</w:t>
            </w:r>
          </w:p>
        </w:tc>
      </w:tr>
      <w:tr>
        <w:trPr>
          <w:trHeight w:val="225"/>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other intangible assets</w:t>
            </w:r>
          </w:p>
        </w:tc>
        <w:tc>
          <w:tcPr>
            <w:tcW w:w="1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17,881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15,632</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164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10,748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11,133</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876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the effect of acquisitions:</w:t>
            </w: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net</w:t>
            </w: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(127,153)</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(126,413)</w:t>
            </w: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(75,539)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(122,731)</w:t>
            </w:r>
          </w:p>
        </w:tc>
      </w:tr>
      <w:tr>
        <w:trPr>
          <w:trHeight w:val="225"/>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1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(20,150)</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(64,642)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55,433</w:t>
            </w:r>
          </w:p>
        </w:tc>
      </w:tr>
      <w:tr>
        <w:trPr>
          <w:trHeight w:val="213"/>
        </w:trPr>
        <w:tc>
          <w:tcPr>
            <w:tcW w:w="6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16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8,501</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r>
      <w:tr>
        <w:trPr>
          <w:trHeight w:val="205"/>
        </w:trPr>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1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61,639</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42,864</w:t>
            </w:r>
          </w:p>
        </w:tc>
      </w:tr>
      <w:tr>
        <w:trPr>
          <w:trHeight w:val="96"/>
        </w:trPr>
        <w:tc>
          <w:tcPr>
            <w:tcW w:w="684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(70,077)</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(35,969)</w:t>
            </w: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Proceeds from insurance claim</w:t>
            </w:r>
          </w:p>
        </w:tc>
        <w:tc>
          <w:tcPr>
            <w:tcW w:w="164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7,114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combinations, net of cash acquired</w:t>
            </w:r>
          </w:p>
        </w:tc>
        <w:tc>
          <w:tcPr>
            <w:tcW w:w="1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(403,120)</w:t>
            </w:r>
          </w:p>
        </w:tc>
      </w:tr>
      <w:tr>
        <w:trPr>
          <w:trHeight w:val="207"/>
        </w:trPr>
        <w:tc>
          <w:tcPr>
            <w:tcW w:w="68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Proceeds from asset disposals</w:t>
            </w:r>
          </w:p>
        </w:tc>
        <w:tc>
          <w:tcPr>
            <w:tcW w:w="1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309</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199"/>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16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(62,654)</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(438,926)</w:t>
            </w:r>
          </w:p>
        </w:tc>
      </w:tr>
      <w:tr>
        <w:trPr>
          <w:trHeight w:val="83"/>
        </w:trPr>
        <w:tc>
          <w:tcPr>
            <w:tcW w:w="6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Borrowings under debt arrangements</w:t>
            </w:r>
          </w:p>
        </w:tc>
        <w:tc>
          <w:tcPr>
            <w:tcW w:w="164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260,000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225"/>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under debt arrangements</w:t>
            </w:r>
          </w:p>
        </w:tc>
        <w:tc>
          <w:tcPr>
            <w:tcW w:w="1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64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17,553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2,247</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withholding taxes for stock awards</w:t>
            </w:r>
          </w:p>
        </w:tc>
        <w:tc>
          <w:tcPr>
            <w:tcW w:w="1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Purchases of TTC common stock</w:t>
            </w:r>
          </w:p>
        </w:tc>
        <w:tc>
          <w:tcPr>
            <w:tcW w:w="1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(24,311)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212"/>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on TTC common stock</w:t>
            </w: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(71,090)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(62,954)</w:t>
            </w:r>
          </w:p>
        </w:tc>
      </w:tr>
      <w:tr>
        <w:trPr>
          <w:trHeight w:val="213"/>
        </w:trPr>
        <w:tc>
          <w:tcPr>
            <w:tcW w:w="68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cash (used in) provided by financing activities</w:t>
            </w:r>
          </w:p>
        </w:tc>
        <w:tc>
          <w:tcPr>
            <w:tcW w:w="16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(32,242)</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262,443</w:t>
            </w:r>
          </w:p>
        </w:tc>
      </w:tr>
      <w:tr>
        <w:trPr>
          <w:trHeight w:val="96"/>
        </w:trPr>
        <w:tc>
          <w:tcPr>
            <w:tcW w:w="6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3"/>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16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(8,760)</w:t>
            </w:r>
          </w:p>
        </w:tc>
      </w:tr>
      <w:tr>
        <w:trPr>
          <w:trHeight w:val="89"/>
        </w:trPr>
        <w:tc>
          <w:tcPr>
            <w:tcW w:w="6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13"/>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6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(36,946)</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(142,379)</w:t>
            </w:r>
          </w:p>
        </w:tc>
      </w:tr>
      <w:tr>
        <w:trPr>
          <w:trHeight w:val="205"/>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as of the beginning of the fiscal period</w:t>
            </w:r>
          </w:p>
        </w:tc>
        <w:tc>
          <w:tcPr>
            <w:tcW w:w="1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188,250</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405,612</w:t>
            </w:r>
          </w:p>
        </w:tc>
      </w:tr>
      <w:tr>
        <w:trPr>
          <w:trHeight w:val="231"/>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as of the end of the fiscal period</w:t>
            </w:r>
          </w:p>
        </w:tc>
        <w:tc>
          <w:tcPr>
            <w:tcW w:w="1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151,304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263,233</w:t>
            </w:r>
          </w:p>
        </w:tc>
      </w:tr>
      <w:tr>
        <w:trPr>
          <w:trHeight w:val="20"/>
        </w:trPr>
        <w:tc>
          <w:tcPr>
            <w:tcW w:w="68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Arial" w:cs="Arial" w:eastAsia="Arial" w:hAnsi="Arial"/>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18"/>
              <w:spacing w:after="0" w:line="168" w:lineRule="exact"/>
              <w:rPr>
                <w:sz w:val="20"/>
                <w:szCs w:val="20"/>
                <w:color w:val="auto"/>
              </w:rPr>
            </w:pPr>
            <w:r>
              <w:rPr>
                <w:rFonts w:ascii="Arial" w:cs="Arial" w:eastAsia="Arial" w:hAnsi="Arial"/>
                <w:sz w:val="16"/>
                <w:szCs w:val="16"/>
                <w:b w:val="1"/>
                <w:bCs w:val="1"/>
                <w:color w:val="auto"/>
              </w:rPr>
              <w:t>Retained</w:t>
            </w: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98"/>
              <w:spacing w:after="0" w:line="168" w:lineRule="exact"/>
              <w:rPr>
                <w:sz w:val="20"/>
                <w:szCs w:val="20"/>
                <w:color w:val="auto"/>
              </w:rPr>
            </w:pPr>
            <w:r>
              <w:rPr>
                <w:rFonts w:ascii="Arial" w:cs="Arial" w:eastAsia="Arial" w:hAnsi="Arial"/>
                <w:sz w:val="16"/>
                <w:szCs w:val="16"/>
                <w:b w:val="1"/>
                <w:bCs w:val="1"/>
                <w:color w:val="auto"/>
                <w:w w:val="93"/>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w w:val="96"/>
              </w:rPr>
              <w:t>Total Stockholders'</w:t>
            </w:r>
          </w:p>
        </w:tc>
        <w:tc>
          <w:tcPr>
            <w:tcW w:w="0" w:type="dxa"/>
            <w:vAlign w:val="bottom"/>
          </w:tcPr>
          <w:p>
            <w:pPr>
              <w:spacing w:after="0"/>
              <w:rPr>
                <w:sz w:val="1"/>
                <w:szCs w:val="1"/>
                <w:color w:val="auto"/>
              </w:rPr>
            </w:pPr>
          </w:p>
        </w:tc>
      </w:tr>
      <w:tr>
        <w:trPr>
          <w:trHeight w:val="215"/>
        </w:trPr>
        <w:tc>
          <w:tcPr>
            <w:tcW w:w="5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Stock</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Earnings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w w:val="87"/>
              </w:rPr>
              <w:t>Comprehensive Loss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February 3, 2023</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104,283</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1,368,493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(28,605)</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1,444,171</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color w:val="auto"/>
              </w:rPr>
              <w:t>Cash dividends paid on common stock - $0.34 per share</w:t>
            </w:r>
          </w:p>
        </w:tc>
        <w:tc>
          <w:tcPr>
            <w:tcW w:w="32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(35,574)</w:t>
            </w:r>
          </w:p>
        </w:tc>
        <w:tc>
          <w:tcPr>
            <w:tcW w:w="160" w:type="dxa"/>
            <w:vAlign w:val="bottom"/>
          </w:tcPr>
          <w:p>
            <w:pPr>
              <w:spacing w:after="0"/>
              <w:rPr>
                <w:sz w:val="17"/>
                <w:szCs w:val="17"/>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(35,574)</w:t>
            </w:r>
          </w:p>
        </w:tc>
        <w:tc>
          <w:tcPr>
            <w:tcW w:w="0" w:type="dxa"/>
            <w:vAlign w:val="bottom"/>
          </w:tcPr>
          <w:p>
            <w:pPr>
              <w:spacing w:after="0"/>
              <w:rPr>
                <w:sz w:val="1"/>
                <w:szCs w:val="1"/>
                <w:color w:val="auto"/>
              </w:rPr>
            </w:pPr>
          </w:p>
        </w:tc>
      </w:tr>
      <w:tr>
        <w:trPr>
          <w:trHeight w:val="163"/>
        </w:trPr>
        <w:tc>
          <w:tcPr>
            <w:tcW w:w="51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92"/>
              </w:rPr>
              <w:t>Issuance of 83,432 shares of common stock under stock-based compensation</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83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3,441</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w:t>
            </w:r>
          </w:p>
        </w:tc>
        <w:tc>
          <w:tcPr>
            <w:tcW w:w="0" w:type="dxa"/>
            <w:vAlign w:val="bottom"/>
          </w:tcPr>
          <w:p>
            <w:pPr>
              <w:spacing w:after="0"/>
              <w:rPr>
                <w:sz w:val="1"/>
                <w:szCs w:val="1"/>
                <w:color w:val="auto"/>
              </w:rPr>
            </w:pPr>
          </w:p>
        </w:tc>
      </w:tr>
      <w:tr>
        <w:trPr>
          <w:trHeight w:val="207"/>
        </w:trPr>
        <w:tc>
          <w:tcPr>
            <w:tcW w:w="51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5,524</w:t>
            </w:r>
          </w:p>
        </w:tc>
        <w:tc>
          <w:tcPr>
            <w:tcW w:w="160" w:type="dxa"/>
            <w:vAlign w:val="bottom"/>
          </w:tcPr>
          <w:p>
            <w:pPr>
              <w:spacing w:after="0"/>
              <w:rPr>
                <w:sz w:val="17"/>
                <w:szCs w:val="17"/>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5,524</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230,791 shares of common stock</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(24,303)</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(24,533)</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12"/>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167,465</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167,465</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May 5, 2023</w:t>
            </w:r>
          </w:p>
        </w:tc>
        <w:tc>
          <w:tcPr>
            <w:tcW w:w="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104,136</w:t>
            </w:r>
          </w:p>
        </w:tc>
        <w:tc>
          <w:tcPr>
            <w:tcW w:w="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1,485,046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(29,185)</w:t>
            </w:r>
          </w:p>
        </w:tc>
        <w:tc>
          <w:tcPr>
            <w:tcW w:w="3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1,559,997</w:t>
            </w:r>
          </w:p>
        </w:tc>
        <w:tc>
          <w:tcPr>
            <w:tcW w:w="0" w:type="dxa"/>
            <w:vAlign w:val="bottom"/>
          </w:tcPr>
          <w:p>
            <w:pPr>
              <w:spacing w:after="0"/>
              <w:rPr>
                <w:sz w:val="1"/>
                <w:szCs w:val="1"/>
                <w:color w:val="auto"/>
              </w:rPr>
            </w:pPr>
          </w:p>
        </w:tc>
      </w:tr>
      <w:tr>
        <w:trPr>
          <w:trHeight w:val="25"/>
        </w:trPr>
        <w:tc>
          <w:tcPr>
            <w:tcW w:w="5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5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2022</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103,970</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1,280,856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(33,125)</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1,351,701</w:t>
            </w:r>
          </w:p>
        </w:tc>
        <w:tc>
          <w:tcPr>
            <w:tcW w:w="0" w:type="dxa"/>
            <w:vAlign w:val="bottom"/>
          </w:tcPr>
          <w:p>
            <w:pPr>
              <w:spacing w:after="0"/>
              <w:rPr>
                <w:sz w:val="1"/>
                <w:szCs w:val="1"/>
                <w:color w:val="auto"/>
              </w:rPr>
            </w:pPr>
          </w:p>
        </w:tc>
      </w:tr>
      <w:tr>
        <w:trPr>
          <w:trHeight w:val="212"/>
        </w:trPr>
        <w:tc>
          <w:tcPr>
            <w:tcW w:w="5140" w:type="dxa"/>
            <w:vAlign w:val="bottom"/>
          </w:tcPr>
          <w:p>
            <w:pPr>
              <w:ind w:left="20"/>
              <w:spacing w:after="0"/>
              <w:rPr>
                <w:sz w:val="20"/>
                <w:szCs w:val="20"/>
                <w:color w:val="auto"/>
              </w:rPr>
            </w:pPr>
            <w:r>
              <w:rPr>
                <w:rFonts w:ascii="Arial" w:cs="Arial" w:eastAsia="Arial" w:hAnsi="Arial"/>
                <w:sz w:val="16"/>
                <w:szCs w:val="16"/>
                <w:color w:val="auto"/>
              </w:rPr>
              <w:t>Cash dividends paid on common stock - $0.68 per share</w:t>
            </w:r>
          </w:p>
        </w:tc>
        <w:tc>
          <w:tcPr>
            <w:tcW w:w="3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(71,090)</w:t>
            </w:r>
          </w:p>
        </w:tc>
        <w:tc>
          <w:tcPr>
            <w:tcW w:w="160" w:type="dxa"/>
            <w:vAlign w:val="bottom"/>
          </w:tcPr>
          <w:p>
            <w:pPr>
              <w:spacing w:after="0"/>
              <w:rPr>
                <w:sz w:val="18"/>
                <w:szCs w:val="18"/>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(71,090)</w:t>
            </w:r>
          </w:p>
        </w:tc>
        <w:tc>
          <w:tcPr>
            <w:tcW w:w="0" w:type="dxa"/>
            <w:vAlign w:val="bottom"/>
          </w:tcPr>
          <w:p>
            <w:pPr>
              <w:spacing w:after="0"/>
              <w:rPr>
                <w:sz w:val="1"/>
                <w:szCs w:val="1"/>
                <w:color w:val="auto"/>
              </w:rPr>
            </w:pPr>
          </w:p>
        </w:tc>
      </w:tr>
      <w:tr>
        <w:trPr>
          <w:trHeight w:val="161"/>
        </w:trPr>
        <w:tc>
          <w:tcPr>
            <w:tcW w:w="51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Issuance of 434,464 shares of common stock under stock-based</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434</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17,133</w:t>
            </w:r>
          </w:p>
        </w:tc>
        <w:tc>
          <w:tcPr>
            <w:tcW w:w="16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17,567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plans</w:t>
            </w: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10,748</w:t>
            </w:r>
          </w:p>
        </w:tc>
        <w:tc>
          <w:tcPr>
            <w:tcW w:w="160" w:type="dxa"/>
            <w:vAlign w:val="bottom"/>
          </w:tcPr>
          <w:p>
            <w:pPr>
              <w:spacing w:after="0"/>
              <w:rPr>
                <w:sz w:val="18"/>
                <w:szCs w:val="18"/>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10,748</w:t>
            </w:r>
          </w:p>
        </w:tc>
        <w:tc>
          <w:tcPr>
            <w:tcW w:w="0" w:type="dxa"/>
            <w:vAlign w:val="bottom"/>
          </w:tcPr>
          <w:p>
            <w:pPr>
              <w:spacing w:after="0"/>
              <w:rPr>
                <w:sz w:val="1"/>
                <w:szCs w:val="1"/>
                <w:color w:val="auto"/>
              </w:rPr>
            </w:pPr>
          </w:p>
        </w:tc>
      </w:tr>
      <w:tr>
        <w:trPr>
          <w:trHeight w:val="161"/>
        </w:trPr>
        <w:tc>
          <w:tcPr>
            <w:tcW w:w="51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5"/>
              </w:rPr>
              <w:t>Contribution of 14,270 shares of common stock to a deferred compensation</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trust</w:t>
            </w: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Purchase of 254,356 shares of common stock</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(26,926)</w:t>
            </w:r>
          </w:p>
        </w:tc>
        <w:tc>
          <w:tcPr>
            <w:tcW w:w="160" w:type="dxa"/>
            <w:vAlign w:val="bottom"/>
          </w:tcPr>
          <w:p>
            <w:pPr>
              <w:spacing w:after="0"/>
              <w:rPr>
                <w:sz w:val="18"/>
                <w:szCs w:val="18"/>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(27,180)</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3,940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274,325</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274,325</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5, 2023</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104,136</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1,485,046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(29,185)</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1,559,997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28, 2022</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104,529</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1,040,634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1,119,549</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color w:val="auto"/>
              </w:rPr>
              <w:t>Cash dividends paid on common stock - $0.30 per share</w:t>
            </w:r>
          </w:p>
        </w:tc>
        <w:tc>
          <w:tcPr>
            <w:tcW w:w="32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(31,485)</w:t>
            </w:r>
          </w:p>
        </w:tc>
        <w:tc>
          <w:tcPr>
            <w:tcW w:w="160" w:type="dxa"/>
            <w:vAlign w:val="bottom"/>
          </w:tcPr>
          <w:p>
            <w:pPr>
              <w:spacing w:after="0"/>
              <w:rPr>
                <w:sz w:val="17"/>
                <w:szCs w:val="17"/>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(31,485)</w:t>
            </w:r>
          </w:p>
        </w:tc>
        <w:tc>
          <w:tcPr>
            <w:tcW w:w="0" w:type="dxa"/>
            <w:vAlign w:val="bottom"/>
          </w:tcPr>
          <w:p>
            <w:pPr>
              <w:spacing w:after="0"/>
              <w:rPr>
                <w:sz w:val="1"/>
                <w:szCs w:val="1"/>
                <w:color w:val="auto"/>
              </w:rPr>
            </w:pPr>
          </w:p>
        </w:tc>
      </w:tr>
      <w:tr>
        <w:trPr>
          <w:trHeight w:val="163"/>
        </w:trPr>
        <w:tc>
          <w:tcPr>
            <w:tcW w:w="51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92"/>
              </w:rPr>
              <w:t>Issuance of 43,681 shares of common stock under stock-based compensation</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1,053</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07"/>
        </w:trPr>
        <w:tc>
          <w:tcPr>
            <w:tcW w:w="51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5,908</w:t>
            </w:r>
          </w:p>
        </w:tc>
        <w:tc>
          <w:tcPr>
            <w:tcW w:w="160" w:type="dxa"/>
            <w:vAlign w:val="bottom"/>
          </w:tcPr>
          <w:p>
            <w:pPr>
              <w:spacing w:after="0"/>
              <w:rPr>
                <w:sz w:val="17"/>
                <w:szCs w:val="17"/>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5,908</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5,389 shares of common stock</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(2,209)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12"/>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131,125</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131,125</w:t>
            </w:r>
          </w:p>
        </w:tc>
        <w:tc>
          <w:tcPr>
            <w:tcW w:w="0" w:type="dxa"/>
            <w:vAlign w:val="bottom"/>
          </w:tcPr>
          <w:p>
            <w:pPr>
              <w:spacing w:after="0"/>
              <w:rPr>
                <w:sz w:val="1"/>
                <w:szCs w:val="1"/>
                <w:color w:val="auto"/>
              </w:rPr>
            </w:pPr>
          </w:p>
        </w:tc>
      </w:tr>
      <w:tr>
        <w:trPr>
          <w:trHeight w:val="206"/>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April 29, 2022</w:t>
            </w:r>
          </w:p>
        </w:tc>
        <w:tc>
          <w:tcPr>
            <w:tcW w:w="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104,568</w:t>
            </w:r>
          </w:p>
        </w:tc>
        <w:tc>
          <w:tcPr>
            <w:tcW w:w="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1,146,771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(27,823)</w:t>
            </w:r>
          </w:p>
        </w:tc>
        <w:tc>
          <w:tcPr>
            <w:tcW w:w="3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1,223,516</w:t>
            </w:r>
          </w:p>
        </w:tc>
        <w:tc>
          <w:tcPr>
            <w:tcW w:w="0" w:type="dxa"/>
            <w:vAlign w:val="bottom"/>
          </w:tcPr>
          <w:p>
            <w:pPr>
              <w:spacing w:after="0"/>
              <w:rPr>
                <w:sz w:val="1"/>
                <w:szCs w:val="1"/>
                <w:color w:val="auto"/>
              </w:rPr>
            </w:pPr>
          </w:p>
        </w:tc>
      </w:tr>
      <w:tr>
        <w:trPr>
          <w:trHeight w:val="25"/>
        </w:trPr>
        <w:tc>
          <w:tcPr>
            <w:tcW w:w="5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5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2021</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105,206</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1,071,922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(25,996)</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1,151,132</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6"/>
                <w:szCs w:val="16"/>
                <w:color w:val="auto"/>
              </w:rPr>
              <w:t>Cash dividends paid on common stock - $0.60 per share</w:t>
            </w:r>
          </w:p>
        </w:tc>
        <w:tc>
          <w:tcPr>
            <w:tcW w:w="32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(62,954)</w:t>
            </w:r>
          </w:p>
        </w:tc>
        <w:tc>
          <w:tcPr>
            <w:tcW w:w="160" w:type="dxa"/>
            <w:vAlign w:val="bottom"/>
          </w:tcPr>
          <w:p>
            <w:pPr>
              <w:spacing w:after="0"/>
              <w:rPr>
                <w:sz w:val="17"/>
                <w:szCs w:val="17"/>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(62,954)</w:t>
            </w:r>
          </w:p>
        </w:tc>
        <w:tc>
          <w:tcPr>
            <w:tcW w:w="0" w:type="dxa"/>
            <w:vAlign w:val="bottom"/>
          </w:tcPr>
          <w:p>
            <w:pPr>
              <w:spacing w:after="0"/>
              <w:rPr>
                <w:sz w:val="1"/>
                <w:szCs w:val="1"/>
                <w:color w:val="auto"/>
              </w:rPr>
            </w:pPr>
          </w:p>
        </w:tc>
      </w:tr>
      <w:tr>
        <w:trPr>
          <w:trHeight w:val="161"/>
        </w:trPr>
        <w:tc>
          <w:tcPr>
            <w:tcW w:w="51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Issuance of 153,339 shares of common stock under stock-based</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153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2,127</w:t>
            </w:r>
          </w:p>
        </w:tc>
        <w:tc>
          <w:tcPr>
            <w:tcW w:w="16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plans</w:t>
            </w: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11,133</w:t>
            </w:r>
          </w:p>
        </w:tc>
        <w:tc>
          <w:tcPr>
            <w:tcW w:w="160" w:type="dxa"/>
            <w:vAlign w:val="bottom"/>
          </w:tcPr>
          <w:p>
            <w:pPr>
              <w:spacing w:after="0"/>
              <w:rPr>
                <w:sz w:val="18"/>
                <w:szCs w:val="18"/>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11,133</w:t>
            </w:r>
          </w:p>
        </w:tc>
        <w:tc>
          <w:tcPr>
            <w:tcW w:w="0" w:type="dxa"/>
            <w:vAlign w:val="bottom"/>
          </w:tcPr>
          <w:p>
            <w:pPr>
              <w:spacing w:after="0"/>
              <w:rPr>
                <w:sz w:val="1"/>
                <w:szCs w:val="1"/>
                <w:color w:val="auto"/>
              </w:rPr>
            </w:pPr>
          </w:p>
        </w:tc>
      </w:tr>
      <w:tr>
        <w:trPr>
          <w:trHeight w:val="161"/>
        </w:trPr>
        <w:tc>
          <w:tcPr>
            <w:tcW w:w="51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5"/>
              </w:rPr>
              <w:t>Contribution of 33,162 shares of common stock to a deferred compensation</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trust</w:t>
            </w: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Purchase of 757,908 shares of common stock</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(76,092)</w:t>
            </w:r>
          </w:p>
        </w:tc>
        <w:tc>
          <w:tcPr>
            <w:tcW w:w="160" w:type="dxa"/>
            <w:vAlign w:val="bottom"/>
          </w:tcPr>
          <w:p>
            <w:pPr>
              <w:spacing w:after="0"/>
              <w:rPr>
                <w:sz w:val="18"/>
                <w:szCs w:val="18"/>
                <w:color w:val="auto"/>
              </w:rPr>
            </w:pPr>
          </w:p>
        </w:tc>
        <w:tc>
          <w:tcPr>
            <w:tcW w:w="1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(76,850)</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200,635</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200,635</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29, 2022</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104,568</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1,146,771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(27,823)</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1,223,516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May 5, 2023</w:t>
      </w:r>
    </w:p>
    <w:p>
      <w:pPr>
        <w:spacing w:after="0" w:line="333" w:lineRule="exact"/>
        <w:rPr>
          <w:sz w:val="20"/>
          <w:szCs w:val="20"/>
          <w:color w:val="auto"/>
        </w:rPr>
      </w:pPr>
    </w:p>
    <w:p>
      <w:pPr>
        <w:ind w:left="620" w:hanging="600"/>
        <w:spacing w:after="0"/>
        <w:tabs>
          <w:tab w:leader="none" w:pos="620" w:val="left"/>
        </w:tabs>
        <w:numPr>
          <w:ilvl w:val="0"/>
          <w:numId w:val="5"/>
        </w:numPr>
        <w:rPr>
          <w:rFonts w:ascii="Arial" w:cs="Arial" w:eastAsia="Arial" w:hAnsi="Arial"/>
          <w:sz w:val="41"/>
          <w:szCs w:val="41"/>
          <w:b w:val="1"/>
          <w:bCs w:val="1"/>
          <w:color w:val="auto"/>
        </w:rPr>
      </w:pPr>
      <w:r>
        <w:rPr>
          <w:rFonts w:ascii="Arial" w:cs="Arial" w:eastAsia="Arial" w:hAnsi="Arial"/>
          <w:sz w:val="19"/>
          <w:szCs w:val="19"/>
          <w:b w:val="1"/>
          <w:bCs w:val="1"/>
          <w:color w:val="auto"/>
        </w:rPr>
        <w:t>Basis of Presentation</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six months ended May 5, 2023 cannot be annualized to determine the expected results for the fiscal year ending October 31, 2023.</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2022. The policies described in that report are used for preparing the company's quarterly reports on Form 10-Q.</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Policies and Estimates</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In November 2021, the Financial Accounting Standards Board ("FASB") issued ASU No. 2021-10, </w:t>
      </w:r>
      <w:r>
        <w:rPr>
          <w:rFonts w:ascii="Arial" w:cs="Arial" w:eastAsia="Arial" w:hAnsi="Arial"/>
          <w:sz w:val="17"/>
          <w:szCs w:val="17"/>
          <w:i w:val="1"/>
          <w:iCs w:val="1"/>
          <w:color w:val="auto"/>
        </w:rPr>
        <w:t>Government Assistance (Topic 832): Disclosures by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Entities about Government Assistance</w:t>
      </w:r>
      <w:r>
        <w:rPr>
          <w:rFonts w:ascii="Arial" w:cs="Arial" w:eastAsia="Arial" w:hAnsi="Arial"/>
          <w:sz w:val="17"/>
          <w:szCs w:val="17"/>
          <w:color w:val="auto"/>
        </w:rPr>
        <w:t>. The update increases the transparency of government assistance including annual disclosure of the types of assistance,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entity’s accounting for the assistance, and the effect of the assistance on an entity’s financial statements. The amended guidance will become effective for the company for the fiscal 2023 annual period. The adoption of this standard is not expected to have a material impact on the company's Consolidated Financial Statements or annual disclosures.</w:t>
      </w:r>
    </w:p>
    <w:p>
      <w:pPr>
        <w:spacing w:after="0" w:line="9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hanging="600"/>
        <w:spacing w:after="0"/>
        <w:tabs>
          <w:tab w:leader="none" w:pos="620" w:val="left"/>
        </w:tabs>
        <w:numPr>
          <w:ilvl w:val="0"/>
          <w:numId w:val="6"/>
        </w:numPr>
        <w:rPr>
          <w:rFonts w:ascii="Arial" w:cs="Arial" w:eastAsia="Arial" w:hAnsi="Arial"/>
          <w:sz w:val="41"/>
          <w:szCs w:val="41"/>
          <w:b w:val="1"/>
          <w:bCs w:val="1"/>
          <w:color w:val="auto"/>
        </w:rPr>
      </w:pPr>
      <w:r>
        <w:rPr>
          <w:rFonts w:ascii="Arial" w:cs="Arial" w:eastAsia="Arial" w:hAnsi="Arial"/>
          <w:sz w:val="19"/>
          <w:szCs w:val="19"/>
          <w:b w:val="1"/>
          <w:bCs w:val="1"/>
          <w:color w:val="auto"/>
        </w:rPr>
        <w:t>Business Combination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Intimidator Group</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January 13, 2022 ("the closing date"), during the first quarter of fiscal 2022, the company acquired the privately-held Intimidator Group ("Intimidator") for net aggregate purchase consideration of $399.8 million ("the purchase price").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the company's Professional reportable segment and expanded its manufacturing footprint and dealer network.</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Accounting</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accounted for the acquisition in accordance with the accounting standards codification guidance for business combinations, whereby the purchase price was allocated to the acquired net tangible and intangible assets of Intimidator based on their fair values as of the closing date. During the first quarter of fiscal 2023, the company completed its valuation of income taxes to finalize the purchase price allocation.</w:t>
      </w:r>
    </w:p>
    <w:p>
      <w:pPr>
        <w:spacing w:after="0" w:line="7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following table summarizes the allocation of the purchase price to the fair values assigned to the assets acquired and liabilities assumed. These fair values are based on internal company and independent external third-party valuations: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6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3"/>
              </w:rPr>
              <w:t>January 13, 2022</w:t>
            </w:r>
          </w:p>
        </w:tc>
      </w:tr>
      <w:tr>
        <w:trPr>
          <w:trHeight w:val="212"/>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6,954</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34,608</w:t>
            </w:r>
          </w:p>
        </w:tc>
      </w:tr>
      <w:tr>
        <w:trPr>
          <w:trHeight w:val="212"/>
        </w:trPr>
        <w:tc>
          <w:tcPr>
            <w:tcW w:w="61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14"/>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27,447</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2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163,731</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36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8"/>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Indefinite-lived trade name</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w:t>
            </w:r>
          </w:p>
        </w:tc>
      </w:tr>
      <w:tr>
        <w:trPr>
          <w:trHeight w:val="212"/>
        </w:trPr>
        <w:tc>
          <w:tcPr>
            <w:tcW w:w="6180" w:type="dxa"/>
            <w:vAlign w:val="bottom"/>
          </w:tcPr>
          <w:p>
            <w:pPr>
              <w:ind w:left="120"/>
              <w:spacing w:after="0"/>
              <w:rPr>
                <w:sz w:val="20"/>
                <w:szCs w:val="20"/>
                <w:color w:val="auto"/>
              </w:rPr>
            </w:pPr>
            <w:r>
              <w:rPr>
                <w:rFonts w:ascii="Arial" w:cs="Arial" w:eastAsia="Arial" w:hAnsi="Arial"/>
                <w:sz w:val="16"/>
                <w:szCs w:val="16"/>
                <w:color w:val="auto"/>
              </w:rPr>
              <w:t>Finite-lived trade names</w:t>
            </w:r>
          </w:p>
        </w:tc>
        <w:tc>
          <w:tcPr>
            <w:tcW w:w="36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3,260</w:t>
            </w:r>
          </w:p>
        </w:tc>
      </w:tr>
      <w:tr>
        <w:trPr>
          <w:trHeight w:val="214"/>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Finite-lived customer-related</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80,500</w:t>
            </w:r>
          </w:p>
        </w:tc>
      </w:tr>
      <w:tr>
        <w:trPr>
          <w:trHeight w:val="205"/>
        </w:trPr>
        <w:tc>
          <w:tcPr>
            <w:tcW w:w="6180" w:type="dxa"/>
            <w:vAlign w:val="bottom"/>
          </w:tcPr>
          <w:p>
            <w:pPr>
              <w:ind w:left="120"/>
              <w:spacing w:after="0"/>
              <w:rPr>
                <w:sz w:val="20"/>
                <w:szCs w:val="20"/>
                <w:color w:val="auto"/>
              </w:rPr>
            </w:pPr>
            <w:r>
              <w:rPr>
                <w:rFonts w:ascii="Arial" w:cs="Arial" w:eastAsia="Arial" w:hAnsi="Arial"/>
                <w:sz w:val="16"/>
                <w:szCs w:val="16"/>
                <w:color w:val="auto"/>
              </w:rPr>
              <w:t>Finite-lived backlog</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1,340</w:t>
            </w:r>
          </w:p>
        </w:tc>
      </w:tr>
      <w:tr>
        <w:trPr>
          <w:trHeight w:val="22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6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(8,535)</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(9,152)</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liabilities</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5"/>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lease liabilities</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20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fair value of net assets acquired</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400,741</w:t>
            </w:r>
          </w:p>
        </w:tc>
      </w:tr>
      <w:tr>
        <w:trPr>
          <w:trHeight w:val="212"/>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cash and cash equivalents acquired</w:t>
            </w:r>
          </w:p>
        </w:tc>
        <w:tc>
          <w:tcPr>
            <w:tcW w:w="36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r>
      <w:tr>
        <w:trPr>
          <w:trHeight w:val="230"/>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399,766</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goodwill recognized is primarily attributable to the expected future cash flows, the value of the workforce, and expected synergies, including customer and dealer growth opportunities, expanding existing product lines, and cost reduction initiatives. Key areas of expected cost synergies include increased purchasing power for commodities, components, parts and accessories, and supply chain consolidation. The goodwill resulting from the acquisition of Intimidator was recognized within the company's Professional segment. The acquisition was considered an asset purchase for income tax purposes and as a result, the goodwill arising from the transaction is deductible. There were no purchase accounting adjustments recorded in fiscal 2023 that impacted the carrying value of goodwill acquired.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Intangible Assets Acquired</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allocation of the purchase price to the net assets acquired resulted in the recognition of $184.2 million of value for other intangible assets as of the closing date. The fair values of the acquired trade names,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closing date, the acquired finite-lived intangible assets had a weighted average useful life of 9.5 years. The fair values of the trade names were determined using the relief from royalty method, which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is based on the hypothetical royalty stream that would be received if the company were to license the respective trade name and were based on expected future revenues from the respective trade name. The weighted-average useful life of the finite-lived trade name intangible assets was determined to be 9.8 years as of the closing date. The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closing date, the weighted-average useful life of the customer-related and backlog intangible assets were determined to be 9.6 years and 9 months, respectively.</w:t>
      </w:r>
    </w:p>
    <w:p>
      <w:pPr>
        <w:spacing w:after="0" w:line="76" w:lineRule="exact"/>
        <w:rPr>
          <w:sz w:val="20"/>
          <w:szCs w:val="20"/>
          <w:color w:val="auto"/>
        </w:rPr>
      </w:pPr>
    </w:p>
    <w:p>
      <w:pPr>
        <w:ind w:left="620" w:hanging="600"/>
        <w:spacing w:after="0"/>
        <w:tabs>
          <w:tab w:leader="none" w:pos="620" w:val="left"/>
        </w:tabs>
        <w:numPr>
          <w:ilvl w:val="0"/>
          <w:numId w:val="7"/>
        </w:numPr>
        <w:rPr>
          <w:rFonts w:ascii="Arial" w:cs="Arial" w:eastAsia="Arial" w:hAnsi="Arial"/>
          <w:sz w:val="41"/>
          <w:szCs w:val="41"/>
          <w:b w:val="1"/>
          <w:bCs w:val="1"/>
          <w:color w:val="auto"/>
        </w:rPr>
      </w:pPr>
      <w:r>
        <w:rPr>
          <w:rFonts w:ascii="Arial" w:cs="Arial" w:eastAsia="Arial" w:hAnsi="Arial"/>
          <w:sz w:val="19"/>
          <w:szCs w:val="19"/>
          <w:b w:val="1"/>
          <w:bCs w:val="1"/>
          <w:color w:val="auto"/>
        </w:rPr>
        <w:t>Segment Data</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present summarized financial information concerning the company’s reportable business segments and Other activities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May 5, 2023</w:t>
            </w:r>
          </w:p>
        </w:tc>
        <w:tc>
          <w:tcPr>
            <w:tcW w:w="15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12"/>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1,068,733</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265,836</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4,757</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1,339,326</w:t>
            </w:r>
          </w:p>
        </w:tc>
      </w:tr>
      <w:tr>
        <w:trPr>
          <w:trHeight w:val="205"/>
        </w:trPr>
        <w:tc>
          <w:tcPr>
            <w:tcW w:w="388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12,976</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(12,997)</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227,496</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22,731</w:t>
            </w:r>
          </w:p>
        </w:tc>
        <w:tc>
          <w:tcPr>
            <w:tcW w:w="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210,819</w:t>
            </w:r>
          </w:p>
        </w:tc>
      </w:tr>
      <w:tr>
        <w:trPr>
          <w:trHeight w:val="85"/>
        </w:trPr>
        <w:tc>
          <w:tcPr>
            <w:tcW w:w="38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May 5, 2023</w:t>
            </w:r>
          </w:p>
        </w:tc>
        <w:tc>
          <w:tcPr>
            <w:tcW w:w="1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5"/>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1,949,393</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530,451</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8,322</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2,488,166</w:t>
            </w:r>
          </w:p>
        </w:tc>
      </w:tr>
      <w:tr>
        <w:trPr>
          <w:trHeight w:val="205"/>
        </w:trPr>
        <w:tc>
          <w:tcPr>
            <w:tcW w:w="388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23,831</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(23,891)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371,572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60,563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342,133</w:t>
            </w:r>
          </w:p>
        </w:tc>
      </w:tr>
      <w:tr>
        <w:trPr>
          <w:trHeight w:val="20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2,820,276</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568,735</w:t>
            </w: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352,364</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3,741,375</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April 29, 2022</w:t>
            </w:r>
          </w:p>
        </w:tc>
        <w:tc>
          <w:tcPr>
            <w:tcW w:w="15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925,810</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319,675</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3,993</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1,249,478</w:t>
            </w:r>
          </w:p>
        </w:tc>
      </w:tr>
      <w:tr>
        <w:trPr>
          <w:trHeight w:val="212"/>
        </w:trPr>
        <w:tc>
          <w:tcPr>
            <w:tcW w:w="388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7,348</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(7,368)</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165,370</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37,095</w:t>
            </w:r>
          </w:p>
        </w:tc>
        <w:tc>
          <w:tcPr>
            <w:tcW w:w="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(37,409)</w:t>
            </w: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165,056</w:t>
            </w:r>
          </w:p>
        </w:tc>
      </w:tr>
      <w:tr>
        <w:trPr>
          <w:trHeight w:val="85"/>
        </w:trPr>
        <w:tc>
          <w:tcPr>
            <w:tcW w:w="38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April 29, 2022</w:t>
            </w:r>
          </w:p>
        </w:tc>
        <w:tc>
          <w:tcPr>
            <w:tcW w:w="1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12"/>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1,598,695</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575,077</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8,356</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2,182,128</w:t>
            </w:r>
          </w:p>
        </w:tc>
      </w:tr>
      <w:tr>
        <w:trPr>
          <w:trHeight w:val="205"/>
        </w:trPr>
        <w:tc>
          <w:tcPr>
            <w:tcW w:w="388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12,765</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(12,800)</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258,642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(75,294)</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252,203</w:t>
            </w:r>
          </w:p>
        </w:tc>
      </w:tr>
      <w:tr>
        <w:trPr>
          <w:trHeight w:val="212"/>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2,589,796</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477,926</w:t>
            </w: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411,584</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3,479,306</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details of operating loss before income taxes for the company's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5, 2023</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8"/>
              </w:rPr>
              <w:t>April 29, 2022</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May 5, 2023</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April 29, 2022</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(30,715)</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center"/>
              <w:ind w:left="620"/>
              <w:spacing w:after="0"/>
              <w:rPr>
                <w:sz w:val="20"/>
                <w:szCs w:val="20"/>
                <w:color w:val="auto"/>
              </w:rPr>
            </w:pPr>
            <w:r>
              <w:rPr>
                <w:rFonts w:ascii="Arial" w:cs="Arial" w:eastAsia="Arial" w:hAnsi="Arial"/>
                <w:sz w:val="16"/>
                <w:szCs w:val="16"/>
                <w:color w:val="auto"/>
                <w:w w:val="90"/>
              </w:rPr>
              <w:t>(76,695)</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(63,543)</w:t>
            </w:r>
          </w:p>
        </w:tc>
        <w:tc>
          <w:tcPr>
            <w:tcW w:w="0" w:type="dxa"/>
            <w:vAlign w:val="bottom"/>
          </w:tcPr>
          <w:p>
            <w:pPr>
              <w:spacing w:after="0"/>
              <w:rPr>
                <w:sz w:val="1"/>
                <w:szCs w:val="1"/>
                <w:color w:val="auto"/>
              </w:rPr>
            </w:pPr>
          </w:p>
        </w:tc>
      </w:tr>
      <w:tr>
        <w:trPr>
          <w:trHeight w:val="205"/>
        </w:trPr>
        <w:tc>
          <w:tcPr>
            <w:tcW w:w="4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(14,711)</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(8,024)</w:t>
            </w:r>
          </w:p>
        </w:tc>
        <w:tc>
          <w:tcPr>
            <w:tcW w:w="280" w:type="dxa"/>
            <w:vAlign w:val="bottom"/>
          </w:tcPr>
          <w:p>
            <w:pPr>
              <w:spacing w:after="0"/>
              <w:rPr>
                <w:sz w:val="17"/>
                <w:szCs w:val="17"/>
                <w:color w:val="auto"/>
              </w:rPr>
            </w:pPr>
          </w:p>
        </w:tc>
        <w:tc>
          <w:tcPr>
            <w:tcW w:w="1400" w:type="dxa"/>
            <w:vAlign w:val="bottom"/>
          </w:tcPr>
          <w:p>
            <w:pPr>
              <w:jc w:val="center"/>
              <w:ind w:left="620"/>
              <w:spacing w:after="0"/>
              <w:rPr>
                <w:sz w:val="20"/>
                <w:szCs w:val="20"/>
                <w:color w:val="auto"/>
              </w:rPr>
            </w:pPr>
            <w:r>
              <w:rPr>
                <w:rFonts w:ascii="Arial" w:cs="Arial" w:eastAsia="Arial" w:hAnsi="Arial"/>
                <w:sz w:val="16"/>
                <w:szCs w:val="16"/>
                <w:color w:val="auto"/>
                <w:w w:val="90"/>
              </w:rPr>
              <w:t>(28,835)</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(15,037)</w:t>
            </w:r>
          </w:p>
        </w:tc>
        <w:tc>
          <w:tcPr>
            <w:tcW w:w="0" w:type="dxa"/>
            <w:vAlign w:val="bottom"/>
          </w:tcPr>
          <w:p>
            <w:pPr>
              <w:spacing w:after="0"/>
              <w:rPr>
                <w:sz w:val="1"/>
                <w:szCs w:val="1"/>
                <w:color w:val="auto"/>
              </w:rPr>
            </w:pPr>
          </w:p>
        </w:tc>
      </w:tr>
      <w:tr>
        <w:trPr>
          <w:trHeight w:val="156"/>
        </w:trPr>
        <w:tc>
          <w:tcPr>
            <w:tcW w:w="494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w w:val="92"/>
              </w:rPr>
              <w:t>Earnings from the company's wholly-owned domestic distribution company</w:t>
            </w:r>
          </w:p>
        </w:tc>
        <w:tc>
          <w:tcPr>
            <w:tcW w:w="2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8,336</w:t>
            </w:r>
          </w:p>
        </w:tc>
        <w:tc>
          <w:tcPr>
            <w:tcW w:w="2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1,330</w:t>
            </w:r>
          </w:p>
        </w:tc>
        <w:tc>
          <w:tcPr>
            <w:tcW w:w="2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center"/>
              <w:ind w:left="660"/>
              <w:spacing w:after="0"/>
              <w:rPr>
                <w:sz w:val="20"/>
                <w:szCs w:val="20"/>
                <w:color w:val="auto"/>
              </w:rPr>
            </w:pPr>
            <w:r>
              <w:rPr>
                <w:rFonts w:ascii="Arial" w:cs="Arial" w:eastAsia="Arial" w:hAnsi="Arial"/>
                <w:sz w:val="16"/>
                <w:szCs w:val="16"/>
                <w:color w:val="auto"/>
                <w:w w:val="85"/>
              </w:rPr>
              <w:t>15,528</w:t>
            </w:r>
          </w:p>
        </w:tc>
        <w:tc>
          <w:tcPr>
            <w:tcW w:w="24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212"/>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and 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loss</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(37,409)</w:t>
            </w:r>
          </w:p>
        </w:tc>
        <w:tc>
          <w:tcPr>
            <w:tcW w:w="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center"/>
              <w:ind w:left="620"/>
              <w:spacing w:after="0"/>
              <w:rPr>
                <w:sz w:val="20"/>
                <w:szCs w:val="20"/>
                <w:color w:val="auto"/>
              </w:rPr>
            </w:pPr>
            <w:r>
              <w:rPr>
                <w:rFonts w:ascii="Arial" w:cs="Arial" w:eastAsia="Arial" w:hAnsi="Arial"/>
                <w:sz w:val="16"/>
                <w:szCs w:val="16"/>
                <w:color w:val="auto"/>
                <w:w w:val="90"/>
              </w:rPr>
              <w:t>(90,002)</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(75,294)</w:t>
            </w:r>
          </w:p>
        </w:tc>
        <w:tc>
          <w:tcPr>
            <w:tcW w:w="0" w:type="dxa"/>
            <w:vAlign w:val="bottom"/>
          </w:tcPr>
          <w:p>
            <w:pPr>
              <w:spacing w:after="0"/>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hanging="600"/>
        <w:spacing w:after="0"/>
        <w:tabs>
          <w:tab w:leader="none" w:pos="620" w:val="left"/>
        </w:tabs>
        <w:numPr>
          <w:ilvl w:val="0"/>
          <w:numId w:val="8"/>
        </w:numPr>
        <w:rPr>
          <w:rFonts w:ascii="Arial" w:cs="Arial" w:eastAsia="Arial" w:hAnsi="Arial"/>
          <w:sz w:val="41"/>
          <w:szCs w:val="41"/>
          <w:b w:val="1"/>
          <w:bCs w:val="1"/>
          <w:color w:val="auto"/>
        </w:rPr>
      </w:pPr>
      <w:r>
        <w:rPr>
          <w:rFonts w:ascii="Arial" w:cs="Arial" w:eastAsia="Arial" w:hAnsi="Arial"/>
          <w:sz w:val="19"/>
          <w:szCs w:val="19"/>
          <w:b w:val="1"/>
          <w:bCs w:val="1"/>
          <w:color w:val="auto"/>
        </w:rPr>
        <w:t>Revenue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the company's reportable segment net sales by major product type and geographic market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May 5, 2023</w:t>
            </w:r>
          </w:p>
        </w:tc>
        <w:tc>
          <w:tcPr>
            <w:tcW w:w="16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5"/>
        </w:trPr>
        <w:tc>
          <w:tcPr>
            <w:tcW w:w="380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931,412</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260,268</w:t>
            </w:r>
          </w:p>
        </w:tc>
        <w:tc>
          <w:tcPr>
            <w:tcW w:w="102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3,854</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1,195,534</w:t>
            </w:r>
          </w:p>
        </w:tc>
      </w:tr>
      <w:tr>
        <w:trPr>
          <w:trHeight w:val="207"/>
        </w:trPr>
        <w:tc>
          <w:tcPr>
            <w:tcW w:w="3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137,321</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5,568</w:t>
            </w:r>
          </w:p>
        </w:tc>
        <w:tc>
          <w:tcPr>
            <w:tcW w:w="10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143,792</w:t>
            </w:r>
          </w:p>
        </w:tc>
      </w:tr>
      <w:tr>
        <w:trPr>
          <w:trHeight w:val="207"/>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1,068,733</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265,836</w:t>
            </w:r>
          </w:p>
        </w:tc>
        <w:tc>
          <w:tcPr>
            <w:tcW w:w="10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4,757</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1,339,326</w:t>
            </w:r>
          </w:p>
        </w:tc>
      </w:tr>
      <w:tr>
        <w:trPr>
          <w:trHeight w:val="26"/>
        </w:trPr>
        <w:tc>
          <w:tcPr>
            <w:tcW w:w="3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0"/>
        </w:trPr>
        <w:tc>
          <w:tcPr>
            <w:tcW w:w="38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838,194</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219,990</w:t>
            </w:r>
          </w:p>
        </w:tc>
        <w:tc>
          <w:tcPr>
            <w:tcW w:w="102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4,757</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1,062,941</w:t>
            </w:r>
          </w:p>
        </w:tc>
      </w:tr>
      <w:tr>
        <w:trPr>
          <w:trHeight w:val="214"/>
        </w:trPr>
        <w:tc>
          <w:tcPr>
            <w:tcW w:w="3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230,539</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45,846</w:t>
            </w: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276,385</w:t>
            </w: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1,068,733</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265,836</w:t>
            </w:r>
          </w:p>
        </w:tc>
        <w:tc>
          <w:tcPr>
            <w:tcW w:w="10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4,757</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1,339,326</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May 5, 2023</w:t>
            </w:r>
          </w:p>
        </w:tc>
        <w:tc>
          <w:tcPr>
            <w:tcW w:w="17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12"/>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5"/>
        </w:trPr>
        <w:tc>
          <w:tcPr>
            <w:tcW w:w="370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1,709,663</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513,700</w:t>
            </w:r>
          </w:p>
        </w:tc>
        <w:tc>
          <w:tcPr>
            <w:tcW w:w="102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6,298</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2,229,661</w:t>
            </w:r>
          </w:p>
        </w:tc>
      </w:tr>
      <w:tr>
        <w:trPr>
          <w:trHeight w:val="207"/>
        </w:trPr>
        <w:tc>
          <w:tcPr>
            <w:tcW w:w="3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7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239,730</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16,751</w:t>
            </w:r>
          </w:p>
        </w:tc>
        <w:tc>
          <w:tcPr>
            <w:tcW w:w="10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2,024</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258,505</w:t>
            </w:r>
          </w:p>
        </w:tc>
      </w:tr>
      <w:tr>
        <w:trPr>
          <w:trHeight w:val="20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1,949,393</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530,451</w:t>
            </w:r>
          </w:p>
        </w:tc>
        <w:tc>
          <w:tcPr>
            <w:tcW w:w="10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8,322</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2,488,166</w:t>
            </w:r>
          </w:p>
        </w:tc>
      </w:tr>
      <w:tr>
        <w:trPr>
          <w:trHeight w:val="26"/>
        </w:trPr>
        <w:tc>
          <w:tcPr>
            <w:tcW w:w="3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0"/>
        </w:trPr>
        <w:tc>
          <w:tcPr>
            <w:tcW w:w="37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1,534,688</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423,434</w:t>
            </w:r>
          </w:p>
        </w:tc>
        <w:tc>
          <w:tcPr>
            <w:tcW w:w="102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8,322</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1,966,444</w:t>
            </w:r>
          </w:p>
        </w:tc>
      </w:tr>
      <w:tr>
        <w:trPr>
          <w:trHeight w:val="214"/>
        </w:trPr>
        <w:tc>
          <w:tcPr>
            <w:tcW w:w="3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414,705</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107,017</w:t>
            </w: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521,722</w:t>
            </w:r>
          </w:p>
        </w:tc>
      </w:tr>
      <w:tr>
        <w:trPr>
          <w:trHeight w:val="20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1,949,393</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530,451</w:t>
            </w:r>
          </w:p>
        </w:tc>
        <w:tc>
          <w:tcPr>
            <w:tcW w:w="10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8,322</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2,488,166</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April 29, 2022</w:t>
            </w:r>
          </w:p>
        </w:tc>
        <w:tc>
          <w:tcPr>
            <w:tcW w:w="16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5"/>
        </w:trPr>
        <w:tc>
          <w:tcPr>
            <w:tcW w:w="386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797,940</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313,478</w:t>
            </w:r>
          </w:p>
        </w:tc>
        <w:tc>
          <w:tcPr>
            <w:tcW w:w="102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1,958</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1,113,376</w:t>
            </w:r>
          </w:p>
        </w:tc>
      </w:tr>
      <w:tr>
        <w:trPr>
          <w:trHeight w:val="207"/>
        </w:trPr>
        <w:tc>
          <w:tcPr>
            <w:tcW w:w="3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127,870</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6,197</w:t>
            </w:r>
          </w:p>
        </w:tc>
        <w:tc>
          <w:tcPr>
            <w:tcW w:w="10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2,035</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136,102</w:t>
            </w:r>
          </w:p>
        </w:tc>
      </w:tr>
      <w:tr>
        <w:trPr>
          <w:trHeight w:val="207"/>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925,810</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319,675</w:t>
            </w:r>
          </w:p>
        </w:tc>
        <w:tc>
          <w:tcPr>
            <w:tcW w:w="10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3,993</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1,249,478</w:t>
            </w:r>
          </w:p>
        </w:tc>
      </w:tr>
      <w:tr>
        <w:trPr>
          <w:trHeight w:val="26"/>
        </w:trPr>
        <w:tc>
          <w:tcPr>
            <w:tcW w:w="3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0"/>
        </w:trPr>
        <w:tc>
          <w:tcPr>
            <w:tcW w:w="38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728,813</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271,001</w:t>
            </w:r>
          </w:p>
        </w:tc>
        <w:tc>
          <w:tcPr>
            <w:tcW w:w="102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3,993</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1,003,807</w:t>
            </w:r>
          </w:p>
        </w:tc>
      </w:tr>
      <w:tr>
        <w:trPr>
          <w:trHeight w:val="207"/>
        </w:trPr>
        <w:tc>
          <w:tcPr>
            <w:tcW w:w="3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196,997</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48,674</w:t>
            </w:r>
          </w:p>
        </w:tc>
        <w:tc>
          <w:tcPr>
            <w:tcW w:w="10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245,671</w:t>
            </w:r>
          </w:p>
        </w:tc>
      </w:tr>
      <w:tr>
        <w:trPr>
          <w:trHeight w:val="207"/>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925,810</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319,675</w:t>
            </w:r>
          </w:p>
        </w:tc>
        <w:tc>
          <w:tcPr>
            <w:tcW w:w="10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3,993</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1,249,478</w:t>
            </w:r>
          </w:p>
        </w:tc>
      </w:tr>
      <w:tr>
        <w:trPr>
          <w:trHeight w:val="26"/>
        </w:trPr>
        <w:tc>
          <w:tcPr>
            <w:tcW w:w="3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April 29, 2022</w:t>
            </w:r>
          </w:p>
        </w:tc>
        <w:tc>
          <w:tcPr>
            <w:tcW w:w="16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19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2"/>
        </w:trPr>
        <w:tc>
          <w:tcPr>
            <w:tcW w:w="378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1,368,811</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558,067</w:t>
            </w:r>
          </w:p>
        </w:tc>
        <w:tc>
          <w:tcPr>
            <w:tcW w:w="102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5,105</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1,931,983</w:t>
            </w:r>
          </w:p>
        </w:tc>
      </w:tr>
      <w:tr>
        <w:trPr>
          <w:trHeight w:val="213"/>
        </w:trPr>
        <w:tc>
          <w:tcPr>
            <w:tcW w:w="3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229,884</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17,010</w:t>
            </w: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3,251</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250,145</w:t>
            </w:r>
          </w:p>
        </w:tc>
      </w:tr>
      <w:tr>
        <w:trPr>
          <w:trHeight w:val="19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1,598,695</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575,077</w:t>
            </w:r>
          </w:p>
        </w:tc>
        <w:tc>
          <w:tcPr>
            <w:tcW w:w="10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8,356</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2,182,128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7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5"/>
        </w:trPr>
        <w:tc>
          <w:tcPr>
            <w:tcW w:w="37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1,259,547</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473,568</w:t>
            </w:r>
          </w:p>
        </w:tc>
        <w:tc>
          <w:tcPr>
            <w:tcW w:w="102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8,356</w:t>
            </w:r>
          </w:p>
        </w:tc>
        <w:tc>
          <w:tcPr>
            <w:tcW w:w="4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1,741,471</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339,148</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101,509</w:t>
            </w:r>
          </w:p>
        </w:tc>
        <w:tc>
          <w:tcPr>
            <w:tcW w:w="10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440,657</w:t>
            </w:r>
          </w:p>
        </w:tc>
      </w:tr>
      <w:tr>
        <w:trPr>
          <w:trHeight w:val="207"/>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1,598,695</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575,077</w:t>
            </w:r>
          </w:p>
        </w:tc>
        <w:tc>
          <w:tcPr>
            <w:tcW w:w="10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8,356</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2,182,128</w:t>
            </w:r>
          </w:p>
        </w:tc>
      </w:tr>
      <w:tr>
        <w:trPr>
          <w:trHeight w:val="26"/>
        </w:trPr>
        <w:tc>
          <w:tcPr>
            <w:tcW w:w="3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May 5, 2023 and October 31, 2022, $26.2 million and $28.0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six months ended May 5, 2023, the company recognized $2.8 million and $8.9 million, respectively, of the October 31, 2022 deferred revenue balance within net sales in the Condensed Consolidated Statements of Earnings. The company expects to recognize approximately $5.7 million of the October 31, 2022 deferred revenue amount within net sales throughout the remainder of fiscal 2023, $8.0 million in fiscal 2024, and $5.4 million thereafter.</w:t>
      </w:r>
    </w:p>
    <w:p>
      <w:pPr>
        <w:spacing w:after="0" w:line="96" w:lineRule="exact"/>
        <w:rPr>
          <w:sz w:val="20"/>
          <w:szCs w:val="20"/>
          <w:color w:val="auto"/>
        </w:rPr>
      </w:pPr>
    </w:p>
    <w:p>
      <w:pPr>
        <w:ind w:left="620" w:hanging="600"/>
        <w:spacing w:after="0"/>
        <w:tabs>
          <w:tab w:leader="none" w:pos="620" w:val="left"/>
        </w:tabs>
        <w:numPr>
          <w:ilvl w:val="0"/>
          <w:numId w:val="9"/>
        </w:numPr>
        <w:rPr>
          <w:rFonts w:ascii="Arial" w:cs="Arial" w:eastAsia="Arial" w:hAnsi="Arial"/>
          <w:sz w:val="41"/>
          <w:szCs w:val="41"/>
          <w:b w:val="1"/>
          <w:bCs w:val="1"/>
          <w:color w:val="auto"/>
        </w:rPr>
      </w:pPr>
      <w:r>
        <w:rPr>
          <w:rFonts w:ascii="Arial" w:cs="Arial" w:eastAsia="Arial" w:hAnsi="Arial"/>
          <w:sz w:val="19"/>
          <w:szCs w:val="19"/>
          <w:b w:val="1"/>
          <w:bCs w:val="1"/>
          <w:color w:val="auto"/>
        </w:rPr>
        <w:t>Goodwill and Other Intangible Assets, Net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reportable segment for the first six months of fiscal 2023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19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2022</w:t>
            </w: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573,031</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10,266</w:t>
            </w:r>
          </w:p>
        </w:tc>
        <w:tc>
          <w:tcPr>
            <w:tcW w:w="112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583,297</w:t>
            </w:r>
          </w:p>
        </w:tc>
      </w:tr>
      <w:tr>
        <w:trPr>
          <w:trHeight w:val="212"/>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Translation adjustments</w:t>
            </w:r>
          </w:p>
        </w:tc>
        <w:tc>
          <w:tcPr>
            <w:tcW w:w="1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1,168</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w:t>
            </w: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r>
      <w:tr>
        <w:trPr>
          <w:trHeight w:val="230"/>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5, 2023</w:t>
            </w:r>
          </w:p>
        </w:tc>
        <w:tc>
          <w:tcPr>
            <w:tcW w:w="1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574,199</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10,410</w:t>
            </w:r>
          </w:p>
        </w:tc>
        <w:tc>
          <w:tcPr>
            <w:tcW w:w="112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584,609</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 Net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other intangible assets, net as of May 5, 2023, April 29, 2022, and October 31, 2022 were as follows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tcPr>
          <w:p>
            <w:pPr>
              <w:jc w:val="right"/>
              <w:ind w:right="35"/>
              <w:spacing w:after="0" w:line="176" w:lineRule="exact"/>
              <w:rPr>
                <w:sz w:val="20"/>
                <w:szCs w:val="20"/>
                <w:color w:val="auto"/>
              </w:rPr>
            </w:pPr>
            <w:r>
              <w:rPr>
                <w:rFonts w:ascii="Arial" w:cs="Arial" w:eastAsia="Arial" w:hAnsi="Arial"/>
                <w:sz w:val="16"/>
                <w:szCs w:val="16"/>
                <w:b w:val="1"/>
                <w:bCs w:val="1"/>
                <w:color w:val="auto"/>
              </w:rPr>
              <w:t>Weighted-Average</w:t>
            </w: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20"/>
              <w:spacing w:after="0" w:line="176" w:lineRule="exact"/>
              <w:rPr>
                <w:sz w:val="20"/>
                <w:szCs w:val="20"/>
                <w:color w:val="auto"/>
              </w:rPr>
            </w:pPr>
            <w:r>
              <w:rPr>
                <w:rFonts w:ascii="Arial" w:cs="Arial" w:eastAsia="Arial" w:hAnsi="Arial"/>
                <w:sz w:val="16"/>
                <w:szCs w:val="16"/>
                <w:b w:val="1"/>
                <w:bCs w:val="1"/>
                <w:color w:val="auto"/>
                <w:w w:val="92"/>
              </w:rPr>
              <w:t>Gross Carrying</w:t>
            </w: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20"/>
              <w:spacing w:after="0" w:line="176" w:lineRule="exact"/>
              <w:rPr>
                <w:sz w:val="20"/>
                <w:szCs w:val="20"/>
                <w:color w:val="auto"/>
              </w:rPr>
            </w:pPr>
            <w:r>
              <w:rPr>
                <w:rFonts w:ascii="Arial" w:cs="Arial" w:eastAsia="Arial" w:hAnsi="Arial"/>
                <w:sz w:val="16"/>
                <w:szCs w:val="16"/>
                <w:b w:val="1"/>
                <w:bCs w:val="1"/>
                <w:color w:val="auto"/>
                <w:w w:val="95"/>
              </w:rPr>
              <w:t>Accumulated</w:t>
            </w: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1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May 5, 2023</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8"/>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18,239</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(15,705)</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w:t>
            </w:r>
          </w:p>
        </w:tc>
      </w:tr>
      <w:tr>
        <w:trPr>
          <w:trHeight w:val="225"/>
        </w:trPr>
        <w:tc>
          <w:tcPr>
            <w:tcW w:w="3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6,877</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(6,865)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321,358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(95,796)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225,562</w:t>
            </w:r>
          </w:p>
        </w:tc>
      </w:tr>
      <w:tr>
        <w:trPr>
          <w:trHeight w:val="219"/>
        </w:trPr>
        <w:tc>
          <w:tcPr>
            <w:tcW w:w="36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102,132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(58,400)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43,732</w:t>
            </w:r>
          </w:p>
        </w:tc>
      </w:tr>
      <w:tr>
        <w:trPr>
          <w:trHeight w:val="23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10,749</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w:t>
            </w:r>
          </w:p>
        </w:tc>
      </w:tr>
      <w:tr>
        <w:trPr>
          <w:trHeight w:val="21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465,085</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(186,274)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278,811</w:t>
            </w:r>
          </w:p>
        </w:tc>
      </w:tr>
      <w:tr>
        <w:trPr>
          <w:trHeight w:val="21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289,545</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289,545</w:t>
            </w: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754,630</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(186,274)</w:t>
            </w:r>
          </w:p>
        </w:tc>
        <w:tc>
          <w:tcPr>
            <w:tcW w:w="4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568,356</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901"/>
        </w:trPr>
        <w:tc>
          <w:tcPr>
            <w:tcW w:w="3680" w:type="dxa"/>
            <w:vAlign w:val="bottom"/>
          </w:tcPr>
          <w:p>
            <w:pPr>
              <w:spacing w:after="0"/>
              <w:rPr>
                <w:sz w:val="24"/>
                <w:szCs w:val="24"/>
                <w:color w:val="auto"/>
              </w:rPr>
            </w:pPr>
          </w:p>
        </w:tc>
        <w:tc>
          <w:tcPr>
            <w:tcW w:w="3040" w:type="dxa"/>
            <w:vAlign w:val="bottom"/>
          </w:tcPr>
          <w:p>
            <w:pPr>
              <w:jc w:val="right"/>
              <w:ind w:right="915"/>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36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April 29, 2022</w:t>
            </w:r>
          </w:p>
        </w:tc>
        <w:tc>
          <w:tcPr>
            <w:tcW w:w="3040" w:type="dxa"/>
            <w:vAlign w:val="bottom"/>
            <w:tcBorders>
              <w:top w:val="single" w:sz="8" w:color="auto"/>
            </w:tcBorders>
          </w:tcPr>
          <w:p>
            <w:pPr>
              <w:jc w:val="center"/>
              <w:ind w:left="1455"/>
              <w:spacing w:after="0" w:line="168" w:lineRule="exact"/>
              <w:rPr>
                <w:sz w:val="20"/>
                <w:szCs w:val="20"/>
                <w:color w:val="auto"/>
              </w:rPr>
            </w:pPr>
            <w:r>
              <w:rPr>
                <w:rFonts w:ascii="Arial" w:cs="Arial" w:eastAsia="Arial" w:hAnsi="Arial"/>
                <w:sz w:val="16"/>
                <w:szCs w:val="16"/>
                <w:b w:val="1"/>
                <w:bCs w:val="1"/>
                <w:color w:val="auto"/>
                <w:w w:val="89"/>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80"/>
              <w:spacing w:after="0" w:line="168" w:lineRule="exact"/>
              <w:rPr>
                <w:sz w:val="20"/>
                <w:szCs w:val="20"/>
                <w:color w:val="auto"/>
              </w:rPr>
            </w:pPr>
            <w:r>
              <w:rPr>
                <w:rFonts w:ascii="Arial" w:cs="Arial" w:eastAsia="Arial" w:hAnsi="Arial"/>
                <w:sz w:val="16"/>
                <w:szCs w:val="16"/>
                <w:b w:val="1"/>
                <w:bCs w:val="1"/>
                <w:color w:val="auto"/>
                <w:w w:val="90"/>
              </w:rPr>
              <w:t>Gross Carrying</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20"/>
              <w:spacing w:after="0" w:line="168" w:lineRule="exact"/>
              <w:rPr>
                <w:sz w:val="20"/>
                <w:szCs w:val="20"/>
                <w:color w:val="auto"/>
              </w:rPr>
            </w:pPr>
            <w:r>
              <w:rPr>
                <w:rFonts w:ascii="Arial" w:cs="Arial" w:eastAsia="Arial" w:hAnsi="Arial"/>
                <w:sz w:val="16"/>
                <w:szCs w:val="16"/>
                <w:b w:val="1"/>
                <w:bCs w:val="1"/>
                <w:color w:val="auto"/>
                <w:w w:val="95"/>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0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center"/>
              <w:ind w:left="1455"/>
              <w:spacing w:after="0"/>
              <w:rPr>
                <w:sz w:val="20"/>
                <w:szCs w:val="20"/>
                <w:color w:val="auto"/>
              </w:rPr>
            </w:pPr>
            <w:r>
              <w:rPr>
                <w:rFonts w:ascii="Arial" w:cs="Arial" w:eastAsia="Arial" w:hAnsi="Arial"/>
                <w:sz w:val="16"/>
                <w:szCs w:val="16"/>
                <w:b w:val="1"/>
                <w:bCs w:val="1"/>
                <w:color w:val="auto"/>
                <w:w w:val="90"/>
              </w:rPr>
              <w:t>Useful Life in Years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8"/>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18,269</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(15,015)</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w:t>
            </w: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6,902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(6,870)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321,242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249,045</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7"/>
                <w:szCs w:val="17"/>
                <w:color w:val="auto"/>
              </w:rPr>
              <w:t>7.0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87,286</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(47,975)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39,311</w:t>
            </w:r>
          </w:p>
        </w:tc>
        <w:tc>
          <w:tcPr>
            <w:tcW w:w="0" w:type="dxa"/>
            <w:vAlign w:val="bottom"/>
          </w:tcPr>
          <w:p>
            <w:pPr>
              <w:spacing w:after="0"/>
              <w:rPr>
                <w:sz w:val="1"/>
                <w:szCs w:val="1"/>
                <w:color w:val="auto"/>
              </w:rPr>
            </w:pPr>
          </w:p>
        </w:tc>
      </w:tr>
      <w:tr>
        <w:trPr>
          <w:trHeight w:val="22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10,714</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450,143</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(150,077)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300,066</w:t>
            </w: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289,542</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289,542</w:t>
            </w:r>
          </w:p>
        </w:tc>
        <w:tc>
          <w:tcPr>
            <w:tcW w:w="0" w:type="dxa"/>
            <w:vAlign w:val="bottom"/>
          </w:tcPr>
          <w:p>
            <w:pPr>
              <w:spacing w:after="0"/>
              <w:rPr>
                <w:sz w:val="1"/>
                <w:szCs w:val="1"/>
                <w:color w:val="auto"/>
              </w:rPr>
            </w:pPr>
          </w:p>
        </w:tc>
      </w:tr>
      <w:tr>
        <w:trPr>
          <w:trHeight w:val="224"/>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739,685</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(150,077)</w:t>
            </w:r>
          </w:p>
        </w:tc>
        <w:tc>
          <w:tcPr>
            <w:tcW w:w="4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589,608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6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October 31, 2022</w:t>
            </w:r>
          </w:p>
        </w:tc>
        <w:tc>
          <w:tcPr>
            <w:tcW w:w="3040" w:type="dxa"/>
            <w:vAlign w:val="bottom"/>
          </w:tcPr>
          <w:p>
            <w:pPr>
              <w:jc w:val="center"/>
              <w:ind w:left="1455"/>
              <w:spacing w:after="0" w:line="148" w:lineRule="exact"/>
              <w:rPr>
                <w:sz w:val="20"/>
                <w:szCs w:val="20"/>
                <w:color w:val="auto"/>
              </w:rPr>
            </w:pPr>
            <w:r>
              <w:rPr>
                <w:rFonts w:ascii="Arial" w:cs="Arial" w:eastAsia="Arial" w:hAnsi="Arial"/>
                <w:sz w:val="16"/>
                <w:szCs w:val="16"/>
                <w:b w:val="1"/>
                <w:bCs w:val="1"/>
                <w:color w:val="auto"/>
                <w:w w:val="89"/>
              </w:rPr>
              <w:t>Weighted-Average</w:t>
            </w:r>
          </w:p>
        </w:tc>
        <w:tc>
          <w:tcPr>
            <w:tcW w:w="200" w:type="dxa"/>
            <w:vAlign w:val="bottom"/>
          </w:tcPr>
          <w:p>
            <w:pPr>
              <w:spacing w:after="0"/>
              <w:rPr>
                <w:sz w:val="12"/>
                <w:szCs w:val="12"/>
                <w:color w:val="auto"/>
              </w:rPr>
            </w:pPr>
          </w:p>
        </w:tc>
        <w:tc>
          <w:tcPr>
            <w:tcW w:w="1300" w:type="dxa"/>
            <w:vAlign w:val="bottom"/>
          </w:tcPr>
          <w:p>
            <w:pPr>
              <w:jc w:val="center"/>
              <w:ind w:right="80"/>
              <w:spacing w:after="0" w:line="148" w:lineRule="exact"/>
              <w:rPr>
                <w:sz w:val="20"/>
                <w:szCs w:val="20"/>
                <w:color w:val="auto"/>
              </w:rPr>
            </w:pPr>
            <w:r>
              <w:rPr>
                <w:rFonts w:ascii="Arial" w:cs="Arial" w:eastAsia="Arial" w:hAnsi="Arial"/>
                <w:sz w:val="16"/>
                <w:szCs w:val="16"/>
                <w:b w:val="1"/>
                <w:bCs w:val="1"/>
                <w:color w:val="auto"/>
                <w:w w:val="90"/>
              </w:rPr>
              <w:t>Gross Carrying</w:t>
            </w:r>
          </w:p>
        </w:tc>
        <w:tc>
          <w:tcPr>
            <w:tcW w:w="260" w:type="dxa"/>
            <w:vAlign w:val="bottom"/>
          </w:tcPr>
          <w:p>
            <w:pPr>
              <w:spacing w:after="0"/>
              <w:rPr>
                <w:sz w:val="12"/>
                <w:szCs w:val="12"/>
                <w:color w:val="auto"/>
              </w:rPr>
            </w:pPr>
          </w:p>
        </w:tc>
        <w:tc>
          <w:tcPr>
            <w:tcW w:w="1280" w:type="dxa"/>
            <w:vAlign w:val="bottom"/>
          </w:tcPr>
          <w:p>
            <w:pPr>
              <w:jc w:val="right"/>
              <w:ind w:right="220"/>
              <w:spacing w:after="0" w:line="148" w:lineRule="exact"/>
              <w:rPr>
                <w:sz w:val="20"/>
                <w:szCs w:val="20"/>
                <w:color w:val="auto"/>
              </w:rPr>
            </w:pPr>
            <w:r>
              <w:rPr>
                <w:rFonts w:ascii="Arial" w:cs="Arial" w:eastAsia="Arial" w:hAnsi="Arial"/>
                <w:sz w:val="16"/>
                <w:szCs w:val="16"/>
                <w:b w:val="1"/>
                <w:bCs w:val="1"/>
                <w:color w:val="auto"/>
                <w:w w:val="95"/>
              </w:rPr>
              <w:t>Accumulated</w:t>
            </w:r>
          </w:p>
        </w:tc>
        <w:tc>
          <w:tcPr>
            <w:tcW w:w="400" w:type="dxa"/>
            <w:vAlign w:val="bottom"/>
          </w:tcPr>
          <w:p>
            <w:pPr>
              <w:spacing w:after="0"/>
              <w:rPr>
                <w:sz w:val="12"/>
                <w:szCs w:val="12"/>
                <w:color w:val="auto"/>
              </w:rPr>
            </w:pPr>
          </w:p>
        </w:tc>
        <w:tc>
          <w:tcPr>
            <w:tcW w:w="1080" w:type="dxa"/>
            <w:vAlign w:val="bottom"/>
            <w:vMerge w:val="restart"/>
          </w:tcPr>
          <w:p>
            <w:pPr>
              <w:jc w:val="right"/>
              <w:ind w:right="50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center"/>
              <w:ind w:left="1455"/>
              <w:spacing w:after="0"/>
              <w:rPr>
                <w:sz w:val="20"/>
                <w:szCs w:val="20"/>
                <w:color w:val="auto"/>
              </w:rPr>
            </w:pPr>
            <w:r>
              <w:rPr>
                <w:rFonts w:ascii="Arial" w:cs="Arial" w:eastAsia="Arial" w:hAnsi="Arial"/>
                <w:sz w:val="16"/>
                <w:szCs w:val="16"/>
                <w:b w:val="1"/>
                <w:bCs w:val="1"/>
                <w:color w:val="auto"/>
                <w:w w:val="90"/>
              </w:rPr>
              <w:t>Useful Life in Years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8"/>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18,210</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(15,317)</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6,851</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(6,829)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320,959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(83,805)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237,154</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101,915</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(53,001)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48,914</w:t>
            </w:r>
          </w:p>
        </w:tc>
        <w:tc>
          <w:tcPr>
            <w:tcW w:w="0" w:type="dxa"/>
            <w:vAlign w:val="bottom"/>
          </w:tcPr>
          <w:p>
            <w:pPr>
              <w:spacing w:after="0"/>
              <w:rPr>
                <w:sz w:val="1"/>
                <w:szCs w:val="1"/>
                <w:color w:val="auto"/>
              </w:rPr>
            </w:pPr>
          </w:p>
        </w:tc>
      </w:tr>
      <w:tr>
        <w:trPr>
          <w:trHeight w:val="22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7,272</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464,332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(167,852)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296,480</w:t>
            </w: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289,352</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289,352</w:t>
            </w:r>
          </w:p>
        </w:tc>
        <w:tc>
          <w:tcPr>
            <w:tcW w:w="0" w:type="dxa"/>
            <w:vAlign w:val="bottom"/>
          </w:tcPr>
          <w:p>
            <w:pPr>
              <w:spacing w:after="0"/>
              <w:rPr>
                <w:sz w:val="1"/>
                <w:szCs w:val="1"/>
                <w:color w:val="auto"/>
              </w:rPr>
            </w:pPr>
          </w:p>
        </w:tc>
      </w:tr>
      <w:tr>
        <w:trPr>
          <w:trHeight w:val="224"/>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753,684</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(167,852)</w:t>
            </w:r>
          </w:p>
        </w:tc>
        <w:tc>
          <w:tcPr>
            <w:tcW w:w="4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585,832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Amortization expense for finite-lived intangible assets for the three and six months ended May 5, 2023 was $8.8 million and $17.9 million, respectively. Amortization expense for finite-lived intangibles assets for the three and six months ended April 29, 2022 was $9.2 million and $15.6 million, respectively. As of May 5, 2023, estimated amortization expense for the remainder of fiscal 2023 and succeeding fiscal years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9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5, 2023</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w:t>
            </w:r>
          </w:p>
        </w:tc>
        <w:tc>
          <w:tcPr>
            <w:tcW w:w="3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17,040</w:t>
            </w:r>
          </w:p>
        </w:tc>
      </w:tr>
      <w:tr>
        <w:trPr>
          <w:trHeight w:val="205"/>
        </w:trPr>
        <w:tc>
          <w:tcPr>
            <w:tcW w:w="6100" w:type="dxa"/>
            <w:vAlign w:val="bottom"/>
          </w:tcPr>
          <w:p>
            <w:pPr>
              <w:ind w:left="20"/>
              <w:spacing w:after="0"/>
              <w:rPr>
                <w:sz w:val="20"/>
                <w:szCs w:val="20"/>
                <w:color w:val="auto"/>
              </w:rPr>
            </w:pPr>
            <w:r>
              <w:rPr>
                <w:rFonts w:ascii="Arial" w:cs="Arial" w:eastAsia="Arial" w:hAnsi="Arial"/>
                <w:sz w:val="16"/>
                <w:szCs w:val="16"/>
                <w:color w:val="auto"/>
              </w:rPr>
              <w:t>2024</w:t>
            </w:r>
          </w:p>
        </w:tc>
        <w:tc>
          <w:tcPr>
            <w:tcW w:w="39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33,025</w:t>
            </w:r>
          </w:p>
        </w:tc>
      </w:tr>
      <w:tr>
        <w:trPr>
          <w:trHeight w:val="208"/>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9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30,172</w:t>
            </w:r>
          </w:p>
        </w:tc>
      </w:tr>
      <w:tr>
        <w:trPr>
          <w:trHeight w:val="205"/>
        </w:trPr>
        <w:tc>
          <w:tcPr>
            <w:tcW w:w="6100" w:type="dxa"/>
            <w:vAlign w:val="bottom"/>
          </w:tcPr>
          <w:p>
            <w:pPr>
              <w:ind w:left="20"/>
              <w:spacing w:after="0"/>
              <w:rPr>
                <w:sz w:val="20"/>
                <w:szCs w:val="20"/>
                <w:color w:val="auto"/>
              </w:rPr>
            </w:pPr>
            <w:r>
              <w:rPr>
                <w:rFonts w:ascii="Arial" w:cs="Arial" w:eastAsia="Arial" w:hAnsi="Arial"/>
                <w:sz w:val="16"/>
                <w:szCs w:val="16"/>
                <w:color w:val="auto"/>
              </w:rPr>
              <w:t>2026</w:t>
            </w:r>
          </w:p>
        </w:tc>
        <w:tc>
          <w:tcPr>
            <w:tcW w:w="39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28,991</w:t>
            </w:r>
          </w:p>
        </w:tc>
      </w:tr>
      <w:tr>
        <w:trPr>
          <w:trHeight w:val="221"/>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9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24,057</w:t>
            </w:r>
          </w:p>
        </w:tc>
      </w:tr>
      <w:tr>
        <w:trPr>
          <w:trHeight w:val="205"/>
        </w:trPr>
        <w:tc>
          <w:tcPr>
            <w:tcW w:w="6100" w:type="dxa"/>
            <w:vAlign w:val="bottom"/>
          </w:tcPr>
          <w:p>
            <w:pPr>
              <w:ind w:left="20"/>
              <w:spacing w:after="0"/>
              <w:rPr>
                <w:sz w:val="20"/>
                <w:szCs w:val="20"/>
                <w:color w:val="auto"/>
              </w:rPr>
            </w:pPr>
            <w:r>
              <w:rPr>
                <w:rFonts w:ascii="Arial" w:cs="Arial" w:eastAsia="Arial" w:hAnsi="Arial"/>
                <w:sz w:val="16"/>
                <w:szCs w:val="16"/>
                <w:color w:val="auto"/>
              </w:rPr>
              <w:t>2028</w:t>
            </w:r>
          </w:p>
        </w:tc>
        <w:tc>
          <w:tcPr>
            <w:tcW w:w="39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21,535</w:t>
            </w:r>
          </w:p>
        </w:tc>
      </w:tr>
      <w:tr>
        <w:trPr>
          <w:trHeight w:val="207"/>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9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123,991</w:t>
            </w:r>
          </w:p>
        </w:tc>
      </w:tr>
      <w:tr>
        <w:trPr>
          <w:trHeight w:val="207"/>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estimated amortization expense</w:t>
            </w:r>
          </w:p>
        </w:tc>
        <w:tc>
          <w:tcPr>
            <w:tcW w:w="3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278,811</w:t>
            </w:r>
          </w:p>
        </w:tc>
      </w:tr>
      <w:tr>
        <w:trPr>
          <w:trHeight w:val="26"/>
        </w:trPr>
        <w:tc>
          <w:tcPr>
            <w:tcW w:w="61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540"/>
        </w:trPr>
        <w:tc>
          <w:tcPr>
            <w:tcW w:w="420" w:type="dxa"/>
            <w:vAlign w:val="bottom"/>
            <w:gridSpan w:val="2"/>
          </w:tcPr>
          <w:p>
            <w:pPr>
              <w:ind w:left="20"/>
              <w:spacing w:after="0"/>
              <w:rPr>
                <w:sz w:val="20"/>
                <w:szCs w:val="20"/>
                <w:color w:val="auto"/>
              </w:rPr>
            </w:pPr>
            <w:r>
              <w:rPr>
                <w:rFonts w:ascii="Arial" w:cs="Arial" w:eastAsia="Arial" w:hAnsi="Arial"/>
                <w:sz w:val="41"/>
                <w:szCs w:val="41"/>
                <w:b w:val="1"/>
                <w:bCs w:val="1"/>
                <w:color w:val="auto"/>
              </w:rPr>
              <w:t>6</w:t>
            </w:r>
          </w:p>
        </w:tc>
        <w:tc>
          <w:tcPr>
            <w:tcW w:w="4720" w:type="dxa"/>
            <w:vAlign w:val="bottom"/>
          </w:tcPr>
          <w:p>
            <w:pPr>
              <w:ind w:left="200"/>
              <w:spacing w:after="0"/>
              <w:rPr>
                <w:sz w:val="20"/>
                <w:szCs w:val="20"/>
                <w:color w:val="auto"/>
              </w:rPr>
            </w:pPr>
            <w:r>
              <w:rPr>
                <w:rFonts w:ascii="Arial" w:cs="Arial" w:eastAsia="Arial" w:hAnsi="Arial"/>
                <w:sz w:val="19"/>
                <w:szCs w:val="19"/>
                <w:b w:val="1"/>
                <w:bCs w:val="1"/>
                <w:color w:val="auto"/>
              </w:rPr>
              <w:t>Indebtedness</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5"/>
        </w:trPr>
        <w:tc>
          <w:tcPr>
            <w:tcW w:w="5140" w:type="dxa"/>
            <w:vAlign w:val="bottom"/>
            <w:gridSpan w:val="3"/>
          </w:tcPr>
          <w:p>
            <w:pPr>
              <w:spacing w:after="0"/>
              <w:rPr>
                <w:sz w:val="20"/>
                <w:szCs w:val="20"/>
                <w:color w:val="auto"/>
              </w:rPr>
            </w:pPr>
            <w:r>
              <w:rPr>
                <w:rFonts w:ascii="Arial" w:cs="Arial" w:eastAsia="Arial" w:hAnsi="Arial"/>
                <w:sz w:val="17"/>
                <w:szCs w:val="17"/>
                <w:color w:val="auto"/>
              </w:rPr>
              <w:t>The following is a summary of the company's indebtedness:</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5120" w:type="dxa"/>
            <w:vAlign w:val="bottom"/>
            <w:tcBorders>
              <w:bottom w:val="single" w:sz="8" w:color="auto"/>
            </w:tcBorders>
            <w:gridSpan w:val="2"/>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99"/>
        </w:trPr>
        <w:tc>
          <w:tcPr>
            <w:tcW w:w="20" w:type="dxa"/>
            <w:vAlign w:val="bottom"/>
          </w:tcPr>
          <w:p>
            <w:pPr>
              <w:spacing w:after="0"/>
              <w:rPr>
                <w:sz w:val="17"/>
                <w:szCs w:val="17"/>
                <w:color w:val="auto"/>
              </w:rPr>
            </w:pP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(Dollars in thousands)</w:t>
            </w:r>
          </w:p>
        </w:tc>
        <w:tc>
          <w:tcPr>
            <w:tcW w:w="1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May 5, 2023</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April 29, 2022</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October 31, 2022</w:t>
            </w:r>
          </w:p>
        </w:tc>
      </w:tr>
      <w:tr>
        <w:trPr>
          <w:trHeight w:val="199"/>
        </w:trPr>
        <w:tc>
          <w:tcPr>
            <w:tcW w:w="20" w:type="dxa"/>
            <w:vAlign w:val="bottom"/>
          </w:tcPr>
          <w:p>
            <w:pPr>
              <w:spacing w:after="0"/>
              <w:rPr>
                <w:sz w:val="17"/>
                <w:szCs w:val="17"/>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$600 million revolving credit facility, due October 2026</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50,000</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6"/>
                <w:szCs w:val="16"/>
                <w:color w:val="auto"/>
              </w:rPr>
              <w:t>$270 million term loan, due October 2026</w:t>
            </w:r>
          </w:p>
        </w:tc>
        <w:tc>
          <w:tcPr>
            <w:tcW w:w="1240" w:type="dxa"/>
            <w:vAlign w:val="bottom"/>
          </w:tcPr>
          <w:p>
            <w:pPr>
              <w:spacing w:after="0"/>
              <w:rPr>
                <w:sz w:val="18"/>
                <w:szCs w:val="18"/>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270,000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270,000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270,000</w:t>
            </w:r>
          </w:p>
        </w:tc>
      </w:tr>
      <w:tr>
        <w:trPr>
          <w:trHeight w:val="214"/>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$200 million term loan, due April 2027</w:t>
            </w:r>
          </w:p>
        </w:tc>
        <w:tc>
          <w:tcPr>
            <w:tcW w:w="1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200,000</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05"/>
        </w:trPr>
        <w:tc>
          <w:tcPr>
            <w:tcW w:w="20" w:type="dxa"/>
            <w:vAlign w:val="bottom"/>
          </w:tcPr>
          <w:p>
            <w:pPr>
              <w:spacing w:after="0"/>
              <w:rPr>
                <w:sz w:val="17"/>
                <w:szCs w:val="17"/>
                <w:color w:val="auto"/>
              </w:rPr>
            </w:pPr>
          </w:p>
        </w:tc>
        <w:tc>
          <w:tcPr>
            <w:tcW w:w="5120" w:type="dxa"/>
            <w:vAlign w:val="bottom"/>
            <w:gridSpan w:val="2"/>
          </w:tcPr>
          <w:p>
            <w:pPr>
              <w:spacing w:after="0"/>
              <w:rPr>
                <w:sz w:val="20"/>
                <w:szCs w:val="20"/>
                <w:color w:val="auto"/>
              </w:rPr>
            </w:pPr>
            <w:r>
              <w:rPr>
                <w:rFonts w:ascii="Arial" w:cs="Arial" w:eastAsia="Arial" w:hAnsi="Arial"/>
                <w:sz w:val="16"/>
                <w:szCs w:val="16"/>
                <w:color w:val="auto"/>
              </w:rPr>
              <w:t>3.81% series A senior notes, due June 2029</w:t>
            </w:r>
          </w:p>
        </w:tc>
        <w:tc>
          <w:tcPr>
            <w:tcW w:w="1240" w:type="dxa"/>
            <w:vAlign w:val="bottom"/>
          </w:tcPr>
          <w:p>
            <w:pPr>
              <w:spacing w:after="0"/>
              <w:rPr>
                <w:sz w:val="17"/>
                <w:szCs w:val="17"/>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21"/>
        </w:trPr>
        <w:tc>
          <w:tcPr>
            <w:tcW w:w="20" w:type="dxa"/>
            <w:vAlign w:val="bottom"/>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3.91% series B senior notes, due June 2031</w:t>
            </w: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20" w:type="dxa"/>
            <w:vAlign w:val="bottom"/>
          </w:tcPr>
          <w:p>
            <w:pPr>
              <w:spacing w:after="0"/>
              <w:rPr>
                <w:sz w:val="17"/>
                <w:szCs w:val="17"/>
                <w:color w:val="auto"/>
              </w:rPr>
            </w:pPr>
          </w:p>
        </w:tc>
        <w:tc>
          <w:tcPr>
            <w:tcW w:w="5120" w:type="dxa"/>
            <w:vAlign w:val="bottom"/>
            <w:gridSpan w:val="2"/>
          </w:tcPr>
          <w:p>
            <w:pPr>
              <w:spacing w:after="0"/>
              <w:rPr>
                <w:sz w:val="20"/>
                <w:szCs w:val="20"/>
                <w:color w:val="auto"/>
              </w:rPr>
            </w:pPr>
            <w:r>
              <w:rPr>
                <w:rFonts w:ascii="Arial" w:cs="Arial" w:eastAsia="Arial" w:hAnsi="Arial"/>
                <w:sz w:val="16"/>
                <w:szCs w:val="16"/>
                <w:color w:val="auto"/>
              </w:rPr>
              <w:t>3.97% senior notes, due June 2032</w:t>
            </w:r>
          </w:p>
        </w:tc>
        <w:tc>
          <w:tcPr>
            <w:tcW w:w="1240" w:type="dxa"/>
            <w:vAlign w:val="bottom"/>
          </w:tcPr>
          <w:p>
            <w:pPr>
              <w:spacing w:after="0"/>
              <w:rPr>
                <w:sz w:val="17"/>
                <w:szCs w:val="17"/>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7.8% debentures, due June 2027</w:t>
            </w:r>
          </w:p>
        </w:tc>
        <w:tc>
          <w:tcPr>
            <w:tcW w:w="1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12"/>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6"/>
                <w:szCs w:val="16"/>
                <w:color w:val="auto"/>
              </w:rPr>
              <w:t>6.625% senior notes, due May 2037</w:t>
            </w:r>
          </w:p>
        </w:tc>
        <w:tc>
          <w:tcPr>
            <w:tcW w:w="1240" w:type="dxa"/>
            <w:vAlign w:val="bottom"/>
          </w:tcPr>
          <w:p>
            <w:pPr>
              <w:spacing w:after="0"/>
              <w:rPr>
                <w:sz w:val="18"/>
                <w:szCs w:val="18"/>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124,133</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124,071</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124,102</w:t>
            </w:r>
          </w:p>
        </w:tc>
      </w:tr>
      <w:tr>
        <w:trPr>
          <w:trHeight w:val="213"/>
        </w:trPr>
        <w:tc>
          <w:tcPr>
            <w:tcW w:w="20" w:type="dxa"/>
            <w:vAlign w:val="bottom"/>
          </w:tcPr>
          <w:p>
            <w:pPr>
              <w:spacing w:after="0"/>
              <w:rPr>
                <w:sz w:val="18"/>
                <w:szCs w:val="18"/>
                <w:color w:val="auto"/>
              </w:rPr>
            </w:pPr>
          </w:p>
        </w:tc>
        <w:tc>
          <w:tcPr>
            <w:tcW w:w="5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Less: unamortized debt issuance costs</w:t>
            </w:r>
          </w:p>
        </w:tc>
        <w:tc>
          <w:tcPr>
            <w:tcW w:w="1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2,971</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w:t>
            </w:r>
          </w:p>
        </w:tc>
      </w:tr>
      <w:tr>
        <w:trPr>
          <w:trHeight w:val="199"/>
        </w:trPr>
        <w:tc>
          <w:tcPr>
            <w:tcW w:w="20" w:type="dxa"/>
            <w:vAlign w:val="bottom"/>
          </w:tcPr>
          <w:p>
            <w:pPr>
              <w:spacing w:after="0"/>
              <w:rPr>
                <w:sz w:val="17"/>
                <w:szCs w:val="17"/>
                <w:color w:val="auto"/>
              </w:rPr>
            </w:pP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Total long-term debt</w:t>
            </w:r>
          </w:p>
        </w:tc>
        <w:tc>
          <w:tcPr>
            <w:tcW w:w="1240" w:type="dxa"/>
            <w:vAlign w:val="bottom"/>
          </w:tcPr>
          <w:p>
            <w:pPr>
              <w:spacing w:after="0"/>
              <w:rPr>
                <w:sz w:val="17"/>
                <w:szCs w:val="17"/>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1,041,162</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1,090,970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990,768</w:t>
            </w:r>
          </w:p>
        </w:tc>
      </w:tr>
      <w:tr>
        <w:trPr>
          <w:trHeight w:val="214"/>
        </w:trPr>
        <w:tc>
          <w:tcPr>
            <w:tcW w:w="20" w:type="dxa"/>
            <w:vAlign w:val="bottom"/>
          </w:tcPr>
          <w:p>
            <w:pPr>
              <w:spacing w:after="0"/>
              <w:rPr>
                <w:sz w:val="18"/>
                <w:szCs w:val="18"/>
                <w:color w:val="auto"/>
              </w:rPr>
            </w:pPr>
          </w:p>
        </w:tc>
        <w:tc>
          <w:tcPr>
            <w:tcW w:w="5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Less: current portion of long-term debt</w:t>
            </w:r>
          </w:p>
        </w:tc>
        <w:tc>
          <w:tcPr>
            <w:tcW w:w="1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20" w:type="dxa"/>
            <w:vAlign w:val="bottom"/>
          </w:tcPr>
          <w:p>
            <w:pPr>
              <w:spacing w:after="0"/>
              <w:rPr>
                <w:sz w:val="17"/>
                <w:szCs w:val="17"/>
                <w:color w:val="auto"/>
              </w:rPr>
            </w:pP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Long-term debt, less current portion</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1,041,162</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990,970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990,768</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As of May 5, 2023, principal payments required on the company's outstanding indebtedness, based on the maturity dates defined within the company's debt arrangements, for the remainder of fiscal 2023 and succeeding fiscal years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40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5, 2023</w:t>
            </w: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w:t>
            </w:r>
          </w:p>
        </w:tc>
        <w:tc>
          <w:tcPr>
            <w:tcW w:w="4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000" w:type="dxa"/>
            <w:vAlign w:val="bottom"/>
          </w:tcPr>
          <w:p>
            <w:pPr>
              <w:ind w:left="20"/>
              <w:spacing w:after="0"/>
              <w:rPr>
                <w:sz w:val="20"/>
                <w:szCs w:val="20"/>
                <w:color w:val="auto"/>
              </w:rPr>
            </w:pPr>
            <w:r>
              <w:rPr>
                <w:rFonts w:ascii="Arial" w:cs="Arial" w:eastAsia="Arial" w:hAnsi="Arial"/>
                <w:sz w:val="16"/>
                <w:szCs w:val="16"/>
                <w:color w:val="auto"/>
              </w:rPr>
              <w:t>2024</w:t>
            </w:r>
          </w:p>
        </w:tc>
        <w:tc>
          <w:tcPr>
            <w:tcW w:w="40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0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2026</w:t>
            </w:r>
          </w:p>
        </w:tc>
        <w:tc>
          <w:tcPr>
            <w:tcW w:w="40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313,000</w:t>
            </w:r>
          </w:p>
        </w:tc>
      </w:tr>
      <w:tr>
        <w:trPr>
          <w:trHeight w:val="221"/>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270,000</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2028</w:t>
            </w:r>
          </w:p>
        </w:tc>
        <w:tc>
          <w:tcPr>
            <w:tcW w:w="40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40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425,000</w:t>
            </w:r>
          </w:p>
        </w:tc>
      </w:tr>
      <w:tr>
        <w:trPr>
          <w:trHeight w:val="20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principal payments required</w:t>
            </w:r>
          </w:p>
        </w:tc>
        <w:tc>
          <w:tcPr>
            <w:tcW w:w="4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1,045,000</w:t>
            </w:r>
          </w:p>
        </w:tc>
      </w:tr>
      <w:tr>
        <w:trPr>
          <w:trHeight w:val="26"/>
        </w:trPr>
        <w:tc>
          <w:tcPr>
            <w:tcW w:w="60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in compliance with all covenants under the company’s outstanding indebtedness as of May 5, 2023.</w:t>
      </w:r>
    </w:p>
    <w:p>
      <w:pPr>
        <w:spacing w:after="0" w:line="150" w:lineRule="exact"/>
        <w:rPr>
          <w:sz w:val="20"/>
          <w:szCs w:val="20"/>
          <w:color w:val="auto"/>
        </w:rPr>
      </w:pPr>
    </w:p>
    <w:p>
      <w:pPr>
        <w:ind w:left="620" w:hanging="600"/>
        <w:spacing w:after="0"/>
        <w:tabs>
          <w:tab w:leader="none" w:pos="620" w:val="left"/>
        </w:tabs>
        <w:numPr>
          <w:ilvl w:val="0"/>
          <w:numId w:val="10"/>
        </w:numPr>
        <w:rPr>
          <w:rFonts w:ascii="Arial" w:cs="Arial" w:eastAsia="Arial" w:hAnsi="Arial"/>
          <w:sz w:val="41"/>
          <w:szCs w:val="41"/>
          <w:b w:val="1"/>
          <w:bCs w:val="1"/>
          <w:color w:val="auto"/>
        </w:rPr>
      </w:pPr>
      <w:r>
        <w:rPr>
          <w:rFonts w:ascii="Arial" w:cs="Arial" w:eastAsia="Arial" w:hAnsi="Arial"/>
          <w:sz w:val="19"/>
          <w:szCs w:val="19"/>
          <w:b w:val="1"/>
          <w:bCs w:val="1"/>
          <w:color w:val="auto"/>
        </w:rPr>
        <w:t>Inventories, Net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May 5, 2023</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April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3"/>
              </w:rPr>
              <w:t>October 31, 2022</w:t>
            </w: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work in process</w:t>
            </w:r>
          </w:p>
        </w:tc>
        <w:tc>
          <w:tcPr>
            <w:tcW w:w="2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452,750</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421,387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482,884</w:t>
            </w:r>
          </w:p>
        </w:tc>
      </w:tr>
      <w:tr>
        <w:trPr>
          <w:trHeight w:val="20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 and service parts</w:t>
            </w:r>
          </w:p>
        </w:tc>
        <w:tc>
          <w:tcPr>
            <w:tcW w:w="2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844,596</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605,776</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738,097</w:t>
            </w:r>
          </w:p>
        </w:tc>
      </w:tr>
      <w:tr>
        <w:trPr>
          <w:trHeight w:val="201"/>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FIFO and average cost value</w:t>
            </w:r>
          </w:p>
        </w:tc>
        <w:tc>
          <w:tcPr>
            <w:tcW w:w="2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1,297,346</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1,027,163</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1,220,981</w:t>
            </w:r>
          </w:p>
        </w:tc>
      </w:tr>
      <w:tr>
        <w:trPr>
          <w:trHeight w:val="20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adjustment to LIFO value</w:t>
            </w:r>
          </w:p>
        </w:tc>
        <w:tc>
          <w:tcPr>
            <w:tcW w:w="2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169,872</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135,487</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169,872</w:t>
            </w:r>
          </w:p>
        </w:tc>
      </w:tr>
      <w:tr>
        <w:trPr>
          <w:trHeight w:val="232"/>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 net</w:t>
            </w:r>
          </w:p>
        </w:tc>
        <w:tc>
          <w:tcPr>
            <w:tcW w:w="2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1,127,474</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891,676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1,051,109</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hanging="600"/>
        <w:spacing w:after="0"/>
        <w:tabs>
          <w:tab w:leader="none" w:pos="620" w:val="left"/>
        </w:tabs>
        <w:numPr>
          <w:ilvl w:val="0"/>
          <w:numId w:val="11"/>
        </w:numPr>
        <w:rPr>
          <w:rFonts w:ascii="Arial" w:cs="Arial" w:eastAsia="Arial" w:hAnsi="Arial"/>
          <w:sz w:val="41"/>
          <w:szCs w:val="41"/>
          <w:b w:val="1"/>
          <w:bCs w:val="1"/>
          <w:color w:val="auto"/>
        </w:rPr>
      </w:pPr>
      <w:r>
        <w:rPr>
          <w:rFonts w:ascii="Arial" w:cs="Arial" w:eastAsia="Arial" w:hAnsi="Arial"/>
          <w:sz w:val="19"/>
          <w:szCs w:val="19"/>
          <w:b w:val="1"/>
          <w:bCs w:val="1"/>
          <w:color w:val="auto"/>
        </w:rPr>
        <w:t>Property, Plant, and Equipment, Net</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May 5, 2023</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April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3"/>
              </w:rPr>
              <w:t>October 31, 2022</w:t>
            </w:r>
          </w:p>
        </w:tc>
      </w:tr>
      <w:tr>
        <w:trPr>
          <w:trHeight w:val="19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2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61,604</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57,210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59,550</w:t>
            </w:r>
          </w:p>
        </w:tc>
      </w:tr>
      <w:tr>
        <w:trPr>
          <w:trHeight w:val="212"/>
        </w:trPr>
        <w:tc>
          <w:tcPr>
            <w:tcW w:w="43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0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328,333</w:t>
            </w:r>
          </w:p>
        </w:tc>
        <w:tc>
          <w:tcPr>
            <w:tcW w:w="300" w:type="dxa"/>
            <w:vAlign w:val="bottom"/>
          </w:tcPr>
          <w:p>
            <w:pPr>
              <w:spacing w:after="0"/>
              <w:rPr>
                <w:sz w:val="18"/>
                <w:szCs w:val="18"/>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325,966</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324,343</w:t>
            </w:r>
          </w:p>
        </w:tc>
      </w:tr>
      <w:tr>
        <w:trPr>
          <w:trHeight w:val="214"/>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567,163</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534,358</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557,588</w:t>
            </w:r>
          </w:p>
        </w:tc>
      </w:tr>
      <w:tr>
        <w:trPr>
          <w:trHeight w:val="205"/>
        </w:trPr>
        <w:tc>
          <w:tcPr>
            <w:tcW w:w="4320" w:type="dxa"/>
            <w:vAlign w:val="bottom"/>
          </w:tcPr>
          <w:p>
            <w:pPr>
              <w:ind w:left="20"/>
              <w:spacing w:after="0"/>
              <w:rPr>
                <w:sz w:val="20"/>
                <w:szCs w:val="20"/>
                <w:color w:val="auto"/>
              </w:rPr>
            </w:pPr>
            <w:r>
              <w:rPr>
                <w:rFonts w:ascii="Arial" w:cs="Arial" w:eastAsia="Arial" w:hAnsi="Arial"/>
                <w:sz w:val="16"/>
                <w:szCs w:val="16"/>
                <w:color w:val="auto"/>
              </w:rPr>
              <w:t>Tooling</w:t>
            </w:r>
          </w:p>
        </w:tc>
        <w:tc>
          <w:tcPr>
            <w:tcW w:w="20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227,033</w:t>
            </w:r>
          </w:p>
        </w:tc>
        <w:tc>
          <w:tcPr>
            <w:tcW w:w="300" w:type="dxa"/>
            <w:vAlign w:val="bottom"/>
          </w:tcPr>
          <w:p>
            <w:pPr>
              <w:spacing w:after="0"/>
              <w:rPr>
                <w:sz w:val="17"/>
                <w:szCs w:val="17"/>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221,821</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225,865</w:t>
            </w:r>
          </w:p>
        </w:tc>
      </w:tr>
      <w:tr>
        <w:trPr>
          <w:trHeight w:val="22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hardware and software</w:t>
            </w:r>
          </w:p>
        </w:tc>
        <w:tc>
          <w:tcPr>
            <w:tcW w:w="2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105,972</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97,355</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104,713</w:t>
            </w:r>
          </w:p>
        </w:tc>
      </w:tr>
      <w:tr>
        <w:trPr>
          <w:trHeight w:val="205"/>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process</w:t>
            </w:r>
          </w:p>
        </w:tc>
        <w:tc>
          <w:tcPr>
            <w:tcW w:w="20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199,861</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110,379</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144,418</w:t>
            </w:r>
          </w:p>
        </w:tc>
      </w:tr>
      <w:tr>
        <w:trPr>
          <w:trHeight w:val="201"/>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0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1,489,966</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1,347,089</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1,416,477</w:t>
            </w:r>
          </w:p>
        </w:tc>
      </w:tr>
      <w:tr>
        <w:trPr>
          <w:trHeight w:val="212"/>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884,195</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834,659</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844,816</w:t>
            </w: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605,771</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512,430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571,661</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620" w:hanging="600"/>
        <w:spacing w:after="0"/>
        <w:tabs>
          <w:tab w:leader="none" w:pos="620" w:val="left"/>
        </w:tabs>
        <w:numPr>
          <w:ilvl w:val="0"/>
          <w:numId w:val="12"/>
        </w:numPr>
        <w:rPr>
          <w:rFonts w:ascii="Arial" w:cs="Arial" w:eastAsia="Arial" w:hAnsi="Arial"/>
          <w:sz w:val="41"/>
          <w:szCs w:val="41"/>
          <w:b w:val="1"/>
          <w:bCs w:val="1"/>
          <w:color w:val="auto"/>
        </w:rPr>
      </w:pPr>
      <w:r>
        <w:rPr>
          <w:rFonts w:ascii="Arial" w:cs="Arial" w:eastAsia="Arial" w:hAnsi="Arial"/>
          <w:sz w:val="19"/>
          <w:szCs w:val="19"/>
          <w:b w:val="1"/>
          <w:bCs w:val="1"/>
          <w:color w:val="auto"/>
        </w:rPr>
        <w:t>Product Warranty Guarantees</w:t>
      </w:r>
    </w:p>
    <w:p>
      <w:pPr>
        <w:spacing w:after="0" w:line="9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Arial" w:cs="Arial" w:eastAsia="Arial" w:hAnsi="Arial"/>
          <w:sz w:val="16"/>
          <w:szCs w:val="16"/>
          <w:i w:val="1"/>
          <w:iCs w:val="1"/>
          <w:color w:val="auto"/>
        </w:rPr>
        <w:t>Revenue</w:t>
      </w:r>
      <w:r>
        <w:rPr>
          <w:rFonts w:ascii="Arial" w:cs="Arial" w:eastAsia="Arial" w:hAnsi="Arial"/>
          <w:sz w:val="16"/>
          <w:szCs w:val="16"/>
          <w:color w:val="auto"/>
        </w:rPr>
        <w:t>.</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accrued warranties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Six Months Ended</w:t>
            </w:r>
          </w:p>
        </w:tc>
      </w:tr>
      <w:tr>
        <w:trPr>
          <w:trHeight w:val="208"/>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8"/>
              </w:rPr>
              <w:t>May 5, 2023</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8"/>
              </w:rPr>
              <w:t>April 29, 2022</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6"/>
              </w:rPr>
              <w:t>May 5, 2023</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April 29, 2022</w:t>
            </w:r>
          </w:p>
        </w:tc>
      </w:tr>
      <w:tr>
        <w:trPr>
          <w:trHeight w:val="205"/>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145,057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119,860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134,541</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116,783</w:t>
            </w:r>
          </w:p>
        </w:tc>
      </w:tr>
      <w:tr>
        <w:trPr>
          <w:trHeight w:val="205"/>
        </w:trPr>
        <w:tc>
          <w:tcPr>
            <w:tcW w:w="4640" w:type="dxa"/>
            <w:vAlign w:val="bottom"/>
          </w:tcPr>
          <w:p>
            <w:pPr>
              <w:ind w:left="20"/>
              <w:spacing w:after="0"/>
              <w:rPr>
                <w:sz w:val="20"/>
                <w:szCs w:val="20"/>
                <w:color w:val="auto"/>
              </w:rPr>
            </w:pPr>
            <w:r>
              <w:rPr>
                <w:rFonts w:ascii="Arial" w:cs="Arial" w:eastAsia="Arial" w:hAnsi="Arial"/>
                <w:sz w:val="16"/>
                <w:szCs w:val="16"/>
                <w:color w:val="auto"/>
              </w:rPr>
              <w:t>Changes in accrual related to warranties during the period (1)</w:t>
            </w:r>
          </w:p>
        </w:tc>
        <w:tc>
          <w:tcPr>
            <w:tcW w:w="90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26,142</w:t>
            </w:r>
          </w:p>
        </w:tc>
        <w:tc>
          <w:tcPr>
            <w:tcW w:w="20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23,346</w:t>
            </w:r>
          </w:p>
        </w:tc>
        <w:tc>
          <w:tcPr>
            <w:tcW w:w="2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49,435</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38,884</w:t>
            </w:r>
          </w:p>
        </w:tc>
      </w:tr>
      <w:tr>
        <w:trPr>
          <w:trHeight w:val="221"/>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1,257</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r>
      <w:tr>
        <w:trPr>
          <w:trHeight w:val="205"/>
        </w:trPr>
        <w:tc>
          <w:tcPr>
            <w:tcW w:w="4640" w:type="dxa"/>
            <w:vAlign w:val="bottom"/>
          </w:tcPr>
          <w:p>
            <w:pPr>
              <w:ind w:left="20"/>
              <w:spacing w:after="0"/>
              <w:rPr>
                <w:sz w:val="20"/>
                <w:szCs w:val="20"/>
                <w:color w:val="auto"/>
              </w:rPr>
            </w:pPr>
            <w:r>
              <w:rPr>
                <w:rFonts w:ascii="Arial" w:cs="Arial" w:eastAsia="Arial" w:hAnsi="Arial"/>
                <w:sz w:val="16"/>
                <w:szCs w:val="16"/>
                <w:color w:val="auto"/>
              </w:rPr>
              <w:t>Payments made during the period (1)</w:t>
            </w:r>
          </w:p>
        </w:tc>
        <w:tc>
          <w:tcPr>
            <w:tcW w:w="9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(17,993)</w:t>
            </w:r>
          </w:p>
        </w:tc>
        <w:tc>
          <w:tcPr>
            <w:tcW w:w="20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(17,308)</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(36,743)</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(31,563)</w:t>
            </w:r>
          </w:p>
        </w:tc>
      </w:tr>
      <w:tr>
        <w:trPr>
          <w:trHeight w:val="207"/>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accrual related to pre-existing warranties</w:t>
            </w:r>
          </w:p>
        </w:tc>
        <w:tc>
          <w:tcPr>
            <w:tcW w:w="9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741</w:t>
            </w: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(325)</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6,714</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0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153,947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126,830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153,947</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126,830</w:t>
            </w:r>
          </w:p>
        </w:tc>
      </w:tr>
      <w:tr>
        <w:trPr>
          <w:trHeight w:val="26"/>
        </w:trPr>
        <w:tc>
          <w:tcPr>
            <w:tcW w:w="4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68" w:lineRule="exact"/>
        <w:rPr>
          <w:sz w:val="20"/>
          <w:szCs w:val="20"/>
          <w:color w:val="auto"/>
        </w:rPr>
      </w:pPr>
    </w:p>
    <w:p>
      <w:pPr>
        <w:ind w:firstLine="3"/>
        <w:spacing w:after="0" w:line="280" w:lineRule="auto"/>
        <w:tabs>
          <w:tab w:leader="none" w:pos="2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Presentation of prior period changes in accrued warranties has been conformed to the current year presentation. There was no impact to the balance of accrued warranties in any period.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10 </w:t>
      </w:r>
      <w:r>
        <w:rPr>
          <w:rFonts w:ascii="Arial" w:cs="Arial" w:eastAsia="Arial" w:hAnsi="Arial"/>
          <w:sz w:val="18"/>
          <w:szCs w:val="18"/>
          <w:b w:val="1"/>
          <w:bCs w:val="1"/>
          <w:color w:val="auto"/>
        </w:rPr>
        <w:t>Investment in Joint Venture</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14,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$800.0 million secured revolving credit facility established under a credit agreement between Red Iron and HDF. The company's total investment in Red Iron as of May 5, 2023, April 29, 2022 and October 31, 2022 was $53.2 million, $30.9 million, and $39.3 million, respectively. The company has not guaranteed the outstanding indebtedness of Red Iron.</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11 </w:t>
      </w: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costs related to stock-based compensation awards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6"/>
                <w:szCs w:val="16"/>
                <w:b w:val="1"/>
                <w:bCs w:val="1"/>
                <w:color w:val="auto"/>
              </w:rPr>
              <w:t>Six Months Ended</w:t>
            </w:r>
          </w:p>
        </w:tc>
      </w:tr>
      <w:tr>
        <w:trPr>
          <w:trHeight w:val="20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5, 2023</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w w:val="96"/>
              </w:rPr>
              <w:t>April 29, 2022</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8"/>
              </w:rPr>
              <w:t>May 5, 2023</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98"/>
              </w:rPr>
              <w:t>April 29, 2022</w:t>
            </w:r>
          </w:p>
        </w:tc>
      </w:tr>
      <w:tr>
        <w:trPr>
          <w:trHeight w:val="19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awards</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2,715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4,302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w:t>
            </w:r>
          </w:p>
        </w:tc>
      </w:tr>
      <w:tr>
        <w:trPr>
          <w:trHeight w:val="225"/>
        </w:trPr>
        <w:tc>
          <w:tcPr>
            <w:tcW w:w="4580" w:type="dxa"/>
            <w:vAlign w:val="bottom"/>
          </w:tcPr>
          <w:p>
            <w:pPr>
              <w:ind w:left="20"/>
              <w:spacing w:after="0"/>
              <w:rPr>
                <w:sz w:val="20"/>
                <w:szCs w:val="20"/>
                <w:color w:val="auto"/>
              </w:rPr>
            </w:pPr>
            <w:r>
              <w:rPr>
                <w:rFonts w:ascii="Arial" w:cs="Arial" w:eastAsia="Arial" w:hAnsi="Arial"/>
                <w:sz w:val="17"/>
                <w:szCs w:val="17"/>
                <w:color w:val="auto"/>
              </w:rPr>
              <w:t>Performance share awards</w:t>
            </w: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1,301</w:t>
            </w:r>
          </w:p>
        </w:tc>
        <w:tc>
          <w:tcPr>
            <w:tcW w:w="240" w:type="dxa"/>
            <w:vAlign w:val="bottom"/>
          </w:tcPr>
          <w:p>
            <w:pPr>
              <w:spacing w:after="0"/>
              <w:rPr>
                <w:sz w:val="19"/>
                <w:szCs w:val="19"/>
                <w:color w:val="auto"/>
              </w:rPr>
            </w:pPr>
          </w:p>
        </w:tc>
        <w:tc>
          <w:tcPr>
            <w:tcW w:w="1340" w:type="dxa"/>
            <w:vAlign w:val="bottom"/>
          </w:tcPr>
          <w:p>
            <w:pPr>
              <w:jc w:val="right"/>
              <w:ind w:right="78"/>
              <w:spacing w:after="0"/>
              <w:rPr>
                <w:sz w:val="20"/>
                <w:szCs w:val="20"/>
                <w:color w:val="auto"/>
              </w:rPr>
            </w:pPr>
            <w:r>
              <w:rPr>
                <w:rFonts w:ascii="Arial" w:cs="Arial" w:eastAsia="Arial" w:hAnsi="Arial"/>
                <w:sz w:val="17"/>
                <w:szCs w:val="17"/>
                <w:color w:val="auto"/>
              </w:rPr>
              <w:t>1,917</w:t>
            </w:r>
          </w:p>
        </w:tc>
        <w:tc>
          <w:tcPr>
            <w:tcW w:w="30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7"/>
                <w:szCs w:val="17"/>
                <w:color w:val="auto"/>
              </w:rPr>
              <w:t>2,119</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3,538</w:t>
            </w: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 awards</w:t>
            </w: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1,276</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3,241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w:t>
            </w:r>
          </w:p>
        </w:tc>
      </w:tr>
      <w:tr>
        <w:trPr>
          <w:trHeight w:val="20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Unrestricted common stock awards</w:t>
            </w: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1,086</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r>
      <w:tr>
        <w:trPr>
          <w:trHeight w:val="232"/>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compensation cost for stock-based compensation awards</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5,908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10,748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11,133</w:t>
            </w: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Awards</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5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table below illustrates the weighted-average valuation assumptions used under the Black-Scholes valuation method for options granted in the first six months of the following fiscal periods: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2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tcPr>
          <w:p>
            <w:pPr>
              <w:ind w:left="2600"/>
              <w:spacing w:after="0"/>
              <w:rPr>
                <w:sz w:val="20"/>
                <w:szCs w:val="20"/>
                <w:color w:val="auto"/>
              </w:rPr>
            </w:pPr>
            <w:r>
              <w:rPr>
                <w:rFonts w:ascii="Arial" w:cs="Arial" w:eastAsia="Arial" w:hAnsi="Arial"/>
                <w:sz w:val="16"/>
                <w:szCs w:val="16"/>
                <w:b w:val="1"/>
                <w:bCs w:val="1"/>
                <w:color w:val="auto"/>
              </w:rPr>
              <w:t>Fiscal 2023</w:t>
            </w:r>
          </w:p>
        </w:tc>
        <w:tc>
          <w:tcPr>
            <w:tcW w:w="14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Fiscal 2022</w:t>
            </w: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option in years</w:t>
            </w:r>
          </w:p>
        </w:tc>
        <w:tc>
          <w:tcPr>
            <w:tcW w:w="374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89"/>
              </w:rPr>
              <w:t>6.32</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6.19</w:t>
            </w:r>
          </w:p>
        </w:tc>
      </w:tr>
      <w:tr>
        <w:trPr>
          <w:trHeight w:val="205"/>
        </w:trPr>
        <w:tc>
          <w:tcPr>
            <w:tcW w:w="602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3740" w:type="dxa"/>
            <w:vAlign w:val="bottom"/>
          </w:tcPr>
          <w:p>
            <w:pPr>
              <w:jc w:val="center"/>
              <w:ind w:left="2120"/>
              <w:spacing w:after="0"/>
              <w:rPr>
                <w:sz w:val="20"/>
                <w:szCs w:val="20"/>
                <w:color w:val="auto"/>
              </w:rPr>
            </w:pPr>
            <w:r>
              <w:rPr>
                <w:rFonts w:ascii="Arial" w:cs="Arial" w:eastAsia="Arial" w:hAnsi="Arial"/>
                <w:sz w:val="16"/>
                <w:szCs w:val="16"/>
                <w:color w:val="auto"/>
                <w:w w:val="92"/>
              </w:rPr>
              <w:t>25.20%</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23.76%</w:t>
            </w:r>
          </w:p>
        </w:tc>
      </w:tr>
      <w:tr>
        <w:trPr>
          <w:trHeight w:val="208"/>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740" w:type="dxa"/>
            <w:vAlign w:val="bottom"/>
            <w:shd w:val="clear" w:color="auto" w:fill="CCEEFF"/>
          </w:tcPr>
          <w:p>
            <w:pPr>
              <w:jc w:val="center"/>
              <w:ind w:left="2120"/>
              <w:spacing w:after="0"/>
              <w:rPr>
                <w:sz w:val="20"/>
                <w:szCs w:val="20"/>
                <w:color w:val="auto"/>
              </w:rPr>
            </w:pPr>
            <w:r>
              <w:rPr>
                <w:rFonts w:ascii="Arial" w:cs="Arial" w:eastAsia="Arial" w:hAnsi="Arial"/>
                <w:sz w:val="16"/>
                <w:szCs w:val="16"/>
                <w:color w:val="auto"/>
                <w:w w:val="92"/>
              </w:rPr>
              <w:t>3.79%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1.30%</w:t>
            </w:r>
          </w:p>
        </w:tc>
      </w:tr>
      <w:tr>
        <w:trPr>
          <w:trHeight w:val="212"/>
        </w:trPr>
        <w:tc>
          <w:tcPr>
            <w:tcW w:w="6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740" w:type="dxa"/>
            <w:vAlign w:val="bottom"/>
          </w:tcPr>
          <w:p>
            <w:pPr>
              <w:jc w:val="center"/>
              <w:ind w:left="2120"/>
              <w:spacing w:after="0"/>
              <w:rPr>
                <w:sz w:val="20"/>
                <w:szCs w:val="20"/>
                <w:color w:val="auto"/>
              </w:rPr>
            </w:pPr>
            <w:r>
              <w:rPr>
                <w:rFonts w:ascii="Arial" w:cs="Arial" w:eastAsia="Arial" w:hAnsi="Arial"/>
                <w:sz w:val="16"/>
                <w:szCs w:val="16"/>
                <w:color w:val="auto"/>
                <w:w w:val="92"/>
              </w:rPr>
              <w:t>0.95%</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0.94%</w:t>
            </w:r>
          </w:p>
        </w:tc>
      </w:tr>
      <w:tr>
        <w:trPr>
          <w:trHeight w:val="21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Per share weighted-average fair value at date of grant</w:t>
            </w:r>
          </w:p>
        </w:tc>
        <w:tc>
          <w:tcPr>
            <w:tcW w:w="3740" w:type="dxa"/>
            <w:vAlign w:val="bottom"/>
            <w:tcBorders>
              <w:bottom w:val="single" w:sz="8" w:color="auto"/>
            </w:tcBorders>
            <w:shd w:val="clear" w:color="auto" w:fill="CCEEFF"/>
          </w:tcPr>
          <w:p>
            <w:pPr>
              <w:jc w:val="center"/>
              <w:ind w:left="2140"/>
              <w:spacing w:after="0"/>
              <w:rPr>
                <w:sz w:val="20"/>
                <w:szCs w:val="20"/>
                <w:color w:val="auto"/>
              </w:rPr>
            </w:pPr>
            <w:r>
              <w:rPr>
                <w:rFonts w:ascii="Arial" w:cs="Arial" w:eastAsia="Arial" w:hAnsi="Arial"/>
                <w:sz w:val="16"/>
                <w:szCs w:val="16"/>
                <w:color w:val="auto"/>
                <w:w w:val="89"/>
              </w:rPr>
              <w:t>$33.22</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$22.57</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Awards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2023 and 2022 was $112.14 and $98.41, respectively. No performance share awards were granted during the second quarter of fiscal 2023 and 2022.</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six months of fiscal 2023 and 2022 was $109.83 and $98.43,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Unrestricted Common Stock Awards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first six months of fiscal 2023 and 2022, 10,329 and 6,453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 No shares of fully vested unrestricted common stock awards were granted during the second quarter of fiscal 2023 and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12 </w:t>
      </w:r>
      <w:r>
        <w:rPr>
          <w:rFonts w:ascii="Arial" w:cs="Arial" w:eastAsia="Arial" w:hAnsi="Arial"/>
          <w:sz w:val="18"/>
          <w:szCs w:val="18"/>
          <w:b w:val="1"/>
          <w:bCs w:val="1"/>
          <w:color w:val="auto"/>
        </w:rPr>
        <w:t>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Loss</w:t>
      </w:r>
    </w:p>
    <w:p>
      <w:pPr>
        <w:spacing w:after="0" w:line="114"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components of accumulated other comprehensive loss ("AOCL"), net of tax, within the Condensed Consolidated Statements of Stockholders' Equity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May 5, 2023</w:t>
            </w: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April 29, 2022</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3"/>
              </w:rPr>
              <w:t>October 31, 2022</w:t>
            </w: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32,334</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34,933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51,321</w:t>
            </w:r>
          </w:p>
        </w:tc>
      </w:tr>
      <w:tr>
        <w:trPr>
          <w:trHeight w:val="205"/>
        </w:trPr>
        <w:tc>
          <w:tcPr>
            <w:tcW w:w="4500" w:type="dxa"/>
            <w:vAlign w:val="bottom"/>
          </w:tcPr>
          <w:p>
            <w:pPr>
              <w:ind w:left="20"/>
              <w:spacing w:after="0"/>
              <w:rPr>
                <w:sz w:val="20"/>
                <w:szCs w:val="20"/>
                <w:color w:val="auto"/>
              </w:rPr>
            </w:pPr>
            <w:r>
              <w:rPr>
                <w:rFonts w:ascii="Arial" w:cs="Arial" w:eastAsia="Arial" w:hAnsi="Arial"/>
                <w:sz w:val="16"/>
                <w:szCs w:val="16"/>
                <w:color w:val="auto"/>
              </w:rPr>
              <w:t>Pension benefits</w:t>
            </w:r>
          </w:p>
        </w:tc>
        <w:tc>
          <w:tcPr>
            <w:tcW w:w="1880" w:type="dxa"/>
            <w:vAlign w:val="bottom"/>
          </w:tcPr>
          <w:p>
            <w:pPr>
              <w:spacing w:after="0"/>
              <w:rPr>
                <w:sz w:val="17"/>
                <w:szCs w:val="17"/>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3,621</w:t>
            </w: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3,899</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3,621</w:t>
            </w:r>
          </w:p>
        </w:tc>
      </w:tr>
      <w:tr>
        <w:trPr>
          <w:trHeight w:val="207"/>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 derivative instruments</w:t>
            </w:r>
          </w:p>
        </w:tc>
        <w:tc>
          <w:tcPr>
            <w:tcW w:w="18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(6,770)</w:t>
            </w:r>
          </w:p>
        </w:tc>
        <w:tc>
          <w:tcPr>
            <w:tcW w:w="2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(11,009)</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(21,817)</w:t>
            </w:r>
          </w:p>
        </w:tc>
      </w:tr>
      <w:tr>
        <w:trPr>
          <w:trHeight w:val="207"/>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accumulated other comprehensive loss</w:t>
            </w:r>
          </w:p>
        </w:tc>
        <w:tc>
          <w:tcPr>
            <w:tcW w:w="1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29,185</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27,823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33,125</w:t>
            </w:r>
          </w:p>
        </w:tc>
      </w:tr>
      <w:tr>
        <w:trPr>
          <w:trHeight w:val="26"/>
        </w:trPr>
        <w:tc>
          <w:tcPr>
            <w:tcW w:w="4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and activity of AOCL, net of tax, for the three and six month periods ended May 5, 2023 and April 29, 2022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40"/>
              <w:spacing w:after="0" w:line="168" w:lineRule="exact"/>
              <w:rPr>
                <w:sz w:val="20"/>
                <w:szCs w:val="20"/>
                <w:color w:val="auto"/>
              </w:rPr>
            </w:pPr>
            <w:r>
              <w:rPr>
                <w:rFonts w:ascii="Arial" w:cs="Arial" w:eastAsia="Arial" w:hAnsi="Arial"/>
                <w:sz w:val="16"/>
                <w:szCs w:val="16"/>
                <w:b w:val="1"/>
                <w:bCs w:val="1"/>
                <w:color w:val="auto"/>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3"/>
              </w:rPr>
              <w:t>Currency</w:t>
            </w:r>
          </w:p>
        </w:tc>
        <w:tc>
          <w:tcPr>
            <w:tcW w:w="320" w:type="dxa"/>
            <w:vAlign w:val="bottom"/>
          </w:tcPr>
          <w:p>
            <w:pPr>
              <w:spacing w:after="0"/>
              <w:rPr>
                <w:sz w:val="13"/>
                <w:szCs w:val="13"/>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center"/>
              <w:ind w:right="160"/>
              <w:spacing w:after="0" w:line="163" w:lineRule="exact"/>
              <w:rPr>
                <w:sz w:val="20"/>
                <w:szCs w:val="20"/>
                <w:color w:val="auto"/>
              </w:rPr>
            </w:pPr>
            <w:r>
              <w:rPr>
                <w:rFonts w:ascii="Arial" w:cs="Arial" w:eastAsia="Arial" w:hAnsi="Arial"/>
                <w:sz w:val="16"/>
                <w:szCs w:val="16"/>
                <w:b w:val="1"/>
                <w:bCs w:val="1"/>
                <w:color w:val="auto"/>
                <w:w w:val="90"/>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80"/>
              <w:spacing w:after="0" w:line="163"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88"/>
              </w:rPr>
              <w:t>Adjustments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February 3, 2023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30,139</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28,605</w:t>
            </w: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90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2,195</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3,040</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0" w:type="dxa"/>
            <w:vAlign w:val="bottom"/>
          </w:tcPr>
          <w:p>
            <w:pPr>
              <w:spacing w:after="0"/>
              <w:rPr>
                <w:sz w:val="1"/>
                <w:szCs w:val="1"/>
                <w:color w:val="auto"/>
              </w:rPr>
            </w:pPr>
          </w:p>
        </w:tc>
      </w:tr>
      <w:tr>
        <w:trPr>
          <w:trHeight w:val="19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2,195</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32"/>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5,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32,334</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(6,770)</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jc w:val="center"/>
              <w:ind w:right="180"/>
              <w:spacing w:after="0" w:line="148"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jc w:val="center"/>
              <w:ind w:right="140"/>
              <w:spacing w:after="0" w:line="155"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center"/>
              <w:ind w:right="160"/>
              <w:spacing w:after="0" w:line="163" w:lineRule="exact"/>
              <w:rPr>
                <w:sz w:val="20"/>
                <w:szCs w:val="20"/>
                <w:color w:val="auto"/>
              </w:rPr>
            </w:pPr>
            <w:r>
              <w:rPr>
                <w:rFonts w:ascii="Arial" w:cs="Arial" w:eastAsia="Arial" w:hAnsi="Arial"/>
                <w:sz w:val="16"/>
                <w:szCs w:val="16"/>
                <w:b w:val="1"/>
                <w:bCs w:val="1"/>
                <w:color w:val="auto"/>
                <w:w w:val="90"/>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60"/>
              <w:spacing w:after="0" w:line="163" w:lineRule="exact"/>
              <w:rPr>
                <w:sz w:val="20"/>
                <w:szCs w:val="20"/>
                <w:color w:val="auto"/>
              </w:rPr>
            </w:pPr>
            <w:r>
              <w:rPr>
                <w:rFonts w:ascii="Arial" w:cs="Arial" w:eastAsia="Arial" w:hAnsi="Arial"/>
                <w:sz w:val="16"/>
                <w:szCs w:val="16"/>
                <w:b w:val="1"/>
                <w:bCs w:val="1"/>
                <w:color w:val="auto"/>
                <w:w w:val="94"/>
              </w:rPr>
              <w:t>Derivative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51,321</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(21,817)</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33,125</w:t>
            </w: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9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(18,987)</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24,626</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5,639</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0" w:type="dxa"/>
            <w:vAlign w:val="bottom"/>
          </w:tcPr>
          <w:p>
            <w:pPr>
              <w:spacing w:after="0"/>
              <w:rPr>
                <w:sz w:val="1"/>
                <w:szCs w:val="1"/>
                <w:color w:val="auto"/>
              </w:rPr>
            </w:pPr>
          </w:p>
        </w:tc>
      </w:tr>
      <w:tr>
        <w:trPr>
          <w:trHeight w:val="19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(18,987)</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15,047</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w:t>
            </w:r>
          </w:p>
        </w:tc>
        <w:tc>
          <w:tcPr>
            <w:tcW w:w="0" w:type="dxa"/>
            <w:vAlign w:val="bottom"/>
          </w:tcPr>
          <w:p>
            <w:pPr>
              <w:spacing w:after="0"/>
              <w:rPr>
                <w:sz w:val="1"/>
                <w:szCs w:val="1"/>
                <w:color w:val="auto"/>
              </w:rPr>
            </w:pPr>
          </w:p>
        </w:tc>
      </w:tr>
      <w:tr>
        <w:trPr>
          <w:trHeight w:val="232"/>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5,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32,334</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(6,770)</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jc w:val="center"/>
              <w:ind w:right="180"/>
              <w:spacing w:after="0" w:line="156"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00" w:type="dxa"/>
            <w:vAlign w:val="bottom"/>
          </w:tcPr>
          <w:p>
            <w:pPr>
              <w:spacing w:after="0"/>
              <w:rPr>
                <w:sz w:val="13"/>
                <w:szCs w:val="13"/>
                <w:color w:val="auto"/>
              </w:rPr>
            </w:pPr>
          </w:p>
        </w:tc>
        <w:tc>
          <w:tcPr>
            <w:tcW w:w="130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0"/>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28, 2022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25,525</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90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9,408</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(7,175)</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9,408</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(7,199)</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24"/>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29,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34,933</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(11,009)</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jc w:val="center"/>
              <w:ind w:right="180"/>
              <w:spacing w:after="0" w:line="156"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00" w:type="dxa"/>
            <w:vAlign w:val="bottom"/>
          </w:tcPr>
          <w:p>
            <w:pPr>
              <w:spacing w:after="0"/>
              <w:rPr>
                <w:sz w:val="13"/>
                <w:szCs w:val="13"/>
                <w:color w:val="auto"/>
              </w:rPr>
            </w:pPr>
          </w:p>
        </w:tc>
        <w:tc>
          <w:tcPr>
            <w:tcW w:w="130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0"/>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19,535</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2,562</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25,996</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90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15,398</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(13,816)</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245</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15,398</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24"/>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29,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34,933</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(11,009)</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 xml:space="preserve">For additional information on the components reclassified from AOCL to the respective line items in net earnings for derivative instruments refer to Note 16,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13 </w:t>
      </w:r>
      <w:r>
        <w:rPr>
          <w:rFonts w:ascii="Arial" w:cs="Arial" w:eastAsia="Arial" w:hAnsi="Arial"/>
          <w:sz w:val="18"/>
          <w:szCs w:val="18"/>
          <w:b w:val="1"/>
          <w:bCs w:val="1"/>
          <w:color w:val="auto"/>
        </w:rPr>
        <w:t>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basic and diluted weighted-average number of shares of common stock outstanding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6"/>
                <w:szCs w:val="16"/>
                <w:b w:val="1"/>
                <w:bCs w:val="1"/>
                <w:color w:val="auto"/>
              </w:rPr>
              <w:t>Three Months Ended</w:t>
            </w:r>
          </w:p>
        </w:tc>
        <w:tc>
          <w:tcPr>
            <w:tcW w:w="292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6"/>
                <w:szCs w:val="16"/>
                <w:b w:val="1"/>
                <w:bCs w:val="1"/>
                <w:color w:val="auto"/>
              </w:rPr>
              <w:t>Six Months Ended</w:t>
            </w:r>
          </w:p>
        </w:tc>
      </w:tr>
      <w:tr>
        <w:trPr>
          <w:trHeight w:val="208"/>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(Shares in thousands)</w:t>
            </w:r>
          </w:p>
        </w:tc>
        <w:tc>
          <w:tcPr>
            <w:tcW w:w="16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May 5, 2023</w:t>
            </w:r>
          </w:p>
        </w:tc>
        <w:tc>
          <w:tcPr>
            <w:tcW w:w="15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April 29, 2022</w:t>
            </w: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May 5, 2023</w:t>
            </w:r>
          </w:p>
        </w:tc>
        <w:tc>
          <w:tcPr>
            <w:tcW w:w="14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April 29, 2022</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line="167" w:lineRule="exact"/>
              <w:rPr>
                <w:sz w:val="20"/>
                <w:szCs w:val="20"/>
                <w:color w:val="auto"/>
              </w:rPr>
            </w:pPr>
            <w:r>
              <w:rPr>
                <w:rFonts w:ascii="Arial" w:cs="Arial" w:eastAsia="Arial" w:hAnsi="Arial"/>
                <w:sz w:val="16"/>
                <w:szCs w:val="16"/>
                <w:i w:val="1"/>
                <w:iCs w:val="1"/>
                <w:color w:val="auto"/>
                <w:w w:val="86"/>
              </w:rPr>
              <w:t>Basic</w:t>
            </w:r>
          </w:p>
        </w:tc>
        <w:tc>
          <w:tcPr>
            <w:tcW w:w="4820" w:type="dxa"/>
            <w:vAlign w:val="bottom"/>
            <w:tcBorders>
              <w:bottom w:val="single" w:sz="8" w:color="CCEEFF"/>
            </w:tcBorders>
            <w:gridSpan w:val="2"/>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5180" w:type="dxa"/>
            <w:vAlign w:val="bottom"/>
            <w:gridSpan w:val="3"/>
          </w:tcPr>
          <w:p>
            <w:pPr>
              <w:spacing w:after="0"/>
              <w:rPr>
                <w:sz w:val="20"/>
                <w:szCs w:val="20"/>
                <w:color w:val="auto"/>
              </w:rPr>
            </w:pPr>
            <w:r>
              <w:rPr>
                <w:rFonts w:ascii="Arial" w:cs="Arial" w:eastAsia="Arial" w:hAnsi="Arial"/>
                <w:sz w:val="16"/>
                <w:szCs w:val="16"/>
                <w:color w:val="auto"/>
              </w:rPr>
              <w:t>Weighted-average number of shares of common stock</w:t>
            </w:r>
          </w:p>
        </w:tc>
        <w:tc>
          <w:tcPr>
            <w:tcW w:w="1600" w:type="dxa"/>
            <w:vAlign w:val="bottom"/>
          </w:tcPr>
          <w:p>
            <w:pPr>
              <w:jc w:val="right"/>
              <w:ind w:right="100"/>
              <w:spacing w:after="0"/>
              <w:rPr>
                <w:sz w:val="20"/>
                <w:szCs w:val="20"/>
                <w:color w:val="auto"/>
              </w:rPr>
            </w:pPr>
            <w:r>
              <w:rPr>
                <w:rFonts w:ascii="Arial" w:cs="Arial" w:eastAsia="Arial" w:hAnsi="Arial"/>
                <w:sz w:val="16"/>
                <w:szCs w:val="16"/>
                <w:color w:val="auto"/>
              </w:rPr>
              <w:t>104,650</w:t>
            </w:r>
          </w:p>
        </w:tc>
        <w:tc>
          <w:tcPr>
            <w:tcW w:w="1520" w:type="dxa"/>
            <w:vAlign w:val="bottom"/>
          </w:tcPr>
          <w:p>
            <w:pPr>
              <w:jc w:val="right"/>
              <w:ind w:right="160"/>
              <w:spacing w:after="0"/>
              <w:rPr>
                <w:sz w:val="20"/>
                <w:szCs w:val="20"/>
                <w:color w:val="auto"/>
              </w:rPr>
            </w:pPr>
            <w:r>
              <w:rPr>
                <w:rFonts w:ascii="Arial" w:cs="Arial" w:eastAsia="Arial" w:hAnsi="Arial"/>
                <w:sz w:val="16"/>
                <w:szCs w:val="16"/>
                <w:color w:val="auto"/>
              </w:rPr>
              <w:t>104,928</w:t>
            </w: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104,565</w:t>
            </w:r>
          </w:p>
        </w:tc>
        <w:tc>
          <w:tcPr>
            <w:tcW w:w="1420" w:type="dxa"/>
            <w:vAlign w:val="bottom"/>
          </w:tcPr>
          <w:p>
            <w:pPr>
              <w:jc w:val="right"/>
              <w:spacing w:after="0"/>
              <w:rPr>
                <w:sz w:val="20"/>
                <w:szCs w:val="20"/>
                <w:color w:val="auto"/>
              </w:rPr>
            </w:pPr>
            <w:r>
              <w:rPr>
                <w:rFonts w:ascii="Arial" w:cs="Arial" w:eastAsia="Arial" w:hAnsi="Arial"/>
                <w:sz w:val="16"/>
                <w:szCs w:val="16"/>
                <w:color w:val="auto"/>
              </w:rPr>
              <w:t>104,971</w:t>
            </w:r>
          </w:p>
        </w:tc>
      </w:tr>
      <w:tr>
        <w:trPr>
          <w:trHeight w:val="214"/>
        </w:trPr>
        <w:tc>
          <w:tcPr>
            <w:tcW w:w="20" w:type="dxa"/>
            <w:vAlign w:val="bottom"/>
            <w:tcBorders>
              <w:bottom w:val="single" w:sz="8" w:color="auto"/>
            </w:tcBorders>
            <w:shd w:val="clear" w:color="auto" w:fill="CCEEFF"/>
          </w:tcPr>
          <w:p>
            <w:pPr>
              <w:spacing w:after="0"/>
              <w:rPr>
                <w:sz w:val="18"/>
                <w:szCs w:val="18"/>
                <w:color w:val="auto"/>
              </w:rPr>
            </w:pPr>
          </w:p>
        </w:tc>
        <w:tc>
          <w:tcPr>
            <w:tcW w:w="5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Assumed issuance of contingent shares</w:t>
            </w:r>
          </w:p>
        </w:tc>
        <w:tc>
          <w:tcPr>
            <w:tcW w:w="16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5"/>
        </w:trPr>
        <w:tc>
          <w:tcPr>
            <w:tcW w:w="2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8"/>
              </w:rPr>
              <w:t>Weighted-average number of shares of common stock outstanding - Basic</w:t>
            </w:r>
          </w:p>
        </w:tc>
        <w:tc>
          <w:tcPr>
            <w:tcW w:w="16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104,650</w:t>
            </w:r>
          </w:p>
        </w:tc>
        <w:tc>
          <w:tcPr>
            <w:tcW w:w="15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104,928</w:t>
            </w:r>
          </w:p>
        </w:tc>
        <w:tc>
          <w:tcPr>
            <w:tcW w:w="15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104,574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104,982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6"/>
                <w:szCs w:val="16"/>
                <w:i w:val="1"/>
                <w:iCs w:val="1"/>
                <w:color w:val="auto"/>
                <w:w w:val="92"/>
              </w:rPr>
              <w:t>Diluted</w:t>
            </w:r>
          </w:p>
        </w:tc>
        <w:tc>
          <w:tcPr>
            <w:tcW w:w="47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6"/>
                <w:szCs w:val="16"/>
                <w:color w:val="auto"/>
                <w:w w:val="98"/>
              </w:rPr>
              <w:t>Weighted-average number of shares of common stock outstanding - Basic</w:t>
            </w:r>
          </w:p>
        </w:tc>
        <w:tc>
          <w:tcPr>
            <w:tcW w:w="1600" w:type="dxa"/>
            <w:vAlign w:val="bottom"/>
          </w:tcPr>
          <w:p>
            <w:pPr>
              <w:jc w:val="right"/>
              <w:ind w:right="100"/>
              <w:spacing w:after="0"/>
              <w:rPr>
                <w:sz w:val="20"/>
                <w:szCs w:val="20"/>
                <w:color w:val="auto"/>
              </w:rPr>
            </w:pPr>
            <w:r>
              <w:rPr>
                <w:rFonts w:ascii="Arial" w:cs="Arial" w:eastAsia="Arial" w:hAnsi="Arial"/>
                <w:sz w:val="16"/>
                <w:szCs w:val="16"/>
                <w:color w:val="auto"/>
              </w:rPr>
              <w:t>104,650</w:t>
            </w:r>
          </w:p>
        </w:tc>
        <w:tc>
          <w:tcPr>
            <w:tcW w:w="1520" w:type="dxa"/>
            <w:vAlign w:val="bottom"/>
          </w:tcPr>
          <w:p>
            <w:pPr>
              <w:jc w:val="right"/>
              <w:ind w:right="160"/>
              <w:spacing w:after="0"/>
              <w:rPr>
                <w:sz w:val="20"/>
                <w:szCs w:val="20"/>
                <w:color w:val="auto"/>
              </w:rPr>
            </w:pPr>
            <w:r>
              <w:rPr>
                <w:rFonts w:ascii="Arial" w:cs="Arial" w:eastAsia="Arial" w:hAnsi="Arial"/>
                <w:sz w:val="16"/>
                <w:szCs w:val="16"/>
                <w:color w:val="auto"/>
              </w:rPr>
              <w:t>104,928</w:t>
            </w: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104,574</w:t>
            </w:r>
          </w:p>
        </w:tc>
        <w:tc>
          <w:tcPr>
            <w:tcW w:w="1420" w:type="dxa"/>
            <w:vAlign w:val="bottom"/>
          </w:tcPr>
          <w:p>
            <w:pPr>
              <w:jc w:val="right"/>
              <w:spacing w:after="0"/>
              <w:rPr>
                <w:sz w:val="20"/>
                <w:szCs w:val="20"/>
                <w:color w:val="auto"/>
              </w:rPr>
            </w:pPr>
            <w:r>
              <w:rPr>
                <w:rFonts w:ascii="Arial" w:cs="Arial" w:eastAsia="Arial" w:hAnsi="Arial"/>
                <w:sz w:val="16"/>
                <w:szCs w:val="16"/>
                <w:color w:val="auto"/>
              </w:rPr>
              <w:t>104,982</w:t>
            </w:r>
          </w:p>
        </w:tc>
      </w:tr>
      <w:tr>
        <w:trPr>
          <w:trHeight w:val="213"/>
        </w:trPr>
        <w:tc>
          <w:tcPr>
            <w:tcW w:w="20" w:type="dxa"/>
            <w:vAlign w:val="bottom"/>
            <w:tcBorders>
              <w:bottom w:val="single" w:sz="8" w:color="auto"/>
            </w:tcBorders>
            <w:shd w:val="clear" w:color="auto" w:fill="CCEEFF"/>
          </w:tcPr>
          <w:p>
            <w:pPr>
              <w:spacing w:after="0"/>
              <w:rPr>
                <w:sz w:val="18"/>
                <w:szCs w:val="18"/>
                <w:color w:val="auto"/>
              </w:rPr>
            </w:pPr>
          </w:p>
        </w:tc>
        <w:tc>
          <w:tcPr>
            <w:tcW w:w="5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Effect of dilutive shares</w:t>
            </w:r>
          </w:p>
        </w:tc>
        <w:tc>
          <w:tcPr>
            <w:tcW w:w="16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921</w:t>
            </w:r>
          </w:p>
        </w:tc>
        <w:tc>
          <w:tcPr>
            <w:tcW w:w="1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818</w:t>
            </w:r>
          </w:p>
        </w:tc>
        <w:tc>
          <w:tcPr>
            <w:tcW w:w="15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999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199"/>
        </w:trPr>
        <w:tc>
          <w:tcPr>
            <w:tcW w:w="2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Weighted-average number of shares of common stock outstanding - Diluted</w:t>
            </w:r>
          </w:p>
        </w:tc>
        <w:tc>
          <w:tcPr>
            <w:tcW w:w="16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105,571</w:t>
            </w:r>
          </w:p>
        </w:tc>
        <w:tc>
          <w:tcPr>
            <w:tcW w:w="15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105,746</w:t>
            </w:r>
          </w:p>
        </w:tc>
        <w:tc>
          <w:tcPr>
            <w:tcW w:w="15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105,573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105,894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effect of dilutive shares from stock option awards and restricted stock unit awards is computed under the treasury stock method. Stock option awards to purchase 504,057 and 1,038,598 shares of common stock during the second quarter of fiscal 2023 and 2022, respectively, and to purchase 385,105 and 586,359 shares of common stock during the first six months of fiscal 2023 and 2022, respectively, were excluded from the computation of diluted net earnings per share of common stock because they were anti-dilutive.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14 </w:t>
      </w:r>
      <w:r>
        <w:rPr>
          <w:rFonts w:ascii="Arial" w:cs="Arial" w:eastAsia="Arial" w:hAnsi="Arial"/>
          <w:sz w:val="18"/>
          <w:szCs w:val="18"/>
          <w:b w:val="1"/>
          <w:bCs w:val="1"/>
          <w:color w:val="auto"/>
        </w:rPr>
        <w:t>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Financing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Financing</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net amount of receivables financed for dealers and distributors under this arrangement with Red Iron for the six months ended May 5, 2023 and April 29, 2022 were $1,470.1 million and $1,209.7 million, respectively. The total amount of net receivables outstanding under this arrangement with Red Iron as of May 5, 2023, April 29, 2022, and October 31, 2022 were $1,095.8 million, $650.7 million and $776.1 million, respectively. The total amount of receivables due from Red Iron to the company as of May 5, 2023, April 29, 2022, and October 31, 2022 were $34.7 million, $19.9 million and $17.7 million, respectively.</w:t>
      </w:r>
    </w:p>
    <w:p>
      <w:pPr>
        <w:spacing w:after="0" w:line="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net amount of receivables financed for dealers and distributors under the arrangements with HCFC and the other third-party financial institutions for the six months ended May 5, 2023 and April 29, 2022 were $247.5 million and $266.2 million, respectively. As of May 5, 2023, April 29, 2022, and October 31, 2022, $194.2 million, $223.7 million and $220.0 million of receivables financed by HCFC and the other third-party financial institutions were outstanding,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Repurchase Agreements</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May 5, 2023, April 29, 2022 and October 31, 2022, the company was contingently liable to repurchase up to a maximum amount of $111.1 million, $85.6 million and $80.0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six months ended May 5, 2023 and April 29, 2022.</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8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15 </w:t>
      </w: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lease expense incurred on the company’s operating, short-term, and variable leases: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Six Months Ended</w:t>
            </w:r>
          </w:p>
        </w:tc>
      </w:tr>
      <w:tr>
        <w:trPr>
          <w:trHeight w:val="208"/>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5, 2023</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4"/>
              </w:rPr>
              <w:t>April 29, 2022</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5, 2023</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8"/>
              </w:rPr>
              <w:t>April 29, 2022</w:t>
            </w:r>
          </w:p>
        </w:tc>
      </w:tr>
      <w:tr>
        <w:trPr>
          <w:trHeight w:val="205"/>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6,306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12,930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12,471</w:t>
            </w: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Short-term lease expense</w:t>
            </w:r>
          </w:p>
        </w:tc>
        <w:tc>
          <w:tcPr>
            <w:tcW w:w="200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1,044</w:t>
            </w:r>
          </w:p>
        </w:tc>
        <w:tc>
          <w:tcPr>
            <w:tcW w:w="22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1,727</w:t>
            </w:r>
          </w:p>
        </w:tc>
        <w:tc>
          <w:tcPr>
            <w:tcW w:w="28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1,912</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3,142</w:t>
            </w:r>
          </w:p>
        </w:tc>
      </w:tr>
      <w:tr>
        <w:trPr>
          <w:trHeight w:val="214"/>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Variable lease expense</w:t>
            </w:r>
          </w:p>
        </w:tc>
        <w:tc>
          <w:tcPr>
            <w:tcW w:w="20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lease expense</w:t>
            </w:r>
          </w:p>
        </w:tc>
        <w:tc>
          <w:tcPr>
            <w:tcW w:w="2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14,924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15,613</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supplemental cash flow information related to the company's operating leases:</w:t>
      </w:r>
    </w:p>
    <w:p>
      <w:pPr>
        <w:spacing w:after="0" w:line="148"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Six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7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5, 2023</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6"/>
              </w:rPr>
              <w:t>April 29, 2022</w:t>
            </w:r>
          </w:p>
        </w:tc>
      </w:t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for amounts included in the measurement of lease liabilities</w:t>
            </w: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11,243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w:t>
            </w:r>
          </w:p>
        </w:tc>
      </w:tr>
      <w:tr>
        <w:trPr>
          <w:trHeight w:val="205"/>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15,896</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other lease information related to the company's operating leases: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4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May 5, 2023</w:t>
            </w:r>
          </w:p>
        </w:tc>
        <w:tc>
          <w:tcPr>
            <w:tcW w:w="17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April 29, 2022</w:t>
            </w:r>
          </w:p>
        </w:tc>
        <w:tc>
          <w:tcPr>
            <w:tcW w:w="16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October 31, 2022</w:t>
            </w:r>
          </w:p>
        </w:tc>
      </w:tr>
      <w:tr>
        <w:trPr>
          <w:trHeight w:val="205"/>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of operating leases in years</w:t>
            </w:r>
          </w:p>
        </w:tc>
        <w:tc>
          <w:tcPr>
            <w:tcW w:w="25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5.6</w:t>
            </w:r>
          </w:p>
        </w:tc>
        <w:tc>
          <w:tcPr>
            <w:tcW w:w="1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Weighted-average discount rate of operating leases</w:t>
            </w:r>
          </w:p>
        </w:tc>
        <w:tc>
          <w:tcPr>
            <w:tcW w:w="2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3.65 %</w:t>
            </w:r>
          </w:p>
        </w:tc>
        <w:tc>
          <w:tcPr>
            <w:tcW w:w="1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2.94 %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3.53 %</w:t>
            </w:r>
          </w:p>
        </w:tc>
      </w:tr>
    </w:tbl>
    <w:p>
      <w:pPr>
        <w:spacing w:after="0" w:line="194"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May 5,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5, 2023</w:t>
            </w:r>
          </w:p>
        </w:tc>
      </w:tr>
      <w:tr>
        <w:trPr>
          <w:trHeight w:val="20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w:t>
            </w:r>
          </w:p>
        </w:tc>
        <w:tc>
          <w:tcPr>
            <w:tcW w:w="3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8,486</w:t>
            </w:r>
          </w:p>
        </w:tc>
      </w:tr>
      <w:tr>
        <w:trPr>
          <w:trHeight w:val="205"/>
        </w:trPr>
        <w:tc>
          <w:tcPr>
            <w:tcW w:w="6440" w:type="dxa"/>
            <w:vAlign w:val="bottom"/>
          </w:tcPr>
          <w:p>
            <w:pPr>
              <w:ind w:left="20"/>
              <w:spacing w:after="0"/>
              <w:rPr>
                <w:sz w:val="20"/>
                <w:szCs w:val="20"/>
                <w:color w:val="auto"/>
              </w:rPr>
            </w:pPr>
            <w:r>
              <w:rPr>
                <w:rFonts w:ascii="Arial" w:cs="Arial" w:eastAsia="Arial" w:hAnsi="Arial"/>
                <w:sz w:val="16"/>
                <w:szCs w:val="16"/>
                <w:color w:val="auto"/>
              </w:rPr>
              <w:t>2024</w:t>
            </w:r>
          </w:p>
        </w:tc>
        <w:tc>
          <w:tcPr>
            <w:tcW w:w="3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18,698</w:t>
            </w:r>
          </w:p>
        </w:tc>
      </w:tr>
      <w:tr>
        <w:trPr>
          <w:trHeight w:val="22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16,568</w:t>
            </w:r>
          </w:p>
        </w:tc>
      </w:tr>
      <w:tr>
        <w:trPr>
          <w:trHeight w:val="205"/>
        </w:trPr>
        <w:tc>
          <w:tcPr>
            <w:tcW w:w="6440" w:type="dxa"/>
            <w:vAlign w:val="bottom"/>
          </w:tcPr>
          <w:p>
            <w:pPr>
              <w:ind w:left="20"/>
              <w:spacing w:after="0"/>
              <w:rPr>
                <w:sz w:val="20"/>
                <w:szCs w:val="20"/>
                <w:color w:val="auto"/>
              </w:rPr>
            </w:pPr>
            <w:r>
              <w:rPr>
                <w:rFonts w:ascii="Arial" w:cs="Arial" w:eastAsia="Arial" w:hAnsi="Arial"/>
                <w:sz w:val="16"/>
                <w:szCs w:val="16"/>
                <w:color w:val="auto"/>
              </w:rPr>
              <w:t>2026</w:t>
            </w:r>
          </w:p>
        </w:tc>
        <w:tc>
          <w:tcPr>
            <w:tcW w:w="3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11,036</w:t>
            </w: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7,695</w:t>
            </w:r>
          </w:p>
        </w:tc>
      </w:tr>
      <w:tr>
        <w:trPr>
          <w:trHeight w:val="212"/>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17,687</w:t>
            </w:r>
          </w:p>
        </w:tc>
      </w:t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operating lease payments</w:t>
            </w:r>
          </w:p>
        </w:tc>
        <w:tc>
          <w:tcPr>
            <w:tcW w:w="3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80,170</w:t>
            </w:r>
          </w:p>
        </w:tc>
      </w:tr>
      <w:tr>
        <w:trPr>
          <w:trHeight w:val="205"/>
        </w:trPr>
        <w:tc>
          <w:tcPr>
            <w:tcW w:w="6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imputed interest</w:t>
            </w:r>
          </w:p>
        </w:tc>
        <w:tc>
          <w:tcPr>
            <w:tcW w:w="3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w:t>
            </w:r>
          </w:p>
        </w:tc>
      </w:tr>
      <w:tr>
        <w:trPr>
          <w:trHeight w:val="232"/>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73,879</w:t>
            </w:r>
          </w:p>
        </w:tc>
      </w:tr>
      <w:tr>
        <w:trPr>
          <w:trHeight w:val="20"/>
        </w:trPr>
        <w:tc>
          <w:tcPr>
            <w:tcW w:w="644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16 </w:t>
      </w:r>
      <w:r>
        <w:rPr>
          <w:rFonts w:ascii="Arial" w:cs="Arial" w:eastAsia="Arial" w:hAnsi="Arial"/>
          <w:sz w:val="18"/>
          <w:szCs w:val="18"/>
          <w:b w:val="1"/>
          <w:bCs w:val="1"/>
          <w:color w:val="auto"/>
        </w:rPr>
        <w:t>Derivative Instruments and Hedging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Management Objective of Using Derivatives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Hedging Instruments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on the Condensed Consolidated Balance Sheets, recognizing future changes in the fair value within other income, net in the Condensed Consolidated Statements of Earnings.</w:t>
      </w:r>
    </w:p>
    <w:p>
      <w:pPr>
        <w:spacing w:after="0" w:line="60" w:lineRule="exact"/>
        <w:rPr>
          <w:sz w:val="20"/>
          <w:szCs w:val="20"/>
          <w:color w:val="auto"/>
        </w:rPr>
      </w:pPr>
    </w:p>
    <w:p>
      <w:pPr>
        <w:ind w:right="1020"/>
        <w:spacing w:after="0" w:line="380" w:lineRule="auto"/>
        <w:rPr>
          <w:sz w:val="20"/>
          <w:szCs w:val="20"/>
          <w:color w:val="auto"/>
        </w:rPr>
      </w:pPr>
      <w:r>
        <w:rPr>
          <w:rFonts w:ascii="Arial" w:cs="Arial" w:eastAsia="Arial" w:hAnsi="Arial"/>
          <w:sz w:val="17"/>
          <w:szCs w:val="17"/>
          <w:color w:val="auto"/>
        </w:rPr>
        <w:t xml:space="preserve">As of May 5, 2023, the notional amount outstanding of forward currency contracts designated as cash flow hedging instruments was $307.7 million. </w:t>
      </w:r>
      <w:r>
        <w:rPr>
          <w:rFonts w:ascii="Arial" w:cs="Arial" w:eastAsia="Arial" w:hAnsi="Arial"/>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May 5, 2023</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April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3"/>
              </w:rPr>
              <w:t>October 31, 2022</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5"/>
        </w:trPr>
        <w:tc>
          <w:tcPr>
            <w:tcW w:w="510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2"/>
        </w:trPr>
        <w:tc>
          <w:tcPr>
            <w:tcW w:w="510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9,688</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14,274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27,733</w:t>
            </w:r>
          </w:p>
        </w:tc>
      </w:tr>
      <w:tr>
        <w:trPr>
          <w:trHeight w:val="214"/>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5"/>
        </w:trPr>
        <w:tc>
          <w:tcPr>
            <w:tcW w:w="51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4"/>
        </w:trPr>
        <w:tc>
          <w:tcPr>
            <w:tcW w:w="5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5,291</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4,729</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w:t>
            </w:r>
          </w:p>
        </w:tc>
      </w:tr>
      <w:tr>
        <w:trPr>
          <w:trHeight w:val="20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assets</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14,979</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33,256</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0"/>
        </w:trPr>
        <w:tc>
          <w:tcPr>
            <w:tcW w:w="5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2"/>
        </w:trPr>
        <w:tc>
          <w:tcPr>
            <w:tcW w:w="510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4"/>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5"/>
        </w:trPr>
        <w:tc>
          <w:tcPr>
            <w:tcW w:w="510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111</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5"/>
        </w:trPr>
        <w:tc>
          <w:tcPr>
            <w:tcW w:w="510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2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liabilities</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
        </w:trPr>
        <w:tc>
          <w:tcPr>
            <w:tcW w:w="5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effects of the master netting arrangements on the fair value of the company’s derivative instruments that are recorded on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17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May 5, 2023</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April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October 31, 2022</w:t>
            </w:r>
          </w:p>
        </w:tc>
      </w:tr>
      <w:tr>
        <w:trPr>
          <w:trHeight w:val="205"/>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Derivative assets:</w:t>
            </w:r>
          </w:p>
        </w:tc>
        <w:tc>
          <w:tcPr>
            <w:tcW w:w="1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5"/>
        </w:trPr>
        <w:tc>
          <w:tcPr>
            <w:tcW w:w="4640" w:type="dxa"/>
            <w:vAlign w:val="bottom"/>
          </w:tcPr>
          <w:p>
            <w:pPr>
              <w:spacing w:after="0"/>
              <w:rPr>
                <w:sz w:val="20"/>
                <w:szCs w:val="20"/>
                <w:color w:val="auto"/>
              </w:rPr>
            </w:pPr>
            <w:r>
              <w:rPr>
                <w:rFonts w:ascii="Arial" w:cs="Arial" w:eastAsia="Arial" w:hAnsi="Arial"/>
                <w:sz w:val="16"/>
                <w:szCs w:val="16"/>
                <w:i w:val="1"/>
                <w:iCs w:val="1"/>
                <w:color w:val="auto"/>
              </w:rPr>
              <w:t>Forward currency contracts:</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1"/>
        </w:trPr>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amount of derivative assets</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15,660</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33,256</w:t>
            </w:r>
          </w:p>
        </w:tc>
      </w:tr>
      <w:tr>
        <w:trPr>
          <w:trHeight w:val="205"/>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Derivative liabilities offsetting derivative assets</w:t>
            </w:r>
          </w:p>
        </w:tc>
        <w:tc>
          <w:tcPr>
            <w:tcW w:w="17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681</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amount of derivative assets</w:t>
            </w: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14,979</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33,256</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0"/>
        </w:trPr>
        <w:tc>
          <w:tcPr>
            <w:tcW w:w="46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1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Derivative liabilities:</w:t>
            </w:r>
          </w:p>
        </w:tc>
        <w:tc>
          <w:tcPr>
            <w:tcW w:w="17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5"/>
        </w:trPr>
        <w:tc>
          <w:tcPr>
            <w:tcW w:w="4640" w:type="dxa"/>
            <w:vAlign w:val="bottom"/>
          </w:tcPr>
          <w:p>
            <w:pPr>
              <w:spacing w:after="0"/>
              <w:rPr>
                <w:sz w:val="20"/>
                <w:szCs w:val="20"/>
                <w:color w:val="auto"/>
              </w:rPr>
            </w:pPr>
            <w:r>
              <w:rPr>
                <w:rFonts w:ascii="Arial" w:cs="Arial" w:eastAsia="Arial" w:hAnsi="Arial"/>
                <w:sz w:val="16"/>
                <w:szCs w:val="16"/>
                <w:i w:val="1"/>
                <w:iCs w:val="1"/>
                <w:color w:val="auto"/>
              </w:rPr>
              <w:t>Forward currency contracts:</w:t>
            </w: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amount of derivative liabilities</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438</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Derivative assets offsetting derivative liabilities</w:t>
            </w:r>
          </w:p>
        </w:tc>
        <w:tc>
          <w:tcPr>
            <w:tcW w:w="17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327</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amount of derivative liabilities</w:t>
            </w: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six months ended May 5, 2023 and April 29,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8"/>
        </w:trPr>
        <w:tc>
          <w:tcPr>
            <w:tcW w:w="5280" w:type="dxa"/>
            <w:vAlign w:val="bottom"/>
          </w:tcPr>
          <w:p>
            <w:pPr>
              <w:spacing w:after="0"/>
              <w:rPr>
                <w:sz w:val="13"/>
                <w:szCs w:val="13"/>
                <w:color w:val="auto"/>
              </w:rPr>
            </w:pPr>
          </w:p>
        </w:tc>
        <w:tc>
          <w:tcPr>
            <w:tcW w:w="2980" w:type="dxa"/>
            <w:vAlign w:val="bottom"/>
            <w:gridSpan w:val="4"/>
          </w:tcPr>
          <w:p>
            <w:pPr>
              <w:jc w:val="center"/>
              <w:spacing w:after="0" w:line="158" w:lineRule="exact"/>
              <w:rPr>
                <w:sz w:val="20"/>
                <w:szCs w:val="20"/>
                <w:color w:val="auto"/>
              </w:rPr>
            </w:pPr>
            <w:r>
              <w:rPr>
                <w:rFonts w:ascii="Arial" w:cs="Arial" w:eastAsia="Arial" w:hAnsi="Arial"/>
                <w:sz w:val="16"/>
                <w:szCs w:val="16"/>
                <w:b w:val="1"/>
                <w:bCs w:val="1"/>
                <w:color w:val="auto"/>
                <w:w w:val="90"/>
              </w:rPr>
              <w:t>Gain (Loss) Reclassified from AOCL into</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0"/>
        </w:trPr>
        <w:tc>
          <w:tcPr>
            <w:tcW w:w="5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90"/>
              </w:rPr>
              <w:t>Earnings</w:t>
            </w: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90"/>
              </w:rPr>
              <w:t>Gain Recognized in OCI on Derivatives</w:t>
            </w:r>
          </w:p>
        </w:tc>
      </w:tr>
      <w:tr>
        <w:trPr>
          <w:trHeight w:val="201"/>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5, 2023</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29, 2022</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May 5, 2023</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8"/>
              </w:rPr>
              <w:t>April 29, 2022</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5"/>
        </w:trPr>
        <w:tc>
          <w:tcPr>
            <w:tcW w:w="528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8"/>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6,658</w:t>
            </w:r>
          </w:p>
        </w:tc>
      </w:tr>
      <w:tr>
        <w:trPr>
          <w:trHeight w:val="212"/>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1,605</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7,199</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8"/>
        </w:trPr>
        <w:tc>
          <w:tcPr>
            <w:tcW w:w="5280" w:type="dxa"/>
            <w:vAlign w:val="bottom"/>
          </w:tcPr>
          <w:p>
            <w:pPr>
              <w:spacing w:after="0"/>
              <w:rPr>
                <w:sz w:val="13"/>
                <w:szCs w:val="13"/>
                <w:color w:val="auto"/>
              </w:rPr>
            </w:pPr>
          </w:p>
        </w:tc>
        <w:tc>
          <w:tcPr>
            <w:tcW w:w="2980" w:type="dxa"/>
            <w:vAlign w:val="bottom"/>
            <w:gridSpan w:val="4"/>
          </w:tcPr>
          <w:p>
            <w:pPr>
              <w:jc w:val="center"/>
              <w:spacing w:after="0" w:line="158" w:lineRule="exact"/>
              <w:rPr>
                <w:sz w:val="20"/>
                <w:szCs w:val="20"/>
                <w:color w:val="auto"/>
              </w:rPr>
            </w:pPr>
            <w:r>
              <w:rPr>
                <w:rFonts w:ascii="Arial" w:cs="Arial" w:eastAsia="Arial" w:hAnsi="Arial"/>
                <w:sz w:val="16"/>
                <w:szCs w:val="16"/>
                <w:b w:val="1"/>
                <w:bCs w:val="1"/>
                <w:color w:val="auto"/>
                <w:w w:val="90"/>
              </w:rPr>
              <w:t>Gain (Loss) Reclassified from AOCL into</w:t>
            </w:r>
          </w:p>
        </w:tc>
        <w:tc>
          <w:tcPr>
            <w:tcW w:w="160" w:type="dxa"/>
            <w:vAlign w:val="bottom"/>
          </w:tcPr>
          <w:p>
            <w:pPr>
              <w:spacing w:after="0"/>
              <w:rPr>
                <w:sz w:val="13"/>
                <w:szCs w:val="13"/>
                <w:color w:val="auto"/>
              </w:rPr>
            </w:pPr>
          </w:p>
        </w:tc>
        <w:tc>
          <w:tcPr>
            <w:tcW w:w="2820" w:type="dxa"/>
            <w:vAlign w:val="bottom"/>
            <w:gridSpan w:val="3"/>
          </w:tcPr>
          <w:p>
            <w:pPr>
              <w:ind w:left="180"/>
              <w:spacing w:after="0" w:line="158" w:lineRule="exact"/>
              <w:rPr>
                <w:sz w:val="20"/>
                <w:szCs w:val="20"/>
                <w:color w:val="auto"/>
              </w:rPr>
            </w:pPr>
            <w:r>
              <w:rPr>
                <w:rFonts w:ascii="Arial" w:cs="Arial" w:eastAsia="Arial" w:hAnsi="Arial"/>
                <w:sz w:val="16"/>
                <w:szCs w:val="16"/>
                <w:b w:val="1"/>
                <w:bCs w:val="1"/>
                <w:color w:val="auto"/>
              </w:rPr>
              <w:t>(Loss) Gain Recognized in OCI on</w:t>
            </w:r>
          </w:p>
        </w:tc>
      </w:tr>
      <w:tr>
        <w:trPr>
          <w:trHeight w:val="210"/>
        </w:trPr>
        <w:tc>
          <w:tcPr>
            <w:tcW w:w="5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90"/>
              </w:rPr>
              <w:t>Earnings</w:t>
            </w: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6"/>
                <w:szCs w:val="16"/>
                <w:b w:val="1"/>
                <w:bCs w:val="1"/>
                <w:color w:val="auto"/>
              </w:rPr>
              <w:t>Derivatives</w:t>
            </w:r>
          </w:p>
        </w:tc>
      </w:tr>
      <w:tr>
        <w:trPr>
          <w:trHeight w:val="201"/>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5, 2023</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29, 2022</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May 5, 2023</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8"/>
              </w:rPr>
              <w:t>April 29, 2022</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5"/>
        </w:trPr>
        <w:tc>
          <w:tcPr>
            <w:tcW w:w="528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8"/>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12,328</w:t>
            </w:r>
          </w:p>
        </w:tc>
      </w:tr>
      <w:tr>
        <w:trPr>
          <w:trHeight w:val="212"/>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2,206</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w:t>
            </w: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13,571</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recognized immaterial gains and losses within other income, net in the Condensed Consolidated Statements of Earnings during the second quarter and first six months of fiscal 2023 and fiscal 2022, respectively, due to the discontinuance of cash flow hedge accounting on certain forward currency contracts designated as cash flow hedging instruments. As of May 5, 2023, the company expects to reclassify approximately $6.9 million of gains from AOCL to earnings during the next twelve months.</w:t>
      </w:r>
    </w:p>
    <w:p>
      <w:pPr>
        <w:spacing w:after="0" w:line="7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6"/>
                <w:szCs w:val="16"/>
                <w:b w:val="1"/>
                <w:bCs w:val="1"/>
                <w:color w:val="auto"/>
                <w:w w:val="99"/>
              </w:rPr>
              <w:t>Gain (Loss) Recognized in Earnings on Cash Flow Hedging Instruments</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6"/>
                <w:szCs w:val="16"/>
                <w:b w:val="1"/>
                <w:bCs w:val="1"/>
                <w:color w:val="auto"/>
              </w:rPr>
              <w:t>May 5, 2023</w:t>
            </w: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6"/>
                <w:szCs w:val="16"/>
                <w:b w:val="1"/>
                <w:bCs w:val="1"/>
                <w:color w:val="auto"/>
              </w:rPr>
              <w:t>April 29, 2022</w:t>
            </w:r>
          </w:p>
        </w:tc>
        <w:tc>
          <w:tcPr>
            <w:tcW w:w="0" w:type="dxa"/>
            <w:vAlign w:val="bottom"/>
          </w:tcPr>
          <w:p>
            <w:pPr>
              <w:spacing w:after="0"/>
              <w:rPr>
                <w:sz w:val="1"/>
                <w:szCs w:val="1"/>
                <w:color w:val="auto"/>
              </w:rPr>
            </w:pPr>
          </w:p>
        </w:tc>
      </w:tr>
      <w:tr>
        <w:trPr>
          <w:trHeight w:val="20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6"/>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6"/>
              </w:rPr>
              <w:t>Cost of Sales</w:t>
            </w:r>
          </w:p>
        </w:tc>
        <w:tc>
          <w:tcPr>
            <w:tcW w:w="0" w:type="dxa"/>
            <w:vAlign w:val="bottom"/>
          </w:tcPr>
          <w:p>
            <w:pPr>
              <w:spacing w:after="0"/>
              <w:rPr>
                <w:sz w:val="1"/>
                <w:szCs w:val="1"/>
                <w:color w:val="auto"/>
              </w:rPr>
            </w:pPr>
          </w:p>
        </w:tc>
      </w:tr>
      <w:tr>
        <w:trPr>
          <w:trHeight w:val="154"/>
        </w:trPr>
        <w:tc>
          <w:tcPr>
            <w:tcW w:w="4620" w:type="dxa"/>
            <w:vAlign w:val="bottom"/>
            <w:shd w:val="clear" w:color="auto" w:fill="CCEEFF"/>
          </w:tcPr>
          <w:p>
            <w:pPr>
              <w:ind w:left="20"/>
              <w:spacing w:after="0" w:line="154" w:lineRule="exact"/>
              <w:rPr>
                <w:sz w:val="20"/>
                <w:szCs w:val="20"/>
                <w:color w:val="auto"/>
              </w:rPr>
            </w:pPr>
            <w:r>
              <w:rPr>
                <w:rFonts w:ascii="Arial" w:cs="Arial" w:eastAsia="Arial" w:hAnsi="Arial"/>
                <w:sz w:val="16"/>
                <w:szCs w:val="16"/>
                <w:color w:val="auto"/>
                <w:w w:val="95"/>
              </w:rPr>
              <w:t>Condensed Consolidated Statements of Earnings income (expense)</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8"/>
              </w:rPr>
              <w:t>amounts in which the effects of cash flow hedging instruments are</w:t>
            </w: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1,339,326</w:t>
            </w:r>
          </w:p>
        </w:tc>
        <w:tc>
          <w:tcPr>
            <w:tcW w:w="3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(859,605)</w:t>
            </w:r>
          </w:p>
        </w:tc>
        <w:tc>
          <w:tcPr>
            <w:tcW w:w="3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1,249,478</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(844,109)</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w:t>
            </w:r>
          </w:p>
        </w:tc>
        <w:tc>
          <w:tcPr>
            <w:tcW w:w="2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620" w:type="dxa"/>
            <w:vAlign w:val="bottom"/>
          </w:tcPr>
          <w:p>
            <w:pPr>
              <w:ind w:left="20"/>
              <w:spacing w:after="0" w:line="155" w:lineRule="exact"/>
              <w:rPr>
                <w:sz w:val="20"/>
                <w:szCs w:val="20"/>
                <w:color w:val="auto"/>
              </w:rPr>
            </w:pPr>
            <w:r>
              <w:rPr>
                <w:rFonts w:ascii="Arial" w:cs="Arial" w:eastAsia="Arial" w:hAnsi="Arial"/>
                <w:sz w:val="16"/>
                <w:szCs w:val="16"/>
                <w:i w:val="1"/>
                <w:iCs w:val="1"/>
                <w:color w:val="auto"/>
              </w:rPr>
              <w:t>Gain (loss) on derivatives designated as cash flow hedging</w:t>
            </w: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20" w:type="dxa"/>
            <w:vAlign w:val="bottom"/>
          </w:tcPr>
          <w:p>
            <w:pPr>
              <w:ind w:left="20"/>
              <w:spacing w:after="0"/>
              <w:rPr>
                <w:sz w:val="20"/>
                <w:szCs w:val="20"/>
                <w:color w:val="auto"/>
              </w:rPr>
            </w:pPr>
            <w:r>
              <w:rPr>
                <w:rFonts w:ascii="Arial" w:cs="Arial" w:eastAsia="Arial" w:hAnsi="Arial"/>
                <w:sz w:val="16"/>
                <w:szCs w:val="16"/>
                <w:i w:val="1"/>
                <w:iCs w:val="1"/>
                <w:color w:val="auto"/>
              </w:rPr>
              <w:t>instruments: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currency contracts: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20" w:type="dxa"/>
            <w:vAlign w:val="bottom"/>
          </w:tcPr>
          <w:p>
            <w:pPr>
              <w:ind w:left="220"/>
              <w:spacing w:after="0"/>
              <w:rPr>
                <w:sz w:val="20"/>
                <w:szCs w:val="20"/>
                <w:color w:val="auto"/>
              </w:rPr>
            </w:pPr>
            <w:r>
              <w:rPr>
                <w:rFonts w:ascii="Arial" w:cs="Arial" w:eastAsia="Arial" w:hAnsi="Arial"/>
                <w:sz w:val="16"/>
                <w:szCs w:val="16"/>
                <w:color w:val="auto"/>
              </w:rPr>
              <w:t>Amount of gain (loss) reclassified from AOCL into earnings</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3,700</w:t>
            </w:r>
          </w:p>
        </w:tc>
        <w:tc>
          <w:tcPr>
            <w:tcW w:w="300" w:type="dxa"/>
            <w:vAlign w:val="bottom"/>
          </w:tcPr>
          <w:p>
            <w:pPr>
              <w:spacing w:after="0"/>
              <w:rPr>
                <w:sz w:val="17"/>
                <w:szCs w:val="17"/>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955</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56"/>
        </w:trPr>
        <w:tc>
          <w:tcPr>
            <w:tcW w:w="4620" w:type="dxa"/>
            <w:vAlign w:val="bottom"/>
            <w:shd w:val="clear" w:color="auto" w:fill="CCEEFF"/>
          </w:tcPr>
          <w:p>
            <w:pPr>
              <w:ind w:left="220"/>
              <w:spacing w:after="0" w:line="156" w:lineRule="exact"/>
              <w:rPr>
                <w:sz w:val="20"/>
                <w:szCs w:val="20"/>
                <w:color w:val="auto"/>
              </w:rPr>
            </w:pPr>
            <w:r>
              <w:rPr>
                <w:rFonts w:ascii="Arial" w:cs="Arial" w:eastAsia="Arial" w:hAnsi="Arial"/>
                <w:sz w:val="16"/>
                <w:szCs w:val="16"/>
                <w:color w:val="auto"/>
                <w:w w:val="98"/>
              </w:rPr>
              <w:t>Gain (loss) on components excluded from effectiveness testing</w:t>
            </w: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3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448</w:t>
            </w:r>
          </w:p>
        </w:tc>
        <w:tc>
          <w:tcPr>
            <w:tcW w:w="3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05"/>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recognized in earnings based on changes in fair value</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6"/>
                <w:szCs w:val="16"/>
                <w:b w:val="1"/>
                <w:bCs w:val="1"/>
                <w:color w:val="auto"/>
                <w:w w:val="99"/>
              </w:rPr>
              <w:t>Gain (Loss) Recognized in Earnings on Cash Flow Hedging Instruments</w:t>
            </w:r>
          </w:p>
        </w:tc>
      </w:tr>
      <w:tr>
        <w:trPr>
          <w:trHeight w:val="21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6"/>
                <w:szCs w:val="16"/>
                <w:b w:val="1"/>
                <w:bCs w:val="1"/>
                <w:color w:val="auto"/>
              </w:rPr>
              <w:t>May 5, 2023</w:t>
            </w:r>
          </w:p>
        </w:tc>
        <w:tc>
          <w:tcPr>
            <w:tcW w:w="3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1080"/>
              <w:spacing w:after="0"/>
              <w:rPr>
                <w:sz w:val="20"/>
                <w:szCs w:val="20"/>
                <w:color w:val="auto"/>
              </w:rPr>
            </w:pPr>
            <w:r>
              <w:rPr>
                <w:rFonts w:ascii="Arial" w:cs="Arial" w:eastAsia="Arial" w:hAnsi="Arial"/>
                <w:sz w:val="16"/>
                <w:szCs w:val="16"/>
                <w:b w:val="1"/>
                <w:bCs w:val="1"/>
                <w:color w:val="auto"/>
              </w:rPr>
              <w:t>April 29, 2022</w:t>
            </w:r>
          </w:p>
        </w:tc>
      </w:tr>
      <w:tr>
        <w:trPr>
          <w:trHeight w:val="20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6"/>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6"/>
              </w:rPr>
              <w:t>Cost of Sales</w:t>
            </w:r>
          </w:p>
        </w:tc>
      </w:tr>
      <w:tr>
        <w:trPr>
          <w:trHeight w:val="148"/>
        </w:trPr>
        <w:tc>
          <w:tcPr>
            <w:tcW w:w="46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5"/>
              </w:rPr>
              <w:t>Condensed Consolidated Statements of Earnings income (expense)</w:t>
            </w:r>
          </w:p>
        </w:tc>
        <w:tc>
          <w:tcPr>
            <w:tcW w:w="2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67"/>
        </w:trPr>
        <w:tc>
          <w:tcPr>
            <w:tcW w:w="462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w w:val="98"/>
              </w:rPr>
              <w:t>amounts in which the effects of cash flow hedging instruments are</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2,488,166</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(1,612,521)</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2,182,128</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(1,476,283)</w:t>
            </w:r>
          </w:p>
        </w:tc>
      </w:tr>
      <w:tr>
        <w:trPr>
          <w:trHeight w:val="155"/>
        </w:trPr>
        <w:tc>
          <w:tcPr>
            <w:tcW w:w="4620" w:type="dxa"/>
            <w:vAlign w:val="bottom"/>
          </w:tcPr>
          <w:p>
            <w:pPr>
              <w:ind w:left="20"/>
              <w:spacing w:after="0" w:line="155" w:lineRule="exact"/>
              <w:rPr>
                <w:sz w:val="20"/>
                <w:szCs w:val="20"/>
                <w:color w:val="auto"/>
              </w:rPr>
            </w:pPr>
            <w:r>
              <w:rPr>
                <w:rFonts w:ascii="Arial" w:cs="Arial" w:eastAsia="Arial" w:hAnsi="Arial"/>
                <w:sz w:val="16"/>
                <w:szCs w:val="16"/>
                <w:i w:val="1"/>
                <w:iCs w:val="1"/>
                <w:color w:val="auto"/>
              </w:rPr>
              <w:t>Gain (loss) on derivatives designated as cash flow hedging</w:t>
            </w: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2"/>
        </w:trPr>
        <w:tc>
          <w:tcPr>
            <w:tcW w:w="4620" w:type="dxa"/>
            <w:vAlign w:val="bottom"/>
          </w:tcPr>
          <w:p>
            <w:pPr>
              <w:ind w:left="20"/>
              <w:spacing w:after="0"/>
              <w:rPr>
                <w:sz w:val="20"/>
                <w:szCs w:val="20"/>
                <w:color w:val="auto"/>
              </w:rPr>
            </w:pPr>
            <w:r>
              <w:rPr>
                <w:rFonts w:ascii="Arial" w:cs="Arial" w:eastAsia="Arial" w:hAnsi="Arial"/>
                <w:sz w:val="16"/>
                <w:szCs w:val="16"/>
                <w:i w:val="1"/>
                <w:iCs w:val="1"/>
                <w:color w:val="auto"/>
              </w:rPr>
              <w:t>instruments: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currency contracts: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5"/>
        </w:trPr>
        <w:tc>
          <w:tcPr>
            <w:tcW w:w="4620" w:type="dxa"/>
            <w:vAlign w:val="bottom"/>
          </w:tcPr>
          <w:p>
            <w:pPr>
              <w:ind w:left="220"/>
              <w:spacing w:after="0"/>
              <w:rPr>
                <w:sz w:val="20"/>
                <w:szCs w:val="20"/>
                <w:color w:val="auto"/>
              </w:rPr>
            </w:pPr>
            <w:r>
              <w:rPr>
                <w:rFonts w:ascii="Arial" w:cs="Arial" w:eastAsia="Arial" w:hAnsi="Arial"/>
                <w:sz w:val="16"/>
                <w:szCs w:val="16"/>
                <w:color w:val="auto"/>
              </w:rPr>
              <w:t>Amount of gain (loss) reclassified from AOCL into earnings</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7,761</w:t>
            </w:r>
          </w:p>
        </w:tc>
        <w:tc>
          <w:tcPr>
            <w:tcW w:w="300" w:type="dxa"/>
            <w:vAlign w:val="bottom"/>
          </w:tcPr>
          <w:p>
            <w:pPr>
              <w:spacing w:after="0"/>
              <w:rPr>
                <w:sz w:val="17"/>
                <w:szCs w:val="17"/>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1,818</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(209)</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68"/>
        </w:trPr>
        <w:tc>
          <w:tcPr>
            <w:tcW w:w="462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w w:val="98"/>
              </w:rPr>
              <w:t>Gain (loss) on components excluded from effectiveness testing</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06"/>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recognized in earnings based on changes in fair value</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1,015</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r>
    </w:tbl>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Six Months Ended</w:t>
            </w:r>
          </w:p>
        </w:tc>
      </w:tr>
      <w:tr>
        <w:trPr>
          <w:trHeight w:val="201"/>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5, 2023</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4"/>
              </w:rPr>
              <w:t>April 29, 2022</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May 5, 2023</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8"/>
              </w:rPr>
              <w:t>April 29, 2022</w:t>
            </w: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w w:val="97"/>
              </w:rPr>
              <w:t>Gain (loss) on derivatives not designated as cash flow hedging instruments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5"/>
        </w:trPr>
        <w:tc>
          <w:tcPr>
            <w:tcW w:w="522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5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2,741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(1,800)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w:t>
            </w:r>
          </w:p>
        </w:tc>
      </w:tr>
      <w:tr>
        <w:trPr>
          <w:trHeight w:val="20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1"/>
              </w:rPr>
              <w:t>Total gain (loss) on derivatives not designated as cash flow hedging instruments</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(1,800)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3,983</w:t>
            </w:r>
          </w:p>
        </w:tc>
      </w:tr>
      <w:tr>
        <w:trPr>
          <w:trHeight w:val="26"/>
        </w:trPr>
        <w:tc>
          <w:tcPr>
            <w:tcW w:w="5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17 </w:t>
      </w:r>
      <w:r>
        <w:rPr>
          <w:rFonts w:ascii="Arial" w:cs="Arial" w:eastAsia="Arial" w:hAnsi="Arial"/>
          <w:sz w:val="18"/>
          <w:szCs w:val="18"/>
          <w:b w:val="1"/>
          <w:bCs w:val="1"/>
          <w:color w:val="auto"/>
        </w:rPr>
        <w:t>Fair Value Measurements</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 Unadjusted quoted prices in active markets for identical assets or liabilities.</w:t>
      </w:r>
    </w:p>
    <w:p>
      <w:pPr>
        <w:spacing w:after="0" w:line="114" w:lineRule="exact"/>
        <w:rPr>
          <w:sz w:val="20"/>
          <w:szCs w:val="20"/>
          <w:color w:val="auto"/>
        </w:rPr>
      </w:pPr>
    </w:p>
    <w:p>
      <w:pPr>
        <w:jc w:val="both"/>
        <w:ind w:left="620"/>
        <w:spacing w:after="0" w:line="270" w:lineRule="auto"/>
        <w:rPr>
          <w:sz w:val="20"/>
          <w:szCs w:val="20"/>
          <w:color w:val="auto"/>
        </w:rPr>
      </w:pPr>
      <w:r>
        <w:rPr>
          <w:rFonts w:ascii="Arial" w:cs="Arial" w:eastAsia="Arial" w:hAnsi="Arial"/>
          <w:sz w:val="17"/>
          <w:szCs w:val="17"/>
          <w:b w:val="1"/>
          <w:bCs w:val="1"/>
          <w:color w:val="auto"/>
        </w:rPr>
        <w:t>Level 2</w:t>
      </w:r>
      <w:r>
        <w:rPr>
          <w:rFonts w:ascii="Arial" w:cs="Arial" w:eastAsia="Arial" w:hAnsi="Arial"/>
          <w:sz w:val="17"/>
          <w:szCs w:val="17"/>
          <w:color w:val="auto"/>
        </w:rPr>
        <w:t>: Observable inputs other than Level 1 prices, such as quoted prices for similar assets or liabilities in active markets; quoted prices for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 Unobservable inputs reflecting management’s assumptions about the inputs used in pricing the asset or liability.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11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The following tables present, by level within the fair value hierarchy, the company's financial assets and liabilities that are measured at fair value on a recurring basis as of May 5, 2023, April 29, 2022, and October 31, 2022, according to the valuation technique utilized to determine their fair values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33655</wp:posOffset>
            </wp:positionV>
            <wp:extent cx="32785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41"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Fair Value Measurements Using Inputs Considered 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May 5, 2023</w:t>
            </w:r>
          </w:p>
        </w:tc>
        <w:tc>
          <w:tcPr>
            <w:tcW w:w="15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Fair Value</w:t>
            </w:r>
          </w:p>
        </w:tc>
        <w:tc>
          <w:tcPr>
            <w:tcW w:w="13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Level 2</w:t>
            </w: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14,979</w:t>
            </w:r>
          </w:p>
        </w:tc>
        <w:tc>
          <w:tcPr>
            <w:tcW w:w="134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14,979</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32"/>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14,979</w:t>
            </w:r>
          </w:p>
        </w:tc>
        <w:tc>
          <w:tcPr>
            <w:tcW w:w="134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14,979</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6"/>
        </w:trPr>
        <w:tc>
          <w:tcPr>
            <w:tcW w:w="3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34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32"/>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34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147320</wp:posOffset>
            </wp:positionV>
            <wp:extent cx="32785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220"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Fair Value Measurements Using Inputs Considered 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April 29, 2022</w:t>
            </w:r>
          </w:p>
        </w:tc>
        <w:tc>
          <w:tcPr>
            <w:tcW w:w="15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Fair Value</w:t>
            </w:r>
          </w:p>
        </w:tc>
        <w:tc>
          <w:tcPr>
            <w:tcW w:w="13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Level 2</w:t>
            </w: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19,003</w:t>
            </w:r>
          </w:p>
        </w:tc>
        <w:tc>
          <w:tcPr>
            <w:tcW w:w="134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19,003</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24"/>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19,003</w:t>
            </w:r>
          </w:p>
        </w:tc>
        <w:tc>
          <w:tcPr>
            <w:tcW w:w="134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19,003</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0"/>
        </w:trPr>
        <w:tc>
          <w:tcPr>
            <w:tcW w:w="3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5"/>
        </w:trPr>
        <w:tc>
          <w:tcPr>
            <w:tcW w:w="31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Forward currency contracts</w:t>
            </w:r>
          </w:p>
        </w:tc>
        <w:tc>
          <w:tcPr>
            <w:tcW w:w="1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34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24"/>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34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131445</wp:posOffset>
            </wp:positionV>
            <wp:extent cx="32785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8505" cy="8255"/>
                    </a:xfrm>
                    <a:prstGeom prst="rect">
                      <a:avLst/>
                    </a:prstGeom>
                    <a:noFill/>
                  </pic:spPr>
                </pic:pic>
              </a:graphicData>
            </a:graphic>
          </wp:anchor>
        </w:drawing>
      </w:r>
    </w:p>
    <w:p>
      <w:pPr>
        <w:spacing w:after="0" w:line="194"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Fair Value Measurements Using Inputs Considered 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October 31, 2022</w:t>
            </w:r>
          </w:p>
        </w:tc>
        <w:tc>
          <w:tcPr>
            <w:tcW w:w="15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Fair Value</w:t>
            </w:r>
          </w:p>
        </w:tc>
        <w:tc>
          <w:tcPr>
            <w:tcW w:w="13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Level 2</w:t>
            </w: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19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2"/>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33,256</w:t>
            </w:r>
          </w:p>
        </w:tc>
        <w:tc>
          <w:tcPr>
            <w:tcW w:w="134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33,256</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30"/>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33,256</w:t>
            </w:r>
          </w:p>
        </w:tc>
        <w:tc>
          <w:tcPr>
            <w:tcW w:w="134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33,256</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0"/>
        </w:trPr>
        <w:tc>
          <w:tcPr>
            <w:tcW w:w="3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2"/>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30"/>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 For additional information on the company's business combination and the related non-recurring fair value measurement of the assets acquired and liabilities assumed, refer to Note 2, </w:t>
      </w:r>
      <w:r>
        <w:rPr>
          <w:rFonts w:ascii="Arial" w:cs="Arial" w:eastAsia="Arial" w:hAnsi="Arial"/>
          <w:sz w:val="16"/>
          <w:szCs w:val="16"/>
          <w:i w:val="1"/>
          <w:iCs w:val="1"/>
          <w:color w:val="auto"/>
        </w:rPr>
        <w:t>Business Combination</w:t>
      </w: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Fair Value Disclosures</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May 5, 2023, April 29, 2022, and October 31, 2022, the company's long-term debt included $524.1 million, $424.1 million, and $524.1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May 5, 2023, the estimated gross fair value of long-term debt with fixed interest rates was $515.0 million compared to its gross carrying amount of $524.1 million. As of April 29, 2022, the estimated gross fair value of long-term debt with fixed interest rates was $446.8 million compared to its gross carrying amount of $424.1 million. As of October 31, 2022, the estimated gross fair value of long-term debt with fixed interest rates was $489.8 million compared to its gross carrying amount of $524.1 million. For additional information regarding long-term debt with fixed interest rates, refer to Note 6, </w:t>
      </w:r>
      <w:r>
        <w:rPr>
          <w:rFonts w:ascii="Arial" w:cs="Arial" w:eastAsia="Arial" w:hAnsi="Arial"/>
          <w:sz w:val="16"/>
          <w:szCs w:val="16"/>
          <w:i w:val="1"/>
          <w:iCs w:val="1"/>
          <w:color w:val="auto"/>
        </w:rPr>
        <w:t>Indebtedness.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18 </w:t>
      </w:r>
      <w:r>
        <w:rPr>
          <w:rFonts w:ascii="Arial" w:cs="Arial" w:eastAsia="Arial" w:hAnsi="Arial"/>
          <w:sz w:val="18"/>
          <w:szCs w:val="18"/>
          <w:b w:val="1"/>
          <w:bCs w:val="1"/>
          <w:color w:val="auto"/>
        </w:rPr>
        <w:t>Subsequent Events</w:t>
      </w:r>
    </w:p>
    <w:p>
      <w:pPr>
        <w:spacing w:after="0" w:line="21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May 9, 2023, during the third quarter of fiscal 2023, the company completed the acquisition of substantially all of the assets of, and assumed certain liabilities for, a U.S. construction equipment dealer. This acquisition was immaterial to the company's Condensed Consolidated Financial Statements.</w:t>
      </w:r>
    </w:p>
    <w:p>
      <w:pPr>
        <w:spacing w:after="0" w:line="38"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company has evaluated all additional subsequent events and concluded that no other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2022. Unless expressly stated otherwise, the comparisons presented in this MD&amp;A refer to the same period in the prior fiscal year. Our MD&amp;A is presented as follows:</w:t>
      </w:r>
    </w:p>
    <w:p>
      <w:pPr>
        <w:spacing w:after="0" w:line="81"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Company Overview</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Business Segments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Financial Position</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Non-GAAP Financial Measures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10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5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Intimidator Group</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January 13, 2022 ("the closing date"), during the first quarter of fiscal 2022, we acquired the privately-held Intimidator Group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our Professional reportable segment and expanded our manufacturing footprint and dealer network. The aggregate purchase consideration was $399.8 million. Subsequent to the closing date, Intimidator's results of operations have been included within our Professional reportable segment in our Condensed Consolidated Financial Statements and had an incremental impact to our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Professional reportable segment net sales for the first twelve months post acquisition, or through the first quarter of fiscal 2023. For the six months ended May 5, 2023, Intimidator's results of operations had an incremental impact on our Professional segment net sales of $49.6 million. Intimidator's operations had an immaterial impact on Professional segment earnings for the six months ended May 5, 2023. For additional information regarding the acquisition, refer to Note 2, </w:t>
      </w:r>
      <w:r>
        <w:rPr>
          <w:rFonts w:ascii="Arial" w:cs="Arial" w:eastAsia="Arial" w:hAnsi="Arial"/>
          <w:sz w:val="16"/>
          <w:szCs w:val="16"/>
          <w:i w:val="1"/>
          <w:iCs w:val="1"/>
          <w:color w:val="auto"/>
        </w:rPr>
        <w:t>Business Combination</w:t>
      </w:r>
      <w:r>
        <w:rPr>
          <w:rFonts w:ascii="Arial" w:cs="Arial" w:eastAsia="Arial" w:hAnsi="Arial"/>
          <w:sz w:val="16"/>
          <w:szCs w:val="16"/>
          <w:color w:val="auto"/>
        </w:rPr>
        <w:t>, in the Notes to Condensed Consolidated Financial Statements included in Part I, Item 1 of this Quarterly Report on Form 10-Q.</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Consolidated net sales for the second quarter of fiscal 2023 were $1,339.3 million, up 7.2 percent compared to $1,249.5 million in the second quarter of fiscal 2022. For the first six months of fiscal 2023, consolidated net sales were $2,488.2 million, up 14.0 percent compared to $2,182.1 million from the same period in the prior fiscal year.</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Professional segment net sales for the second quarter of fiscal 2023 were $1,068.7 million, an increase of 15.4 percent compared to $925.8 million in the second quarter of the prior fiscal year. For the first six months of fiscal 2023, Professional segment net sales were $1,949.4 million, an increase of 21.9 percent compared to $1,598.7 million in the prior fiscal year comparable period.</w:t>
      </w:r>
    </w:p>
    <w:p>
      <w:pPr>
        <w:spacing w:after="0" w:line="7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Residential segment net sales for the second quarter of fiscal 2023 were $265.8 million, a decrease of 16.8 percent compared to $319.7 million in the second quarter of the prior fiscal year. For the first six months of fiscal 2023, Residential segment net sales were $530.5 million, a decrease of 7.8 percent compared to $575.1 million in the prior fiscal year comparable period.</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earnings for the second quarter of fiscal 2023 were $167.5 million, or $1.59 per diluted share, compared to $131.1 million, or $1.24 per diluted share, for the second quarter of fiscal 2022. Net earnings for the first six months of fiscal 2023 were $274.3 million, or $2.60 per diluted share, compared to $200.6 million, or $1.89 per diluted share, in the comparable fiscal 2022 period.</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Adjusted net earnings for the second quarter of fiscal 2023 were $166.4 million, or $1.58 per diluted share, compared to $132.1 million, or $1.25 per diluted share, for the second quarter of fiscal 2022. Adjusted net earnings for the first six months of fiscal 2023 were $270.0 million, or $2.56 per diluted share, compared to $201.8 million, or $1.91 per diluted share, in the comparable fiscal 2022 period. Reconciliations of non-GAAP financial measures to the most directly comparable reported U.S. GAAP financial measures are included in the section titled "Non-GAAP Financial Measures" within this MD&amp;A.</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continued our history of paying quarterly cash dividends and increased our cash dividend for the second quarter of fiscal 2023 by 13.3 percent to $0.34 per share compared to $0.30 per share paid in the second quarter of fiscal 2022. We also repurchased shares of our common stock under our Board authorized repurchase program, thereby reducing our total shares outstanding. As a result of the combination of quarterly cash dividends and share repurchases, we returned $95.4 million of cash to our shareholders during the first six months of fiscal 2023.</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Field inventory levels were higher as of the end of the second quarter of fiscal 2023 compared to the end of the second quarter of fiscal 2022 primarily driven by supply chain improvements that enabled increased production, lower consumer retail demand due to weather patterns and macroeconomic trends, and higher inventory values due to inflation.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order backlog represents unfulfilled customer orders at a point in time. Our order backlog (including shipments beyond 12 months) was higher as of the end of the second quarter of fiscal 2023 compared to the end of the fourth quarter of fiscal 2022 primarily driven by continued strong Professional segment demand, supply constraints for key components, and normal seasonal trends.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Consolidated net sales for the second quarter of fiscal 2023 were $1,339.3 million, up 7.2 percent compared to $1,249.5 million in the second quarter of fiscal 2022. The increase was driven by higher volume and net price realization. For the year-to-date period of fiscal 2023, consolidated net sales were $2,488.2 million, up 14.0 percent compared to $2,182.1 million from the same period in the prior fiscal year. The increase was driven by higher volume, net price realization, and the acquisition of Intimidator.</w:t>
      </w:r>
    </w:p>
    <w:p>
      <w:pPr>
        <w:spacing w:after="0" w:line="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Net sales in international markets increased by $30.7 million and $81.1 million for the second quarter and year-to-date periods of fiscal 2023, respectively. Changes in foreign currency exchange rates resulted in a decrease in our net sales of approximately $0.8 million and $16.5 million for the second quarter and year-to-date periods of fiscal 2023, respectively. The international net sales increase for both the second quarter and year-to-date periods of fiscal 2023 was driven by higher volume and net price realization in the Professional segment, partially offset by lower volume in the Residential segment.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consolidated net sales: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6"/>
                <w:szCs w:val="16"/>
                <w:b w:val="1"/>
                <w:bCs w:val="1"/>
                <w:color w:val="auto"/>
              </w:rPr>
              <w:t>Three Months Ended</w:t>
            </w:r>
          </w:p>
        </w:tc>
        <w:tc>
          <w:tcPr>
            <w:tcW w:w="298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6"/>
                <w:szCs w:val="16"/>
                <w:b w:val="1"/>
                <w:bCs w:val="1"/>
                <w:color w:val="auto"/>
              </w:rPr>
              <w:t>Six Months Ended</w:t>
            </w:r>
          </w:p>
        </w:tc>
      </w:tr>
      <w:tr>
        <w:trPr>
          <w:trHeight w:val="208"/>
        </w:trPr>
        <w:tc>
          <w:tcPr>
            <w:tcW w:w="40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May 5, 2023</w:t>
            </w:r>
          </w:p>
        </w:tc>
        <w:tc>
          <w:tcPr>
            <w:tcW w:w="16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April 29, 2022</w:t>
            </w:r>
          </w:p>
        </w:tc>
        <w:tc>
          <w:tcPr>
            <w:tcW w:w="15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May 5, 2023</w:t>
            </w:r>
          </w:p>
        </w:tc>
        <w:tc>
          <w:tcPr>
            <w:tcW w:w="14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April 29, 2022</w:t>
            </w:r>
          </w:p>
        </w:tc>
      </w:tr>
      <w:tr>
        <w:trPr>
          <w:trHeight w:val="205"/>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100.0 %</w:t>
            </w:r>
          </w:p>
        </w:tc>
        <w:tc>
          <w:tcPr>
            <w:tcW w:w="16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100.0 %</w:t>
            </w: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100.0 %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26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(64.2)</w:t>
            </w:r>
          </w:p>
        </w:tc>
        <w:tc>
          <w:tcPr>
            <w:tcW w:w="16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(67.6)</w:t>
            </w:r>
          </w:p>
        </w:tc>
        <w:tc>
          <w:tcPr>
            <w:tcW w:w="15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(64.8)</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(67.7)</w:t>
            </w:r>
          </w:p>
        </w:tc>
      </w:tr>
      <w:tr>
        <w:trPr>
          <w:trHeight w:val="214"/>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35.8</w:t>
            </w:r>
          </w:p>
        </w:tc>
        <w:tc>
          <w:tcPr>
            <w:tcW w:w="16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32.4</w:t>
            </w:r>
          </w:p>
        </w:tc>
        <w:tc>
          <w:tcPr>
            <w:tcW w:w="15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35.2</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32.3</w:t>
            </w:r>
          </w:p>
        </w:tc>
      </w:tr>
      <w:tr>
        <w:trPr>
          <w:trHeight w:val="20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6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(19.5)</w:t>
            </w:r>
          </w:p>
        </w:tc>
        <w:tc>
          <w:tcPr>
            <w:tcW w:w="16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(18.7)</w:t>
            </w:r>
          </w:p>
        </w:tc>
        <w:tc>
          <w:tcPr>
            <w:tcW w:w="15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(20.9)</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(20.3)</w:t>
            </w:r>
          </w:p>
        </w:tc>
      </w:tr>
      <w:tr>
        <w:trPr>
          <w:trHeight w:val="201"/>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earnings</w:t>
            </w:r>
          </w:p>
        </w:tc>
        <w:tc>
          <w:tcPr>
            <w:tcW w:w="26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16.3</w:t>
            </w:r>
          </w:p>
        </w:tc>
        <w:tc>
          <w:tcPr>
            <w:tcW w:w="16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13.7</w:t>
            </w:r>
          </w:p>
        </w:tc>
        <w:tc>
          <w:tcPr>
            <w:tcW w:w="15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14.3</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12.0</w:t>
            </w:r>
          </w:p>
        </w:tc>
      </w:tr>
      <w:tr>
        <w:trPr>
          <w:trHeight w:val="212"/>
        </w:trPr>
        <w:tc>
          <w:tcPr>
            <w:tcW w:w="4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0" w:type="dxa"/>
            <w:vAlign w:val="bottom"/>
          </w:tcPr>
          <w:p>
            <w:pPr>
              <w:jc w:val="right"/>
              <w:ind w:right="260"/>
              <w:spacing w:after="0"/>
              <w:rPr>
                <w:sz w:val="20"/>
                <w:szCs w:val="20"/>
                <w:color w:val="auto"/>
              </w:rPr>
            </w:pPr>
            <w:r>
              <w:rPr>
                <w:rFonts w:ascii="Arial" w:cs="Arial" w:eastAsia="Arial" w:hAnsi="Arial"/>
                <w:sz w:val="16"/>
                <w:szCs w:val="16"/>
                <w:color w:val="auto"/>
              </w:rPr>
              <w:t>(1.1)</w:t>
            </w:r>
          </w:p>
        </w:tc>
        <w:tc>
          <w:tcPr>
            <w:tcW w:w="1620" w:type="dxa"/>
            <w:vAlign w:val="bottom"/>
          </w:tcPr>
          <w:p>
            <w:pPr>
              <w:jc w:val="right"/>
              <w:ind w:right="280"/>
              <w:spacing w:after="0"/>
              <w:rPr>
                <w:sz w:val="20"/>
                <w:szCs w:val="20"/>
                <w:color w:val="auto"/>
              </w:rPr>
            </w:pPr>
            <w:r>
              <w:rPr>
                <w:rFonts w:ascii="Arial" w:cs="Arial" w:eastAsia="Arial" w:hAnsi="Arial"/>
                <w:sz w:val="16"/>
                <w:szCs w:val="16"/>
                <w:color w:val="auto"/>
              </w:rPr>
              <w:t>(0.6)</w:t>
            </w:r>
          </w:p>
        </w:tc>
        <w:tc>
          <w:tcPr>
            <w:tcW w:w="1560" w:type="dxa"/>
            <w:vAlign w:val="bottom"/>
          </w:tcPr>
          <w:p>
            <w:pPr>
              <w:jc w:val="right"/>
              <w:ind w:right="240"/>
              <w:spacing w:after="0"/>
              <w:rPr>
                <w:sz w:val="20"/>
                <w:szCs w:val="20"/>
                <w:color w:val="auto"/>
              </w:rPr>
            </w:pPr>
            <w:r>
              <w:rPr>
                <w:rFonts w:ascii="Arial" w:cs="Arial" w:eastAsia="Arial" w:hAnsi="Arial"/>
                <w:sz w:val="16"/>
                <w:szCs w:val="16"/>
                <w:color w:val="auto"/>
              </w:rPr>
              <w:t>(1.2)</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(0.7)</w:t>
            </w:r>
          </w:p>
        </w:tc>
      </w:tr>
      <w:tr>
        <w:trPr>
          <w:trHeight w:val="213"/>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60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0.5</w:t>
            </w:r>
          </w:p>
        </w:tc>
        <w:tc>
          <w:tcPr>
            <w:tcW w:w="16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0.1</w:t>
            </w:r>
          </w:p>
        </w:tc>
        <w:tc>
          <w:tcPr>
            <w:tcW w:w="15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0.7</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0.3</w:t>
            </w:r>
          </w:p>
        </w:tc>
      </w:tr>
      <w:tr>
        <w:trPr>
          <w:trHeight w:val="199"/>
        </w:trPr>
        <w:tc>
          <w:tcPr>
            <w:tcW w:w="404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2600" w:type="dxa"/>
            <w:vAlign w:val="bottom"/>
          </w:tcPr>
          <w:p>
            <w:pPr>
              <w:jc w:val="right"/>
              <w:ind w:right="300"/>
              <w:spacing w:after="0"/>
              <w:rPr>
                <w:sz w:val="20"/>
                <w:szCs w:val="20"/>
                <w:color w:val="auto"/>
              </w:rPr>
            </w:pPr>
            <w:r>
              <w:rPr>
                <w:rFonts w:ascii="Arial" w:cs="Arial" w:eastAsia="Arial" w:hAnsi="Arial"/>
                <w:sz w:val="16"/>
                <w:szCs w:val="16"/>
                <w:color w:val="auto"/>
              </w:rPr>
              <w:t>15.7</w:t>
            </w:r>
          </w:p>
        </w:tc>
        <w:tc>
          <w:tcPr>
            <w:tcW w:w="1620" w:type="dxa"/>
            <w:vAlign w:val="bottom"/>
          </w:tcPr>
          <w:p>
            <w:pPr>
              <w:jc w:val="right"/>
              <w:ind w:right="320"/>
              <w:spacing w:after="0"/>
              <w:rPr>
                <w:sz w:val="20"/>
                <w:szCs w:val="20"/>
                <w:color w:val="auto"/>
              </w:rPr>
            </w:pPr>
            <w:r>
              <w:rPr>
                <w:rFonts w:ascii="Arial" w:cs="Arial" w:eastAsia="Arial" w:hAnsi="Arial"/>
                <w:sz w:val="16"/>
                <w:szCs w:val="16"/>
                <w:color w:val="auto"/>
              </w:rPr>
              <w:t>13.2</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13.8</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11.6</w:t>
            </w:r>
          </w:p>
        </w:tc>
      </w:tr>
      <w:tr>
        <w:trPr>
          <w:trHeight w:val="214"/>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(3.2)</w:t>
            </w:r>
          </w:p>
        </w:tc>
        <w:tc>
          <w:tcPr>
            <w:tcW w:w="16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(2.7)</w:t>
            </w:r>
          </w:p>
        </w:tc>
        <w:tc>
          <w:tcPr>
            <w:tcW w:w="15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(2.8)</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r>
      <w:tr>
        <w:trPr>
          <w:trHeight w:val="205"/>
        </w:trPr>
        <w:tc>
          <w:tcPr>
            <w:tcW w:w="4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26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12.5 %</w:t>
            </w:r>
          </w:p>
        </w:tc>
        <w:tc>
          <w:tcPr>
            <w:tcW w:w="16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10.5 %</w:t>
            </w:r>
          </w:p>
        </w:tc>
        <w:tc>
          <w:tcPr>
            <w:tcW w:w="1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11.0 %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9.2 %</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 and Gross Margin</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Gross profit for the second quarter of fiscal 2023 was $479.7 million, up 18.3 percent compared to $405.4 million in the second quarter of fiscal 2022. Adjusted gross profit for the second quarter of fiscal 2023 was $479.7 million, up 18.0 percent compared to $406.4 million for the second quarter of fiscal 2022. Gross margin was 35.8 percent for the second quarter of fiscal 2023 compared to 32.4 percent for the second quarter of fiscal 2022, an increase of 340 basis points. Gross profit for the year-to-date period of fiscal 2023 was $875.6 million, up 24.1 percent compared to $705.8 million in the same period of fiscal 2022. Adjusted gross profit for the year-to-date period of fiscal 2023 was $875.9 million, up 23.9 percent compared to $706.9 million for the same period of fiscal 2022. Gross margin was 35.2 percent for the year-to-date period of fiscal 2023 compared to 32.3 percent for the prior year comparable period, an increase of 290 basis points. The increase in gross margin for both the second quarter and year-to-date periods of fiscal 2023 was primarily due to net price realization, favorable product mix, and productivity improvements, partially offset by higher material and manufacturing costs.</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Reconciliations of non-GAAP financial measures to the most directly comparable reported U.S. GAAP financial measures are included in the section titled "Non-GAAP Financial Measures" within this MD&amp;A.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 Expense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SG&amp;A expense increased $26.1 million, or 11.1 percent, for the second quarter of fiscal 2023 and increased $76.8 million, or 17.3 percent, for the year-to-date period of fiscal 2023 compared to the same respective periods of fiscal 2022. As a percentage of net sales, SG&amp;A expense increased 80 basis points and increased 60 basis points for the second quarter and year-to-date periods of fiscal 2023, respectively, compared to the same periods of fiscal 2022. The increase in SG&amp;A expense as a percentage of net sales for the second quarter comparison was primarily due to higher marketing costs, partially offset by net sales leverage. The increase in SG&amp;A expense as a percentage of net sales for the year-to-date comparison was primarily due to higher marketing and warranty costs, partially offset by net sales leverage.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Interest expense increased $6.7 million and $13.8 million for the second quarter and year-to-date periods of fiscal 2023, respectively, compared to the same respective periods of fiscal 2022. The increase in interest expense for the second quarter comparison was primarily due to higher average interest rates. The increase in interest expense for the year-to-date comparison was primarily due to higher average interest rates and higher average outstanding borrowings under our debt arrangements.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income, net increased $4.2 million and $10.7 million for the second quarter and year-to-date periods of fiscal 2023, respectively, compared to the same respective periods of fiscal 2022. These increases were primarily due to higher income from our Red Iron joint venture and the favorable impact from derivative instruments.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effective tax rate for the second quarter of fiscal 2023 was 20.6 percent, flat compared to 20.6 percent in the second quarter of fiscal 2022. The effective tax rate for the year-to-date period of fiscal 2023 was 19.8 percent compared to 20.4 percent in the same period of fiscal 2022. The decrease in the effective tax rate for the year-to-date comparison was primarily due to higher tax benefits recorded as excess tax deductions for stock compensation.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adjusted effective tax rate for the second quarter of fiscal 2023 was 21.1 percent, compared to an adjusted effective tax rate of 20.8 percent in the second quarter of fiscal 2022. The adjusted effective tax rate for the year-to-date period of fiscal 2023 was 21.2 percent, compared to 20.8 percent in the same period of fiscal 2022.</w:t>
      </w:r>
    </w:p>
    <w:p>
      <w:pPr>
        <w:spacing w:after="0" w:line="7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Reconciliations of non-GAAP financial measures to the most directly comparable reported U.S. GAAP financial measures are included in the section titled "Non-GAAP Financial Measures."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Earnings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earnings for the second quarter of fiscal 2023 were $167.5 million, or $1.59 per diluted share, compared to $131.1 million, or $1.24 per diluted share, for the second quarter of fiscal 2022, an increase of 28.2 percent per diluted share. Adjusted net earnings for the second quarter of fiscal 2023 were $166.4 million, or $1.58 per diluted share, compared to $132.1 million, or $1.25 per diluted share, for the second quarter of fiscal 2022, an increase of 26.4 percent per diluted share. Net earnings for the first six months of fiscal 2023 were $274.3 million, or $2.60 per diluted share, compared to $200.6 million, or $1.89 per diluted share, for the same period of fiscal 2022. Adjusted net earnings for the first six months of fiscal 2023 were $270.0 million, or $2.56 per diluted share, compared to $201.8 million, or $1.91 per diluted share, for the same year-to-date period of fiscal 2022, an increase of 34.0 percent per diluted share. The increase in net earnings per diluted share for both the second quarter and year-to-date periods of fiscal 2023 was primarily due to higher Professional segment earnings, partially offset by lower Residential segment earnings and higher interest expense.</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Reconciliations of non-GAAP financial measures to the most directly comparable reported U.S. GAAP financial measures are included in the section titled "Non-GAAP Financial Measures" within this MD&amp;A.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Arial" w:cs="Arial" w:eastAsia="Arial" w:hAnsi="Arial"/>
                <w:sz w:val="17"/>
                <w:szCs w:val="17"/>
                <w:color w:val="auto"/>
              </w:rPr>
              <w:t>summarize</w:t>
            </w:r>
          </w:p>
        </w:tc>
        <w:tc>
          <w:tcPr>
            <w:tcW w:w="660" w:type="dxa"/>
            <w:vAlign w:val="bottom"/>
          </w:tcPr>
          <w:p>
            <w:pPr>
              <w:ind w:left="120"/>
              <w:spacing w:after="0"/>
              <w:rPr>
                <w:sz w:val="20"/>
                <w:szCs w:val="20"/>
                <w:color w:val="auto"/>
              </w:rPr>
            </w:pPr>
            <w:r>
              <w:rPr>
                <w:rFonts w:ascii="Arial" w:cs="Arial" w:eastAsia="Arial" w:hAnsi="Arial"/>
                <w:sz w:val="17"/>
                <w:szCs w:val="17"/>
                <w:color w:val="auto"/>
              </w:rPr>
              <w:t>net</w:t>
            </w:r>
          </w:p>
        </w:tc>
        <w:tc>
          <w:tcPr>
            <w:tcW w:w="960" w:type="dxa"/>
            <w:vAlign w:val="bottom"/>
          </w:tcPr>
          <w:p>
            <w:pPr>
              <w:ind w:left="300"/>
              <w:spacing w:after="0"/>
              <w:rPr>
                <w:sz w:val="20"/>
                <w:szCs w:val="20"/>
                <w:color w:val="auto"/>
              </w:rPr>
            </w:pPr>
            <w:r>
              <w:rPr>
                <w:rFonts w:ascii="Arial" w:cs="Arial" w:eastAsia="Arial" w:hAnsi="Arial"/>
                <w:sz w:val="17"/>
                <w:szCs w:val="17"/>
                <w:color w:val="auto"/>
              </w:rPr>
              <w:t>sales</w:t>
            </w:r>
          </w:p>
        </w:tc>
        <w:tc>
          <w:tcPr>
            <w:tcW w:w="820" w:type="dxa"/>
            <w:vAlign w:val="bottom"/>
          </w:tcPr>
          <w:p>
            <w:pPr>
              <w:ind w:left="300"/>
              <w:spacing w:after="0"/>
              <w:rPr>
                <w:sz w:val="20"/>
                <w:szCs w:val="20"/>
                <w:color w:val="auto"/>
              </w:rPr>
            </w:pPr>
            <w:r>
              <w:rPr>
                <w:rFonts w:ascii="Arial" w:cs="Arial" w:eastAsia="Arial" w:hAnsi="Arial"/>
                <w:sz w:val="17"/>
                <w:szCs w:val="17"/>
                <w:color w:val="auto"/>
              </w:rPr>
              <w:t>for</w:t>
            </w:r>
          </w:p>
        </w:tc>
        <w:tc>
          <w:tcPr>
            <w:tcW w:w="860" w:type="dxa"/>
            <w:vAlign w:val="bottom"/>
          </w:tcPr>
          <w:p>
            <w:pPr>
              <w:ind w:left="320"/>
              <w:spacing w:after="0"/>
              <w:rPr>
                <w:sz w:val="20"/>
                <w:szCs w:val="20"/>
                <w:color w:val="auto"/>
              </w:rPr>
            </w:pPr>
            <w:r>
              <w:rPr>
                <w:rFonts w:ascii="Arial" w:cs="Arial" w:eastAsia="Arial" w:hAnsi="Arial"/>
                <w:sz w:val="17"/>
                <w:szCs w:val="17"/>
                <w:color w:val="auto"/>
              </w:rPr>
              <w:t>our</w:t>
            </w:r>
          </w:p>
        </w:tc>
        <w:tc>
          <w:tcPr>
            <w:tcW w:w="1020" w:type="dxa"/>
            <w:vAlign w:val="bottom"/>
          </w:tcPr>
          <w:p>
            <w:pPr>
              <w:jc w:val="right"/>
              <w:spacing w:after="0"/>
              <w:rPr>
                <w:sz w:val="20"/>
                <w:szCs w:val="20"/>
                <w:color w:val="auto"/>
              </w:rPr>
            </w:pPr>
            <w:r>
              <w:rPr>
                <w:rFonts w:ascii="Arial" w:cs="Arial" w:eastAsia="Arial" w:hAnsi="Arial"/>
                <w:sz w:val="17"/>
                <w:szCs w:val="17"/>
                <w:color w:val="auto"/>
              </w:rPr>
              <w:t>reportable</w:t>
            </w:r>
          </w:p>
        </w:tc>
        <w:tc>
          <w:tcPr>
            <w:tcW w:w="1220" w:type="dxa"/>
            <w:vAlign w:val="bottom"/>
          </w:tcPr>
          <w:p>
            <w:pPr>
              <w:jc w:val="right"/>
              <w:spacing w:after="0"/>
              <w:rPr>
                <w:sz w:val="20"/>
                <w:szCs w:val="20"/>
                <w:color w:val="auto"/>
              </w:rPr>
            </w:pPr>
            <w:r>
              <w:rPr>
                <w:rFonts w:ascii="Arial" w:cs="Arial" w:eastAsia="Arial" w:hAnsi="Arial"/>
                <w:sz w:val="17"/>
                <w:szCs w:val="17"/>
                <w:color w:val="auto"/>
              </w:rPr>
              <w:t>business</w:t>
            </w:r>
          </w:p>
        </w:tc>
        <w:tc>
          <w:tcPr>
            <w:tcW w:w="160" w:type="dxa"/>
            <w:vAlign w:val="bottom"/>
          </w:tcPr>
          <w:p>
            <w:pPr>
              <w:spacing w:after="0"/>
              <w:rPr>
                <w:sz w:val="18"/>
                <w:szCs w:val="18"/>
                <w:color w:val="auto"/>
              </w:rPr>
            </w:pPr>
          </w:p>
        </w:tc>
        <w:tc>
          <w:tcPr>
            <w:tcW w:w="1280" w:type="dxa"/>
            <w:vAlign w:val="bottom"/>
          </w:tcPr>
          <w:p>
            <w:pPr>
              <w:jc w:val="right"/>
              <w:ind w:right="100"/>
              <w:spacing w:after="0"/>
              <w:rPr>
                <w:sz w:val="20"/>
                <w:szCs w:val="20"/>
                <w:color w:val="auto"/>
              </w:rPr>
            </w:pPr>
            <w:r>
              <w:rPr>
                <w:rFonts w:ascii="Arial" w:cs="Arial" w:eastAsia="Arial" w:hAnsi="Arial"/>
                <w:sz w:val="17"/>
                <w:szCs w:val="17"/>
                <w:color w:val="auto"/>
              </w:rPr>
              <w:t>segments</w:t>
            </w:r>
          </w:p>
        </w:tc>
        <w:tc>
          <w:tcPr>
            <w:tcW w:w="240" w:type="dxa"/>
            <w:vAlign w:val="bottom"/>
          </w:tcPr>
          <w:p>
            <w:pPr>
              <w:spacing w:after="0"/>
              <w:rPr>
                <w:sz w:val="18"/>
                <w:szCs w:val="18"/>
                <w:color w:val="auto"/>
              </w:rPr>
            </w:pPr>
          </w:p>
        </w:tc>
        <w:tc>
          <w:tcPr>
            <w:tcW w:w="600" w:type="dxa"/>
            <w:vAlign w:val="bottom"/>
          </w:tcPr>
          <w:p>
            <w:pPr>
              <w:ind w:left="200"/>
              <w:spacing w:after="0"/>
              <w:rPr>
                <w:sz w:val="20"/>
                <w:szCs w:val="20"/>
                <w:color w:val="auto"/>
              </w:rPr>
            </w:pPr>
            <w:r>
              <w:rPr>
                <w:rFonts w:ascii="Arial" w:cs="Arial" w:eastAsia="Arial" w:hAnsi="Arial"/>
                <w:sz w:val="17"/>
                <w:szCs w:val="17"/>
                <w:color w:val="auto"/>
              </w:rPr>
              <w:t>and</w:t>
            </w:r>
          </w:p>
        </w:tc>
        <w:tc>
          <w:tcPr>
            <w:tcW w:w="1180" w:type="dxa"/>
            <w:vAlign w:val="bottom"/>
            <w:gridSpan w:val="2"/>
          </w:tcPr>
          <w:p>
            <w:pPr>
              <w:ind w:left="480"/>
              <w:spacing w:after="0"/>
              <w:rPr>
                <w:sz w:val="20"/>
                <w:szCs w:val="20"/>
                <w:color w:val="auto"/>
              </w:rPr>
            </w:pPr>
            <w:r>
              <w:rPr>
                <w:rFonts w:ascii="Arial" w:cs="Arial" w:eastAsia="Arial" w:hAnsi="Arial"/>
                <w:sz w:val="17"/>
                <w:szCs w:val="17"/>
                <w:color w:val="auto"/>
              </w:rPr>
              <w:t>Other</w:t>
            </w:r>
          </w:p>
        </w:tc>
        <w:tc>
          <w:tcPr>
            <w:tcW w:w="980" w:type="dxa"/>
            <w:vAlign w:val="bottom"/>
          </w:tcPr>
          <w:p>
            <w:pPr>
              <w:jc w:val="right"/>
              <w:spacing w:after="0"/>
              <w:rPr>
                <w:sz w:val="20"/>
                <w:szCs w:val="20"/>
                <w:color w:val="auto"/>
              </w:rPr>
            </w:pPr>
            <w:r>
              <w:rPr>
                <w:rFonts w:ascii="Arial" w:cs="Arial" w:eastAsia="Arial" w:hAnsi="Arial"/>
                <w:sz w:val="17"/>
                <w:szCs w:val="17"/>
                <w:color w:val="auto"/>
              </w:rPr>
              <w:t>activities:</w:t>
            </w:r>
          </w:p>
        </w:tc>
        <w:tc>
          <w:tcPr>
            <w:tcW w:w="0" w:type="dxa"/>
            <w:vAlign w:val="bottom"/>
          </w:tcPr>
          <w:p>
            <w:pPr>
              <w:spacing w:after="0"/>
              <w:rPr>
                <w:sz w:val="1"/>
                <w:szCs w:val="1"/>
                <w:color w:val="auto"/>
              </w:rPr>
            </w:pPr>
          </w:p>
        </w:tc>
      </w:tr>
      <w:tr>
        <w:trPr>
          <w:trHeight w:val="221"/>
        </w:trPr>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0"/>
              </w:rPr>
              <w:t>Three Months Ended</w:t>
            </w: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2"/>
              </w:rPr>
              <w:t>Dollar</w:t>
            </w: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w w:val="92"/>
              </w:rPr>
              <w:t>May 5, 2023</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6"/>
              </w:rPr>
              <w:t>April 29, 2022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8"/>
              </w:rPr>
              <w:t>Value Change</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Percentage Change</w:t>
            </w:r>
          </w:p>
        </w:tc>
        <w:tc>
          <w:tcPr>
            <w:tcW w:w="0" w:type="dxa"/>
            <w:vAlign w:val="bottom"/>
          </w:tcPr>
          <w:p>
            <w:pPr>
              <w:spacing w:after="0"/>
              <w:rPr>
                <w:sz w:val="1"/>
                <w:szCs w:val="1"/>
                <w:color w:val="auto"/>
              </w:rPr>
            </w:pPr>
          </w:p>
        </w:tc>
      </w:tr>
      <w:tr>
        <w:trPr>
          <w:trHeight w:val="201"/>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1,068,733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925,810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142,923</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12"/>
        </w:trPr>
        <w:tc>
          <w:tcPr>
            <w:tcW w:w="12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265,836</w:t>
            </w:r>
          </w:p>
        </w:tc>
        <w:tc>
          <w:tcPr>
            <w:tcW w:w="16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319,675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(53,839)</w:t>
            </w:r>
          </w:p>
        </w:tc>
        <w:tc>
          <w:tcPr>
            <w:tcW w:w="46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3"/>
        </w:trPr>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6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4,757</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3,993</w:t>
            </w: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764</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9"/>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9"/>
              </w:rPr>
              <w:t>Total net sales*</w:t>
            </w: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1,339,326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1,249,478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89,848</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2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*Includes international net sales of:</w:t>
            </w: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276,385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245,671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30,714</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419"/>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89"/>
              </w:rPr>
              <w:t>Six Months Ended</w:t>
            </w: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w w:val="92"/>
              </w:rPr>
              <w:t>May 5, 2023</w:t>
            </w:r>
          </w:p>
        </w:tc>
        <w:tc>
          <w:tcPr>
            <w:tcW w:w="160" w:type="dxa"/>
            <w:vAlign w:val="bottom"/>
          </w:tcPr>
          <w:p>
            <w:pPr>
              <w:spacing w:after="0"/>
              <w:rPr>
                <w:sz w:val="13"/>
                <w:szCs w:val="13"/>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w w:val="96"/>
              </w:rPr>
              <w:t>April 29, 2022</w:t>
            </w:r>
          </w:p>
        </w:tc>
        <w:tc>
          <w:tcPr>
            <w:tcW w:w="240" w:type="dxa"/>
            <w:vAlign w:val="bottom"/>
          </w:tcPr>
          <w:p>
            <w:pPr>
              <w:spacing w:after="0"/>
              <w:rPr>
                <w:sz w:val="13"/>
                <w:szCs w:val="13"/>
                <w:color w:val="auto"/>
              </w:rPr>
            </w:pPr>
          </w:p>
        </w:tc>
        <w:tc>
          <w:tcPr>
            <w:tcW w:w="1320" w:type="dxa"/>
            <w:vAlign w:val="bottom"/>
            <w:gridSpan w:val="2"/>
          </w:tcPr>
          <w:p>
            <w:pPr>
              <w:jc w:val="center"/>
              <w:ind w:right="140"/>
              <w:spacing w:after="0" w:line="155" w:lineRule="exact"/>
              <w:rPr>
                <w:sz w:val="20"/>
                <w:szCs w:val="20"/>
                <w:color w:val="auto"/>
              </w:rPr>
            </w:pPr>
            <w:r>
              <w:rPr>
                <w:rFonts w:ascii="Arial" w:cs="Arial" w:eastAsia="Arial" w:hAnsi="Arial"/>
                <w:sz w:val="16"/>
                <w:szCs w:val="16"/>
                <w:b w:val="1"/>
                <w:bCs w:val="1"/>
                <w:color w:val="auto"/>
                <w:w w:val="92"/>
              </w:rPr>
              <w:t>Dollar</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Percentage Change</w:t>
            </w:r>
          </w:p>
        </w:tc>
        <w:tc>
          <w:tcPr>
            <w:tcW w:w="0" w:type="dxa"/>
            <w:vAlign w:val="bottom"/>
          </w:tcPr>
          <w:p>
            <w:pPr>
              <w:spacing w:after="0"/>
              <w:rPr>
                <w:sz w:val="1"/>
                <w:szCs w:val="1"/>
                <w:color w:val="auto"/>
              </w:rPr>
            </w:pPr>
          </w:p>
        </w:tc>
      </w:tr>
      <w:tr>
        <w:trPr>
          <w:trHeight w:val="207"/>
        </w:trPr>
        <w:tc>
          <w:tcPr>
            <w:tcW w:w="1920" w:type="dxa"/>
            <w:vAlign w:val="bottom"/>
            <w:tcBorders>
              <w:bottom w:val="single" w:sz="8" w:color="auto"/>
            </w:tcBorders>
            <w:gridSpan w:val="2"/>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8"/>
              </w:rPr>
              <w:t>Value Change</w:t>
            </w:r>
          </w:p>
        </w:tc>
        <w:tc>
          <w:tcPr>
            <w:tcW w:w="14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1,949,393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1,598,695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350,698</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05"/>
        </w:trPr>
        <w:tc>
          <w:tcPr>
            <w:tcW w:w="12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530,451</w:t>
            </w:r>
          </w:p>
        </w:tc>
        <w:tc>
          <w:tcPr>
            <w:tcW w:w="1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575,077</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(44,626)</w:t>
            </w:r>
          </w:p>
        </w:tc>
        <w:tc>
          <w:tcPr>
            <w:tcW w:w="46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7"/>
        </w:trPr>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6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8,322</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8,356</w:t>
            </w: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9"/>
              </w:rPr>
              <w:t>Total net sales*</w:t>
            </w: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2,488,166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2,182,128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306,038</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2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*Includes international net sales of:</w:t>
            </w: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521,722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440,657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81,065</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18.4 %</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segment earnings for our reportable business segments and operating (loss) for our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Three Months Ended</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20" w:type="dxa"/>
            <w:vAlign w:val="bottom"/>
          </w:tcPr>
          <w:p>
            <w:pPr>
              <w:spacing w:after="0"/>
              <w:rPr>
                <w:sz w:val="13"/>
                <w:szCs w:val="13"/>
                <w:color w:val="auto"/>
              </w:rPr>
            </w:pPr>
          </w:p>
        </w:tc>
        <w:tc>
          <w:tcPr>
            <w:tcW w:w="124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May 5, 2023</w:t>
            </w:r>
          </w:p>
        </w:tc>
        <w:tc>
          <w:tcPr>
            <w:tcW w:w="220" w:type="dxa"/>
            <w:vAlign w:val="bottom"/>
          </w:tcPr>
          <w:p>
            <w:pPr>
              <w:spacing w:after="0"/>
              <w:rPr>
                <w:sz w:val="13"/>
                <w:szCs w:val="13"/>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w w:val="96"/>
              </w:rPr>
              <w:t>April 29, 2022</w:t>
            </w:r>
          </w:p>
        </w:tc>
        <w:tc>
          <w:tcPr>
            <w:tcW w:w="240" w:type="dxa"/>
            <w:vAlign w:val="bottom"/>
          </w:tcPr>
          <w:p>
            <w:pPr>
              <w:spacing w:after="0"/>
              <w:rPr>
                <w:sz w:val="13"/>
                <w:szCs w:val="13"/>
                <w:color w:val="auto"/>
              </w:rPr>
            </w:pPr>
          </w:p>
        </w:tc>
        <w:tc>
          <w:tcPr>
            <w:tcW w:w="1320" w:type="dxa"/>
            <w:vAlign w:val="bottom"/>
          </w:tcPr>
          <w:p>
            <w:pPr>
              <w:jc w:val="right"/>
              <w:ind w:right="480"/>
              <w:spacing w:after="0" w:line="150" w:lineRule="exact"/>
              <w:rPr>
                <w:sz w:val="20"/>
                <w:szCs w:val="20"/>
                <w:color w:val="auto"/>
              </w:rPr>
            </w:pPr>
            <w:r>
              <w:rPr>
                <w:rFonts w:ascii="Arial" w:cs="Arial" w:eastAsia="Arial" w:hAnsi="Arial"/>
                <w:sz w:val="16"/>
                <w:szCs w:val="16"/>
                <w:b w:val="1"/>
                <w:bCs w:val="1"/>
                <w:color w:val="auto"/>
              </w:rPr>
              <w:t>Dollar</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Percentage Change</w:t>
            </w:r>
          </w:p>
        </w:tc>
        <w:tc>
          <w:tcPr>
            <w:tcW w:w="0" w:type="dxa"/>
            <w:vAlign w:val="bottom"/>
          </w:tcPr>
          <w:p>
            <w:pPr>
              <w:spacing w:after="0"/>
              <w:rPr>
                <w:sz w:val="1"/>
                <w:szCs w:val="1"/>
                <w:color w:val="auto"/>
              </w:rPr>
            </w:pPr>
          </w:p>
        </w:tc>
      </w:tr>
      <w:tr>
        <w:trPr>
          <w:trHeight w:val="214"/>
        </w:trPr>
        <w:tc>
          <w:tcPr>
            <w:tcW w:w="348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4"/>
              </w:rPr>
              <w:t>Value Change</w:t>
            </w: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227,496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165,370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62,126</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37.6 %</w:t>
            </w:r>
          </w:p>
        </w:tc>
        <w:tc>
          <w:tcPr>
            <w:tcW w:w="0" w:type="dxa"/>
            <w:vAlign w:val="bottom"/>
          </w:tcPr>
          <w:p>
            <w:pPr>
              <w:spacing w:after="0"/>
              <w:rPr>
                <w:sz w:val="1"/>
                <w:szCs w:val="1"/>
                <w:color w:val="auto"/>
              </w:rPr>
            </w:pPr>
          </w:p>
        </w:tc>
      </w:tr>
      <w:tr>
        <w:trPr>
          <w:trHeight w:val="205"/>
        </w:trPr>
        <w:tc>
          <w:tcPr>
            <w:tcW w:w="34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202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22,731</w:t>
            </w:r>
          </w:p>
        </w:tc>
        <w:tc>
          <w:tcPr>
            <w:tcW w:w="2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37,095</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(14,364)</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4"/>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(37,409)</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4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5"/>
        </w:trPr>
        <w:tc>
          <w:tcPr>
            <w:tcW w:w="34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segment earnings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210,819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165,056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45,763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6"/>
                <w:szCs w:val="16"/>
                <w:b w:val="1"/>
                <w:bCs w:val="1"/>
                <w:color w:val="auto"/>
              </w:rPr>
              <w:t>Six Months Ended</w:t>
            </w:r>
          </w:p>
        </w:tc>
        <w:tc>
          <w:tcPr>
            <w:tcW w:w="1440" w:type="dxa"/>
            <w:vAlign w:val="bottom"/>
            <w:tcBorders>
              <w:bottom w:val="single" w:sz="8" w:color="auto"/>
            </w:tcBorders>
          </w:tcPr>
          <w:p>
            <w:pPr>
              <w:spacing w:after="0"/>
              <w:rPr>
                <w:sz w:val="18"/>
                <w:szCs w:val="18"/>
                <w:color w:val="auto"/>
              </w:rPr>
            </w:pPr>
          </w:p>
        </w:tc>
      </w:tr>
      <w:tr>
        <w:trPr>
          <w:trHeight w:val="158"/>
        </w:trPr>
        <w:tc>
          <w:tcPr>
            <w:tcW w:w="34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480"/>
              <w:spacing w:after="0" w:line="158" w:lineRule="exact"/>
              <w:rPr>
                <w:sz w:val="20"/>
                <w:szCs w:val="20"/>
                <w:color w:val="auto"/>
              </w:rPr>
            </w:pPr>
            <w:r>
              <w:rPr>
                <w:rFonts w:ascii="Arial" w:cs="Arial" w:eastAsia="Arial" w:hAnsi="Arial"/>
                <w:sz w:val="16"/>
                <w:szCs w:val="16"/>
                <w:b w:val="1"/>
                <w:bCs w:val="1"/>
                <w:color w:val="auto"/>
              </w:rPr>
              <w:t>Dollar</w:t>
            </w:r>
          </w:p>
        </w:tc>
        <w:tc>
          <w:tcPr>
            <w:tcW w:w="1440" w:type="dxa"/>
            <w:vAlign w:val="bottom"/>
          </w:tcPr>
          <w:p>
            <w:pPr>
              <w:spacing w:after="0"/>
              <w:rPr>
                <w:sz w:val="13"/>
                <w:szCs w:val="13"/>
                <w:color w:val="auto"/>
              </w:rPr>
            </w:pPr>
          </w:p>
        </w:tc>
      </w:tr>
      <w:tr>
        <w:trPr>
          <w:trHeight w:val="21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8"/>
              </w:rPr>
              <w:t>May 5, 2023</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29, 2022</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4"/>
              </w:rPr>
              <w:t>Value Change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Percentage Change</w:t>
            </w:r>
          </w:p>
        </w:tc>
      </w:tr>
      <w:tr>
        <w:trPr>
          <w:trHeight w:val="20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2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371,572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258,642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112,930</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43.7 %</w:t>
            </w:r>
          </w:p>
        </w:tc>
      </w:tr>
      <w:tr>
        <w:trPr>
          <w:trHeight w:val="212"/>
        </w:trPr>
        <w:tc>
          <w:tcPr>
            <w:tcW w:w="34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204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60,563</w:t>
            </w:r>
          </w:p>
        </w:tc>
        <w:tc>
          <w:tcPr>
            <w:tcW w:w="22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68,855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(8,292)</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(12.0)</w:t>
            </w:r>
          </w:p>
        </w:tc>
      </w:tr>
      <w:tr>
        <w:trPr>
          <w:trHeight w:val="213"/>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(90,002)</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(75,294)</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(14,708)</w:t>
            </w:r>
          </w:p>
        </w:tc>
        <w:tc>
          <w:tcPr>
            <w:tcW w:w="14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(19.5)</w:t>
            </w:r>
          </w:p>
        </w:tc>
      </w:tr>
      <w:tr>
        <w:trPr>
          <w:trHeight w:val="199"/>
        </w:trPr>
        <w:tc>
          <w:tcPr>
            <w:tcW w:w="34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segment earnings</w:t>
            </w:r>
          </w:p>
        </w:tc>
        <w:tc>
          <w:tcPr>
            <w:tcW w:w="2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342,133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252,203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89,930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35.7 %</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Segment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Worldwide net sales for our Professional segment for the second quarter of fiscal 2023 increased 15.4 percent compared to the second quarter of fiscal 2022. The increase was driven primarily by higher volume and net price realization. Worldwide net sales for our Professional segment for the year-to-date period of fiscal 2023 increased 21.9 percent compared to the same period of fiscal 2022. The increase was driven primarily by higher volume, net price realization, and the acquisition of Intimidator.</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Professional segment earnings for the second quarter of fiscal 2023 increased 37.6 percent compared to the second quarter of fiscal 2022, and Professional segment earnings margin increased to 21.3 percent from 17.9 percent in the second quarter of fiscal 2022. The increase in Professional segment earnings margin was primarily due to net price realization, favorable product mix, productivity improvements, and net sales leverage, partially offset by higher material and manufacturing costs. Professional segment earnings for the year-to-date period of fiscal 2023 increased 43.7 percent compared to the same period of fiscal 2022, and Professional segment earnings margin increased to 19.1 percent from 16.2 percent in the year-to-date period of fiscal 2022. The increase in Professional segment earnings margin was primarily due to net price realization, productivity improvements, and net sales leverage, partially offset by higher material and manufacturing costs.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Segment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Worldwide net sales for our Residential segment for the second quarter of fiscal 2023 decreased 16.8 percent compared to the second quarter of fiscal 2022. Worldwide net sales for our Residential segment for the year-to-date period of fiscal 2023 decreased 7.8 percent compared to the same period of fiscal 2022. The decrease in Residential segment net sales for both the second quarter and year-to-date periods of fiscal 2023 was primarily driven by lower volume, partially offset by net price realization.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Residential segment earnings for the second quarter of fiscal 2023 decreased 38.7 percent compared to the second quarter of fiscal 2022, and Residential segment earnings margin decreased to 8.6 percent from 11.6 percent in the second quarter of fiscal 2022. The decrease in Residential segment earnings margin for the second quarter of fiscal 2023 was largely driven by lower sales volume, higher marketing expense, and higher manufacturing costs, partially offset by net price realization and lower freight costs. Residential segment earnings for the year-to-date period of fiscal 2023 decreased 12.0 percent compared to the same period of fiscal 2022, and Residential segment earnings margin decreased to 11.4 percent from 12.0 percent in the year-to-date period of fiscal 2022. The decrease in Residential segment earnings margin for the year-to-date period of fiscal 2023 was largely driven by lower sales volume, higher marketing expense, and higher material and manufacturing costs, partially offset by net price realization and favorable product mix.</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Net Sales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sales for our Other activities includes sales from our wholly-owned domestic distribution company net of intersegment sales from the Professional and Residential segments to the distribution company. Net sales for our Other activities in the second quarter of fiscal 2023 increased by $0.8 million compared to the same period in fiscal 2022.</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Net sales for our Other activities in the year-to-date period of fiscal 2023 were flat compared to the same period in fiscal 2022.</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Loss</w:t>
      </w:r>
    </w:p>
    <w:p>
      <w:pPr>
        <w:spacing w:after="0" w:line="1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operating loss for our Other activities for the second quarter of fiscal 2023 increased $2.0 million compared to the second quarter of fiscal 2022 and was primarily due to higher interest expense, partially offset by higher income from our Red Iron joint venture and the favorable impact from derivative instruments.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operating loss for our Other activities for the year-to-date period of fiscal 2023 increased $14.7 million compared to the same period in fiscal 2022 and was primarily due to higher interest expense and higher corporate expenses, partially offset by higher income from our Red Iron joint venture and the favorable impact from derivative instruments.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POSITION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macroeconomic environment remains challenging and has continued to result in supply chain disruptions and difficult conditions for sourcing certain key components. Our continued goal is to maintain requisite inventory levels to meet our anticipated production requirements, avoid manufacturing delays, and meet the demand for our products, as well as attempting to ensure service parts availability for our customers. Accounts receivable as of the end of the second quarter of fiscal 2023 increased $22.6 million, or 5.2 percent, compared to the end of the second quarter of fiscal 2022, primarily driven by higher International sales, partially offset by lower Residential segment sales. Inventory levels were up $235.8 million, or 26.4 percent, as of the second quarter of fiscal 2023 compared to the second quarter of fiscal 2022, primarily due to higher finished goods, work-in-process, and parts inventory largely driven by increased costs resulting from inflation and constrained supply for certain key components which limited finished product assembly. Accounts payable decreased $51.9 million, or 9.2 percent, as of the end of the second quarter of fiscal 2023 compared to the end of the second quarter of fiscal 2022, primarily driven by a reduction in inventory purchases year over year.</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for the first six months of fiscal 2023 was $61.6 million compared to $42.9 million for the first six months of fiscal 2022.</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This increase in cash provided by operating activities was primarily due to higher net earnings, partially offset by net unfavorable fluctuations in working capital.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Cash used in investing activities for the first six months of fiscal 2023 was $62.7 million compared to $438.9 million for the first six months of fiscal 2022. This significant decrease in cash used in investing activities was driven by cash used to acquire Intimidator in fiscal 2022, partially offset by higher purchases of property, plant, and equipment in the current fiscal year period.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Cash used in financing activities for the first six months of fiscal 2023 was $32.2 million compared to cash provided by financing activities for the first six months of fiscal 2022 of $262.4 million. This change in cash flows from financing activities was mainly due to lower net borrowings, partially offset by lower share repurchases, in each case during the current fiscal year period compared to the prior fiscal year period. The net borrowings incurred during the prior fiscal year period were used in part to acquire Intimidator.</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of May 5, 2023, we had available liquidity of $698.7 million, consisting of cash and cash equivalents of $151.3 million, of which $75.5 million was held by our foreign subsidiaries, and availability under our revolving credit facility of $547.4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debt arrangements are described in further detail within our most recently filed Annual Report on Form 10-K for the fiscal year ended October 31, 2022. The following is a summary of our indebtedness: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May 5, 2023</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April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3"/>
              </w:rPr>
              <w:t>October 31, 2022</w:t>
            </w: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$600 million revolving credit facility, due October 2026</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860" w:type="dxa"/>
            <w:vAlign w:val="bottom"/>
          </w:tcPr>
          <w:p>
            <w:pPr>
              <w:ind w:left="20"/>
              <w:spacing w:after="0"/>
              <w:rPr>
                <w:sz w:val="20"/>
                <w:szCs w:val="20"/>
                <w:color w:val="auto"/>
              </w:rPr>
            </w:pPr>
            <w:r>
              <w:rPr>
                <w:rFonts w:ascii="Arial" w:cs="Arial" w:eastAsia="Arial" w:hAnsi="Arial"/>
                <w:sz w:val="16"/>
                <w:szCs w:val="16"/>
                <w:color w:val="auto"/>
              </w:rPr>
              <w:t>$270 million term loan, due October 2026</w:t>
            </w:r>
          </w:p>
        </w:tc>
        <w:tc>
          <w:tcPr>
            <w:tcW w:w="15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270,000</w:t>
            </w:r>
          </w:p>
        </w:tc>
        <w:tc>
          <w:tcPr>
            <w:tcW w:w="300" w:type="dxa"/>
            <w:vAlign w:val="bottom"/>
          </w:tcPr>
          <w:p>
            <w:pPr>
              <w:spacing w:after="0"/>
              <w:rPr>
                <w:sz w:val="17"/>
                <w:szCs w:val="17"/>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270,000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270,000</w:t>
            </w:r>
          </w:p>
        </w:tc>
      </w:tr>
      <w:tr>
        <w:trPr>
          <w:trHeight w:val="208"/>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 million term loan, due April 2027</w:t>
            </w: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12"/>
        </w:trPr>
        <w:tc>
          <w:tcPr>
            <w:tcW w:w="4860" w:type="dxa"/>
            <w:vAlign w:val="bottom"/>
          </w:tcPr>
          <w:p>
            <w:pPr>
              <w:ind w:left="20"/>
              <w:spacing w:after="0"/>
              <w:rPr>
                <w:sz w:val="20"/>
                <w:szCs w:val="20"/>
                <w:color w:val="auto"/>
              </w:rPr>
            </w:pPr>
            <w:r>
              <w:rPr>
                <w:rFonts w:ascii="Arial" w:cs="Arial" w:eastAsia="Arial" w:hAnsi="Arial"/>
                <w:sz w:val="16"/>
                <w:szCs w:val="16"/>
                <w:color w:val="auto"/>
              </w:rPr>
              <w:t>3.81% series A senior notes, due June 2029</w:t>
            </w:r>
          </w:p>
        </w:tc>
        <w:tc>
          <w:tcPr>
            <w:tcW w:w="15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18"/>
                <w:szCs w:val="18"/>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14"/>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3.91% series B senior notes, due June 2031</w:t>
            </w: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4860" w:type="dxa"/>
            <w:vAlign w:val="bottom"/>
          </w:tcPr>
          <w:p>
            <w:pPr>
              <w:ind w:left="20"/>
              <w:spacing w:after="0"/>
              <w:rPr>
                <w:sz w:val="20"/>
                <w:szCs w:val="20"/>
                <w:color w:val="auto"/>
              </w:rPr>
            </w:pPr>
            <w:r>
              <w:rPr>
                <w:rFonts w:ascii="Arial" w:cs="Arial" w:eastAsia="Arial" w:hAnsi="Arial"/>
                <w:sz w:val="16"/>
                <w:szCs w:val="16"/>
                <w:color w:val="auto"/>
              </w:rPr>
              <w:t>3.97% senior notes, due June 2032</w:t>
            </w:r>
          </w:p>
        </w:tc>
        <w:tc>
          <w:tcPr>
            <w:tcW w:w="15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17"/>
                <w:szCs w:val="17"/>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7.8% debentures, due June 2027</w:t>
            </w: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4860" w:type="dxa"/>
            <w:vAlign w:val="bottom"/>
          </w:tcPr>
          <w:p>
            <w:pPr>
              <w:ind w:left="20"/>
              <w:spacing w:after="0"/>
              <w:rPr>
                <w:sz w:val="20"/>
                <w:szCs w:val="20"/>
                <w:color w:val="auto"/>
              </w:rPr>
            </w:pPr>
            <w:r>
              <w:rPr>
                <w:rFonts w:ascii="Arial" w:cs="Arial" w:eastAsia="Arial" w:hAnsi="Arial"/>
                <w:sz w:val="16"/>
                <w:szCs w:val="16"/>
                <w:color w:val="auto"/>
              </w:rPr>
              <w:t>6.625% senior notes, due May 2037</w:t>
            </w:r>
          </w:p>
        </w:tc>
        <w:tc>
          <w:tcPr>
            <w:tcW w:w="15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124,133</w:t>
            </w:r>
          </w:p>
        </w:tc>
        <w:tc>
          <w:tcPr>
            <w:tcW w:w="300" w:type="dxa"/>
            <w:vAlign w:val="bottom"/>
          </w:tcPr>
          <w:p>
            <w:pPr>
              <w:spacing w:after="0"/>
              <w:rPr>
                <w:sz w:val="17"/>
                <w:szCs w:val="17"/>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124,071</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124,102</w:t>
            </w:r>
          </w:p>
        </w:tc>
      </w:tr>
      <w:tr>
        <w:trPr>
          <w:trHeight w:val="207"/>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5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2,971</w:t>
            </w:r>
          </w:p>
        </w:tc>
        <w:tc>
          <w:tcPr>
            <w:tcW w:w="3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3,101</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w:t>
            </w:r>
          </w:p>
        </w:tc>
      </w:tr>
      <w:tr>
        <w:trPr>
          <w:trHeight w:val="206"/>
        </w:trPr>
        <w:tc>
          <w:tcPr>
            <w:tcW w:w="4860" w:type="dxa"/>
            <w:vAlign w:val="bottom"/>
          </w:tcPr>
          <w:p>
            <w:pPr>
              <w:ind w:left="140"/>
              <w:spacing w:after="0"/>
              <w:rPr>
                <w:sz w:val="20"/>
                <w:szCs w:val="20"/>
                <w:color w:val="auto"/>
              </w:rPr>
            </w:pPr>
            <w:r>
              <w:rPr>
                <w:rFonts w:ascii="Arial" w:cs="Arial" w:eastAsia="Arial" w:hAnsi="Arial"/>
                <w:sz w:val="16"/>
                <w:szCs w:val="16"/>
                <w:color w:val="auto"/>
              </w:rPr>
              <w:t>Total long-term debt</w:t>
            </w:r>
          </w:p>
        </w:tc>
        <w:tc>
          <w:tcPr>
            <w:tcW w:w="15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1,041,162</w:t>
            </w:r>
          </w:p>
        </w:tc>
        <w:tc>
          <w:tcPr>
            <w:tcW w:w="300" w:type="dxa"/>
            <w:vAlign w:val="bottom"/>
          </w:tcPr>
          <w:p>
            <w:pPr>
              <w:spacing w:after="0"/>
              <w:rPr>
                <w:sz w:val="17"/>
                <w:szCs w:val="17"/>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1,090,970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990,768</w:t>
            </w:r>
          </w:p>
        </w:tc>
      </w:tr>
      <w:tr>
        <w:trPr>
          <w:trHeight w:val="213"/>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5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 less current portion</w:t>
            </w:r>
          </w:p>
        </w:tc>
        <w:tc>
          <w:tcPr>
            <w:tcW w:w="15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1,041,162</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990,970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990,768</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As of May 5, 2023, we had $50.0 million of outstanding borrowings under our revolving credit facility, and $2.6 million outstanding under the sublimit for standby letters of credit, which resulted in $547.4 million of unutilized availability under the revolving credit facility.</w:t>
      </w:r>
    </w:p>
    <w:p>
      <w:pPr>
        <w:spacing w:after="0" w:line="6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are in compliance with our debt covenants and other requirements of our revolving credit facility and term loan credit agreements, indentures, and private placement note purchase agreements.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Dividends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Board of Directors approved a cash dividend of $0.34 per share for the second quarter of fiscal 2023 that was paid on April 19, 2023. This was an increase of 13.3 percent over our cash dividend of $0.30 per share for the second quarter of fiscal 2022. We expect to continue paying our quarterly cash dividend to shareholders for the remainder of fiscal 2023.</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the first six months of fiscal 2023, we repurchased 228,790 shares of our common stock in the open market under our Board authorized repurchase program, thereby reducing our total shares outstanding. As of May 5, 2023, 7,297,816 shares remained available for repurchase under our Board authorized repurchase program. We expect to repurchase shares of our common stock throughout the remainder of fiscal 2023, depending on our cash balance, debt repayments, market conditions, our anticipated working capital needs, the price of our common stock, and/or other factors.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Financing Arrangements</w:t>
      </w:r>
    </w:p>
    <w:p>
      <w:pPr>
        <w:spacing w:after="0" w:line="1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Our customer financing arrangements are described in further detail within our most recently filed Annual Report on Form 10-K for the fiscal year ended October 31, 2022. There have been no material changes to our customer financing arrangements during the first six months of fiscal 2023.</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Financing</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6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net amount of receivables financed for dealers and distributors under the arrangement with Red Iron for the six month periods ended May 5, 2023 and April 29, 2022 were $1,470.1 million and $1,209.7 million, respectively. The total amount of net receivables outstanding under the arrangement with Red Iron as of May 5, 2023, April 29, 2022 and October 31, 2022 were $1,095.8 million, $650.7 million and $776.1 million, respectively. The total amount of receivables due from Red Iron to us as of May 5, 2023, April 29, 2022 and October 31, 2022 were $34.7 million, $19.9 million and $17.7 million, respectively.</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net amount of receivables financed for dealers and distributors under the arrangements with HCFC and the other third-party financial institutions for the six month periods ended May 5, 2023 and April 29, 2022 were $247.5 million and $266.2 million, respectively. The total amount of net receivables outstanding under the arrangements with HCFC and the other third-party financial institutions as of May 5, 2023, April 29, 2022, and October 31, 2022 were $194.2 million, $223.7 million, and $220.0 million,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Repurchase Agreements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6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May 5, 2023, April 29, 2022, and October 31, 2022, we were contingently liable to repurchase up to a maximum amount of $111.1 million, $85.6 million, and $80.0 million, respectively, of inventory related to receivables under these inventory repurchase agreements.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six months ended May 5, 2023 and April 29, 2022.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120"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following table provides a reconciliation of the non-GAAP financial performance measures used in this report to the most directly comparable measures calculated and reported in accordance with U.S. GAAP for the three and six month periods ended May 5, 2023 and April 29,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(Dollars in thousands, except per share data)</w:t>
            </w:r>
          </w:p>
        </w:tc>
        <w:tc>
          <w:tcPr>
            <w:tcW w:w="1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May 5, 2023</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29, 2022</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May 5, 2023</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April 29, 2022</w:t>
            </w:r>
          </w:p>
        </w:tc>
      </w:tr>
      <w:tr>
        <w:trPr>
          <w:trHeight w:val="202"/>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479,721</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405,369</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875,645</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705,845</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0"/>
                <w:szCs w:val="20"/>
                <w:color w:val="auto"/>
                <w:vertAlign w:val="superscript"/>
              </w:rPr>
              <w:t>1</w:t>
            </w:r>
          </w:p>
        </w:tc>
        <w:tc>
          <w:tcPr>
            <w:tcW w:w="1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1,024</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225</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1,024</w:t>
            </w:r>
          </w:p>
        </w:tc>
      </w:tr>
      <w:tr>
        <w:trPr>
          <w:trHeight w:val="197"/>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Adjusted gross profit</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479,721</w:t>
            </w:r>
          </w:p>
        </w:tc>
        <w:tc>
          <w:tcPr>
            <w:tcW w:w="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406,393</w:t>
            </w:r>
          </w:p>
        </w:tc>
        <w:tc>
          <w:tcPr>
            <w:tcW w:w="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875,870</w:t>
            </w:r>
          </w:p>
        </w:tc>
        <w:tc>
          <w:tcPr>
            <w:tcW w:w="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706,869</w:t>
            </w:r>
          </w:p>
        </w:tc>
      </w:tr>
      <w:tr>
        <w:trPr>
          <w:trHeight w:val="86"/>
        </w:trPr>
        <w:tc>
          <w:tcPr>
            <w:tcW w:w="39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199"/>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margin</w:t>
            </w: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35.8 %</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32.4 %</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35.2 %</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32.3 %</w:t>
            </w:r>
          </w:p>
        </w:tc>
      </w:tr>
      <w:tr>
        <w:trPr>
          <w:trHeight w:val="194"/>
        </w:trPr>
        <w:tc>
          <w:tcPr>
            <w:tcW w:w="3960" w:type="dxa"/>
            <w:vAlign w:val="bottom"/>
            <w:tcBorders>
              <w:bottom w:val="single" w:sz="8" w:color="auto"/>
            </w:tcBorders>
          </w:tcPr>
          <w:p>
            <w:pPr>
              <w:ind w:left="140"/>
              <w:spacing w:after="0" w:line="194"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0"/>
                <w:szCs w:val="20"/>
                <w:color w:val="auto"/>
                <w:vertAlign w:val="superscript"/>
              </w:rPr>
              <w:t>1</w:t>
            </w:r>
          </w:p>
        </w:tc>
        <w:tc>
          <w:tcPr>
            <w:tcW w:w="1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 %</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0.1 %</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 %</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0.1 %</w:t>
            </w:r>
          </w:p>
        </w:tc>
      </w:tr>
      <w:tr>
        <w:trPr>
          <w:trHeight w:val="197"/>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Adjusted gross margin</w:t>
            </w:r>
          </w:p>
        </w:tc>
        <w:tc>
          <w:tcPr>
            <w:tcW w:w="1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35.8 %</w:t>
            </w: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32.5 %</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35.2 %</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32.4 %</w:t>
            </w:r>
          </w:p>
        </w:tc>
      </w:tr>
      <w:tr>
        <w:trPr>
          <w:trHeight w:val="86"/>
        </w:trPr>
        <w:tc>
          <w:tcPr>
            <w:tcW w:w="39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199"/>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earnings</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218,796</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170,577</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355,223</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262,203</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0"/>
                <w:szCs w:val="20"/>
                <w:color w:val="auto"/>
                <w:vertAlign w:val="superscript"/>
              </w:rPr>
              <w:t>1</w:t>
            </w:r>
          </w:p>
        </w:tc>
        <w:tc>
          <w:tcPr>
            <w:tcW w:w="1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1,736</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447</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2,752</w:t>
            </w:r>
          </w:p>
        </w:tc>
      </w:tr>
      <w:tr>
        <w:trPr>
          <w:trHeight w:val="197"/>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Adjusted operating earnings</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218,796</w:t>
            </w:r>
          </w:p>
        </w:tc>
        <w:tc>
          <w:tcPr>
            <w:tcW w:w="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172,313</w:t>
            </w:r>
          </w:p>
        </w:tc>
        <w:tc>
          <w:tcPr>
            <w:tcW w:w="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355,670</w:t>
            </w:r>
          </w:p>
        </w:tc>
        <w:tc>
          <w:tcPr>
            <w:tcW w:w="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264,955</w:t>
            </w:r>
          </w:p>
        </w:tc>
      </w:tr>
      <w:tr>
        <w:trPr>
          <w:trHeight w:val="86"/>
        </w:trPr>
        <w:tc>
          <w:tcPr>
            <w:tcW w:w="39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199"/>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earnings margin</w:t>
            </w: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16.3 %</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13.7 %</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14.3 %</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12.0 %</w:t>
            </w:r>
          </w:p>
        </w:tc>
      </w:tr>
      <w:tr>
        <w:trPr>
          <w:trHeight w:val="194"/>
        </w:trPr>
        <w:tc>
          <w:tcPr>
            <w:tcW w:w="3960" w:type="dxa"/>
            <w:vAlign w:val="bottom"/>
            <w:tcBorders>
              <w:bottom w:val="single" w:sz="8" w:color="auto"/>
            </w:tcBorders>
          </w:tcPr>
          <w:p>
            <w:pPr>
              <w:ind w:left="140"/>
              <w:spacing w:after="0" w:line="194"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0"/>
                <w:szCs w:val="20"/>
                <w:color w:val="auto"/>
                <w:vertAlign w:val="superscript"/>
              </w:rPr>
              <w:t>1</w:t>
            </w:r>
          </w:p>
        </w:tc>
        <w:tc>
          <w:tcPr>
            <w:tcW w:w="1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 %</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0.1 %</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 %</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0.1 %</w:t>
            </w:r>
          </w:p>
        </w:tc>
      </w:tr>
      <w:tr>
        <w:trPr>
          <w:trHeight w:val="197"/>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Adjusted operating earnings margin</w:t>
            </w:r>
          </w:p>
        </w:tc>
        <w:tc>
          <w:tcPr>
            <w:tcW w:w="1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16.3 %</w:t>
            </w: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13.8 %</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14.3 %</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12.1 %</w:t>
            </w:r>
          </w:p>
        </w:tc>
      </w:tr>
      <w:tr>
        <w:trPr>
          <w:trHeight w:val="73"/>
        </w:trPr>
        <w:tc>
          <w:tcPr>
            <w:tcW w:w="39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199"/>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before income taxes</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210,819</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165,056</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342,133</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252,203</w:t>
            </w:r>
          </w:p>
        </w:tc>
      </w:tr>
      <w:tr>
        <w:trPr>
          <w:trHeight w:val="194"/>
        </w:trPr>
        <w:tc>
          <w:tcPr>
            <w:tcW w:w="3960" w:type="dxa"/>
            <w:vAlign w:val="bottom"/>
            <w:tcBorders>
              <w:bottom w:val="single" w:sz="8" w:color="auto"/>
            </w:tcBorders>
          </w:tcPr>
          <w:p>
            <w:pPr>
              <w:ind w:left="140"/>
              <w:spacing w:after="0" w:line="194"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0"/>
                <w:szCs w:val="20"/>
                <w:color w:val="auto"/>
                <w:vertAlign w:val="superscript"/>
              </w:rPr>
              <w:t>1</w:t>
            </w:r>
          </w:p>
        </w:tc>
        <w:tc>
          <w:tcPr>
            <w:tcW w:w="1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1,736</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447</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2,752</w:t>
            </w:r>
          </w:p>
        </w:tc>
      </w:tr>
      <w:tr>
        <w:trPr>
          <w:trHeight w:val="197"/>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Adjusted earnings before income taxes</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210,819</w:t>
            </w:r>
          </w:p>
        </w:tc>
        <w:tc>
          <w:tcPr>
            <w:tcW w:w="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166,792</w:t>
            </w:r>
          </w:p>
        </w:tc>
        <w:tc>
          <w:tcPr>
            <w:tcW w:w="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342,580</w:t>
            </w:r>
          </w:p>
        </w:tc>
        <w:tc>
          <w:tcPr>
            <w:tcW w:w="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254,955</w:t>
            </w:r>
          </w:p>
        </w:tc>
      </w:tr>
      <w:tr>
        <w:trPr>
          <w:trHeight w:val="86"/>
        </w:trPr>
        <w:tc>
          <w:tcPr>
            <w:tcW w:w="39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199"/>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earnings</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167,465</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131,125</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274,325</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200,635</w:t>
            </w:r>
          </w:p>
        </w:tc>
      </w:tr>
      <w:tr>
        <w:trPr>
          <w:trHeight w:val="207"/>
        </w:trPr>
        <w:tc>
          <w:tcPr>
            <w:tcW w:w="3960" w:type="dxa"/>
            <w:vAlign w:val="bottom"/>
          </w:tcPr>
          <w:p>
            <w:pPr>
              <w:ind w:left="140"/>
              <w:spacing w:after="0" w:line="207"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0"/>
                <w:szCs w:val="20"/>
                <w:color w:val="auto"/>
                <w:vertAlign w:val="superscript"/>
              </w:rPr>
              <w:t>1</w:t>
            </w:r>
          </w:p>
        </w:tc>
        <w:tc>
          <w:tcPr>
            <w:tcW w:w="1200" w:type="dxa"/>
            <w:vAlign w:val="bottom"/>
          </w:tcPr>
          <w:p>
            <w:pPr>
              <w:spacing w:after="0"/>
              <w:rPr>
                <w:sz w:val="17"/>
                <w:szCs w:val="17"/>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60" w:type="dxa"/>
            <w:vAlign w:val="bottom"/>
          </w:tcPr>
          <w:p>
            <w:pPr>
              <w:jc w:val="right"/>
              <w:ind w:right="163"/>
              <w:spacing w:after="0"/>
              <w:rPr>
                <w:sz w:val="20"/>
                <w:szCs w:val="20"/>
                <w:color w:val="auto"/>
              </w:rPr>
            </w:pPr>
            <w:r>
              <w:rPr>
                <w:rFonts w:ascii="Arial" w:cs="Arial" w:eastAsia="Arial" w:hAnsi="Arial"/>
                <w:sz w:val="15"/>
                <w:szCs w:val="15"/>
                <w:color w:val="auto"/>
              </w:rPr>
              <w:t>1,375</w:t>
            </w:r>
          </w:p>
        </w:tc>
        <w:tc>
          <w:tcPr>
            <w:tcW w:w="260" w:type="dxa"/>
            <w:vAlign w:val="bottom"/>
          </w:tcPr>
          <w:p>
            <w:pPr>
              <w:spacing w:after="0"/>
              <w:rPr>
                <w:sz w:val="17"/>
                <w:szCs w:val="17"/>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351</w:t>
            </w:r>
          </w:p>
        </w:tc>
        <w:tc>
          <w:tcPr>
            <w:tcW w:w="240" w:type="dxa"/>
            <w:vAlign w:val="bottom"/>
          </w:tcPr>
          <w:p>
            <w:pPr>
              <w:spacing w:after="0"/>
              <w:rPr>
                <w:sz w:val="17"/>
                <w:szCs w:val="17"/>
                <w:color w:val="auto"/>
              </w:rPr>
            </w:pPr>
          </w:p>
        </w:tc>
        <w:tc>
          <w:tcPr>
            <w:tcW w:w="1300" w:type="dxa"/>
            <w:vAlign w:val="bottom"/>
          </w:tcPr>
          <w:p>
            <w:pPr>
              <w:jc w:val="right"/>
              <w:ind w:right="103"/>
              <w:spacing w:after="0"/>
              <w:rPr>
                <w:sz w:val="20"/>
                <w:szCs w:val="20"/>
                <w:color w:val="auto"/>
              </w:rPr>
            </w:pPr>
            <w:r>
              <w:rPr>
                <w:rFonts w:ascii="Arial" w:cs="Arial" w:eastAsia="Arial" w:hAnsi="Arial"/>
                <w:sz w:val="15"/>
                <w:szCs w:val="15"/>
                <w:color w:val="auto"/>
              </w:rPr>
              <w:t>2,179</w:t>
            </w:r>
          </w:p>
        </w:tc>
      </w:tr>
      <w:tr>
        <w:trPr>
          <w:trHeight w:val="207"/>
        </w:trPr>
        <w:tc>
          <w:tcPr>
            <w:tcW w:w="396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5"/>
                <w:szCs w:val="15"/>
                <w:color w:val="auto"/>
              </w:rPr>
              <w:t>Tax impact of stock-based compensation</w:t>
            </w:r>
            <w:r>
              <w:rPr>
                <w:rFonts w:ascii="Arial" w:cs="Arial" w:eastAsia="Arial" w:hAnsi="Arial"/>
                <w:sz w:val="20"/>
                <w:szCs w:val="20"/>
                <w:color w:val="auto"/>
                <w:vertAlign w:val="superscript"/>
              </w:rPr>
              <w:t>2</w:t>
            </w:r>
          </w:p>
        </w:tc>
        <w:tc>
          <w:tcPr>
            <w:tcW w:w="1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(1,075)</w:t>
            </w: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(367)</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(4,680)</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(987)</w:t>
            </w:r>
          </w:p>
        </w:tc>
      </w:tr>
      <w:tr>
        <w:trPr>
          <w:trHeight w:val="19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Adjusted net earnings</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166,390</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132,133</w:t>
            </w:r>
          </w:p>
        </w:tc>
        <w:tc>
          <w:tcPr>
            <w:tcW w:w="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269,996</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201,827</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2"/>
        </w:trPr>
        <w:tc>
          <w:tcPr>
            <w:tcW w:w="39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r>
      <w:tr>
        <w:trPr>
          <w:trHeight w:val="197"/>
        </w:trPr>
        <w:tc>
          <w:tcPr>
            <w:tcW w:w="3960" w:type="dxa"/>
            <w:vAlign w:val="bottom"/>
          </w:tcPr>
          <w:p>
            <w:pPr>
              <w:ind w:left="20"/>
              <w:spacing w:after="0"/>
              <w:rPr>
                <w:sz w:val="20"/>
                <w:szCs w:val="20"/>
                <w:color w:val="auto"/>
              </w:rPr>
            </w:pPr>
            <w:r>
              <w:rPr>
                <w:rFonts w:ascii="Arial" w:cs="Arial" w:eastAsia="Arial" w:hAnsi="Arial"/>
                <w:sz w:val="15"/>
                <w:szCs w:val="15"/>
                <w:color w:val="auto"/>
              </w:rPr>
              <w:t>Net earnings per diluted share</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1.59</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63"/>
              <w:spacing w:after="0"/>
              <w:rPr>
                <w:sz w:val="20"/>
                <w:szCs w:val="20"/>
                <w:color w:val="auto"/>
              </w:rPr>
            </w:pPr>
            <w:r>
              <w:rPr>
                <w:rFonts w:ascii="Arial" w:cs="Arial" w:eastAsia="Arial" w:hAnsi="Arial"/>
                <w:sz w:val="15"/>
                <w:szCs w:val="15"/>
                <w:color w:val="auto"/>
              </w:rPr>
              <w:t>1.24</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2.60</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103"/>
              <w:spacing w:after="0"/>
              <w:rPr>
                <w:sz w:val="20"/>
                <w:szCs w:val="20"/>
                <w:color w:val="auto"/>
              </w:rPr>
            </w:pPr>
            <w:r>
              <w:rPr>
                <w:rFonts w:ascii="Arial" w:cs="Arial" w:eastAsia="Arial" w:hAnsi="Arial"/>
                <w:sz w:val="15"/>
                <w:szCs w:val="15"/>
                <w:color w:val="auto"/>
              </w:rPr>
              <w:t>1.89</w:t>
            </w:r>
          </w:p>
        </w:tc>
      </w:tr>
      <w:tr>
        <w:trPr>
          <w:trHeight w:val="209"/>
        </w:trPr>
        <w:tc>
          <w:tcPr>
            <w:tcW w:w="3960" w:type="dxa"/>
            <w:vAlign w:val="bottom"/>
            <w:shd w:val="clear" w:color="auto" w:fill="CCEEFF"/>
          </w:tcPr>
          <w:p>
            <w:pPr>
              <w:ind w:left="140"/>
              <w:spacing w:after="0" w:line="209"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0"/>
                <w:szCs w:val="20"/>
                <w:color w:val="auto"/>
                <w:vertAlign w:val="superscript"/>
              </w:rPr>
              <w:t>1</w:t>
            </w: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0.01</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0.03</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5"/>
                <w:szCs w:val="15"/>
                <w:color w:val="auto"/>
              </w:rPr>
              <w:t>Tax impact of stock-based compensation</w:t>
            </w:r>
            <w:r>
              <w:rPr>
                <w:rFonts w:ascii="Arial" w:cs="Arial" w:eastAsia="Arial" w:hAnsi="Arial"/>
                <w:sz w:val="20"/>
                <w:szCs w:val="20"/>
                <w:color w:val="auto"/>
                <w:vertAlign w:val="superscript"/>
              </w:rPr>
              <w:t>2</w:t>
            </w:r>
          </w:p>
        </w:tc>
        <w:tc>
          <w:tcPr>
            <w:tcW w:w="1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(0.01)</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(0.04)</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(0.01)</w:t>
            </w:r>
          </w:p>
        </w:tc>
      </w:tr>
      <w:tr>
        <w:trPr>
          <w:trHeight w:val="222"/>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Adjusted net earnings per diluted share</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1.58</w:t>
            </w:r>
          </w:p>
        </w:tc>
        <w:tc>
          <w:tcPr>
            <w:tcW w:w="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1.25</w:t>
            </w:r>
          </w:p>
        </w:tc>
        <w:tc>
          <w:tcPr>
            <w:tcW w:w="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2.56</w:t>
            </w:r>
          </w:p>
        </w:tc>
        <w:tc>
          <w:tcPr>
            <w:tcW w:w="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1.91</w:t>
            </w: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9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99"/>
        </w:trPr>
        <w:tc>
          <w:tcPr>
            <w:tcW w:w="3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tax rate</w:t>
            </w: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20.6 %</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20.6 %</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19.8 %</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20.4 %</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5"/>
                <w:szCs w:val="15"/>
                <w:color w:val="auto"/>
              </w:rPr>
              <w:t>Tax impact of stock-based compensation</w:t>
            </w:r>
            <w:r>
              <w:rPr>
                <w:rFonts w:ascii="Arial" w:cs="Arial" w:eastAsia="Arial" w:hAnsi="Arial"/>
                <w:sz w:val="20"/>
                <w:szCs w:val="20"/>
                <w:color w:val="auto"/>
                <w:vertAlign w:val="superscript"/>
              </w:rPr>
              <w:t>2</w:t>
            </w:r>
          </w:p>
        </w:tc>
        <w:tc>
          <w:tcPr>
            <w:tcW w:w="1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0.5 %</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0.2 %</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1.4 %</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0.4 %</w:t>
            </w:r>
          </w:p>
        </w:tc>
      </w:tr>
      <w:tr>
        <w:trPr>
          <w:trHeight w:val="222"/>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Adjusted effective tax rate</w:t>
            </w:r>
          </w:p>
        </w:tc>
        <w:tc>
          <w:tcPr>
            <w:tcW w:w="1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21.1 %</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20.8 %</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21.2 %</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20.8 %</w:t>
            </w: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240" w:hanging="159"/>
        <w:spacing w:after="0" w:line="268" w:lineRule="auto"/>
        <w:tabs>
          <w:tab w:leader="none" w:pos="264"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 xml:space="preserve">On January 13, 2022, we completed our acquisition of Intimidator. Acquisition-related costs for the six month period ended May 5, 2023 represent integration costs. Acquisition-related costs for the three and six month periods ended April 29, 2022 represent transaction and integration costs. For additional information regarding the acquisition of Intimidator, refer to Note 2, </w:t>
      </w:r>
      <w:r>
        <w:rPr>
          <w:rFonts w:ascii="Arial" w:cs="Arial" w:eastAsia="Arial" w:hAnsi="Arial"/>
          <w:sz w:val="13"/>
          <w:szCs w:val="13"/>
          <w:i w:val="1"/>
          <w:iCs w:val="1"/>
          <w:color w:val="auto"/>
        </w:rPr>
        <w:t>Business Combination</w:t>
      </w:r>
      <w:r>
        <w:rPr>
          <w:rFonts w:ascii="Arial" w:cs="Arial" w:eastAsia="Arial" w:hAnsi="Arial"/>
          <w:sz w:val="13"/>
          <w:szCs w:val="13"/>
          <w:color w:val="auto"/>
        </w:rPr>
        <w:t>, within the Notes to Condensed Consolidated Financial Statements included within Part I, Item 1 of this Quarterly Report on Form 10-Q.</w:t>
      </w:r>
    </w:p>
    <w:p>
      <w:pPr>
        <w:spacing w:after="0" w:line="80" w:lineRule="exact"/>
        <w:rPr>
          <w:sz w:val="20"/>
          <w:szCs w:val="20"/>
          <w:color w:val="auto"/>
        </w:rPr>
      </w:pPr>
    </w:p>
    <w:p>
      <w:pPr>
        <w:jc w:val="both"/>
        <w:ind w:left="240" w:hanging="159"/>
        <w:spacing w:after="0" w:line="229" w:lineRule="auto"/>
        <w:tabs>
          <w:tab w:leader="none" w:pos="304"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May 5, 2023 and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Liquidity Measures</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define free cash flow as net cash provided by operating activities less purchases of property, plant, and equipment, net of proceeds from insurance claim.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six month periods ended May 5, 2023 and April 29, 2022:</w:t>
      </w:r>
    </w:p>
    <w:p>
      <w:pPr>
        <w:spacing w:after="0" w:line="92" w:lineRule="exact"/>
        <w:rPr>
          <w:sz w:val="20"/>
          <w:szCs w:val="20"/>
          <w:color w:val="auto"/>
        </w:rPr>
      </w:pPr>
    </w:p>
    <w:p>
      <w:pPr>
        <w:ind w:left="8920"/>
        <w:spacing w:after="0"/>
        <w:rPr>
          <w:sz w:val="20"/>
          <w:szCs w:val="20"/>
          <w:color w:val="auto"/>
        </w:rPr>
      </w:pPr>
      <w:r>
        <w:rPr>
          <w:rFonts w:ascii="Arial" w:cs="Arial" w:eastAsia="Arial" w:hAnsi="Arial"/>
          <w:sz w:val="15"/>
          <w:szCs w:val="15"/>
          <w:b w:val="1"/>
          <w:bCs w:val="1"/>
          <w:color w:val="auto"/>
        </w:rPr>
        <w:t>Six Months Ended</w:t>
      </w:r>
    </w:p>
    <w:p>
      <w:pPr>
        <w:spacing w:after="0" w:line="30"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6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(Dollars in thousands)</w:t>
            </w:r>
          </w:p>
        </w:tc>
        <w:tc>
          <w:tcPr>
            <w:tcW w:w="1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May 5, 2023</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April 29, 2022</w:t>
            </w:r>
          </w:p>
        </w:tc>
      </w:tr>
      <w:tr>
        <w:trPr>
          <w:trHeight w:val="201"/>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61,639</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42,864</w:t>
            </w:r>
          </w:p>
        </w:tc>
      </w:tr>
      <w:tr>
        <w:trPr>
          <w:trHeight w:val="204"/>
        </w:trPr>
        <w:tc>
          <w:tcPr>
            <w:tcW w:w="67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Less: Purchases of property, plant, and equipment, net of proceeds from insurance claim</w:t>
            </w:r>
          </w:p>
        </w:tc>
        <w:tc>
          <w:tcPr>
            <w:tcW w:w="1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62,963</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35,969</w:t>
            </w:r>
          </w:p>
        </w:tc>
      </w:tr>
      <w:tr>
        <w:trPr>
          <w:trHeight w:val="202"/>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Free cash flow</w:t>
            </w: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(1,324)</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6,895</w:t>
            </w:r>
          </w:p>
        </w:tc>
      </w:tr>
      <w:tr>
        <w:trPr>
          <w:trHeight w:val="204"/>
        </w:trPr>
        <w:tc>
          <w:tcPr>
            <w:tcW w:w="67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Net earnings</w:t>
            </w: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274,325</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200,635</w:t>
            </w:r>
          </w:p>
        </w:tc>
      </w:tr>
      <w:tr>
        <w:trPr>
          <w:trHeight w:val="224"/>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Free cash flow conversion percentage</w:t>
            </w:r>
          </w:p>
        </w:tc>
        <w:tc>
          <w:tcPr>
            <w:tcW w:w="1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(0.5)%</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3.4 %</w:t>
            </w:r>
          </w:p>
        </w:tc>
      </w:tr>
      <w:tr>
        <w:trPr>
          <w:trHeight w:val="20"/>
        </w:trPr>
        <w:tc>
          <w:tcPr>
            <w:tcW w:w="67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There have been no material changes to our critical accounting policies and estimates since our most recent Annual Report on Form 10-K for the fiscal year ended October 31, 2022. Refer to Part II, Item 7, "Management’s Discussion and Analysis of Financial Condition and Results of Operations", and Part II, Item 8, Note 1, </w:t>
      </w:r>
      <w:r>
        <w:rPr>
          <w:rFonts w:ascii="Arial" w:cs="Arial" w:eastAsia="Arial" w:hAnsi="Arial"/>
          <w:sz w:val="17"/>
          <w:szCs w:val="17"/>
          <w:i w:val="1"/>
          <w:iCs w:val="1"/>
          <w:color w:val="auto"/>
        </w:rPr>
        <w:t>Summary of Significant Accounting Policies and Related Data</w:t>
      </w:r>
      <w:r>
        <w:rPr>
          <w:rFonts w:ascii="Arial" w:cs="Arial" w:eastAsia="Arial" w:hAnsi="Arial"/>
          <w:sz w:val="17"/>
          <w:szCs w:val="17"/>
          <w:color w:val="auto"/>
        </w:rPr>
        <w:t>, within our Annual Report on Form 10-K for the fiscal year ended October 31, 2022 for a discussion</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critical accounting policies and estimates.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ITEM 3. QUANTITATIVE AND QUALITATIVE DISCLOSURES ABOUT MARKET RISK</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2022. Refer to Part II, Item 7A, "Quantitative and Qualitative Disclosures about Market Risk", within our Annual Report on Form 10-K for the fiscal year ended October 31, 2022 for a complete discussion of our market risk. Refer below for further discussion on foreign currency exchange rate risk, interest rate risk, and commodity cost risk.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see Note 16,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in our Notes to Condensed Consolidated Financial Statements included in Part I, Item 1 of this Quarterly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10-Q.</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foreign currency exchange contracts in the table below have maturity dates in fiscal 2023 through fiscal 2025. All items are non-trading and stated in U.S. dollars. As of May 5, 2023, the average contracted rate, notional amount, fair value, and the gain at fair value of outstanding derivative instruments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(Dollars in thousands, except average contracted rate)</w:t>
            </w:r>
          </w:p>
        </w:tc>
        <w:tc>
          <w:tcPr>
            <w:tcW w:w="22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Average Contracted</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b w:val="1"/>
                <w:bCs w:val="1"/>
                <w:color w:val="auto"/>
                <w:w w:val="89"/>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300"/>
              <w:spacing w:after="0"/>
              <w:rPr>
                <w:sz w:val="20"/>
                <w:szCs w:val="20"/>
                <w:color w:val="auto"/>
              </w:rPr>
            </w:pPr>
            <w:r>
              <w:rPr>
                <w:rFonts w:ascii="Arial" w:cs="Arial" w:eastAsia="Arial" w:hAnsi="Arial"/>
                <w:sz w:val="16"/>
                <w:szCs w:val="16"/>
                <w:b w:val="1"/>
                <w:bCs w:val="1"/>
                <w:color w:val="auto"/>
              </w:rPr>
              <w:t>Fair Value</w:t>
            </w:r>
          </w:p>
        </w:tc>
        <w:tc>
          <w:tcPr>
            <w:tcW w:w="15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rPr>
              <w:t>Gain at Fair Value</w:t>
            </w:r>
          </w:p>
        </w:tc>
        <w:tc>
          <w:tcPr>
            <w:tcW w:w="0" w:type="dxa"/>
            <w:vAlign w:val="bottom"/>
          </w:tcPr>
          <w:p>
            <w:pPr>
              <w:spacing w:after="0"/>
              <w:rPr>
                <w:sz w:val="1"/>
                <w:szCs w:val="1"/>
                <w:color w:val="auto"/>
              </w:rPr>
            </w:pPr>
          </w:p>
        </w:tc>
      </w:tr>
      <w:tr>
        <w:trPr>
          <w:trHeight w:val="214"/>
        </w:trPr>
        <w:tc>
          <w:tcPr>
            <w:tcW w:w="4480" w:type="dxa"/>
            <w:vAlign w:val="bottom"/>
            <w:tcBorders>
              <w:bottom w:val="single" w:sz="8" w:color="auto"/>
            </w:tcBorders>
            <w:vMerge w:val="continue"/>
          </w:tcPr>
          <w:p>
            <w:pPr>
              <w:spacing w:after="0"/>
              <w:rPr>
                <w:sz w:val="18"/>
                <w:szCs w:val="18"/>
                <w:color w:val="auto"/>
              </w:rPr>
            </w:pPr>
          </w:p>
        </w:tc>
        <w:tc>
          <w:tcPr>
            <w:tcW w:w="22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Rate</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Australian dollar</w:t>
            </w:r>
          </w:p>
        </w:tc>
        <w:tc>
          <w:tcPr>
            <w:tcW w:w="2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0.7018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106,484</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111,200</w:t>
            </w:r>
          </w:p>
        </w:tc>
        <w:tc>
          <w:tcPr>
            <w:tcW w:w="64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0" w:type="dxa"/>
            <w:vAlign w:val="bottom"/>
          </w:tcPr>
          <w:p>
            <w:pPr>
              <w:spacing w:after="0"/>
              <w:rPr>
                <w:sz w:val="1"/>
                <w:szCs w:val="1"/>
                <w:color w:val="auto"/>
              </w:rPr>
            </w:pP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Canadian dollar</w:t>
            </w:r>
          </w:p>
        </w:tc>
        <w:tc>
          <w:tcPr>
            <w:tcW w:w="2220" w:type="dxa"/>
            <w:vAlign w:val="bottom"/>
          </w:tcPr>
          <w:p>
            <w:pPr>
              <w:jc w:val="right"/>
              <w:ind w:right="20"/>
              <w:spacing w:after="0"/>
              <w:rPr>
                <w:sz w:val="20"/>
                <w:szCs w:val="20"/>
                <w:color w:val="auto"/>
              </w:rPr>
            </w:pPr>
            <w:r>
              <w:rPr>
                <w:rFonts w:ascii="Arial" w:cs="Arial" w:eastAsia="Arial" w:hAnsi="Arial"/>
                <w:sz w:val="16"/>
                <w:szCs w:val="16"/>
                <w:color w:val="auto"/>
              </w:rPr>
              <w:t>1.3101</w:t>
            </w:r>
          </w:p>
        </w:tc>
        <w:tc>
          <w:tcPr>
            <w:tcW w:w="18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41,143</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42,578</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21"/>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Euro</w:t>
            </w:r>
          </w:p>
        </w:tc>
        <w:tc>
          <w:tcPr>
            <w:tcW w:w="2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1.1294</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165,716</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167,293</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British pound</w:t>
            </w:r>
          </w:p>
        </w:tc>
        <w:tc>
          <w:tcPr>
            <w:tcW w:w="2220" w:type="dxa"/>
            <w:vAlign w:val="bottom"/>
          </w:tcPr>
          <w:p>
            <w:pPr>
              <w:jc w:val="right"/>
              <w:ind w:right="20"/>
              <w:spacing w:after="0"/>
              <w:rPr>
                <w:sz w:val="20"/>
                <w:szCs w:val="20"/>
                <w:color w:val="auto"/>
              </w:rPr>
            </w:pPr>
            <w:r>
              <w:rPr>
                <w:rFonts w:ascii="Arial" w:cs="Arial" w:eastAsia="Arial" w:hAnsi="Arial"/>
                <w:sz w:val="16"/>
                <w:szCs w:val="16"/>
                <w:color w:val="auto"/>
              </w:rPr>
              <w:t>1.2710</w:t>
            </w:r>
          </w:p>
        </w:tc>
        <w:tc>
          <w:tcPr>
            <w:tcW w:w="18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51,158</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51,767</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Buy Mexican peso/Sell U.S. dollar</w:t>
            </w:r>
          </w:p>
        </w:tc>
        <w:tc>
          <w:tcPr>
            <w:tcW w:w="2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21.7450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44,884</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51,415</w:t>
            </w:r>
          </w:p>
        </w:tc>
        <w:tc>
          <w:tcPr>
            <w:tcW w:w="64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May 5, 2023 includes $524.1 million of gross fixed-rate long-term debt that is not subject to variable interest rate fluctuations, $470.0 million of gross variable rate debt under our term loan credit agreements, and $50.0 million outstanding on our variable rate revolving credit facility.</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Cost Risk</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6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On January 13, 2022, during the first quarter of fiscal 2022, we completed the acquisition of Intimidator. Prior to this acquisition, Intimidator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Intimidator that we believe are appropriate and necessary to account for the acquisition and to consolidate and report our financial results. We expect to complete our integration activities related to internal control over financial reporting for Intimidator during fiscal 2023. Accordingly, we expect to include Intimidator within our assessment of internal control over financial reporting as of October 31, 2023.</w:t>
      </w:r>
    </w:p>
    <w:p>
      <w:pPr>
        <w:spacing w:after="0" w:line="5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With the exception of internal control related integration activities associated with our acquisition of Intimidator, there was no change in our internal control over financial reporting that occurred during the three month period ended May 5,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ITEM 1. LEGAL PROCEEDINGS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see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our Notes to Condensed Consolidated Financial Statements under the heading "Litigation" included in Part I, Item 1 of this Quarterly Report on Form 10-Q, which is incorporated into this Part II, Item 1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ITEM 1A. RISK FACTORS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ITEM 2. UNREGISTERED SALES OF EQUITY SECURITIES AND USE OF PROCEEDS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following table sets forth information with respect to shares of the company's common stock purchased by the company during each of the three fiscal months in the company's second quarter ended May 5,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Maximum Number of</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auto"/>
                <w:w w:val="85"/>
              </w:rPr>
              <w:t>Average</w:t>
            </w:r>
          </w:p>
        </w:tc>
        <w:tc>
          <w:tcPr>
            <w:tcW w:w="19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2"/>
              </w:rPr>
              <w:t>(or Units)</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9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86"/>
              </w:rPr>
              <w:t>Purchased As</w:t>
            </w:r>
          </w:p>
        </w:tc>
        <w:tc>
          <w:tcPr>
            <w:tcW w:w="18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89"/>
              </w:rPr>
              <w:t>Shares (or Units) that</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2500" w:type="dxa"/>
            <w:vAlign w:val="bottom"/>
          </w:tcPr>
          <w:p>
            <w:pPr>
              <w:jc w:val="center"/>
              <w:ind w:left="900"/>
              <w:spacing w:after="0" w:line="160" w:lineRule="exact"/>
              <w:rPr>
                <w:sz w:val="20"/>
                <w:szCs w:val="20"/>
                <w:color w:val="auto"/>
              </w:rPr>
            </w:pPr>
            <w:r>
              <w:rPr>
                <w:rFonts w:ascii="Arial" w:cs="Arial" w:eastAsia="Arial" w:hAnsi="Arial"/>
                <w:sz w:val="16"/>
                <w:szCs w:val="16"/>
                <w:b w:val="1"/>
                <w:bCs w:val="1"/>
                <w:color w:val="auto"/>
                <w:w w:val="91"/>
              </w:rPr>
              <w:t>Total Number of</w:t>
            </w:r>
          </w:p>
        </w:tc>
        <w:tc>
          <w:tcPr>
            <w:tcW w:w="220" w:type="dxa"/>
            <w:vAlign w:val="bottom"/>
          </w:tcPr>
          <w:p>
            <w:pPr>
              <w:spacing w:after="0"/>
              <w:rPr>
                <w:sz w:val="13"/>
                <w:szCs w:val="13"/>
                <w:color w:val="auto"/>
              </w:rPr>
            </w:pPr>
          </w:p>
        </w:tc>
        <w:tc>
          <w:tcPr>
            <w:tcW w:w="1020" w:type="dxa"/>
            <w:vAlign w:val="bottom"/>
          </w:tcPr>
          <w:p>
            <w:pPr>
              <w:jc w:val="center"/>
              <w:ind w:right="120"/>
              <w:spacing w:after="0" w:line="160" w:lineRule="exact"/>
              <w:rPr>
                <w:sz w:val="20"/>
                <w:szCs w:val="20"/>
                <w:color w:val="auto"/>
              </w:rPr>
            </w:pPr>
            <w:r>
              <w:rPr>
                <w:rFonts w:ascii="Arial" w:cs="Arial" w:eastAsia="Arial" w:hAnsi="Arial"/>
                <w:sz w:val="16"/>
                <w:szCs w:val="16"/>
                <w:b w:val="1"/>
                <w:bCs w:val="1"/>
                <w:color w:val="auto"/>
                <w:w w:val="90"/>
              </w:rPr>
              <w:t>Price Paid</w:t>
            </w:r>
          </w:p>
        </w:tc>
        <w:tc>
          <w:tcPr>
            <w:tcW w:w="19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2"/>
              </w:rPr>
              <w:t>Part of Publicly</w:t>
            </w:r>
          </w:p>
        </w:tc>
        <w:tc>
          <w:tcPr>
            <w:tcW w:w="18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55"/>
        </w:trPr>
        <w:tc>
          <w:tcPr>
            <w:tcW w:w="3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500" w:type="dxa"/>
            <w:vAlign w:val="bottom"/>
          </w:tcPr>
          <w:p>
            <w:pPr>
              <w:jc w:val="center"/>
              <w:ind w:left="900"/>
              <w:spacing w:after="0" w:line="155" w:lineRule="exact"/>
              <w:rPr>
                <w:sz w:val="20"/>
                <w:szCs w:val="20"/>
                <w:color w:val="auto"/>
              </w:rPr>
            </w:pPr>
            <w:r>
              <w:rPr>
                <w:rFonts w:ascii="Arial" w:cs="Arial" w:eastAsia="Arial" w:hAnsi="Arial"/>
                <w:sz w:val="16"/>
                <w:szCs w:val="16"/>
                <w:b w:val="1"/>
                <w:bCs w:val="1"/>
                <w:color w:val="auto"/>
                <w:w w:val="89"/>
              </w:rPr>
              <w:t>Shares (or Units)</w:t>
            </w:r>
          </w:p>
        </w:tc>
        <w:tc>
          <w:tcPr>
            <w:tcW w:w="220" w:type="dxa"/>
            <w:vAlign w:val="bottom"/>
          </w:tcPr>
          <w:p>
            <w:pPr>
              <w:spacing w:after="0"/>
              <w:rPr>
                <w:sz w:val="13"/>
                <w:szCs w:val="13"/>
                <w:color w:val="auto"/>
              </w:rPr>
            </w:pPr>
          </w:p>
        </w:tc>
        <w:tc>
          <w:tcPr>
            <w:tcW w:w="1020" w:type="dxa"/>
            <w:vAlign w:val="bottom"/>
          </w:tcPr>
          <w:p>
            <w:pPr>
              <w:jc w:val="center"/>
              <w:ind w:right="120"/>
              <w:spacing w:after="0" w:line="155" w:lineRule="exact"/>
              <w:rPr>
                <w:sz w:val="20"/>
                <w:szCs w:val="20"/>
                <w:color w:val="auto"/>
              </w:rPr>
            </w:pPr>
            <w:r>
              <w:rPr>
                <w:rFonts w:ascii="Arial" w:cs="Arial" w:eastAsia="Arial" w:hAnsi="Arial"/>
                <w:sz w:val="16"/>
                <w:szCs w:val="16"/>
                <w:b w:val="1"/>
                <w:bCs w:val="1"/>
                <w:color w:val="auto"/>
                <w:w w:val="89"/>
              </w:rPr>
              <w:t>per Share</w:t>
            </w:r>
          </w:p>
        </w:tc>
        <w:tc>
          <w:tcPr>
            <w:tcW w:w="19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Announced Plans or</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auto"/>
            </w:tcBorders>
            <w:vMerge w:val="continue"/>
          </w:tcPr>
          <w:p>
            <w:pPr>
              <w:spacing w:after="0"/>
              <w:rPr>
                <w:sz w:val="19"/>
                <w:szCs w:val="19"/>
                <w:color w:val="auto"/>
              </w:rPr>
            </w:pPr>
          </w:p>
        </w:tc>
        <w:tc>
          <w:tcPr>
            <w:tcW w:w="2500" w:type="dxa"/>
            <w:vAlign w:val="bottom"/>
            <w:tcBorders>
              <w:bottom w:val="single" w:sz="8" w:color="auto"/>
            </w:tcBorders>
          </w:tcPr>
          <w:p>
            <w:pPr>
              <w:jc w:val="center"/>
              <w:ind w:left="900"/>
              <w:spacing w:after="0" w:line="219" w:lineRule="exact"/>
              <w:rPr>
                <w:sz w:val="20"/>
                <w:szCs w:val="20"/>
                <w:color w:val="auto"/>
              </w:rPr>
            </w:pPr>
            <w:r>
              <w:rPr>
                <w:rFonts w:ascii="Arial" w:cs="Arial" w:eastAsia="Arial" w:hAnsi="Arial"/>
                <w:sz w:val="16"/>
                <w:szCs w:val="16"/>
                <w:b w:val="1"/>
                <w:bCs w:val="1"/>
                <w:color w:val="auto"/>
                <w:w w:val="82"/>
              </w:rPr>
              <w:t>Purchased</w:t>
            </w:r>
            <w:r>
              <w:rPr>
                <w:rFonts w:ascii="Arial" w:cs="Arial" w:eastAsia="Arial" w:hAnsi="Arial"/>
                <w:sz w:val="20"/>
                <w:szCs w:val="20"/>
                <w:b w:val="1"/>
                <w:bCs w:val="1"/>
                <w:color w:val="auto"/>
                <w:w w:val="82"/>
                <w:vertAlign w:val="superscript"/>
              </w:rPr>
              <w:t>1,2,3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6"/>
              </w:rPr>
              <w:t>(or Unit)</w:t>
            </w:r>
          </w:p>
        </w:tc>
        <w:tc>
          <w:tcPr>
            <w:tcW w:w="190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b w:val="1"/>
                <w:bCs w:val="1"/>
                <w:color w:val="auto"/>
                <w:w w:val="85"/>
              </w:rPr>
              <w:t>Programs</w:t>
            </w:r>
            <w:r>
              <w:rPr>
                <w:rFonts w:ascii="Arial" w:cs="Arial" w:eastAsia="Arial" w:hAnsi="Arial"/>
                <w:sz w:val="20"/>
                <w:szCs w:val="20"/>
                <w:b w:val="1"/>
                <w:bCs w:val="1"/>
                <w:color w:val="auto"/>
                <w:w w:val="85"/>
                <w:vertAlign w:val="superscript"/>
              </w:rPr>
              <w:t>1,2</w:t>
            </w:r>
          </w:p>
        </w:tc>
        <w:tc>
          <w:tcPr>
            <w:tcW w:w="180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b w:val="1"/>
                <w:bCs w:val="1"/>
                <w:color w:val="auto"/>
                <w:w w:val="83"/>
              </w:rPr>
              <w:t>Programs</w:t>
            </w:r>
            <w:r>
              <w:rPr>
                <w:rFonts w:ascii="Arial" w:cs="Arial" w:eastAsia="Arial" w:hAnsi="Arial"/>
                <w:sz w:val="20"/>
                <w:szCs w:val="20"/>
                <w:b w:val="1"/>
                <w:bCs w:val="1"/>
                <w:color w:val="auto"/>
                <w:w w:val="83"/>
                <w:vertAlign w:val="superscript"/>
              </w:rPr>
              <w:t>1,2</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4, 2023 through March 3, 2023</w:t>
            </w:r>
          </w:p>
        </w:tc>
        <w:tc>
          <w:tcPr>
            <w:tcW w:w="2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7,526,606</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6"/>
                <w:szCs w:val="16"/>
                <w:color w:val="auto"/>
              </w:rPr>
              <w:t>March 4, 2023 through March 31, 2023</w:t>
            </w:r>
          </w:p>
        </w:tc>
        <w:tc>
          <w:tcPr>
            <w:tcW w:w="2500" w:type="dxa"/>
            <w:vAlign w:val="bottom"/>
          </w:tcPr>
          <w:p>
            <w:pPr>
              <w:jc w:val="right"/>
              <w:ind w:right="20"/>
              <w:spacing w:after="0"/>
              <w:rPr>
                <w:sz w:val="20"/>
                <w:szCs w:val="20"/>
                <w:color w:val="auto"/>
              </w:rPr>
            </w:pPr>
            <w:r>
              <w:rPr>
                <w:rFonts w:ascii="Arial" w:cs="Arial" w:eastAsia="Arial" w:hAnsi="Arial"/>
                <w:sz w:val="16"/>
                <w:szCs w:val="16"/>
                <w:color w:val="auto"/>
              </w:rPr>
              <w:t>91,483</w:t>
            </w:r>
          </w:p>
        </w:tc>
        <w:tc>
          <w:tcPr>
            <w:tcW w:w="22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109.16</w:t>
            </w:r>
          </w:p>
        </w:tc>
        <w:tc>
          <w:tcPr>
            <w:tcW w:w="1900" w:type="dxa"/>
            <w:vAlign w:val="bottom"/>
          </w:tcPr>
          <w:p>
            <w:pPr>
              <w:jc w:val="right"/>
              <w:ind w:right="80"/>
              <w:spacing w:after="0"/>
              <w:rPr>
                <w:sz w:val="20"/>
                <w:szCs w:val="20"/>
                <w:color w:val="auto"/>
              </w:rPr>
            </w:pPr>
            <w:r>
              <w:rPr>
                <w:rFonts w:ascii="Arial" w:cs="Arial" w:eastAsia="Arial" w:hAnsi="Arial"/>
                <w:sz w:val="16"/>
                <w:szCs w:val="16"/>
                <w:color w:val="auto"/>
              </w:rPr>
              <w:t>91,483</w:t>
            </w:r>
          </w:p>
        </w:tc>
        <w:tc>
          <w:tcPr>
            <w:tcW w:w="1800" w:type="dxa"/>
            <w:vAlign w:val="bottom"/>
          </w:tcPr>
          <w:p>
            <w:pPr>
              <w:jc w:val="right"/>
              <w:spacing w:after="0"/>
              <w:rPr>
                <w:sz w:val="20"/>
                <w:szCs w:val="20"/>
                <w:color w:val="auto"/>
              </w:rPr>
            </w:pPr>
            <w:r>
              <w:rPr>
                <w:rFonts w:ascii="Arial" w:cs="Arial" w:eastAsia="Arial" w:hAnsi="Arial"/>
                <w:sz w:val="16"/>
                <w:szCs w:val="16"/>
                <w:color w:val="auto"/>
              </w:rPr>
              <w:t>7,435,123</w:t>
            </w:r>
          </w:p>
        </w:tc>
        <w:tc>
          <w:tcPr>
            <w:tcW w:w="0" w:type="dxa"/>
            <w:vAlign w:val="bottom"/>
          </w:tcPr>
          <w:p>
            <w:pPr>
              <w:spacing w:after="0"/>
              <w:rPr>
                <w:sz w:val="1"/>
                <w:szCs w:val="1"/>
                <w:color w:val="auto"/>
              </w:rPr>
            </w:pPr>
          </w:p>
        </w:tc>
      </w:tr>
      <w:tr>
        <w:trPr>
          <w:trHeight w:val="214"/>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April 1, 2023 through May 5, 2023</w:t>
            </w:r>
          </w:p>
        </w:tc>
        <w:tc>
          <w:tcPr>
            <w:tcW w:w="2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138,585</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104.34</w:t>
            </w:r>
          </w:p>
        </w:tc>
        <w:tc>
          <w:tcPr>
            <w:tcW w:w="1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137,307</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7,297,816</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230,068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106.25</w:t>
            </w:r>
          </w:p>
        </w:tc>
        <w:tc>
          <w:tcPr>
            <w:tcW w:w="1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228,790</w:t>
            </w: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160" w:hanging="157"/>
        <w:spacing w:after="0" w:line="268" w:lineRule="auto"/>
        <w:tabs>
          <w:tab w:leader="none" w:pos="153"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On December 4, 2018, the company’s Board of Directors authorized the repurchase of 5,000,000 shares of the company’s common stock in open-market or privately negotiated transactions. This authorized stock repurchase program has no expiration date but may be terminated by the company’s Board of Directors at any time. The company repurchased 228,790 shares under this program during the period indicated above and as a result, 2,297,816 shares remained available to repurchase under this authorized stock repurchase program as of May 5, 2023.</w:t>
      </w:r>
    </w:p>
    <w:p>
      <w:pPr>
        <w:spacing w:after="0" w:line="67" w:lineRule="exact"/>
        <w:rPr>
          <w:sz w:val="20"/>
          <w:szCs w:val="20"/>
          <w:color w:val="auto"/>
        </w:rPr>
      </w:pPr>
    </w:p>
    <w:p>
      <w:pPr>
        <w:jc w:val="both"/>
        <w:ind w:left="160" w:hanging="157"/>
        <w:spacing w:after="0" w:line="233" w:lineRule="auto"/>
        <w:tabs>
          <w:tab w:leader="none" w:pos="229"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On December 13, 2022, the company’s Board of Directors authorized the repurchase of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program during the time period indicated above.</w:t>
      </w:r>
    </w:p>
    <w:p>
      <w:pPr>
        <w:spacing w:after="0" w:line="85" w:lineRule="exact"/>
        <w:rPr>
          <w:sz w:val="20"/>
          <w:szCs w:val="20"/>
          <w:color w:val="auto"/>
        </w:rPr>
      </w:pPr>
    </w:p>
    <w:p>
      <w:pPr>
        <w:jc w:val="both"/>
        <w:ind w:left="160" w:hanging="157"/>
        <w:spacing w:after="0" w:line="227" w:lineRule="auto"/>
        <w:tabs>
          <w:tab w:leader="none" w:pos="203"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Includes 1,278 shares of the company’s common stock purchased in open-market transactions at an average price of $105.15 per share on behalf of a rabbi trust formed to pay benefit obligations of the company to participants in the company's deferred compensation plans. These 1,278 shares were not repurchased under the company’s authorized stock repurchase programs described in notes 1 and 2 above.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ITEM 5. OTHER INFORMATION</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June 6, 2023, the Board of Directors of TTC elected Joanna M. Totsky to the position of Vice President, General Counsel and Corporate Secretary, effective as of her first date of employment with TTC which is expected to be June 19, 2023. Also on that date, the title for Amy E. Dahl, a named executive officer in TTC’s Proxy Statement for its Annual Meeting held on March 21, 2023 and the current Vice President, International, General Counsel and Corporate Secretary, will change to Vice President, International.</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Also on June 6, 2023, Renee J. Peterson, a named executive officer in TTC’s Proxy Statement for its Annual Meeting of Shareholders held on March 21, 2023 and the current Vice President, Finance, notified TTC that her date of retirement from TTC will be July 19, 2023. Ms. Peterson’s retirement was previously disclosed in a Current Report on Form 8-K filed on February 14, 2023, without a retirement date certain.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ITEM 6. EXHIBITS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00" w:type="dxa"/>
            <w:vAlign w:val="bottom"/>
          </w:tcPr>
          <w:p>
            <w:pPr>
              <w:spacing w:after="0"/>
              <w:rPr>
                <w:sz w:val="20"/>
                <w:szCs w:val="20"/>
                <w:color w:val="auto"/>
              </w:rPr>
            </w:pPr>
            <w:r>
              <w:rPr>
                <w:rFonts w:ascii="Arial" w:cs="Arial" w:eastAsia="Arial" w:hAnsi="Arial"/>
                <w:sz w:val="16"/>
                <w:szCs w:val="16"/>
                <w:b w:val="1"/>
                <w:bCs w:val="1"/>
                <w:color w:val="auto"/>
              </w:rPr>
              <w:t>(a)</w:t>
            </w:r>
          </w:p>
        </w:tc>
        <w:tc>
          <w:tcPr>
            <w:tcW w:w="13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 No.</w:t>
            </w:r>
          </w:p>
        </w:tc>
        <w:tc>
          <w:tcPr>
            <w:tcW w:w="3520" w:type="dxa"/>
            <w:vAlign w:val="bottom"/>
            <w:tcBorders>
              <w:top w:val="single" w:sz="8" w:color="auto"/>
              <w:bottom w:val="single" w:sz="8" w:color="auto"/>
            </w:tcBorders>
          </w:tcPr>
          <w:p>
            <w:pPr>
              <w:spacing w:after="0"/>
              <w:rPr>
                <w:sz w:val="19"/>
                <w:szCs w:val="19"/>
                <w:color w:val="auto"/>
              </w:rPr>
            </w:pPr>
          </w:p>
        </w:tc>
        <w:tc>
          <w:tcPr>
            <w:tcW w:w="6020" w:type="dxa"/>
            <w:vAlign w:val="bottom"/>
            <w:tcBorders>
              <w:top w:val="single" w:sz="8" w:color="auto"/>
              <w:bottom w:val="single" w:sz="8" w:color="auto"/>
            </w:tcBorders>
            <w:gridSpan w:val="12"/>
          </w:tcPr>
          <w:p>
            <w:pPr>
              <w:ind w:left="8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400" w:type="dxa"/>
            <w:vAlign w:val="bottom"/>
          </w:tcPr>
          <w:p>
            <w:pPr>
              <w:spacing w:after="0"/>
              <w:rPr>
                <w:sz w:val="13"/>
                <w:szCs w:val="13"/>
                <w:color w:val="auto"/>
              </w:rPr>
            </w:pPr>
          </w:p>
        </w:tc>
        <w:tc>
          <w:tcPr>
            <w:tcW w:w="130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3.1 and 4.1</w:t>
            </w:r>
          </w:p>
        </w:tc>
        <w:tc>
          <w:tcPr>
            <w:tcW w:w="9540" w:type="dxa"/>
            <w:vAlign w:val="bottom"/>
            <w:gridSpan w:val="13"/>
          </w:tcPr>
          <w:p>
            <w:pPr>
              <w:spacing w:after="0" w:line="161" w:lineRule="exact"/>
              <w:rPr>
                <w:rFonts w:ascii="Arial" w:cs="Arial" w:eastAsia="Arial" w:hAnsi="Arial"/>
                <w:sz w:val="16"/>
                <w:szCs w:val="16"/>
                <w:color w:val="0000FF"/>
                <w:w w:val="93"/>
              </w:rPr>
            </w:pPr>
            <w:hyperlink r:id="rId57">
              <w:r>
                <w:rPr>
                  <w:rFonts w:ascii="Arial" w:cs="Arial" w:eastAsia="Arial" w:hAnsi="Arial"/>
                  <w:sz w:val="16"/>
                  <w:szCs w:val="16"/>
                  <w:color w:val="0000FF"/>
                  <w:w w:val="93"/>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0" w:type="dxa"/>
            <w:vAlign w:val="bottom"/>
            <w:tcBorders>
              <w:top w:val="single" w:sz="8" w:color="0000FF"/>
              <w:bottom w:val="single" w:sz="8" w:color="0000FF"/>
            </w:tcBorders>
            <w:gridSpan w:val="4"/>
          </w:tcPr>
          <w:p>
            <w:pPr>
              <w:spacing w:after="0" w:line="148" w:lineRule="exact"/>
              <w:rPr>
                <w:rFonts w:ascii="Arial" w:cs="Arial" w:eastAsia="Arial" w:hAnsi="Arial"/>
                <w:sz w:val="16"/>
                <w:szCs w:val="16"/>
                <w:color w:val="0000FF"/>
                <w:w w:val="92"/>
              </w:rPr>
            </w:pPr>
            <w:hyperlink r:id="rId57">
              <w:r>
                <w:rPr>
                  <w:rFonts w:ascii="Arial" w:cs="Arial" w:eastAsia="Arial" w:hAnsi="Arial"/>
                  <w:sz w:val="16"/>
                  <w:szCs w:val="16"/>
                  <w:color w:val="0000FF"/>
                  <w:w w:val="92"/>
                </w:rPr>
                <w:t>as filed with the Securities and Exchange Commission on June 18, 2008, Commission File No. 1-8649).</w:t>
              </w:r>
            </w:hyperlink>
          </w:p>
        </w:tc>
        <w:tc>
          <w:tcPr>
            <w:tcW w:w="27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400" w:type="dxa"/>
            <w:vAlign w:val="bottom"/>
          </w:tcPr>
          <w:p>
            <w:pPr>
              <w:spacing w:after="0"/>
              <w:rPr>
                <w:sz w:val="21"/>
                <w:szCs w:val="21"/>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3.2 and 4.2</w:t>
            </w:r>
          </w:p>
        </w:tc>
        <w:tc>
          <w:tcPr>
            <w:tcW w:w="9540" w:type="dxa"/>
            <w:vAlign w:val="bottom"/>
            <w:gridSpan w:val="13"/>
          </w:tcPr>
          <w:p>
            <w:pPr>
              <w:spacing w:after="0"/>
              <w:rPr>
                <w:rFonts w:ascii="Arial" w:cs="Arial" w:eastAsia="Arial" w:hAnsi="Arial"/>
                <w:sz w:val="16"/>
                <w:szCs w:val="16"/>
                <w:color w:val="0000FF"/>
                <w:w w:val="93"/>
              </w:rPr>
            </w:pPr>
            <w:hyperlink r:id="rId58">
              <w:r>
                <w:rPr>
                  <w:rFonts w:ascii="Arial" w:cs="Arial" w:eastAsia="Arial" w:hAnsi="Arial"/>
                  <w:sz w:val="16"/>
                  <w:szCs w:val="16"/>
                  <w:color w:val="0000FF"/>
                  <w:w w:val="93"/>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500" w:type="dxa"/>
            <w:vAlign w:val="bottom"/>
            <w:tcBorders>
              <w:top w:val="single" w:sz="8" w:color="0000FF"/>
            </w:tcBorders>
            <w:gridSpan w:val="11"/>
          </w:tcPr>
          <w:p>
            <w:pPr>
              <w:spacing w:after="0" w:line="135" w:lineRule="exact"/>
              <w:rPr>
                <w:rFonts w:ascii="Arial" w:cs="Arial" w:eastAsia="Arial" w:hAnsi="Arial"/>
                <w:sz w:val="15"/>
                <w:szCs w:val="15"/>
                <w:color w:val="0000FF"/>
              </w:rPr>
            </w:pPr>
            <w:hyperlink r:id="rId58">
              <w:r>
                <w:rPr>
                  <w:rFonts w:ascii="Arial" w:cs="Arial" w:eastAsia="Arial" w:hAnsi="Arial"/>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3.3 and 4.3</w:t>
            </w:r>
          </w:p>
        </w:tc>
        <w:tc>
          <w:tcPr>
            <w:tcW w:w="352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9540" w:type="dxa"/>
            <w:vAlign w:val="bottom"/>
            <w:gridSpan w:val="13"/>
          </w:tcPr>
          <w:p>
            <w:pPr>
              <w:spacing w:after="0"/>
              <w:rPr>
                <w:rFonts w:ascii="Arial" w:cs="Arial" w:eastAsia="Arial" w:hAnsi="Arial"/>
                <w:sz w:val="16"/>
                <w:szCs w:val="16"/>
                <w:color w:val="0000FF"/>
                <w:w w:val="94"/>
              </w:rPr>
            </w:pPr>
            <w:hyperlink r:id="rId59">
              <w:r>
                <w:rPr>
                  <w:rFonts w:ascii="Arial" w:cs="Arial" w:eastAsia="Arial" w:hAnsi="Arial"/>
                  <w:sz w:val="16"/>
                  <w:szCs w:val="16"/>
                  <w:color w:val="0000FF"/>
                  <w:w w:val="94"/>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20" w:type="dxa"/>
            <w:vAlign w:val="bottom"/>
            <w:tcBorders>
              <w:top w:val="single" w:sz="8" w:color="0000FF"/>
              <w:bottom w:val="single" w:sz="8" w:color="0000FF"/>
            </w:tcBorders>
            <w:gridSpan w:val="2"/>
          </w:tcPr>
          <w:p>
            <w:pPr>
              <w:spacing w:after="0" w:line="148" w:lineRule="exact"/>
              <w:rPr>
                <w:rFonts w:ascii="Arial" w:cs="Arial" w:eastAsia="Arial" w:hAnsi="Arial"/>
                <w:sz w:val="16"/>
                <w:szCs w:val="16"/>
                <w:color w:val="0000FF"/>
                <w:w w:val="93"/>
              </w:rPr>
            </w:pPr>
            <w:hyperlink r:id="rId59">
              <w:r>
                <w:rPr>
                  <w:rFonts w:ascii="Arial" w:cs="Arial" w:eastAsia="Arial" w:hAnsi="Arial"/>
                  <w:sz w:val="16"/>
                  <w:szCs w:val="16"/>
                  <w:color w:val="0000FF"/>
                  <w:w w:val="93"/>
                </w:rPr>
                <w:t>filed with the Securities and Exchange Commission on May 30, 2023, Commission File No. 1-8649).</w:t>
              </w:r>
            </w:hyperlink>
          </w:p>
        </w:tc>
        <w:tc>
          <w:tcPr>
            <w:tcW w:w="28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4.4</w:t>
            </w:r>
          </w:p>
        </w:tc>
        <w:tc>
          <w:tcPr>
            <w:tcW w:w="9540" w:type="dxa"/>
            <w:vAlign w:val="bottom"/>
            <w:gridSpan w:val="13"/>
          </w:tcPr>
          <w:p>
            <w:pPr>
              <w:spacing w:after="0"/>
              <w:rPr>
                <w:sz w:val="20"/>
                <w:szCs w:val="20"/>
                <w:color w:val="auto"/>
              </w:rPr>
            </w:pPr>
            <w:r>
              <w:rPr>
                <w:rFonts w:ascii="Arial" w:cs="Arial" w:eastAsia="Arial" w:hAnsi="Arial"/>
                <w:sz w:val="16"/>
                <w:szCs w:val="16"/>
                <w:color w:val="auto"/>
                <w:w w:val="97"/>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540" w:type="dxa"/>
            <w:vAlign w:val="bottom"/>
            <w:gridSpan w:val="13"/>
          </w:tcPr>
          <w:p>
            <w:pPr>
              <w:spacing w:after="0" w:line="168" w:lineRule="exact"/>
              <w:rPr>
                <w:sz w:val="20"/>
                <w:szCs w:val="20"/>
                <w:color w:val="auto"/>
              </w:rPr>
            </w:pPr>
            <w:r>
              <w:rPr>
                <w:rFonts w:ascii="Arial" w:cs="Arial" w:eastAsia="Arial" w:hAnsi="Arial"/>
                <w:sz w:val="16"/>
                <w:szCs w:val="16"/>
                <w:color w:val="auto"/>
                <w:w w:val="93"/>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540" w:type="dxa"/>
            <w:vAlign w:val="bottom"/>
            <w:gridSpan w:val="13"/>
          </w:tcPr>
          <w:p>
            <w:pPr>
              <w:spacing w:after="0" w:line="160" w:lineRule="exact"/>
              <w:rPr>
                <w:sz w:val="20"/>
                <w:szCs w:val="20"/>
                <w:color w:val="auto"/>
              </w:rPr>
            </w:pPr>
            <w:r>
              <w:rPr>
                <w:rFonts w:ascii="Arial" w:cs="Arial" w:eastAsia="Arial" w:hAnsi="Arial"/>
                <w:sz w:val="16"/>
                <w:szCs w:val="16"/>
                <w:color w:val="auto"/>
                <w:w w:val="97"/>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540" w:type="dxa"/>
            <w:vAlign w:val="bottom"/>
            <w:gridSpan w:val="13"/>
          </w:tcPr>
          <w:p>
            <w:pPr>
              <w:spacing w:after="0"/>
              <w:rPr>
                <w:sz w:val="20"/>
                <w:szCs w:val="20"/>
                <w:color w:val="auto"/>
              </w:rPr>
            </w:pPr>
            <w:r>
              <w:rPr>
                <w:rFonts w:ascii="Arial" w:cs="Arial" w:eastAsia="Arial" w:hAnsi="Arial"/>
                <w:sz w:val="16"/>
                <w:szCs w:val="16"/>
                <w:color w:val="auto"/>
              </w:rPr>
              <w:t>pursuant to Rule 105 of Regulation S-T).</w:t>
            </w: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4.5</w:t>
            </w:r>
          </w:p>
        </w:tc>
        <w:tc>
          <w:tcPr>
            <w:tcW w:w="9540" w:type="dxa"/>
            <w:vAlign w:val="bottom"/>
            <w:gridSpan w:val="13"/>
          </w:tcPr>
          <w:p>
            <w:pPr>
              <w:spacing w:after="0"/>
              <w:rPr>
                <w:rFonts w:ascii="Arial" w:cs="Arial" w:eastAsia="Arial" w:hAnsi="Arial"/>
                <w:sz w:val="16"/>
                <w:szCs w:val="16"/>
                <w:color w:val="0000FF"/>
                <w:w w:val="94"/>
              </w:rPr>
            </w:pPr>
            <w:hyperlink r:id="rId60">
              <w:r>
                <w:rPr>
                  <w:rFonts w:ascii="Arial" w:cs="Arial" w:eastAsia="Arial" w:hAnsi="Arial"/>
                  <w:sz w:val="16"/>
                  <w:szCs w:val="16"/>
                  <w:color w:val="0000FF"/>
                  <w:w w:val="94"/>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500" w:type="dxa"/>
            <w:vAlign w:val="bottom"/>
            <w:tcBorders>
              <w:top w:val="single" w:sz="8" w:color="0000FF"/>
              <w:bottom w:val="single" w:sz="8" w:color="0000FF"/>
            </w:tcBorders>
            <w:gridSpan w:val="11"/>
          </w:tcPr>
          <w:p>
            <w:pPr>
              <w:spacing w:after="0" w:line="148" w:lineRule="exact"/>
              <w:rPr>
                <w:rFonts w:ascii="Arial" w:cs="Arial" w:eastAsia="Arial" w:hAnsi="Arial"/>
                <w:sz w:val="16"/>
                <w:szCs w:val="16"/>
                <w:color w:val="0000FF"/>
                <w:w w:val="94"/>
              </w:rPr>
            </w:pPr>
            <w:hyperlink r:id="rId60">
              <w:r>
                <w:rPr>
                  <w:rFonts w:ascii="Arial" w:cs="Arial" w:eastAsia="Arial" w:hAnsi="Arial"/>
                  <w:sz w:val="16"/>
                  <w:szCs w:val="16"/>
                  <w:color w:val="0000FF"/>
                  <w:w w:val="94"/>
                </w:rPr>
                <w:t>Toro Company’s 6.625% Notes due May 1, 2037 (incorporated by reference to Exhibit 4.3 to Registrant’s Registration Statement on Form S-3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660" w:type="dxa"/>
            <w:vAlign w:val="bottom"/>
            <w:tcBorders>
              <w:bottom w:val="single" w:sz="8" w:color="0000FF"/>
            </w:tcBorders>
            <w:gridSpan w:val="3"/>
          </w:tcPr>
          <w:p>
            <w:pPr>
              <w:spacing w:after="0" w:line="135" w:lineRule="exact"/>
              <w:rPr>
                <w:rFonts w:ascii="Arial" w:cs="Arial" w:eastAsia="Arial" w:hAnsi="Arial"/>
                <w:sz w:val="15"/>
                <w:szCs w:val="15"/>
                <w:color w:val="0000FF"/>
                <w:w w:val="99"/>
              </w:rPr>
            </w:pPr>
            <w:hyperlink r:id="rId60">
              <w:r>
                <w:rPr>
                  <w:rFonts w:ascii="Arial" w:cs="Arial" w:eastAsia="Arial" w:hAnsi="Arial"/>
                  <w:sz w:val="15"/>
                  <w:szCs w:val="15"/>
                  <w:color w:val="0000FF"/>
                  <w:w w:val="99"/>
                </w:rPr>
                <w:t>filed with the Securities and Exchange Commission on April 23, 2007, Registration No. 333-142282).</w:t>
              </w:r>
            </w:hyperlink>
          </w:p>
        </w:tc>
        <w:tc>
          <w:tcPr>
            <w:tcW w:w="284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400" w:type="dxa"/>
            <w:vAlign w:val="bottom"/>
          </w:tcPr>
          <w:p>
            <w:pPr>
              <w:spacing w:after="0"/>
              <w:rPr>
                <w:sz w:val="21"/>
                <w:szCs w:val="21"/>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4.6</w:t>
            </w:r>
          </w:p>
        </w:tc>
        <w:tc>
          <w:tcPr>
            <w:tcW w:w="9540" w:type="dxa"/>
            <w:vAlign w:val="bottom"/>
            <w:gridSpan w:val="13"/>
          </w:tcPr>
          <w:p>
            <w:pPr>
              <w:spacing w:after="0"/>
              <w:rPr>
                <w:rFonts w:ascii="Arial" w:cs="Arial" w:eastAsia="Arial" w:hAnsi="Arial"/>
                <w:sz w:val="16"/>
                <w:szCs w:val="16"/>
                <w:color w:val="0000FF"/>
                <w:w w:val="97"/>
              </w:rPr>
            </w:pPr>
            <w:hyperlink r:id="rId61">
              <w:r>
                <w:rPr>
                  <w:rFonts w:ascii="Arial" w:cs="Arial" w:eastAsia="Arial" w:hAnsi="Arial"/>
                  <w:sz w:val="16"/>
                  <w:szCs w:val="16"/>
                  <w:color w:val="0000FF"/>
                  <w:w w:val="97"/>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500" w:type="dxa"/>
            <w:vAlign w:val="bottom"/>
            <w:tcBorders>
              <w:top w:val="single" w:sz="8" w:color="0000FF"/>
              <w:bottom w:val="single" w:sz="8" w:color="0000FF"/>
            </w:tcBorders>
            <w:gridSpan w:val="11"/>
          </w:tcPr>
          <w:p>
            <w:pPr>
              <w:spacing w:after="0" w:line="148" w:lineRule="exact"/>
              <w:rPr>
                <w:rFonts w:ascii="Arial" w:cs="Arial" w:eastAsia="Arial" w:hAnsi="Arial"/>
                <w:sz w:val="16"/>
                <w:szCs w:val="16"/>
                <w:color w:val="0000FF"/>
                <w:w w:val="92"/>
              </w:rPr>
            </w:pPr>
            <w:hyperlink r:id="rId61">
              <w:r>
                <w:rPr>
                  <w:rFonts w:ascii="Arial" w:cs="Arial" w:eastAsia="Arial" w:hAnsi="Arial"/>
                  <w:sz w:val="16"/>
                  <w:szCs w:val="16"/>
                  <w:color w:val="0000FF"/>
                  <w:w w:val="92"/>
                </w:rPr>
                <w:t>Trustee, relating to The Toro Company’s 6.625% Notes due May 1, 2037 (incorporated by reference to Exhibit 4.1 to Registrant’s Current Report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500" w:type="dxa"/>
            <w:vAlign w:val="bottom"/>
            <w:gridSpan w:val="11"/>
          </w:tcPr>
          <w:p>
            <w:pPr>
              <w:spacing w:after="0" w:line="135" w:lineRule="exact"/>
              <w:rPr>
                <w:rFonts w:ascii="Arial" w:cs="Arial" w:eastAsia="Arial" w:hAnsi="Arial"/>
                <w:sz w:val="15"/>
                <w:szCs w:val="15"/>
                <w:color w:val="0000FF"/>
              </w:rPr>
            </w:pPr>
            <w:hyperlink r:id="rId61">
              <w:r>
                <w:rPr>
                  <w:rFonts w:ascii="Arial" w:cs="Arial" w:eastAsia="Arial" w:hAnsi="Arial"/>
                  <w:sz w:val="15"/>
                  <w:szCs w:val="15"/>
                  <w:color w:val="0000FF"/>
                </w:rPr>
                <w:t>on Form 8-K as filed with the Securities and Exchange Commission on April 26, 2007,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4.7</w:t>
            </w:r>
          </w:p>
        </w:tc>
        <w:tc>
          <w:tcPr>
            <w:tcW w:w="352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9540" w:type="dxa"/>
            <w:vAlign w:val="bottom"/>
            <w:gridSpan w:val="13"/>
          </w:tcPr>
          <w:p>
            <w:pPr>
              <w:spacing w:after="0"/>
              <w:rPr>
                <w:rFonts w:ascii="Arial" w:cs="Arial" w:eastAsia="Arial" w:hAnsi="Arial"/>
                <w:sz w:val="16"/>
                <w:szCs w:val="16"/>
                <w:color w:val="0000FF"/>
                <w:w w:val="93"/>
              </w:rPr>
            </w:pPr>
            <w:hyperlink r:id="rId62">
              <w:r>
                <w:rPr>
                  <w:rFonts w:ascii="Arial" w:cs="Arial" w:eastAsia="Arial" w:hAnsi="Arial"/>
                  <w:sz w:val="16"/>
                  <w:szCs w:val="16"/>
                  <w:color w:val="0000FF"/>
                  <w:w w:val="93"/>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840" w:type="dxa"/>
            <w:vAlign w:val="bottom"/>
            <w:tcBorders>
              <w:top w:val="single" w:sz="8" w:color="0000FF"/>
              <w:bottom w:val="single" w:sz="8" w:color="0000FF"/>
            </w:tcBorders>
            <w:gridSpan w:val="5"/>
          </w:tcPr>
          <w:p>
            <w:pPr>
              <w:spacing w:after="0" w:line="135" w:lineRule="exact"/>
              <w:rPr>
                <w:rFonts w:ascii="Arial" w:cs="Arial" w:eastAsia="Arial" w:hAnsi="Arial"/>
                <w:sz w:val="15"/>
                <w:szCs w:val="15"/>
                <w:color w:val="0000FF"/>
                <w:w w:val="99"/>
              </w:rPr>
            </w:pPr>
            <w:hyperlink r:id="rId62">
              <w:r>
                <w:rPr>
                  <w:rFonts w:ascii="Arial" w:cs="Arial" w:eastAsia="Arial" w:hAnsi="Arial"/>
                  <w:sz w:val="15"/>
                  <w:szCs w:val="15"/>
                  <w:color w:val="0000FF"/>
                  <w:w w:val="99"/>
                </w:rPr>
                <w:t>as filed with the Securities and Exchange Commission on April 26, 2007, Commission File No. 1-8649).</w:t>
              </w:r>
            </w:hyperlink>
          </w:p>
        </w:tc>
        <w:tc>
          <w:tcPr>
            <w:tcW w:w="2660" w:type="dxa"/>
            <w:vAlign w:val="bottom"/>
            <w:tcBorders>
              <w:top w:val="single" w:sz="8" w:color="0000FF"/>
            </w:tcBorders>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400" w:type="dxa"/>
            <w:vAlign w:val="bottom"/>
          </w:tcPr>
          <w:p>
            <w:pPr>
              <w:spacing w:after="0"/>
              <w:rPr>
                <w:sz w:val="21"/>
                <w:szCs w:val="21"/>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10.1</w:t>
            </w:r>
          </w:p>
        </w:tc>
        <w:tc>
          <w:tcPr>
            <w:tcW w:w="9540" w:type="dxa"/>
            <w:vAlign w:val="bottom"/>
            <w:gridSpan w:val="13"/>
          </w:tcPr>
          <w:p>
            <w:pPr>
              <w:spacing w:after="0"/>
              <w:rPr>
                <w:rFonts w:ascii="Arial" w:cs="Arial" w:eastAsia="Arial" w:hAnsi="Arial"/>
                <w:sz w:val="16"/>
                <w:szCs w:val="16"/>
                <w:color w:val="0000FF"/>
                <w:w w:val="92"/>
              </w:rPr>
            </w:pPr>
            <w:hyperlink r:id="rId63">
              <w:r>
                <w:rPr>
                  <w:rFonts w:ascii="Arial" w:cs="Arial" w:eastAsia="Arial" w:hAnsi="Arial"/>
                  <w:sz w:val="16"/>
                  <w:szCs w:val="16"/>
                  <w:color w:val="0000FF"/>
                  <w:w w:val="92"/>
                </w:rPr>
                <w:t>Offer Letter dated February 13, 2023 between The Toro Company and Angela C. Drake (incorporated by reference to Exhibit 10.1 to Registrant’s</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520" w:type="dxa"/>
            <w:vAlign w:val="bottom"/>
            <w:tcBorders>
              <w:top w:val="single" w:sz="8" w:color="0000FF"/>
            </w:tcBorders>
            <w:gridSpan w:val="12"/>
          </w:tcPr>
          <w:p>
            <w:pPr>
              <w:spacing w:after="0" w:line="148" w:lineRule="exact"/>
              <w:rPr>
                <w:rFonts w:ascii="Arial" w:cs="Arial" w:eastAsia="Arial" w:hAnsi="Arial"/>
                <w:sz w:val="16"/>
                <w:szCs w:val="16"/>
                <w:color w:val="0000FF"/>
                <w:w w:val="98"/>
              </w:rPr>
            </w:pPr>
            <w:hyperlink r:id="rId63">
              <w:r>
                <w:rPr>
                  <w:rFonts w:ascii="Arial" w:cs="Arial" w:eastAsia="Arial" w:hAnsi="Arial"/>
                  <w:sz w:val="16"/>
                  <w:szCs w:val="16"/>
                  <w:color w:val="0000FF"/>
                  <w:w w:val="98"/>
                </w:rPr>
                <w:t>Current Report on Form 8-K as filed with the Securities and Exchange Commission on February 14, 2023, Commission File No. 1-8649).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31.1</w:t>
            </w:r>
          </w:p>
        </w:tc>
        <w:tc>
          <w:tcPr>
            <w:tcW w:w="87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w w:val="94"/>
              </w:rPr>
              <w:t>Certification of Chief Executive Officer Pursuant to Rule 13a-14(a) (Section 302 of the Sarbanes-Oxley Act of 2002) (filed herewith).</w:t>
            </w:r>
          </w:p>
        </w:tc>
        <w:tc>
          <w:tcPr>
            <w:tcW w:w="240" w:type="dxa"/>
            <w:vAlign w:val="bottom"/>
            <w:tcBorders>
              <w:top w:val="single" w:sz="8" w:color="0000FF"/>
            </w:tcBorders>
            <w:gridSpan w:val="2"/>
          </w:tcPr>
          <w:p>
            <w:pPr>
              <w:spacing w:after="0"/>
              <w:rPr>
                <w:sz w:val="20"/>
                <w:szCs w:val="20"/>
                <w:color w:val="auto"/>
              </w:rPr>
            </w:pPr>
          </w:p>
        </w:tc>
        <w:tc>
          <w:tcPr>
            <w:tcW w:w="5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0" w:type="dxa"/>
            <w:vAlign w:val="bottom"/>
          </w:tcPr>
          <w:p>
            <w:pPr>
              <w:spacing w:after="0"/>
              <w:rPr>
                <w:sz w:val="21"/>
                <w:szCs w:val="21"/>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31.2</w:t>
            </w:r>
          </w:p>
        </w:tc>
        <w:tc>
          <w:tcPr>
            <w:tcW w:w="9540" w:type="dxa"/>
            <w:vAlign w:val="bottom"/>
            <w:gridSpan w:val="13"/>
          </w:tcPr>
          <w:p>
            <w:pPr>
              <w:spacing w:after="0"/>
              <w:rPr>
                <w:sz w:val="20"/>
                <w:szCs w:val="20"/>
                <w:color w:val="auto"/>
              </w:rPr>
            </w:pPr>
            <w:r>
              <w:rPr>
                <w:rFonts w:ascii="Arial" w:cs="Arial" w:eastAsia="Arial" w:hAnsi="Arial"/>
                <w:sz w:val="16"/>
                <w:szCs w:val="16"/>
                <w:color w:val="0000FF"/>
              </w:rPr>
              <w:t>Certification of Chief Financial Officer Pursuant to Rule 13a-14(a) (Section 302 of the Sarbanes-Oxley Act of 2002) (filed herewith).</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32</w:t>
            </w:r>
          </w:p>
        </w:tc>
        <w:tc>
          <w:tcPr>
            <w:tcW w:w="3520" w:type="dxa"/>
            <w:vAlign w:val="bottom"/>
            <w:shd w:val="clear" w:color="auto" w:fill="0000FF"/>
          </w:tcPr>
          <w:p>
            <w:pPr>
              <w:spacing w:after="0" w:line="20" w:lineRule="exact"/>
              <w:rPr>
                <w:sz w:val="1"/>
                <w:szCs w:val="1"/>
                <w:color w:val="auto"/>
              </w:rPr>
            </w:pPr>
          </w:p>
        </w:tc>
        <w:tc>
          <w:tcPr>
            <w:tcW w:w="5180" w:type="dxa"/>
            <w:vAlign w:val="bottom"/>
            <w:gridSpan w:val="6"/>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9540" w:type="dxa"/>
            <w:vAlign w:val="bottom"/>
            <w:gridSpan w:val="13"/>
          </w:tcPr>
          <w:p>
            <w:pPr>
              <w:spacing w:after="0"/>
              <w:rPr>
                <w:sz w:val="20"/>
                <w:szCs w:val="20"/>
                <w:color w:val="auto"/>
              </w:rPr>
            </w:pPr>
            <w:r>
              <w:rPr>
                <w:rFonts w:ascii="Arial" w:cs="Arial" w:eastAsia="Arial" w:hAnsi="Arial"/>
                <w:sz w:val="16"/>
                <w:szCs w:val="16"/>
                <w:color w:val="0000FF"/>
                <w:w w:val="94"/>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520" w:type="dxa"/>
            <w:vAlign w:val="bottom"/>
            <w:tcBorders>
              <w:top w:val="single" w:sz="8" w:color="0000FF"/>
              <w:bottom w:val="single" w:sz="8" w:color="0000FF"/>
            </w:tcBorders>
          </w:tcPr>
          <w:p>
            <w:pPr>
              <w:spacing w:after="0" w:line="135" w:lineRule="exact"/>
              <w:rPr>
                <w:sz w:val="20"/>
                <w:szCs w:val="20"/>
                <w:color w:val="auto"/>
              </w:rPr>
            </w:pPr>
            <w:r>
              <w:rPr>
                <w:rFonts w:ascii="Arial" w:cs="Arial" w:eastAsia="Arial" w:hAnsi="Arial"/>
                <w:sz w:val="15"/>
                <w:szCs w:val="15"/>
                <w:color w:val="0000FF"/>
                <w:w w:val="98"/>
              </w:rPr>
              <w:t>the Sarbanes-Oxley Act of 2002 (furnished herewith).</w:t>
            </w:r>
          </w:p>
        </w:tc>
        <w:tc>
          <w:tcPr>
            <w:tcW w:w="5980" w:type="dxa"/>
            <w:vAlign w:val="bottom"/>
            <w:tcBorders>
              <w:top w:val="single" w:sz="8" w:color="0000FF"/>
            </w:tcBorders>
            <w:gridSpan w:val="10"/>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101</w:t>
            </w:r>
          </w:p>
        </w:tc>
        <w:tc>
          <w:tcPr>
            <w:tcW w:w="9540" w:type="dxa"/>
            <w:vAlign w:val="bottom"/>
            <w:gridSpan w:val="13"/>
          </w:tcPr>
          <w:p>
            <w:pPr>
              <w:spacing w:after="0"/>
              <w:rPr>
                <w:sz w:val="20"/>
                <w:szCs w:val="20"/>
                <w:color w:val="auto"/>
              </w:rPr>
            </w:pPr>
            <w:r>
              <w:rPr>
                <w:rFonts w:ascii="Arial" w:cs="Arial" w:eastAsia="Arial" w:hAnsi="Arial"/>
                <w:sz w:val="16"/>
                <w:szCs w:val="16"/>
                <w:color w:val="auto"/>
                <w:w w:val="94"/>
              </w:rPr>
              <w:t>The following financial information from The Toro Company’s Quarterly Report on Form 10-Q for the quarterly period ended May 5, 2023, filed</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540" w:type="dxa"/>
            <w:vAlign w:val="bottom"/>
            <w:gridSpan w:val="13"/>
          </w:tcPr>
          <w:p>
            <w:pPr>
              <w:spacing w:after="0" w:line="160" w:lineRule="exact"/>
              <w:rPr>
                <w:sz w:val="20"/>
                <w:szCs w:val="20"/>
                <w:color w:val="auto"/>
              </w:rPr>
            </w:pPr>
            <w:r>
              <w:rPr>
                <w:rFonts w:ascii="Arial" w:cs="Arial" w:eastAsia="Arial" w:hAnsi="Arial"/>
                <w:sz w:val="16"/>
                <w:szCs w:val="16"/>
                <w:color w:val="auto"/>
                <w:w w:val="99"/>
              </w:rPr>
              <w:t>with the SEC on June 8, 2023, formatted in Inline eXtensible Business Reporting Language (Inline XBRL): (i) Condensed Consolidated</w:t>
            </w:r>
          </w:p>
        </w:tc>
        <w:tc>
          <w:tcPr>
            <w:tcW w:w="0" w:type="dxa"/>
            <w:vAlign w:val="bottom"/>
          </w:tcPr>
          <w:p>
            <w:pPr>
              <w:spacing w:after="0"/>
              <w:rPr>
                <w:sz w:val="1"/>
                <w:szCs w:val="1"/>
                <w:color w:val="auto"/>
              </w:rPr>
            </w:pPr>
          </w:p>
        </w:tc>
      </w:tr>
      <w:tr>
        <w:trPr>
          <w:trHeight w:val="163"/>
        </w:trPr>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540" w:type="dxa"/>
            <w:vAlign w:val="bottom"/>
            <w:gridSpan w:val="13"/>
          </w:tcPr>
          <w:p>
            <w:pPr>
              <w:spacing w:after="0" w:line="163" w:lineRule="exact"/>
              <w:rPr>
                <w:sz w:val="20"/>
                <w:szCs w:val="20"/>
                <w:color w:val="auto"/>
              </w:rPr>
            </w:pPr>
            <w:r>
              <w:rPr>
                <w:rFonts w:ascii="Arial" w:cs="Arial" w:eastAsia="Arial" w:hAnsi="Arial"/>
                <w:sz w:val="16"/>
                <w:szCs w:val="16"/>
                <w:color w:val="auto"/>
                <w:w w:val="94"/>
              </w:rPr>
              <w:t>Statements of Earnings for the three and six month periods ended May 5, 2023 and April 29, 2022, (ii) Condensed Consolidated Statements of</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540" w:type="dxa"/>
            <w:vAlign w:val="bottom"/>
            <w:gridSpan w:val="13"/>
          </w:tcPr>
          <w:p>
            <w:pPr>
              <w:spacing w:after="0" w:line="168" w:lineRule="exact"/>
              <w:rPr>
                <w:sz w:val="20"/>
                <w:szCs w:val="20"/>
                <w:color w:val="auto"/>
              </w:rPr>
            </w:pPr>
            <w:r>
              <w:rPr>
                <w:rFonts w:ascii="Arial" w:cs="Arial" w:eastAsia="Arial" w:hAnsi="Arial"/>
                <w:sz w:val="16"/>
                <w:szCs w:val="16"/>
                <w:color w:val="auto"/>
                <w:w w:val="92"/>
              </w:rPr>
              <w:t>Comprehensive Income for the three and six month periods ended May 5, 2023 and April 29, 2022, (iii) Condensed Consolidated Balance Sheets</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540" w:type="dxa"/>
            <w:vAlign w:val="bottom"/>
            <w:gridSpan w:val="13"/>
          </w:tcPr>
          <w:p>
            <w:pPr>
              <w:spacing w:after="0" w:line="160" w:lineRule="exact"/>
              <w:rPr>
                <w:sz w:val="20"/>
                <w:szCs w:val="20"/>
                <w:color w:val="auto"/>
              </w:rPr>
            </w:pPr>
            <w:r>
              <w:rPr>
                <w:rFonts w:ascii="Arial" w:cs="Arial" w:eastAsia="Arial" w:hAnsi="Arial"/>
                <w:sz w:val="16"/>
                <w:szCs w:val="16"/>
                <w:color w:val="auto"/>
                <w:w w:val="92"/>
              </w:rPr>
              <w:t>as of May 5, 2023, April 29, 2022, and October 31, 2022, (iv) Condensed Consolidated Statement of Cash Flows for the six month periods ended</w:t>
            </w:r>
          </w:p>
        </w:tc>
        <w:tc>
          <w:tcPr>
            <w:tcW w:w="0" w:type="dxa"/>
            <w:vAlign w:val="bottom"/>
          </w:tcPr>
          <w:p>
            <w:pPr>
              <w:spacing w:after="0"/>
              <w:rPr>
                <w:sz w:val="1"/>
                <w:szCs w:val="1"/>
                <w:color w:val="auto"/>
              </w:rPr>
            </w:pPr>
          </w:p>
        </w:tc>
      </w:tr>
      <w:tr>
        <w:trPr>
          <w:trHeight w:val="163"/>
        </w:trPr>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540" w:type="dxa"/>
            <w:vAlign w:val="bottom"/>
            <w:gridSpan w:val="13"/>
          </w:tcPr>
          <w:p>
            <w:pPr>
              <w:spacing w:after="0" w:line="163" w:lineRule="exact"/>
              <w:rPr>
                <w:sz w:val="20"/>
                <w:szCs w:val="20"/>
                <w:color w:val="auto"/>
              </w:rPr>
            </w:pPr>
            <w:r>
              <w:rPr>
                <w:rFonts w:ascii="Arial" w:cs="Arial" w:eastAsia="Arial" w:hAnsi="Arial"/>
                <w:sz w:val="16"/>
                <w:szCs w:val="16"/>
                <w:color w:val="auto"/>
                <w:w w:val="96"/>
              </w:rPr>
              <w:t>May 5, 2023 and April 29, 2022, (v) Condensed Consolidated Statements of Stockholders' Equity for the three and six month periods ended</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540" w:type="dxa"/>
            <w:vAlign w:val="bottom"/>
            <w:gridSpan w:val="13"/>
          </w:tcPr>
          <w:p>
            <w:pPr>
              <w:spacing w:after="0"/>
              <w:rPr>
                <w:sz w:val="20"/>
                <w:szCs w:val="20"/>
                <w:color w:val="auto"/>
              </w:rPr>
            </w:pPr>
            <w:r>
              <w:rPr>
                <w:rFonts w:ascii="Arial" w:cs="Arial" w:eastAsia="Arial" w:hAnsi="Arial"/>
                <w:sz w:val="16"/>
                <w:szCs w:val="16"/>
                <w:color w:val="auto"/>
              </w:rPr>
              <w:t>May 5, 2023 and April 29, 2022, and (vi) Notes to Condensed Consolidated Financial Statements (filed herewith).</w:t>
            </w:r>
          </w:p>
        </w:tc>
        <w:tc>
          <w:tcPr>
            <w:tcW w:w="0" w:type="dxa"/>
            <w:vAlign w:val="bottom"/>
          </w:tcPr>
          <w:p>
            <w:pPr>
              <w:spacing w:after="0"/>
              <w:rPr>
                <w:sz w:val="1"/>
                <w:szCs w:val="1"/>
                <w:color w:val="auto"/>
              </w:rPr>
            </w:pPr>
          </w:p>
        </w:tc>
      </w:tr>
      <w:tr>
        <w:trPr>
          <w:trHeight w:val="271"/>
        </w:trPr>
        <w:tc>
          <w:tcPr>
            <w:tcW w:w="4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104</w:t>
            </w:r>
          </w:p>
        </w:tc>
        <w:tc>
          <w:tcPr>
            <w:tcW w:w="9540" w:type="dxa"/>
            <w:vAlign w:val="bottom"/>
            <w:gridSpan w:val="13"/>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TORO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(Registrant)</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420" w:type="dxa"/>
            <w:vAlign w:val="bottom"/>
          </w:tcPr>
          <w:p>
            <w:pPr>
              <w:spacing w:after="0"/>
              <w:rPr>
                <w:sz w:val="20"/>
                <w:szCs w:val="20"/>
                <w:color w:val="auto"/>
              </w:rPr>
            </w:pPr>
            <w:r>
              <w:rPr>
                <w:rFonts w:ascii="Arial" w:cs="Arial" w:eastAsia="Arial" w:hAnsi="Arial"/>
                <w:sz w:val="17"/>
                <w:szCs w:val="17"/>
                <w:color w:val="auto"/>
              </w:rPr>
              <w:t>Date: June 8, 2023</w:t>
            </w:r>
          </w:p>
        </w:tc>
        <w:tc>
          <w:tcPr>
            <w:tcW w:w="2640" w:type="dxa"/>
            <w:vAlign w:val="bottom"/>
          </w:tcPr>
          <w:p>
            <w:pPr>
              <w:ind w:left="2140"/>
              <w:spacing w:after="0"/>
              <w:rPr>
                <w:sz w:val="20"/>
                <w:szCs w:val="20"/>
                <w:color w:val="auto"/>
              </w:rPr>
            </w:pPr>
            <w:r>
              <w:rPr>
                <w:rFonts w:ascii="Arial" w:cs="Arial" w:eastAsia="Arial" w:hAnsi="Arial"/>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Angela C. Drake</w:t>
            </w:r>
          </w:p>
        </w:tc>
      </w:tr>
      <w:tr>
        <w:trPr>
          <w:trHeight w:val="211"/>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Angela C. Drake</w:t>
            </w:r>
          </w:p>
        </w:tc>
      </w:tr>
      <w:tr>
        <w:trPr>
          <w:trHeight w:val="232"/>
        </w:trPr>
        <w:tc>
          <w:tcPr>
            <w:tcW w:w="3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Vice President, Chief Financial Officer</w:t>
            </w:r>
          </w:p>
        </w:tc>
      </w:tr>
      <w:tr>
        <w:trPr>
          <w:trHeight w:val="170"/>
        </w:trPr>
        <w:tc>
          <w:tcPr>
            <w:tcW w:w="3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160" w:type="dxa"/>
            <w:vAlign w:val="bottom"/>
          </w:tcPr>
          <w:p>
            <w:pPr>
              <w:ind w:left="20"/>
              <w:spacing w:after="0" w:line="170" w:lineRule="exact"/>
              <w:rPr>
                <w:sz w:val="20"/>
                <w:szCs w:val="20"/>
                <w:color w:val="auto"/>
              </w:rPr>
            </w:pPr>
            <w:r>
              <w:rPr>
                <w:rFonts w:ascii="Arial" w:cs="Arial" w:eastAsia="Arial" w:hAnsi="Arial"/>
                <w:sz w:val="17"/>
                <w:szCs w:val="17"/>
                <w:color w:val="auto"/>
              </w:rPr>
              <w:t>(duly authorized officer, principal financial officer, and principal</w:t>
            </w:r>
          </w:p>
        </w:tc>
      </w:tr>
      <w:tr>
        <w:trPr>
          <w:trHeight w:val="217"/>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27" w:right="339" w:bottom="1440" w:gutter="0" w:footer="0" w:header="0"/>
        </w:sectPr>
      </w:pPr>
    </w:p>
    <w:bookmarkStart w:id="43" w:name="page44"/>
    <w:bookmarkEnd w:id="43"/>
    <w:p>
      <w:pPr>
        <w:ind w:left="10360"/>
        <w:spacing w:after="0"/>
        <w:rPr>
          <w:sz w:val="20"/>
          <w:szCs w:val="20"/>
          <w:color w:val="auto"/>
        </w:rPr>
      </w:pPr>
      <w:r>
        <w:rPr>
          <w:rFonts w:ascii="Arial" w:cs="Arial" w:eastAsia="Arial" w:hAnsi="Arial"/>
          <w:sz w:val="15"/>
          <w:szCs w:val="15"/>
          <w:b w:val="1"/>
          <w:bCs w:val="1"/>
          <w:color w:val="auto"/>
        </w:rPr>
        <w:t>Exhibit 31.1</w:t>
      </w:r>
    </w:p>
    <w:p>
      <w:pPr>
        <w:spacing w:after="0" w:line="51" w:lineRule="exact"/>
        <w:rPr>
          <w:sz w:val="20"/>
          <w:szCs w:val="20"/>
          <w:color w:val="auto"/>
        </w:rPr>
      </w:pPr>
    </w:p>
    <w:p>
      <w:pPr>
        <w:jc w:val="center"/>
        <w:spacing w:after="0" w:line="260" w:lineRule="auto"/>
        <w:rPr>
          <w:sz w:val="20"/>
          <w:szCs w:val="20"/>
          <w:color w:val="auto"/>
        </w:rPr>
      </w:pPr>
      <w:r>
        <w:rPr>
          <w:rFonts w:ascii="Arial" w:cs="Arial" w:eastAsia="Arial" w:hAnsi="Arial"/>
          <w:sz w:val="17"/>
          <w:szCs w:val="17"/>
          <w:b w:val="1"/>
          <w:bCs w:val="1"/>
          <w:color w:val="auto"/>
        </w:rPr>
        <w:t>CERTIFICATION PURSUANT TO RULE 13a-14(a)/15d-14(a) OF THE SECURITIES EXCHANGE ACT OF 1934, 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17" w:lineRule="exact"/>
        <w:rPr>
          <w:rFonts w:ascii="Arial" w:cs="Arial" w:eastAsia="Arial" w:hAnsi="Arial"/>
          <w:sz w:val="17"/>
          <w:szCs w:val="17"/>
          <w:color w:val="auto"/>
        </w:rPr>
      </w:pPr>
    </w:p>
    <w:p>
      <w:pPr>
        <w:ind w:left="620" w:hanging="307"/>
        <w:spacing w:after="0" w:line="349" w:lineRule="auto"/>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620" w:hanging="307"/>
        <w:spacing w:after="0" w:line="280"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left="1240" w:hanging="307"/>
        <w:spacing w:after="0" w:line="257"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jc w:val="both"/>
        <w:ind w:left="1240" w:hanging="307"/>
        <w:spacing w:after="0" w:line="253"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7"/>
          <w:szCs w:val="17"/>
          <w:color w:val="auto"/>
        </w:rPr>
      </w:pPr>
    </w:p>
    <w:p>
      <w:pPr>
        <w:ind w:left="1240" w:hanging="307"/>
        <w:spacing w:after="0" w:line="269" w:lineRule="auto"/>
        <w:tabs>
          <w:tab w:leader="none" w:pos="12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307"/>
        <w:spacing w:after="0" w:line="260"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17"/>
          <w:szCs w:val="17"/>
          <w:color w:val="auto"/>
        </w:rPr>
      </w:pPr>
    </w:p>
    <w:p>
      <w:pPr>
        <w:ind w:left="620" w:hanging="307"/>
        <w:spacing w:after="0" w:line="312"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hanging="307"/>
        <w:spacing w:after="0" w:line="260"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7"/>
        <w:spacing w:after="0" w:line="267"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Date: June 8, 2023</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941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713803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4" w:name="page45"/>
    <w:bookmarkEnd w:id="44"/>
    <w:p>
      <w:pPr>
        <w:ind w:left="10360"/>
        <w:spacing w:after="0"/>
        <w:rPr>
          <w:sz w:val="20"/>
          <w:szCs w:val="20"/>
          <w:color w:val="auto"/>
        </w:rPr>
      </w:pPr>
      <w:r>
        <w:rPr>
          <w:rFonts w:ascii="Arial" w:cs="Arial" w:eastAsia="Arial" w:hAnsi="Arial"/>
          <w:sz w:val="15"/>
          <w:szCs w:val="15"/>
          <w:b w:val="1"/>
          <w:bCs w:val="1"/>
          <w:color w:val="auto"/>
        </w:rPr>
        <w:t>Exhibit 31.2</w:t>
      </w:r>
    </w:p>
    <w:p>
      <w:pPr>
        <w:spacing w:after="0" w:line="51" w:lineRule="exact"/>
        <w:rPr>
          <w:sz w:val="20"/>
          <w:szCs w:val="20"/>
          <w:color w:val="auto"/>
        </w:rPr>
      </w:pPr>
    </w:p>
    <w:p>
      <w:pPr>
        <w:jc w:val="center"/>
        <w:spacing w:after="0" w:line="260" w:lineRule="auto"/>
        <w:rPr>
          <w:sz w:val="20"/>
          <w:szCs w:val="20"/>
          <w:color w:val="auto"/>
        </w:rPr>
      </w:pPr>
      <w:r>
        <w:rPr>
          <w:rFonts w:ascii="Arial" w:cs="Arial" w:eastAsia="Arial" w:hAnsi="Arial"/>
          <w:sz w:val="17"/>
          <w:szCs w:val="17"/>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I, Angela C. Drake, certify that:</w:t>
      </w:r>
    </w:p>
    <w:p>
      <w:pPr>
        <w:spacing w:after="0" w:line="218"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43" w:lineRule="exact"/>
        <w:rPr>
          <w:rFonts w:ascii="Arial" w:cs="Arial" w:eastAsia="Arial" w:hAnsi="Arial"/>
          <w:sz w:val="17"/>
          <w:szCs w:val="17"/>
          <w:color w:val="auto"/>
        </w:rPr>
      </w:pPr>
    </w:p>
    <w:p>
      <w:pPr>
        <w:ind w:left="620" w:hanging="307"/>
        <w:spacing w:after="0" w:line="349"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620" w:hanging="307"/>
        <w:spacing w:after="0" w:line="280"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240" w:hanging="307"/>
        <w:spacing w:after="0" w:line="257"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jc w:val="both"/>
        <w:ind w:left="1240" w:hanging="307"/>
        <w:spacing w:after="0" w:line="253"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7"/>
          <w:szCs w:val="17"/>
          <w:color w:val="auto"/>
        </w:rPr>
      </w:pPr>
    </w:p>
    <w:p>
      <w:pPr>
        <w:ind w:left="1240" w:hanging="307"/>
        <w:spacing w:after="0" w:line="269" w:lineRule="auto"/>
        <w:tabs>
          <w:tab w:leader="none" w:pos="12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307"/>
        <w:spacing w:after="0" w:line="260"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17"/>
          <w:szCs w:val="17"/>
          <w:color w:val="auto"/>
        </w:rPr>
      </w:pPr>
    </w:p>
    <w:p>
      <w:pPr>
        <w:ind w:left="620" w:hanging="307"/>
        <w:spacing w:after="0" w:line="312"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240" w:hanging="307"/>
        <w:spacing w:after="0" w:line="260"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7"/>
        <w:spacing w:after="0" w:line="267"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Date: June 8, 2023</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941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Angela C. Drake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713803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5" w:name="page46"/>
    <w:bookmarkEnd w:id="45"/>
    <w:p>
      <w:pPr>
        <w:ind w:left="10480"/>
        <w:spacing w:after="0"/>
        <w:rPr>
          <w:sz w:val="20"/>
          <w:szCs w:val="20"/>
          <w:color w:val="auto"/>
        </w:rPr>
      </w:pPr>
      <w:r>
        <w:rPr>
          <w:rFonts w:ascii="Arial" w:cs="Arial" w:eastAsia="Arial" w:hAnsi="Arial"/>
          <w:sz w:val="16"/>
          <w:szCs w:val="16"/>
          <w:b w:val="1"/>
          <w:bCs w:val="1"/>
          <w:color w:val="auto"/>
        </w:rPr>
        <w:t>Exhibit 32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connection with the Quarterly Report on Form 10-Q for the quarterly period ended May 5, 2023 of The Toro Company (the “Company”)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79"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419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June 8, 2023</w:t>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9419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94195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Angela C. Drake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June 8, 2023</w:t>
      </w:r>
    </w:p>
    <w:p>
      <w:pPr>
        <w:spacing w:after="0" w:line="200" w:lineRule="exact"/>
        <w:rPr>
          <w:sz w:val="20"/>
          <w:szCs w:val="20"/>
          <w:color w:val="auto"/>
        </w:rPr>
      </w:pPr>
    </w:p>
    <w:p>
      <w:pPr>
        <w:spacing w:after="0" w:line="27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13803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2"/>
      <w:numFmt w:val="bullet"/>
      <w:start w:val="1"/>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4"/>
      <w:numFmt w:val="bullet"/>
      <w:start w:val="1"/>
    </w:lvl>
  </w:abstractNum>
  <w:abstractNum w:abstractNumId="8">
    <w:nsid w:val="41A7C4C9"/>
    <w:multiLevelType w:val="hybridMultilevel"/>
    <w:lvl w:ilvl="0">
      <w:lvlJc w:val="left"/>
      <w:lvlText w:val="5"/>
      <w:numFmt w:val="bullet"/>
      <w:start w:val="1"/>
    </w:lvl>
  </w:abstractNum>
  <w:abstractNum w:abstractNumId="9">
    <w:nsid w:val="6B68079A"/>
    <w:multiLevelType w:val="hybridMultilevel"/>
    <w:lvl w:ilvl="0">
      <w:lvlJc w:val="left"/>
      <w:lvlText w:val="7"/>
      <w:numFmt w:val="bullet"/>
      <w:start w:val="1"/>
    </w:lvl>
  </w:abstractNum>
  <w:abstractNum w:abstractNumId="10">
    <w:nsid w:val="4E6AFB66"/>
    <w:multiLevelType w:val="hybridMultilevel"/>
    <w:lvl w:ilvl="0">
      <w:lvlJc w:val="left"/>
      <w:lvlText w:val="8"/>
      <w:numFmt w:val="bullet"/>
      <w:start w:val="1"/>
    </w:lvl>
  </w:abstractNum>
  <w:abstractNum w:abstractNumId="11">
    <w:nsid w:val="25E45D32"/>
    <w:multiLevelType w:val="hybridMultilevel"/>
    <w:lvl w:ilvl="0">
      <w:lvlJc w:val="left"/>
      <w:lvlText w:val="9"/>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bullet"/>
      <w:start w:val="1"/>
    </w:lvl>
  </w:abstractNum>
  <w:abstractNum w:abstractNumId="15">
    <w:nsid w:val="7C83E458"/>
    <w:multiLevelType w:val="hybridMultilevel"/>
    <w:lvl w:ilvl="0">
      <w:lvlJc w:val="left"/>
      <w:lvlText w:val="2"/>
      <w:numFmt w:val="bullet"/>
      <w:start w:val="1"/>
    </w:lvl>
  </w:abstractNum>
  <w:abstractNum w:abstractNumId="16">
    <w:nsid w:val="257130A3"/>
    <w:multiLevelType w:val="hybridMultilevel"/>
    <w:lvl w:ilvl="0">
      <w:lvlJc w:val="left"/>
      <w:lvlText w:val="1"/>
      <w:numFmt w:val="bullet"/>
      <w:start w:val="1"/>
    </w:lvl>
  </w:abstractNum>
  <w:abstractNum w:abstractNumId="17">
    <w:nsid w:val="62BBD95A"/>
    <w:multiLevelType w:val="hybridMultilevel"/>
    <w:lvl w:ilvl="0">
      <w:lvlJc w:val="left"/>
      <w:lvlText w:val="2"/>
      <w:numFmt w:val="bullet"/>
      <w:start w:val="1"/>
    </w:lvl>
  </w:abstractNum>
  <w:abstractNum w:abstractNumId="18">
    <w:nsid w:val="436C6125"/>
    <w:multiLevelType w:val="hybridMultilevel"/>
    <w:lvl w:ilvl="0">
      <w:lvlJc w:val="left"/>
      <w:lvlText w:val="3"/>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57" Type="http://schemas.openxmlformats.org/officeDocument/2006/relationships/hyperlink" Target="http://www.sec.gov/Archives/edgar/data/737758/000073775808000033/form8-k06172008exhibitcert.htm" TargetMode="External"/><Relationship Id="rId58" Type="http://schemas.openxmlformats.org/officeDocument/2006/relationships/hyperlink" Target="http://www.sec.gov/Archives/edgar/data/737758/000119312513105223/d501846dex31.htm" TargetMode="External"/><Relationship Id="rId59" Type="http://schemas.openxmlformats.org/officeDocument/2006/relationships/hyperlink" Target="https://www.sec.gov/Archives/edgar/data/737758/000114036123027141/brhc20053547_3-1.htm" TargetMode="External"/><Relationship Id="rId60" Type="http://schemas.openxmlformats.org/officeDocument/2006/relationships/hyperlink" Target="http://www.sec.gov/Archives/edgar/data/737758/000110465907030051/a07-10570_1ex4d3.htm" TargetMode="External"/><Relationship Id="rId61" Type="http://schemas.openxmlformats.org/officeDocument/2006/relationships/hyperlink" Target="http://www.sec.gov/Archives/edgar/data/737758/000110465907031757/a07-10570_5ex4d1.htm" TargetMode="External"/><Relationship Id="rId62" Type="http://schemas.openxmlformats.org/officeDocument/2006/relationships/hyperlink" Target="http://www.sec.gov/Archives/edgar/data/737758/000110465907031757/a07-10570_5ex4d2.htm" TargetMode="External"/><Relationship Id="rId63" Type="http://schemas.openxmlformats.org/officeDocument/2006/relationships/hyperlink" Target="https://www.sec.gov/Archives/edgar/data/737758/000114036123007000/ny20007515x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2023-06-08T09:20:12Z</dcterms:created>
  <dcterms:modified xsi:type="dcterms:W3CDTF">2023-06-08T09:20:12Z</dcterms:modified>
</cp:coreProperties>
</file>