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41"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October 4, 2004</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333-___</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w:t>
      </w: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ACT OF 1933</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TORO COMPANY</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5"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330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8"/>
              </w:rPr>
              <w:t>Delaware</w:t>
            </w:r>
          </w:p>
        </w:tc>
        <w:tc>
          <w:tcPr>
            <w:tcW w:w="26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8"/>
              </w:rPr>
              <w:t>41-0580470</w:t>
            </w:r>
          </w:p>
        </w:tc>
      </w:tr>
      <w:tr>
        <w:trPr>
          <w:trHeight w:val="216"/>
        </w:trPr>
        <w:tc>
          <w:tcPr>
            <w:tcW w:w="330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26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30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26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8111 Lyndale Avenue South</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Bloomington, Minnesota 55420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TORO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PROFIT SHARING PLAN FOR PLYMOUTH UNION EMPLOYEES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 Lawrence McIntyre, Esquire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Vice President, Secretary and General Counsel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Toro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8111 Lyndale Avenue South</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Bloomington, Minnesota 55420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(952) 888-8801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agent for service)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Copy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Helen P. Starr, Esquire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Perkins Coie LLP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607 Fourteenth Street, NW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20005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34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to be</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40" w:type="dxa"/>
            <w:vAlign w:val="bottom"/>
          </w:tcPr>
          <w:p>
            <w:pPr>
              <w:jc w:val="center"/>
              <w:ind w:right="264"/>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34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3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3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40" w:type="dxa"/>
            <w:vAlign w:val="bottom"/>
          </w:tcPr>
          <w:p>
            <w:pPr>
              <w:jc w:val="center"/>
              <w:ind w:right="244"/>
              <w:spacing w:after="0" w:line="14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34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2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340" w:type="dxa"/>
            <w:vAlign w:val="bottom"/>
          </w:tcPr>
          <w:p>
            <w:pPr>
              <w:spacing w:after="0"/>
              <w:rPr>
                <w:sz w:val="15"/>
                <w:szCs w:val="15"/>
                <w:color w:val="auto"/>
              </w:rPr>
            </w:pPr>
          </w:p>
        </w:tc>
        <w:tc>
          <w:tcPr>
            <w:tcW w:w="116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340" w:type="dxa"/>
            <w:vAlign w:val="bottom"/>
          </w:tcPr>
          <w:p>
            <w:pPr>
              <w:spacing w:after="0"/>
              <w:rPr>
                <w:sz w:val="15"/>
                <w:szCs w:val="15"/>
                <w:color w:val="auto"/>
              </w:rPr>
            </w:pPr>
          </w:p>
        </w:tc>
        <w:tc>
          <w:tcPr>
            <w:tcW w:w="340" w:type="dxa"/>
            <w:vAlign w:val="bottom"/>
            <w:tcBorders>
              <w:bottom w:val="single" w:sz="8" w:color="808080"/>
            </w:tcBorders>
          </w:tcPr>
          <w:p>
            <w:pPr>
              <w:spacing w:after="0"/>
              <w:rPr>
                <w:sz w:val="15"/>
                <w:szCs w:val="15"/>
                <w:color w:val="auto"/>
              </w:rPr>
            </w:pPr>
          </w:p>
        </w:tc>
        <w:tc>
          <w:tcPr>
            <w:tcW w:w="1640" w:type="dxa"/>
            <w:vAlign w:val="bottom"/>
            <w:tcBorders>
              <w:bottom w:val="single" w:sz="8" w:color="808080"/>
            </w:tcBorders>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40" w:type="dxa"/>
            <w:vAlign w:val="bottom"/>
          </w:tcPr>
          <w:p>
            <w:pPr>
              <w:spacing w:after="0"/>
              <w:rPr>
                <w:sz w:val="15"/>
                <w:szCs w:val="15"/>
                <w:color w:val="auto"/>
              </w:rPr>
            </w:pPr>
          </w:p>
        </w:tc>
        <w:tc>
          <w:tcPr>
            <w:tcW w:w="176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20" w:type="dxa"/>
            <w:vAlign w:val="bottom"/>
          </w:tcPr>
          <w:p>
            <w:pPr>
              <w:spacing w:after="0"/>
              <w:rPr>
                <w:sz w:val="15"/>
                <w:szCs w:val="15"/>
                <w:color w:val="auto"/>
              </w:rPr>
            </w:pPr>
          </w:p>
        </w:tc>
        <w:tc>
          <w:tcPr>
            <w:tcW w:w="380" w:type="dxa"/>
            <w:vAlign w:val="bottom"/>
            <w:tcBorders>
              <w:bottom w:val="single" w:sz="8" w:color="808080"/>
            </w:tcBorders>
          </w:tcPr>
          <w:p>
            <w:pPr>
              <w:spacing w:after="0"/>
              <w:rPr>
                <w:sz w:val="15"/>
                <w:szCs w:val="15"/>
                <w:color w:val="auto"/>
              </w:rPr>
            </w:pPr>
          </w:p>
        </w:tc>
        <w:tc>
          <w:tcPr>
            <w:tcW w:w="1880" w:type="dxa"/>
            <w:vAlign w:val="bottom"/>
            <w:tcBorders>
              <w:bottom w:val="single" w:sz="8" w:color="808080"/>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registration fee</w:t>
            </w:r>
          </w:p>
        </w:tc>
        <w:tc>
          <w:tcPr>
            <w:tcW w:w="0" w:type="dxa"/>
            <w:vAlign w:val="bottom"/>
          </w:tcPr>
          <w:p>
            <w:pPr>
              <w:spacing w:after="0"/>
              <w:rPr>
                <w:sz w:val="1"/>
                <w:szCs w:val="1"/>
                <w:color w:val="auto"/>
              </w:rPr>
            </w:pPr>
          </w:p>
        </w:tc>
      </w:tr>
      <w:tr>
        <w:trPr>
          <w:trHeight w:val="218"/>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35,000</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67.295(c)</w:t>
            </w:r>
          </w:p>
        </w:tc>
        <w:tc>
          <w:tcPr>
            <w:tcW w:w="34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   2,335,325(c)</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158.14(d)</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par value $1.00</w:t>
            </w:r>
          </w:p>
        </w:tc>
        <w:tc>
          <w:tcPr>
            <w:tcW w:w="1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shares(b)</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per share (a)</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Interests in the Plan (e)</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40" w:right="40" w:hanging="532"/>
        <w:spacing w:after="0" w:line="282"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has one Preferred Share Purchase Right attached to it. Value attributable to such Rights, if any, is reflected in the market price of the Common Stock.</w:t>
      </w:r>
    </w:p>
    <w:p>
      <w:pPr>
        <w:spacing w:after="0" w:line="161" w:lineRule="exact"/>
        <w:rPr>
          <w:rFonts w:ascii="Times New Roman" w:cs="Times New Roman" w:eastAsia="Times New Roman" w:hAnsi="Times New Roman"/>
          <w:sz w:val="18"/>
          <w:szCs w:val="18"/>
          <w:color w:val="auto"/>
        </w:rPr>
      </w:pPr>
    </w:p>
    <w:p>
      <w:pPr>
        <w:ind w:left="540" w:right="460" w:hanging="526"/>
        <w:spacing w:after="0" w:line="282"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this Registration Statement also covers an indeterminate number of shares that may be issued in respect of stock splits, stock dividends and similar transactions in the future.</w:t>
      </w:r>
    </w:p>
    <w:p>
      <w:pPr>
        <w:spacing w:after="0" w:line="161" w:lineRule="exact"/>
        <w:rPr>
          <w:rFonts w:ascii="Times New Roman" w:cs="Times New Roman" w:eastAsia="Times New Roman" w:hAnsi="Times New Roman"/>
          <w:sz w:val="18"/>
          <w:szCs w:val="18"/>
          <w:color w:val="auto"/>
        </w:rPr>
      </w:pPr>
    </w:p>
    <w:p>
      <w:pPr>
        <w:ind w:left="540" w:right="480" w:hanging="515"/>
        <w:spacing w:after="0" w:line="282" w:lineRule="auto"/>
        <w:tabs>
          <w:tab w:leader="none" w:pos="5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to calculate the registration fee, pursuant to Rule 457(c) and Rule 457(h), on the basis of the average of the high and low prices reported by the New York Stock Exchange on September 27, 2004.</w:t>
      </w:r>
    </w:p>
    <w:p>
      <w:pPr>
        <w:spacing w:after="0" w:line="161" w:lineRule="exact"/>
        <w:rPr>
          <w:rFonts w:ascii="Times New Roman" w:cs="Times New Roman" w:eastAsia="Times New Roman" w:hAnsi="Times New Roman"/>
          <w:sz w:val="18"/>
          <w:szCs w:val="18"/>
          <w:color w:val="auto"/>
        </w:rPr>
      </w:pPr>
    </w:p>
    <w:p>
      <w:pPr>
        <w:ind w:left="540" w:hanging="526"/>
        <w:spacing w:after="0"/>
        <w:tabs>
          <w:tab w:leader="none" w:pos="5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fee to be applied to account number 737758.</w:t>
      </w:r>
    </w:p>
    <w:p>
      <w:pPr>
        <w:spacing w:after="0" w:line="225" w:lineRule="exact"/>
        <w:rPr>
          <w:rFonts w:ascii="Times New Roman" w:cs="Times New Roman" w:eastAsia="Times New Roman" w:hAnsi="Times New Roman"/>
          <w:sz w:val="18"/>
          <w:szCs w:val="18"/>
          <w:color w:val="auto"/>
        </w:rPr>
      </w:pPr>
    </w:p>
    <w:p>
      <w:pPr>
        <w:ind w:left="540" w:right="160" w:hanging="515"/>
        <w:spacing w:after="0" w:line="282" w:lineRule="auto"/>
        <w:tabs>
          <w:tab w:leader="none" w:pos="5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pursuant to Rule 416(c) under the Securities Act of 1933, this Registration Statement also covers an indeterminate amount of interests to be offered or sold pursuant to the employee benefit plan described.</w:t>
      </w:r>
    </w:p>
    <w:p>
      <w:pPr>
        <w:sectPr>
          <w:pgSz w:w="11900" w:h="16879" w:orient="portrait"/>
          <w:cols w:equalWidth="0" w:num="1">
            <w:col w:w="11420"/>
          </w:cols>
          <w:pgMar w:left="240" w:top="118" w:right="239" w:bottom="0" w:gutter="0" w:footer="0" w:header="0"/>
        </w:sectPr>
      </w:pPr>
    </w:p>
    <w:bookmarkStart w:id="2" w:name="page3"/>
    <w:bookmarkEnd w:id="2"/>
    <w:p>
      <w:pPr>
        <w:spacing w:after="0" w:line="282" w:lineRule="auto"/>
        <w:tabs>
          <w:tab w:leader="none" w:pos="5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361315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ind w:left="398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11"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PART I</w:t>
        </w:r>
      </w:hyperlink>
    </w:p>
    <w:p>
      <w:pPr>
        <w:spacing w:after="0" w:line="14" w:lineRule="exact"/>
        <w:rPr>
          <w:sz w:val="20"/>
          <w:szCs w:val="20"/>
          <w:color w:val="auto"/>
        </w:rPr>
      </w:pPr>
    </w:p>
    <w:p>
      <w:pPr>
        <w:ind w:left="320" w:right="3039" w:hanging="310"/>
        <w:spacing w:after="0" w:line="230" w:lineRule="auto"/>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PART II INFORMATION REQUIRED IN REGISTRATION STATEMENT</w:t>
        </w:r>
      </w:hyperlink>
      <w:r>
        <w:rPr>
          <w:rFonts w:ascii="Times New Roman" w:cs="Times New Roman" w:eastAsia="Times New Roman" w:hAnsi="Times New Roman"/>
          <w:sz w:val="22"/>
          <w:szCs w:val="22"/>
          <w:u w:val="single" w:color="auto"/>
          <w:color w:val="0000EE"/>
        </w:rPr>
        <w:t xml:space="preserve"> </w:t>
      </w:r>
      <w:hyperlink w:anchor="page5">
        <w:r>
          <w:rPr>
            <w:rFonts w:ascii="Times New Roman" w:cs="Times New Roman" w:eastAsia="Times New Roman" w:hAnsi="Times New Roman"/>
            <w:sz w:val="22"/>
            <w:szCs w:val="22"/>
            <w:u w:val="single" w:color="auto"/>
            <w:color w:val="0000EE"/>
          </w:rPr>
          <w:t>Item 3. Incorporation of Documents by Reference</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6">
        <w:r>
          <w:rPr>
            <w:rFonts w:ascii="Times New Roman" w:cs="Times New Roman" w:eastAsia="Times New Roman" w:hAnsi="Times New Roman"/>
            <w:sz w:val="22"/>
            <w:szCs w:val="22"/>
            <w:u w:val="single" w:color="auto"/>
            <w:color w:val="0000EE"/>
          </w:rPr>
          <w:t>Item 4. Description of Securities</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6">
        <w:r>
          <w:rPr>
            <w:rFonts w:ascii="Times New Roman" w:cs="Times New Roman" w:eastAsia="Times New Roman" w:hAnsi="Times New Roman"/>
            <w:sz w:val="22"/>
            <w:szCs w:val="22"/>
            <w:u w:val="single" w:color="auto"/>
            <w:color w:val="0000EE"/>
          </w:rPr>
          <w:t>Item 5. Interests of Named Experts and Counsel</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6">
        <w:r>
          <w:rPr>
            <w:rFonts w:ascii="Times New Roman" w:cs="Times New Roman" w:eastAsia="Times New Roman" w:hAnsi="Times New Roman"/>
            <w:sz w:val="22"/>
            <w:szCs w:val="22"/>
            <w:u w:val="single" w:color="auto"/>
            <w:color w:val="0000EE"/>
          </w:rPr>
          <w:t>Item 6. Indemnification of Directors and Officers</w:t>
        </w:r>
      </w:hyperlink>
    </w:p>
    <w:p>
      <w:pPr>
        <w:ind w:left="320"/>
        <w:spacing w:after="0" w:line="230" w:lineRule="auto"/>
        <w:rPr>
          <w:rFonts w:ascii="Times New Roman" w:cs="Times New Roman" w:eastAsia="Times New Roman" w:hAnsi="Times New Roman"/>
          <w:sz w:val="22"/>
          <w:szCs w:val="22"/>
          <w:u w:val="single" w:color="auto"/>
          <w:color w:val="0000EE"/>
        </w:rPr>
      </w:pPr>
      <w:hyperlink w:anchor="page7">
        <w:r>
          <w:rPr>
            <w:rFonts w:ascii="Times New Roman" w:cs="Times New Roman" w:eastAsia="Times New Roman" w:hAnsi="Times New Roman"/>
            <w:sz w:val="22"/>
            <w:szCs w:val="22"/>
            <w:u w:val="single" w:color="auto"/>
            <w:color w:val="0000EE"/>
          </w:rPr>
          <w:t>Item 7. Exemption from Registration Claimed</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7">
        <w:r>
          <w:rPr>
            <w:rFonts w:ascii="Times New Roman" w:cs="Times New Roman" w:eastAsia="Times New Roman" w:hAnsi="Times New Roman"/>
            <w:sz w:val="22"/>
            <w:szCs w:val="22"/>
            <w:u w:val="single" w:color="auto"/>
            <w:color w:val="0000EE"/>
          </w:rPr>
          <w:t>Item 8. Exhibits</w:t>
        </w:r>
      </w:hyperlink>
    </w:p>
    <w:p>
      <w:pPr>
        <w:ind w:left="320"/>
        <w:spacing w:after="0" w:line="230" w:lineRule="auto"/>
        <w:rPr>
          <w:rFonts w:ascii="Times New Roman" w:cs="Times New Roman" w:eastAsia="Times New Roman" w:hAnsi="Times New Roman"/>
          <w:sz w:val="22"/>
          <w:szCs w:val="22"/>
          <w:u w:val="single" w:color="auto"/>
          <w:color w:val="0000EE"/>
        </w:rPr>
      </w:pPr>
      <w:hyperlink w:anchor="page7">
        <w:r>
          <w:rPr>
            <w:rFonts w:ascii="Times New Roman" w:cs="Times New Roman" w:eastAsia="Times New Roman" w:hAnsi="Times New Roman"/>
            <w:sz w:val="22"/>
            <w:szCs w:val="22"/>
            <w:u w:val="single" w:color="auto"/>
            <w:color w:val="0000EE"/>
          </w:rPr>
          <w:t>Item 9. Undertakings</w:t>
        </w:r>
      </w:hyperlink>
    </w:p>
    <w:p>
      <w:pPr>
        <w:spacing w:after="0" w:line="231" w:lineRule="auto"/>
        <w:rPr>
          <w:rFonts w:ascii="Times New Roman" w:cs="Times New Roman" w:eastAsia="Times New Roman" w:hAnsi="Times New Roman"/>
          <w:sz w:val="22"/>
          <w:szCs w:val="22"/>
          <w:u w:val="single" w:color="auto"/>
          <w:color w:val="0000EE"/>
        </w:rPr>
      </w:pPr>
      <w:hyperlink w:anchor="page9">
        <w:r>
          <w:rPr>
            <w:rFonts w:ascii="Times New Roman" w:cs="Times New Roman" w:eastAsia="Times New Roman" w:hAnsi="Times New Roman"/>
            <w:sz w:val="22"/>
            <w:szCs w:val="22"/>
            <w:u w:val="single" w:color="auto"/>
            <w:color w:val="0000EE"/>
          </w:rPr>
          <w:t>SIGNATURES</w:t>
        </w:r>
      </w:hyperlink>
    </w:p>
    <w:p>
      <w:pPr>
        <w:spacing w:after="0" w:line="231" w:lineRule="auto"/>
        <w:rPr>
          <w:rFonts w:ascii="Times New Roman" w:cs="Times New Roman" w:eastAsia="Times New Roman" w:hAnsi="Times New Roman"/>
          <w:sz w:val="22"/>
          <w:szCs w:val="22"/>
          <w:u w:val="single" w:color="auto"/>
          <w:color w:val="0000EE"/>
        </w:rPr>
      </w:pPr>
      <w:hyperlink w:anchor="page12">
        <w:r>
          <w:rPr>
            <w:rFonts w:ascii="Times New Roman" w:cs="Times New Roman" w:eastAsia="Times New Roman" w:hAnsi="Times New Roman"/>
            <w:sz w:val="22"/>
            <w:szCs w:val="22"/>
            <w:u w:val="single" w:color="auto"/>
            <w:color w:val="0000EE"/>
          </w:rPr>
          <w:t>EXHIBIT LIST</w:t>
        </w:r>
      </w:hyperlink>
    </w:p>
    <w:p>
      <w:pPr>
        <w:spacing w:after="0" w:line="230" w:lineRule="auto"/>
        <w:rPr>
          <w:sz w:val="20"/>
          <w:szCs w:val="20"/>
          <w:color w:val="auto"/>
        </w:rPr>
      </w:pPr>
      <w:r>
        <w:rPr>
          <w:rFonts w:ascii="Times New Roman" w:cs="Times New Roman" w:eastAsia="Times New Roman" w:hAnsi="Times New Roman"/>
          <w:sz w:val="22"/>
          <w:szCs w:val="22"/>
          <w:u w:val="single" w:color="auto"/>
          <w:color w:val="0000EE"/>
        </w:rPr>
        <w:t>Opinion/Consent of Counsel Regarding Legality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Consent of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08" w:right="1440"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2" w:lineRule="exact"/>
        <w:rPr>
          <w:sz w:val="20"/>
          <w:szCs w:val="20"/>
          <w:color w:val="auto"/>
        </w:rPr>
      </w:pPr>
    </w:p>
    <w:p>
      <w:pPr>
        <w:ind w:right="180" w:firstLine="215"/>
        <w:spacing w:after="0" w:line="282" w:lineRule="auto"/>
        <w:rPr>
          <w:sz w:val="20"/>
          <w:szCs w:val="20"/>
          <w:color w:val="auto"/>
        </w:rPr>
      </w:pPr>
      <w:r>
        <w:rPr>
          <w:rFonts w:ascii="Times New Roman" w:cs="Times New Roman" w:eastAsia="Times New Roman" w:hAnsi="Times New Roman"/>
          <w:sz w:val="18"/>
          <w:szCs w:val="18"/>
          <w:color w:val="auto"/>
        </w:rPr>
        <w:t>As permitted by the instructions to Form S-8, this Registration Statement omits the information specified in Part I of Registrant’s Registration Statement on Form S-8.</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166" w:lineRule="exact"/>
        <w:rPr>
          <w:sz w:val="20"/>
          <w:szCs w:val="20"/>
          <w:color w:val="auto"/>
        </w:rPr>
      </w:pPr>
    </w:p>
    <w:p>
      <w:pPr>
        <w:ind w:right="400" w:firstLine="222"/>
        <w:spacing w:after="0" w:line="282" w:lineRule="auto"/>
        <w:rPr>
          <w:sz w:val="20"/>
          <w:szCs w:val="20"/>
          <w:color w:val="auto"/>
        </w:rPr>
      </w:pPr>
      <w:r>
        <w:rPr>
          <w:rFonts w:ascii="Times New Roman" w:cs="Times New Roman" w:eastAsia="Times New Roman" w:hAnsi="Times New Roman"/>
          <w:sz w:val="18"/>
          <w:szCs w:val="18"/>
          <w:color w:val="auto"/>
        </w:rPr>
        <w:t>The rules of the Securities and Exchange Commission allow Registrant to incorporate by reference information into this Registration Statement. This means that Registrant may disclose important information to you by referring you to another document.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89" w:lineRule="exact"/>
        <w:rPr>
          <w:sz w:val="20"/>
          <w:szCs w:val="20"/>
          <w:color w:val="auto"/>
        </w:rPr>
      </w:pPr>
    </w:p>
    <w:p>
      <w:pPr>
        <w:ind w:right="220" w:firstLine="222"/>
        <w:spacing w:after="0" w:line="282" w:lineRule="auto"/>
        <w:rPr>
          <w:sz w:val="20"/>
          <w:szCs w:val="20"/>
          <w:color w:val="auto"/>
        </w:rPr>
      </w:pPr>
      <w:r>
        <w:rPr>
          <w:rFonts w:ascii="Times New Roman" w:cs="Times New Roman" w:eastAsia="Times New Roman" w:hAnsi="Times New Roman"/>
          <w:sz w:val="18"/>
          <w:szCs w:val="18"/>
          <w:color w:val="auto"/>
        </w:rPr>
        <w:t>The following documents have been filed by Registrant with the Securities and Exchange Commission pursuant to the Securities Exchange Act of 1934 and are incorporated by reference in this Registration Statement:</w:t>
      </w:r>
    </w:p>
    <w:p>
      <w:pPr>
        <w:spacing w:after="0" w:line="162" w:lineRule="exact"/>
        <w:rPr>
          <w:sz w:val="20"/>
          <w:szCs w:val="20"/>
          <w:color w:val="auto"/>
        </w:rPr>
      </w:pPr>
    </w:p>
    <w:p>
      <w:pPr>
        <w:ind w:left="460" w:hanging="249"/>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Registrant’s Annual Report on Form 10-K for the fiscal year ended October 31, 2003 (File No. 1-8649).</w:t>
      </w:r>
    </w:p>
    <w:p>
      <w:pPr>
        <w:spacing w:after="0" w:line="225" w:lineRule="exact"/>
        <w:rPr>
          <w:rFonts w:ascii="Times New Roman" w:cs="Times New Roman" w:eastAsia="Times New Roman" w:hAnsi="Times New Roman"/>
          <w:sz w:val="18"/>
          <w:szCs w:val="18"/>
          <w:color w:val="auto"/>
        </w:rPr>
      </w:pPr>
    </w:p>
    <w:p>
      <w:pPr>
        <w:ind w:left="460" w:hanging="249"/>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Quarterly Report on Form 10-Q for the quarter ended January 30, 2004 (File No. 1-8649).</w:t>
      </w:r>
    </w:p>
    <w:p>
      <w:pPr>
        <w:spacing w:after="0" w:line="225" w:lineRule="exact"/>
        <w:rPr>
          <w:rFonts w:ascii="Times New Roman" w:cs="Times New Roman" w:eastAsia="Times New Roman" w:hAnsi="Times New Roman"/>
          <w:sz w:val="18"/>
          <w:szCs w:val="18"/>
          <w:color w:val="auto"/>
        </w:rPr>
      </w:pPr>
    </w:p>
    <w:p>
      <w:pPr>
        <w:ind w:left="460" w:hanging="249"/>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Quarterly Report on Form 10-Q for the quarter ended April 30, 2004 (File No. 1-8649).</w:t>
      </w:r>
    </w:p>
    <w:p>
      <w:pPr>
        <w:spacing w:after="0" w:line="225" w:lineRule="exact"/>
        <w:rPr>
          <w:rFonts w:ascii="Times New Roman" w:cs="Times New Roman" w:eastAsia="Times New Roman" w:hAnsi="Times New Roman"/>
          <w:sz w:val="18"/>
          <w:szCs w:val="18"/>
          <w:color w:val="auto"/>
        </w:rPr>
      </w:pPr>
    </w:p>
    <w:p>
      <w:pPr>
        <w:ind w:left="460" w:hanging="249"/>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Quarterly Report on Form 10-Q for the quarter ended July 30, 2004 (File No. 1-8649).</w:t>
      </w:r>
    </w:p>
    <w:p>
      <w:pPr>
        <w:spacing w:after="0" w:line="225" w:lineRule="exact"/>
        <w:rPr>
          <w:rFonts w:ascii="Times New Roman" w:cs="Times New Roman" w:eastAsia="Times New Roman" w:hAnsi="Times New Roman"/>
          <w:sz w:val="18"/>
          <w:szCs w:val="18"/>
          <w:color w:val="auto"/>
        </w:rPr>
      </w:pPr>
    </w:p>
    <w:p>
      <w:pPr>
        <w:ind w:left="460" w:right="140" w:hanging="249"/>
        <w:spacing w:after="0" w:line="266"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descriptions of its Common Stock and Preferred Share Purchase Rights contained in its Registration Statements filed with the Commission pursuant to Section 12 of the Securities Exchange Act of 1934, including any amendment or report filed for the purpose of updating such descriptions (File No. 1-8649).</w:t>
      </w:r>
    </w:p>
    <w:p>
      <w:pPr>
        <w:spacing w:after="0" w:line="176" w:lineRule="exact"/>
        <w:rPr>
          <w:sz w:val="20"/>
          <w:szCs w:val="20"/>
          <w:color w:val="auto"/>
        </w:rPr>
      </w:pPr>
    </w:p>
    <w:p>
      <w:pPr>
        <w:ind w:firstLine="215"/>
        <w:spacing w:after="0" w:line="258" w:lineRule="auto"/>
        <w:rPr>
          <w:sz w:val="20"/>
          <w:szCs w:val="20"/>
          <w:color w:val="auto"/>
        </w:rPr>
      </w:pPr>
      <w:r>
        <w:rPr>
          <w:rFonts w:ascii="Times New Roman" w:cs="Times New Roman" w:eastAsia="Times New Roman" w:hAnsi="Times New Roman"/>
          <w:sz w:val="18"/>
          <w:szCs w:val="18"/>
          <w:color w:val="auto"/>
        </w:rPr>
        <w:t>All documents subsequently filed by Registrant pursuant to Sections 13(a), 13(c), 14 and 15(d) of the Securities Exchange Act of 1934, prior to the filing of a post-effective amendment which indicates that all securities offered have been sold or which deregisters all securities then remaining unsold, shall be deemed to be incorporated by reference in this Registration Statement and to be part of this Registration Statement from the date of filing of those documents. The information contained in a document will automatically update and supersede any information previously incorporated by reference into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Common Stock is registered under Section 12(b) of the Securities Exchange Act of 1934.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80" w:firstLine="222"/>
        <w:spacing w:after="0" w:line="282" w:lineRule="auto"/>
        <w:rPr>
          <w:sz w:val="20"/>
          <w:szCs w:val="20"/>
          <w:color w:val="auto"/>
        </w:rPr>
      </w:pPr>
      <w:r>
        <w:rPr>
          <w:rFonts w:ascii="Times New Roman" w:cs="Times New Roman" w:eastAsia="Times New Roman" w:hAnsi="Times New Roman"/>
          <w:sz w:val="18"/>
          <w:szCs w:val="18"/>
          <w:color w:val="auto"/>
        </w:rPr>
        <w:t>The opinion of counsel as to the legality of the securities being registered, which is Exhibit 5 to this Registration Statement, is rendered by J. Lawrence McIntyre, Vice President, Secretary and General Counsel of Registrant. Mr. McIntyre does not participate in this Plan.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225"/>
        <w:spacing w:after="0" w:line="253" w:lineRule="auto"/>
        <w:rPr>
          <w:sz w:val="20"/>
          <w:szCs w:val="20"/>
          <w:color w:val="auto"/>
        </w:rPr>
      </w:pPr>
      <w:r>
        <w:rPr>
          <w:rFonts w:ascii="Times New Roman" w:cs="Times New Roman" w:eastAsia="Times New Roman" w:hAnsi="Times New Roman"/>
          <w:sz w:val="18"/>
          <w:szCs w:val="18"/>
          <w:color w:val="auto"/>
        </w:rPr>
        <w:t>Section 145 of the General Corporation Law of the State of Delaware empowers a corporation incorporated under the statute to indemnify its directors, officers, employees and agents and its former directors, officers, employees and agents and those who serve in such capacities with another enterprise at the corporation’s request against expenses (including attorneys’ fees), as well as judgments, fines and settlements, actually and reasonably incurred by them in connection with any action, suit or proceeding in which they or any of them were or are made parties or are threatened to be made parties by reason of their serving or having served in such capacity. The power to indemnify exists only where such officer, director, employee or agent has acted in good faith and in a manner he reasonably believed to be in or not opposed to the best interests of the corporation and, in the case of a criminal action, where such person had no reasonable cause to believe his conduct was unlawful. Unless a court determines to the contrary, a corporation has no power of indemnification in an action or suit by or in the right of the corporation, where such person has been adjudged liable to the corporation. Indemnification against expenses is mandatory to the extent a claim, issue or matter has been successfully defended. Indemnification and advancement of expenses are not deemed exclusive of any other rights to which those indemnified may be entitled under any bylaw, agreement, vote of stockholders or otherwise. A Delaware corporation also has the power to purchase and maintain insurance on behalf of any person it has the power to indemnify, whether or not indemnity against liability would be allowed under the statute.</w:t>
      </w:r>
    </w:p>
    <w:p>
      <w:pPr>
        <w:spacing w:after="0" w:line="150" w:lineRule="exact"/>
        <w:rPr>
          <w:sz w:val="20"/>
          <w:szCs w:val="20"/>
          <w:color w:val="auto"/>
        </w:rPr>
      </w:pPr>
    </w:p>
    <w:p>
      <w:pPr>
        <w:jc w:val="both"/>
        <w:ind w:right="20" w:firstLine="225"/>
        <w:spacing w:after="0" w:line="266" w:lineRule="auto"/>
        <w:rPr>
          <w:sz w:val="20"/>
          <w:szCs w:val="20"/>
          <w:color w:val="auto"/>
        </w:rPr>
      </w:pPr>
      <w:r>
        <w:rPr>
          <w:rFonts w:ascii="Times New Roman" w:cs="Times New Roman" w:eastAsia="Times New Roman" w:hAnsi="Times New Roman"/>
          <w:sz w:val="18"/>
          <w:szCs w:val="18"/>
          <w:color w:val="auto"/>
        </w:rPr>
        <w:t>Section 2 of Article X of Registrant’s Amended and Restated Certificate of Incorporation mandates indemnification of a director or officer of Registrant or a person serving at the request of Registrant as a director, officer, employee or agent of another entity to the fullest extent authorized by the Delaware General Corporation Law against expenses, liability and loss and authorizes the Board to express such rights in written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66" w:lineRule="auto"/>
        <w:rPr>
          <w:sz w:val="20"/>
          <w:szCs w:val="20"/>
          <w:color w:val="auto"/>
        </w:rPr>
      </w:pPr>
      <w:r>
        <w:rPr>
          <w:rFonts w:ascii="Times New Roman" w:cs="Times New Roman" w:eastAsia="Times New Roman" w:hAnsi="Times New Roman"/>
          <w:sz w:val="18"/>
          <w:szCs w:val="18"/>
          <w:color w:val="auto"/>
        </w:rPr>
        <w:t>Section 1 of Article X of Registrant’s Amended and Restated Certificate of Incorporation provides, in accordance with Section 102(b)(7) of the Delaware General Corporation Law, for the elimination or limitation of the personal liability of a director to Registrant or its stockholders for monetary damages for breach of fiduciary duty as a director under certain circumstances.</w:t>
      </w:r>
    </w:p>
    <w:p>
      <w:pPr>
        <w:spacing w:after="0" w:line="149" w:lineRule="exact"/>
        <w:rPr>
          <w:sz w:val="20"/>
          <w:szCs w:val="20"/>
          <w:color w:val="auto"/>
        </w:rPr>
      </w:pPr>
    </w:p>
    <w:p>
      <w:pPr>
        <w:ind w:right="280" w:firstLine="225"/>
        <w:spacing w:after="0" w:line="282" w:lineRule="auto"/>
        <w:rPr>
          <w:sz w:val="20"/>
          <w:szCs w:val="20"/>
          <w:color w:val="auto"/>
        </w:rPr>
      </w:pPr>
      <w:r>
        <w:rPr>
          <w:rFonts w:ascii="Times New Roman" w:cs="Times New Roman" w:eastAsia="Times New Roman" w:hAnsi="Times New Roman"/>
          <w:sz w:val="18"/>
          <w:szCs w:val="18"/>
          <w:color w:val="auto"/>
        </w:rPr>
        <w:t>Registrant also maintains liability insurance policies which provide for indemnification of a director or officer of Registrant or a person serving at the request of Registrant as a director, officer, employee or agent of another entity against certain liabilities under certain circumstances.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exhibits are listed in the exhibit index.</w:t>
      </w:r>
    </w:p>
    <w:p>
      <w:pPr>
        <w:spacing w:after="0" w:line="185" w:lineRule="exact"/>
        <w:rPr>
          <w:sz w:val="20"/>
          <w:szCs w:val="20"/>
          <w:color w:val="auto"/>
        </w:rPr>
      </w:pPr>
    </w:p>
    <w:p>
      <w:pPr>
        <w:ind w:right="140" w:firstLine="225"/>
        <w:spacing w:after="0" w:line="282" w:lineRule="auto"/>
        <w:rPr>
          <w:sz w:val="20"/>
          <w:szCs w:val="20"/>
          <w:color w:val="auto"/>
        </w:rPr>
      </w:pPr>
      <w:r>
        <w:rPr>
          <w:rFonts w:ascii="Times New Roman" w:cs="Times New Roman" w:eastAsia="Times New Roman" w:hAnsi="Times New Roman"/>
          <w:sz w:val="18"/>
          <w:szCs w:val="18"/>
          <w:color w:val="auto"/>
        </w:rPr>
        <w:t>Registrant undertakes that it has submitted the Plan and will submit any amendment thereto to the Internal Revenue Service in a timely manner and has made all changes required by the IRS in order to qualify the Plan.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Rule 415 offering.</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98" w:lineRule="exact"/>
        <w:rPr>
          <w:sz w:val="20"/>
          <w:szCs w:val="20"/>
          <w:color w:val="auto"/>
        </w:rPr>
      </w:pPr>
    </w:p>
    <w:p>
      <w:pPr>
        <w:ind w:left="480" w:hanging="247"/>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84"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84" w:lineRule="exact"/>
        <w:rPr>
          <w:rFonts w:ascii="Times New Roman" w:cs="Times New Roman" w:eastAsia="Times New Roman" w:hAnsi="Times New Roman"/>
          <w:sz w:val="18"/>
          <w:szCs w:val="18"/>
          <w:color w:val="auto"/>
        </w:rPr>
      </w:pPr>
    </w:p>
    <w:p>
      <w:pPr>
        <w:ind w:left="460" w:right="60" w:firstLine="4"/>
        <w:spacing w:after="0" w:line="282" w:lineRule="auto"/>
        <w:tabs>
          <w:tab w:leader="none" w:pos="72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34" w:lineRule="exact"/>
        <w:rPr>
          <w:rFonts w:ascii="Times New Roman" w:cs="Times New Roman" w:eastAsia="Times New Roman" w:hAnsi="Times New Roman"/>
          <w:sz w:val="18"/>
          <w:szCs w:val="18"/>
          <w:color w:val="auto"/>
        </w:rPr>
      </w:pPr>
    </w:p>
    <w:p>
      <w:pPr>
        <w:ind w:left="460" w:right="40" w:firstLine="4"/>
        <w:spacing w:after="0" w:line="282" w:lineRule="auto"/>
        <w:tabs>
          <w:tab w:leader="none" w:pos="77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361315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5" w:right="3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provided, however, that paragraphs (1)(i) and (1)(ii) do not apply if the information required to be included in a post-effective amendment by those paragraphs is contained in periodic reports filed with or furnished to the Securities and Exchange Commission by the Registrant pursuant to section 13 or section 15(d) of the Securities Exchange Act that are incorporated by reference in this Registration Statement.</w:t>
      </w:r>
    </w:p>
    <w:p>
      <w:pPr>
        <w:spacing w:after="0" w:line="149" w:lineRule="exact"/>
        <w:rPr>
          <w:sz w:val="20"/>
          <w:szCs w:val="20"/>
          <w:color w:val="auto"/>
        </w:rPr>
      </w:pPr>
    </w:p>
    <w:p>
      <w:pPr>
        <w:ind w:right="160" w:firstLine="233"/>
        <w:spacing w:after="0" w:line="266" w:lineRule="auto"/>
        <w:tabs>
          <w:tab w:leader="none" w:pos="47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35" w:lineRule="exact"/>
        <w:rPr>
          <w:rFonts w:ascii="Times New Roman" w:cs="Times New Roman" w:eastAsia="Times New Roman" w:hAnsi="Times New Roman"/>
          <w:sz w:val="18"/>
          <w:szCs w:val="18"/>
          <w:color w:val="auto"/>
        </w:rPr>
      </w:pPr>
    </w:p>
    <w:p>
      <w:pPr>
        <w:ind w:right="100" w:firstLine="233"/>
        <w:spacing w:after="0" w:line="282" w:lineRule="auto"/>
        <w:tabs>
          <w:tab w:leader="none" w:pos="47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(b) Filings incorporating subsequent Securities Exchange Act of 1934 documents by reference.</w:t>
      </w:r>
    </w:p>
    <w:p>
      <w:pPr>
        <w:spacing w:after="0" w:line="198" w:lineRule="exact"/>
        <w:rPr>
          <w:sz w:val="20"/>
          <w:szCs w:val="20"/>
          <w:color w:val="auto"/>
        </w:rPr>
      </w:pPr>
    </w:p>
    <w:p>
      <w:pPr>
        <w:ind w:right="80" w:firstLine="222"/>
        <w:spacing w:after="0" w:line="258" w:lineRule="auto"/>
        <w:rPr>
          <w:sz w:val="20"/>
          <w:szCs w:val="20"/>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3" w:lineRule="exact"/>
        <w:rPr>
          <w:sz w:val="20"/>
          <w:szCs w:val="20"/>
          <w:color w:val="auto"/>
        </w:rPr>
      </w:pPr>
    </w:p>
    <w:p>
      <w:pPr>
        <w:ind w:firstLine="233"/>
        <w:spacing w:after="0" w:line="255" w:lineRule="auto"/>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98" w:lineRule="exact"/>
        <w:rPr>
          <w:sz w:val="20"/>
          <w:szCs w:val="20"/>
          <w:color w:val="auto"/>
        </w:rPr>
      </w:pPr>
    </w:p>
    <w:p>
      <w:pPr>
        <w:jc w:val="both"/>
        <w:ind w:right="180" w:firstLine="225"/>
        <w:spacing w:after="0" w:line="268" w:lineRule="auto"/>
        <w:rPr>
          <w:sz w:val="20"/>
          <w:szCs w:val="20"/>
          <w:color w:val="auto"/>
        </w:rPr>
      </w:pPr>
      <w:r>
        <w:rPr>
          <w:rFonts w:ascii="Times New Roman" w:cs="Times New Roman" w:eastAsia="Times New Roman" w:hAnsi="Times New Roman"/>
          <w:sz w:val="18"/>
          <w:szCs w:val="18"/>
          <w:b w:val="1"/>
          <w:bCs w:val="1"/>
          <w:color w:val="auto"/>
        </w:rPr>
        <w:t>The Registrant</w:t>
      </w:r>
      <w:r>
        <w:rPr>
          <w:rFonts w:ascii="Times New Roman" w:cs="Times New Roman" w:eastAsia="Times New Roman" w:hAnsi="Times New Roman"/>
          <w:sz w:val="18"/>
          <w:szCs w:val="18"/>
          <w:color w:val="auto"/>
        </w:rPr>
        <w:t>. Pursuant to the requirements of the Securities Act of 1933, the Registrant certifies that it has reasonable grounds to believe that it meets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requirements for filing on Form S-8 and has duly caused this Registration Statement to be signed on its behalf by the undersigned, thereunto duly authorized, in the City of Bloomington, State of Minnesota on the 30th day of September, 2004.</w:t>
      </w:r>
    </w:p>
    <w:p>
      <w:pPr>
        <w:spacing w:after="0" w:line="34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THE TORO COMPANY</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3900"/>
        <w:spacing w:after="0"/>
        <w:tabs>
          <w:tab w:leader="none" w:pos="4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 Lawrence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77470</wp:posOffset>
            </wp:positionV>
            <wp:extent cx="21869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17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J. Lawrence McIntyre, Vice President,</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Secretary and General Counsel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98" w:lineRule="exact"/>
        <w:rPr>
          <w:sz w:val="20"/>
          <w:szCs w:val="20"/>
          <w:color w:val="auto"/>
        </w:rPr>
      </w:pPr>
    </w:p>
    <w:p>
      <w:pPr>
        <w:ind w:right="180" w:firstLine="225"/>
        <w:spacing w:after="0" w:line="256"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hereby constitutes and appoints Kendrick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Melrose, Stephen P. Wolfe and J. Lawrence McIntyre, or any one of them, each with power to act without the other, his true and lawful attorney-in-fact and agent, with full power of substitution and resubstitution for him and in his name, place and stead, in any and all capacities, to sign any and/or all subsequent amendments to this registration statement, and to file the same, or cause to be filed the same, with all exhibits thereto, and other documents in connection therewith, with the Securities and Exchange Commission granting unto said attorney-in-fact and agent full power to do and perform each and every act and thing requisite and necessary to be done in and about the premises, as fully to all intents and purposes as he might or could do in person, hereby approving and confirming all that said attorney-in-fact and agent or his substitute or substitutes may lawfully do or cause to be done by virtue hereof.</w:t>
      </w:r>
    </w:p>
    <w:p>
      <w:pPr>
        <w:spacing w:after="0" w:line="147" w:lineRule="exact"/>
        <w:rPr>
          <w:sz w:val="20"/>
          <w:szCs w:val="20"/>
          <w:color w:val="auto"/>
        </w:rPr>
      </w:pPr>
    </w:p>
    <w:p>
      <w:pPr>
        <w:ind w:right="22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ind w:left="16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820" w:type="dxa"/>
            <w:vAlign w:val="bottom"/>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800" w:type="dxa"/>
            <w:vAlign w:val="bottom"/>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 Kendrick B. Melrose</w:t>
            </w:r>
          </w:p>
        </w:tc>
        <w:tc>
          <w:tcPr>
            <w:tcW w:w="4820" w:type="dxa"/>
            <w:vAlign w:val="bottom"/>
          </w:tcPr>
          <w:p>
            <w:pPr>
              <w:jc w:val="center"/>
              <w:ind w:left="534"/>
              <w:spacing w:after="0"/>
              <w:rPr>
                <w:sz w:val="20"/>
                <w:szCs w:val="20"/>
                <w:color w:val="auto"/>
              </w:rPr>
            </w:pPr>
            <w:r>
              <w:rPr>
                <w:rFonts w:ascii="Times New Roman" w:cs="Times New Roman" w:eastAsia="Times New Roman" w:hAnsi="Times New Roman"/>
                <w:sz w:val="18"/>
                <w:szCs w:val="18"/>
                <w:color w:val="auto"/>
                <w:w w:val="99"/>
              </w:rPr>
              <w:t>Chairman, Chief Executive</w:t>
            </w:r>
          </w:p>
        </w:tc>
        <w:tc>
          <w:tcPr>
            <w:tcW w:w="2800" w:type="dxa"/>
            <w:vAlign w:val="bottom"/>
          </w:tcPr>
          <w:p>
            <w:pPr>
              <w:jc w:val="center"/>
              <w:ind w:left="559"/>
              <w:spacing w:after="0"/>
              <w:rPr>
                <w:sz w:val="20"/>
                <w:szCs w:val="20"/>
                <w:color w:val="auto"/>
              </w:rPr>
            </w:pPr>
            <w:r>
              <w:rPr>
                <w:rFonts w:ascii="Times New Roman" w:cs="Times New Roman" w:eastAsia="Times New Roman" w:hAnsi="Times New Roman"/>
                <w:sz w:val="18"/>
                <w:szCs w:val="18"/>
                <w:color w:val="auto"/>
                <w:w w:val="99"/>
              </w:rPr>
              <w:t>September 30, 2004</w:t>
            </w:r>
          </w:p>
        </w:tc>
        <w:tc>
          <w:tcPr>
            <w:tcW w:w="0" w:type="dxa"/>
            <w:vAlign w:val="bottom"/>
          </w:tcPr>
          <w:p>
            <w:pPr>
              <w:spacing w:after="0"/>
              <w:rPr>
                <w:sz w:val="1"/>
                <w:szCs w:val="1"/>
                <w:color w:val="auto"/>
              </w:rPr>
            </w:pPr>
          </w:p>
        </w:tc>
      </w:tr>
      <w:tr>
        <w:trPr>
          <w:trHeight w:val="113"/>
        </w:trPr>
        <w:tc>
          <w:tcPr>
            <w:tcW w:w="3800" w:type="dxa"/>
            <w:vAlign w:val="bottom"/>
            <w:tcBorders>
              <w:bottom w:val="single" w:sz="8" w:color="808080"/>
            </w:tcBorders>
          </w:tcPr>
          <w:p>
            <w:pPr>
              <w:spacing w:after="0"/>
              <w:rPr>
                <w:sz w:val="9"/>
                <w:szCs w:val="9"/>
                <w:color w:val="auto"/>
              </w:rPr>
            </w:pPr>
          </w:p>
        </w:tc>
        <w:tc>
          <w:tcPr>
            <w:tcW w:w="4820" w:type="dxa"/>
            <w:vAlign w:val="bottom"/>
            <w:vMerge w:val="restart"/>
          </w:tcPr>
          <w:p>
            <w:pPr>
              <w:jc w:val="center"/>
              <w:ind w:left="554"/>
              <w:spacing w:after="0"/>
              <w:rPr>
                <w:sz w:val="20"/>
                <w:szCs w:val="20"/>
                <w:color w:val="auto"/>
              </w:rPr>
            </w:pPr>
            <w:r>
              <w:rPr>
                <w:rFonts w:ascii="Times New Roman" w:cs="Times New Roman" w:eastAsia="Times New Roman" w:hAnsi="Times New Roman"/>
                <w:sz w:val="18"/>
                <w:szCs w:val="18"/>
                <w:color w:val="auto"/>
                <w:w w:val="99"/>
              </w:rPr>
              <w:t>Officer, President and Director</w:t>
            </w:r>
          </w:p>
        </w:tc>
        <w:tc>
          <w:tcPr>
            <w:tcW w:w="2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Kendrick B. Melrose</w:t>
            </w:r>
          </w:p>
        </w:tc>
        <w:tc>
          <w:tcPr>
            <w:tcW w:w="4820" w:type="dxa"/>
            <w:vAlign w:val="bottom"/>
            <w:vMerge w:val="continue"/>
          </w:tcPr>
          <w:p>
            <w:pPr>
              <w:spacing w:after="0"/>
              <w:rPr>
                <w:sz w:val="7"/>
                <w:szCs w:val="7"/>
                <w:color w:val="auto"/>
              </w:rPr>
            </w:pPr>
          </w:p>
        </w:tc>
        <w:tc>
          <w:tcPr>
            <w:tcW w:w="2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800" w:type="dxa"/>
            <w:vAlign w:val="bottom"/>
            <w:vMerge w:val="continue"/>
          </w:tcPr>
          <w:p>
            <w:pPr>
              <w:spacing w:after="0"/>
              <w:rPr>
                <w:sz w:val="20"/>
                <w:szCs w:val="20"/>
                <w:color w:val="auto"/>
              </w:rPr>
            </w:pPr>
          </w:p>
        </w:tc>
        <w:tc>
          <w:tcPr>
            <w:tcW w:w="4820" w:type="dxa"/>
            <w:vAlign w:val="bottom"/>
          </w:tcPr>
          <w:p>
            <w:pPr>
              <w:jc w:val="center"/>
              <w:ind w:left="554"/>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2"/>
        </w:trPr>
        <w:tc>
          <w:tcPr>
            <w:tcW w:w="3800" w:type="dxa"/>
            <w:vAlign w:val="bottom"/>
            <w:tcBorders>
              <w:bottom w:val="single" w:sz="8" w:color="808080"/>
            </w:tcBorders>
          </w:tcPr>
          <w:p>
            <w:pPr>
              <w:spacing w:after="0"/>
              <w:rPr>
                <w:sz w:val="24"/>
                <w:szCs w:val="24"/>
                <w:color w:val="auto"/>
              </w:rPr>
            </w:pPr>
          </w:p>
        </w:tc>
        <w:tc>
          <w:tcPr>
            <w:tcW w:w="482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ind w:left="16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820" w:type="dxa"/>
            <w:vAlign w:val="bottom"/>
          </w:tcPr>
          <w:p>
            <w:pPr>
              <w:jc w:val="center"/>
              <w:ind w:left="531"/>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800" w:type="dxa"/>
            <w:vAlign w:val="bottom"/>
          </w:tcPr>
          <w:p>
            <w:pPr>
              <w:jc w:val="center"/>
              <w:ind w:left="551"/>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 Stephen P. Wolfe</w:t>
            </w:r>
          </w:p>
        </w:tc>
        <w:tc>
          <w:tcPr>
            <w:tcW w:w="4820" w:type="dxa"/>
            <w:vAlign w:val="bottom"/>
          </w:tcPr>
          <w:p>
            <w:pPr>
              <w:jc w:val="center"/>
              <w:ind w:left="551"/>
              <w:spacing w:after="0"/>
              <w:rPr>
                <w:sz w:val="20"/>
                <w:szCs w:val="20"/>
                <w:color w:val="auto"/>
              </w:rPr>
            </w:pPr>
            <w:r>
              <w:rPr>
                <w:rFonts w:ascii="Times New Roman" w:cs="Times New Roman" w:eastAsia="Times New Roman" w:hAnsi="Times New Roman"/>
                <w:sz w:val="18"/>
                <w:szCs w:val="18"/>
                <w:color w:val="auto"/>
                <w:w w:val="99"/>
              </w:rPr>
              <w:t>Vice President Finance</w:t>
            </w:r>
          </w:p>
        </w:tc>
        <w:tc>
          <w:tcPr>
            <w:tcW w:w="2800" w:type="dxa"/>
            <w:vAlign w:val="bottom"/>
          </w:tcPr>
          <w:p>
            <w:pPr>
              <w:jc w:val="center"/>
              <w:ind w:left="551"/>
              <w:spacing w:after="0"/>
              <w:rPr>
                <w:sz w:val="20"/>
                <w:szCs w:val="20"/>
                <w:color w:val="auto"/>
              </w:rPr>
            </w:pPr>
            <w:r>
              <w:rPr>
                <w:rFonts w:ascii="Times New Roman" w:cs="Times New Roman" w:eastAsia="Times New Roman" w:hAnsi="Times New Roman"/>
                <w:sz w:val="18"/>
                <w:szCs w:val="18"/>
                <w:color w:val="auto"/>
                <w:w w:val="99"/>
              </w:rPr>
              <w:t>September 30, 2004</w:t>
            </w:r>
          </w:p>
        </w:tc>
        <w:tc>
          <w:tcPr>
            <w:tcW w:w="0" w:type="dxa"/>
            <w:vAlign w:val="bottom"/>
          </w:tcPr>
          <w:p>
            <w:pPr>
              <w:spacing w:after="0"/>
              <w:rPr>
                <w:sz w:val="1"/>
                <w:szCs w:val="1"/>
                <w:color w:val="auto"/>
              </w:rPr>
            </w:pPr>
          </w:p>
        </w:tc>
      </w:tr>
      <w:tr>
        <w:trPr>
          <w:trHeight w:val="113"/>
        </w:trPr>
        <w:tc>
          <w:tcPr>
            <w:tcW w:w="3800" w:type="dxa"/>
            <w:vAlign w:val="bottom"/>
            <w:tcBorders>
              <w:bottom w:val="single" w:sz="8" w:color="808080"/>
            </w:tcBorders>
          </w:tcPr>
          <w:p>
            <w:pPr>
              <w:spacing w:after="0"/>
              <w:rPr>
                <w:sz w:val="9"/>
                <w:szCs w:val="9"/>
                <w:color w:val="auto"/>
              </w:rPr>
            </w:pPr>
          </w:p>
        </w:tc>
        <w:tc>
          <w:tcPr>
            <w:tcW w:w="4820" w:type="dxa"/>
            <w:vAlign w:val="bottom"/>
            <w:vMerge w:val="restart"/>
          </w:tcPr>
          <w:p>
            <w:pPr>
              <w:jc w:val="center"/>
              <w:ind w:left="551"/>
              <w:spacing w:after="0"/>
              <w:rPr>
                <w:sz w:val="20"/>
                <w:szCs w:val="20"/>
                <w:color w:val="auto"/>
              </w:rPr>
            </w:pPr>
            <w:r>
              <w:rPr>
                <w:rFonts w:ascii="Times New Roman" w:cs="Times New Roman" w:eastAsia="Times New Roman" w:hAnsi="Times New Roman"/>
                <w:sz w:val="18"/>
                <w:szCs w:val="18"/>
                <w:color w:val="auto"/>
                <w:w w:val="99"/>
              </w:rPr>
              <w:t>and Chief Financial Officer</w:t>
            </w:r>
          </w:p>
        </w:tc>
        <w:tc>
          <w:tcPr>
            <w:tcW w:w="2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Stephen P. Wolfe</w:t>
            </w:r>
          </w:p>
        </w:tc>
        <w:tc>
          <w:tcPr>
            <w:tcW w:w="4820" w:type="dxa"/>
            <w:vAlign w:val="bottom"/>
            <w:vMerge w:val="continue"/>
          </w:tcPr>
          <w:p>
            <w:pPr>
              <w:spacing w:after="0"/>
              <w:rPr>
                <w:sz w:val="7"/>
                <w:szCs w:val="7"/>
                <w:color w:val="auto"/>
              </w:rPr>
            </w:pPr>
          </w:p>
        </w:tc>
        <w:tc>
          <w:tcPr>
            <w:tcW w:w="2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800" w:type="dxa"/>
            <w:vAlign w:val="bottom"/>
            <w:vMerge w:val="continue"/>
          </w:tcPr>
          <w:p>
            <w:pPr>
              <w:spacing w:after="0"/>
              <w:rPr>
                <w:sz w:val="20"/>
                <w:szCs w:val="20"/>
                <w:color w:val="auto"/>
              </w:rPr>
            </w:pPr>
          </w:p>
        </w:tc>
        <w:tc>
          <w:tcPr>
            <w:tcW w:w="4820" w:type="dxa"/>
            <w:vAlign w:val="bottom"/>
          </w:tcPr>
          <w:p>
            <w:pPr>
              <w:jc w:val="center"/>
              <w:ind w:left="531"/>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 Randy B. James</w:t>
            </w:r>
          </w:p>
        </w:tc>
        <w:tc>
          <w:tcPr>
            <w:tcW w:w="4820" w:type="dxa"/>
            <w:vAlign w:val="bottom"/>
          </w:tcPr>
          <w:p>
            <w:pPr>
              <w:jc w:val="center"/>
              <w:ind w:left="551"/>
              <w:spacing w:after="0"/>
              <w:rPr>
                <w:sz w:val="20"/>
                <w:szCs w:val="20"/>
                <w:color w:val="auto"/>
              </w:rPr>
            </w:pPr>
            <w:r>
              <w:rPr>
                <w:rFonts w:ascii="Times New Roman" w:cs="Times New Roman" w:eastAsia="Times New Roman" w:hAnsi="Times New Roman"/>
                <w:sz w:val="18"/>
                <w:szCs w:val="18"/>
                <w:color w:val="auto"/>
                <w:w w:val="99"/>
              </w:rPr>
              <w:t>Vice President and Controller</w:t>
            </w:r>
          </w:p>
        </w:tc>
        <w:tc>
          <w:tcPr>
            <w:tcW w:w="2800" w:type="dxa"/>
            <w:vAlign w:val="bottom"/>
          </w:tcPr>
          <w:p>
            <w:pPr>
              <w:jc w:val="center"/>
              <w:ind w:left="551"/>
              <w:spacing w:after="0"/>
              <w:rPr>
                <w:sz w:val="20"/>
                <w:szCs w:val="20"/>
                <w:color w:val="auto"/>
              </w:rPr>
            </w:pPr>
            <w:r>
              <w:rPr>
                <w:rFonts w:ascii="Times New Roman" w:cs="Times New Roman" w:eastAsia="Times New Roman" w:hAnsi="Times New Roman"/>
                <w:sz w:val="18"/>
                <w:szCs w:val="18"/>
                <w:color w:val="auto"/>
                <w:w w:val="99"/>
              </w:rPr>
              <w:t>September 30, 2004</w:t>
            </w:r>
          </w:p>
        </w:tc>
        <w:tc>
          <w:tcPr>
            <w:tcW w:w="0" w:type="dxa"/>
            <w:vAlign w:val="bottom"/>
          </w:tcPr>
          <w:p>
            <w:pPr>
              <w:spacing w:after="0"/>
              <w:rPr>
                <w:sz w:val="1"/>
                <w:szCs w:val="1"/>
                <w:color w:val="auto"/>
              </w:rPr>
            </w:pPr>
          </w:p>
        </w:tc>
      </w:tr>
      <w:tr>
        <w:trPr>
          <w:trHeight w:val="113"/>
        </w:trPr>
        <w:tc>
          <w:tcPr>
            <w:tcW w:w="3800" w:type="dxa"/>
            <w:vAlign w:val="bottom"/>
            <w:tcBorders>
              <w:bottom w:val="single" w:sz="8" w:color="808080"/>
            </w:tcBorders>
          </w:tcPr>
          <w:p>
            <w:pPr>
              <w:spacing w:after="0"/>
              <w:rPr>
                <w:sz w:val="9"/>
                <w:szCs w:val="9"/>
                <w:color w:val="auto"/>
              </w:rPr>
            </w:pPr>
          </w:p>
        </w:tc>
        <w:tc>
          <w:tcPr>
            <w:tcW w:w="4820" w:type="dxa"/>
            <w:vAlign w:val="bottom"/>
            <w:vMerge w:val="restart"/>
          </w:tcPr>
          <w:p>
            <w:pPr>
              <w:jc w:val="center"/>
              <w:ind w:left="551"/>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Randy B. James</w:t>
            </w:r>
          </w:p>
        </w:tc>
        <w:tc>
          <w:tcPr>
            <w:tcW w:w="4820" w:type="dxa"/>
            <w:vAlign w:val="bottom"/>
            <w:vMerge w:val="continue"/>
          </w:tcPr>
          <w:p>
            <w:pPr>
              <w:spacing w:after="0"/>
              <w:rPr>
                <w:sz w:val="8"/>
                <w:szCs w:val="8"/>
                <w:color w:val="auto"/>
              </w:rPr>
            </w:pPr>
          </w:p>
        </w:tc>
        <w:tc>
          <w:tcPr>
            <w:tcW w:w="2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800" w:type="dxa"/>
            <w:vAlign w:val="bottom"/>
            <w:vMerge w:val="continue"/>
          </w:tcPr>
          <w:p>
            <w:pPr>
              <w:spacing w:after="0"/>
              <w:rPr>
                <w:sz w:val="17"/>
                <w:szCs w:val="17"/>
                <w:color w:val="auto"/>
              </w:rPr>
            </w:pPr>
          </w:p>
        </w:tc>
        <w:tc>
          <w:tcPr>
            <w:tcW w:w="48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 Ronald O. Baukol</w:t>
            </w:r>
          </w:p>
        </w:tc>
        <w:tc>
          <w:tcPr>
            <w:tcW w:w="4820" w:type="dxa"/>
            <w:vAlign w:val="bottom"/>
          </w:tcPr>
          <w:p>
            <w:pPr>
              <w:jc w:val="center"/>
              <w:ind w:left="531"/>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ind w:left="551"/>
              <w:spacing w:after="0"/>
              <w:rPr>
                <w:sz w:val="20"/>
                <w:szCs w:val="20"/>
                <w:color w:val="auto"/>
              </w:rPr>
            </w:pPr>
            <w:r>
              <w:rPr>
                <w:rFonts w:ascii="Times New Roman" w:cs="Times New Roman" w:eastAsia="Times New Roman" w:hAnsi="Times New Roman"/>
                <w:sz w:val="18"/>
                <w:szCs w:val="18"/>
                <w:color w:val="auto"/>
                <w:w w:val="99"/>
              </w:rPr>
              <w:t>September 30, 2004</w:t>
            </w:r>
          </w:p>
        </w:tc>
        <w:tc>
          <w:tcPr>
            <w:tcW w:w="0" w:type="dxa"/>
            <w:vAlign w:val="bottom"/>
          </w:tcPr>
          <w:p>
            <w:pPr>
              <w:spacing w:after="0"/>
              <w:rPr>
                <w:sz w:val="1"/>
                <w:szCs w:val="1"/>
                <w:color w:val="auto"/>
              </w:rPr>
            </w:pPr>
          </w:p>
        </w:tc>
      </w:tr>
      <w:tr>
        <w:trPr>
          <w:trHeight w:val="95"/>
        </w:trPr>
        <w:tc>
          <w:tcPr>
            <w:tcW w:w="3800" w:type="dxa"/>
            <w:vAlign w:val="bottom"/>
            <w:tcBorders>
              <w:bottom w:val="single" w:sz="8" w:color="808080"/>
            </w:tcBorders>
          </w:tcPr>
          <w:p>
            <w:pPr>
              <w:spacing w:after="0"/>
              <w:rPr>
                <w:sz w:val="8"/>
                <w:szCs w:val="8"/>
                <w:color w:val="auto"/>
              </w:rPr>
            </w:pPr>
          </w:p>
        </w:tc>
        <w:tc>
          <w:tcPr>
            <w:tcW w:w="48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Ronald O. Baukol</w:t>
            </w:r>
          </w:p>
        </w:tc>
        <w:tc>
          <w:tcPr>
            <w:tcW w:w="4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 Robert C. Buhrmaster</w:t>
            </w:r>
          </w:p>
        </w:tc>
        <w:tc>
          <w:tcPr>
            <w:tcW w:w="4820" w:type="dxa"/>
            <w:vAlign w:val="bottom"/>
          </w:tcPr>
          <w:p>
            <w:pPr>
              <w:jc w:val="center"/>
              <w:ind w:left="531"/>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ind w:left="551"/>
              <w:spacing w:after="0"/>
              <w:rPr>
                <w:sz w:val="20"/>
                <w:szCs w:val="20"/>
                <w:color w:val="auto"/>
              </w:rPr>
            </w:pPr>
            <w:r>
              <w:rPr>
                <w:rFonts w:ascii="Times New Roman" w:cs="Times New Roman" w:eastAsia="Times New Roman" w:hAnsi="Times New Roman"/>
                <w:sz w:val="18"/>
                <w:szCs w:val="18"/>
                <w:color w:val="auto"/>
                <w:w w:val="99"/>
              </w:rPr>
              <w:t>September 30, 2004</w:t>
            </w:r>
          </w:p>
        </w:tc>
        <w:tc>
          <w:tcPr>
            <w:tcW w:w="0" w:type="dxa"/>
            <w:vAlign w:val="bottom"/>
          </w:tcPr>
          <w:p>
            <w:pPr>
              <w:spacing w:after="0"/>
              <w:rPr>
                <w:sz w:val="1"/>
                <w:szCs w:val="1"/>
                <w:color w:val="auto"/>
              </w:rPr>
            </w:pPr>
          </w:p>
        </w:tc>
      </w:tr>
      <w:tr>
        <w:trPr>
          <w:trHeight w:val="95"/>
        </w:trPr>
        <w:tc>
          <w:tcPr>
            <w:tcW w:w="3800" w:type="dxa"/>
            <w:vAlign w:val="bottom"/>
            <w:tcBorders>
              <w:bottom w:val="single" w:sz="8" w:color="808080"/>
            </w:tcBorders>
          </w:tcPr>
          <w:p>
            <w:pPr>
              <w:spacing w:after="0"/>
              <w:rPr>
                <w:sz w:val="8"/>
                <w:szCs w:val="8"/>
                <w:color w:val="auto"/>
              </w:rPr>
            </w:pPr>
          </w:p>
        </w:tc>
        <w:tc>
          <w:tcPr>
            <w:tcW w:w="48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Robert C. Buhrmaster</w:t>
            </w:r>
          </w:p>
        </w:tc>
        <w:tc>
          <w:tcPr>
            <w:tcW w:w="4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 Winslow H. Buxton</w:t>
            </w:r>
          </w:p>
        </w:tc>
        <w:tc>
          <w:tcPr>
            <w:tcW w:w="4820" w:type="dxa"/>
            <w:vAlign w:val="bottom"/>
          </w:tcPr>
          <w:p>
            <w:pPr>
              <w:jc w:val="center"/>
              <w:ind w:left="531"/>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ind w:left="551"/>
              <w:spacing w:after="0"/>
              <w:rPr>
                <w:sz w:val="20"/>
                <w:szCs w:val="20"/>
                <w:color w:val="auto"/>
              </w:rPr>
            </w:pPr>
            <w:r>
              <w:rPr>
                <w:rFonts w:ascii="Times New Roman" w:cs="Times New Roman" w:eastAsia="Times New Roman" w:hAnsi="Times New Roman"/>
                <w:sz w:val="18"/>
                <w:szCs w:val="18"/>
                <w:color w:val="auto"/>
                <w:w w:val="99"/>
              </w:rPr>
              <w:t>September 30, 2004</w:t>
            </w:r>
          </w:p>
        </w:tc>
        <w:tc>
          <w:tcPr>
            <w:tcW w:w="0" w:type="dxa"/>
            <w:vAlign w:val="bottom"/>
          </w:tcPr>
          <w:p>
            <w:pPr>
              <w:spacing w:after="0"/>
              <w:rPr>
                <w:sz w:val="1"/>
                <w:szCs w:val="1"/>
                <w:color w:val="auto"/>
              </w:rPr>
            </w:pPr>
          </w:p>
        </w:tc>
      </w:tr>
      <w:tr>
        <w:trPr>
          <w:trHeight w:val="95"/>
        </w:trPr>
        <w:tc>
          <w:tcPr>
            <w:tcW w:w="3800" w:type="dxa"/>
            <w:vAlign w:val="bottom"/>
            <w:tcBorders>
              <w:bottom w:val="single" w:sz="8" w:color="808080"/>
            </w:tcBorders>
          </w:tcPr>
          <w:p>
            <w:pPr>
              <w:spacing w:after="0"/>
              <w:rPr>
                <w:sz w:val="8"/>
                <w:szCs w:val="8"/>
                <w:color w:val="auto"/>
              </w:rPr>
            </w:pPr>
          </w:p>
        </w:tc>
        <w:tc>
          <w:tcPr>
            <w:tcW w:w="48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Winslow H. Buxton</w:t>
            </w:r>
          </w:p>
        </w:tc>
        <w:tc>
          <w:tcPr>
            <w:tcW w:w="4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 Janet K. Cooper</w:t>
            </w:r>
          </w:p>
        </w:tc>
        <w:tc>
          <w:tcPr>
            <w:tcW w:w="4820" w:type="dxa"/>
            <w:vAlign w:val="bottom"/>
          </w:tcPr>
          <w:p>
            <w:pPr>
              <w:jc w:val="center"/>
              <w:ind w:left="531"/>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ind w:left="551"/>
              <w:spacing w:after="0"/>
              <w:rPr>
                <w:sz w:val="20"/>
                <w:szCs w:val="20"/>
                <w:color w:val="auto"/>
              </w:rPr>
            </w:pPr>
            <w:r>
              <w:rPr>
                <w:rFonts w:ascii="Times New Roman" w:cs="Times New Roman" w:eastAsia="Times New Roman" w:hAnsi="Times New Roman"/>
                <w:sz w:val="18"/>
                <w:szCs w:val="18"/>
                <w:color w:val="auto"/>
                <w:w w:val="99"/>
              </w:rPr>
              <w:t>September 30, 2004</w:t>
            </w:r>
          </w:p>
        </w:tc>
        <w:tc>
          <w:tcPr>
            <w:tcW w:w="0" w:type="dxa"/>
            <w:vAlign w:val="bottom"/>
          </w:tcPr>
          <w:p>
            <w:pPr>
              <w:spacing w:after="0"/>
              <w:rPr>
                <w:sz w:val="1"/>
                <w:szCs w:val="1"/>
                <w:color w:val="auto"/>
              </w:rPr>
            </w:pPr>
          </w:p>
        </w:tc>
      </w:tr>
      <w:tr>
        <w:trPr>
          <w:trHeight w:val="95"/>
        </w:trPr>
        <w:tc>
          <w:tcPr>
            <w:tcW w:w="3800" w:type="dxa"/>
            <w:vAlign w:val="bottom"/>
            <w:tcBorders>
              <w:bottom w:val="single" w:sz="8" w:color="808080"/>
            </w:tcBorders>
          </w:tcPr>
          <w:p>
            <w:pPr>
              <w:spacing w:after="0"/>
              <w:rPr>
                <w:sz w:val="8"/>
                <w:szCs w:val="8"/>
                <w:color w:val="auto"/>
              </w:rPr>
            </w:pPr>
          </w:p>
        </w:tc>
        <w:tc>
          <w:tcPr>
            <w:tcW w:w="48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Janet K. Cooper</w:t>
            </w:r>
          </w:p>
        </w:tc>
        <w:tc>
          <w:tcPr>
            <w:tcW w:w="4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 Katherine J. Harless</w:t>
            </w:r>
          </w:p>
        </w:tc>
        <w:tc>
          <w:tcPr>
            <w:tcW w:w="4820" w:type="dxa"/>
            <w:vAlign w:val="bottom"/>
          </w:tcPr>
          <w:p>
            <w:pPr>
              <w:jc w:val="center"/>
              <w:ind w:left="531"/>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ind w:left="551"/>
              <w:spacing w:after="0"/>
              <w:rPr>
                <w:sz w:val="20"/>
                <w:szCs w:val="20"/>
                <w:color w:val="auto"/>
              </w:rPr>
            </w:pPr>
            <w:r>
              <w:rPr>
                <w:rFonts w:ascii="Times New Roman" w:cs="Times New Roman" w:eastAsia="Times New Roman" w:hAnsi="Times New Roman"/>
                <w:sz w:val="18"/>
                <w:szCs w:val="18"/>
                <w:color w:val="auto"/>
                <w:w w:val="99"/>
              </w:rPr>
              <w:t>September 30, 2004</w:t>
            </w:r>
          </w:p>
        </w:tc>
        <w:tc>
          <w:tcPr>
            <w:tcW w:w="0" w:type="dxa"/>
            <w:vAlign w:val="bottom"/>
          </w:tcPr>
          <w:p>
            <w:pPr>
              <w:spacing w:after="0"/>
              <w:rPr>
                <w:sz w:val="1"/>
                <w:szCs w:val="1"/>
                <w:color w:val="auto"/>
              </w:rPr>
            </w:pPr>
          </w:p>
        </w:tc>
      </w:tr>
      <w:tr>
        <w:trPr>
          <w:trHeight w:val="95"/>
        </w:trPr>
        <w:tc>
          <w:tcPr>
            <w:tcW w:w="3800" w:type="dxa"/>
            <w:vAlign w:val="bottom"/>
            <w:tcBorders>
              <w:bottom w:val="single" w:sz="8" w:color="808080"/>
            </w:tcBorders>
          </w:tcPr>
          <w:p>
            <w:pPr>
              <w:spacing w:after="0"/>
              <w:rPr>
                <w:sz w:val="8"/>
                <w:szCs w:val="8"/>
                <w:color w:val="auto"/>
              </w:rPr>
            </w:pPr>
          </w:p>
        </w:tc>
        <w:tc>
          <w:tcPr>
            <w:tcW w:w="48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Katherine J. Harless</w:t>
            </w:r>
          </w:p>
        </w:tc>
        <w:tc>
          <w:tcPr>
            <w:tcW w:w="4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 Robert H. Nassau</w:t>
            </w:r>
          </w:p>
        </w:tc>
        <w:tc>
          <w:tcPr>
            <w:tcW w:w="4820" w:type="dxa"/>
            <w:vAlign w:val="bottom"/>
          </w:tcPr>
          <w:p>
            <w:pPr>
              <w:jc w:val="center"/>
              <w:ind w:left="531"/>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ind w:left="551"/>
              <w:spacing w:after="0"/>
              <w:rPr>
                <w:sz w:val="20"/>
                <w:szCs w:val="20"/>
                <w:color w:val="auto"/>
              </w:rPr>
            </w:pPr>
            <w:r>
              <w:rPr>
                <w:rFonts w:ascii="Times New Roman" w:cs="Times New Roman" w:eastAsia="Times New Roman" w:hAnsi="Times New Roman"/>
                <w:sz w:val="18"/>
                <w:szCs w:val="18"/>
                <w:color w:val="auto"/>
                <w:w w:val="99"/>
              </w:rPr>
              <w:t>September 30, 2004</w:t>
            </w:r>
          </w:p>
        </w:tc>
        <w:tc>
          <w:tcPr>
            <w:tcW w:w="0" w:type="dxa"/>
            <w:vAlign w:val="bottom"/>
          </w:tcPr>
          <w:p>
            <w:pPr>
              <w:spacing w:after="0"/>
              <w:rPr>
                <w:sz w:val="1"/>
                <w:szCs w:val="1"/>
                <w:color w:val="auto"/>
              </w:rPr>
            </w:pPr>
          </w:p>
        </w:tc>
      </w:tr>
      <w:tr>
        <w:trPr>
          <w:trHeight w:val="95"/>
        </w:trPr>
        <w:tc>
          <w:tcPr>
            <w:tcW w:w="3800" w:type="dxa"/>
            <w:vAlign w:val="bottom"/>
            <w:tcBorders>
              <w:bottom w:val="single" w:sz="8" w:color="808080"/>
            </w:tcBorders>
          </w:tcPr>
          <w:p>
            <w:pPr>
              <w:spacing w:after="0"/>
              <w:rPr>
                <w:sz w:val="8"/>
                <w:szCs w:val="8"/>
                <w:color w:val="auto"/>
              </w:rPr>
            </w:pPr>
          </w:p>
        </w:tc>
        <w:tc>
          <w:tcPr>
            <w:tcW w:w="48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Robert H. Nassau</w:t>
            </w:r>
          </w:p>
        </w:tc>
        <w:tc>
          <w:tcPr>
            <w:tcW w:w="4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 Dale R. Olseth</w:t>
            </w:r>
          </w:p>
        </w:tc>
        <w:tc>
          <w:tcPr>
            <w:tcW w:w="4820" w:type="dxa"/>
            <w:vAlign w:val="bottom"/>
          </w:tcPr>
          <w:p>
            <w:pPr>
              <w:jc w:val="center"/>
              <w:ind w:left="531"/>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ind w:left="551"/>
              <w:spacing w:after="0"/>
              <w:rPr>
                <w:sz w:val="20"/>
                <w:szCs w:val="20"/>
                <w:color w:val="auto"/>
              </w:rPr>
            </w:pPr>
            <w:r>
              <w:rPr>
                <w:rFonts w:ascii="Times New Roman" w:cs="Times New Roman" w:eastAsia="Times New Roman" w:hAnsi="Times New Roman"/>
                <w:sz w:val="18"/>
                <w:szCs w:val="18"/>
                <w:color w:val="auto"/>
                <w:w w:val="99"/>
              </w:rPr>
              <w:t>September 30, 2004</w:t>
            </w:r>
          </w:p>
        </w:tc>
        <w:tc>
          <w:tcPr>
            <w:tcW w:w="0" w:type="dxa"/>
            <w:vAlign w:val="bottom"/>
          </w:tcPr>
          <w:p>
            <w:pPr>
              <w:spacing w:after="0"/>
              <w:rPr>
                <w:sz w:val="1"/>
                <w:szCs w:val="1"/>
                <w:color w:val="auto"/>
              </w:rPr>
            </w:pPr>
          </w:p>
        </w:tc>
      </w:tr>
      <w:tr>
        <w:trPr>
          <w:trHeight w:val="95"/>
        </w:trPr>
        <w:tc>
          <w:tcPr>
            <w:tcW w:w="3800" w:type="dxa"/>
            <w:vAlign w:val="bottom"/>
            <w:tcBorders>
              <w:bottom w:val="single" w:sz="8" w:color="808080"/>
            </w:tcBorders>
          </w:tcPr>
          <w:p>
            <w:pPr>
              <w:spacing w:after="0"/>
              <w:rPr>
                <w:sz w:val="8"/>
                <w:szCs w:val="8"/>
                <w:color w:val="auto"/>
              </w:rPr>
            </w:pPr>
          </w:p>
        </w:tc>
        <w:tc>
          <w:tcPr>
            <w:tcW w:w="48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Dale R. Olseth</w:t>
            </w:r>
          </w:p>
        </w:tc>
        <w:tc>
          <w:tcPr>
            <w:tcW w:w="4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 Christopher A. Twomey</w:t>
            </w:r>
          </w:p>
        </w:tc>
        <w:tc>
          <w:tcPr>
            <w:tcW w:w="4820" w:type="dxa"/>
            <w:vAlign w:val="bottom"/>
          </w:tcPr>
          <w:p>
            <w:pPr>
              <w:jc w:val="center"/>
              <w:ind w:left="531"/>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ind w:left="551"/>
              <w:spacing w:after="0"/>
              <w:rPr>
                <w:sz w:val="20"/>
                <w:szCs w:val="20"/>
                <w:color w:val="auto"/>
              </w:rPr>
            </w:pPr>
            <w:r>
              <w:rPr>
                <w:rFonts w:ascii="Times New Roman" w:cs="Times New Roman" w:eastAsia="Times New Roman" w:hAnsi="Times New Roman"/>
                <w:sz w:val="18"/>
                <w:szCs w:val="18"/>
                <w:color w:val="auto"/>
                <w:w w:val="99"/>
              </w:rPr>
              <w:t>September 30, 2004</w:t>
            </w:r>
          </w:p>
        </w:tc>
        <w:tc>
          <w:tcPr>
            <w:tcW w:w="0" w:type="dxa"/>
            <w:vAlign w:val="bottom"/>
          </w:tcPr>
          <w:p>
            <w:pPr>
              <w:spacing w:after="0"/>
              <w:rPr>
                <w:sz w:val="1"/>
                <w:szCs w:val="1"/>
                <w:color w:val="auto"/>
              </w:rPr>
            </w:pPr>
          </w:p>
        </w:tc>
      </w:tr>
      <w:tr>
        <w:trPr>
          <w:trHeight w:val="95"/>
        </w:trPr>
        <w:tc>
          <w:tcPr>
            <w:tcW w:w="3800" w:type="dxa"/>
            <w:vAlign w:val="bottom"/>
            <w:tcBorders>
              <w:bottom w:val="single" w:sz="8" w:color="808080"/>
            </w:tcBorders>
          </w:tcPr>
          <w:p>
            <w:pPr>
              <w:spacing w:after="0"/>
              <w:rPr>
                <w:sz w:val="8"/>
                <w:szCs w:val="8"/>
                <w:color w:val="auto"/>
              </w:rPr>
            </w:pPr>
          </w:p>
        </w:tc>
        <w:tc>
          <w:tcPr>
            <w:tcW w:w="48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Christopher A. Twomey</w:t>
            </w:r>
          </w:p>
        </w:tc>
        <w:tc>
          <w:tcPr>
            <w:tcW w:w="4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 Gregg W. Steinhafel</w:t>
            </w:r>
          </w:p>
        </w:tc>
        <w:tc>
          <w:tcPr>
            <w:tcW w:w="4820" w:type="dxa"/>
            <w:vAlign w:val="bottom"/>
          </w:tcPr>
          <w:p>
            <w:pPr>
              <w:jc w:val="center"/>
              <w:ind w:left="531"/>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ind w:left="551"/>
              <w:spacing w:after="0"/>
              <w:rPr>
                <w:sz w:val="20"/>
                <w:szCs w:val="20"/>
                <w:color w:val="auto"/>
              </w:rPr>
            </w:pPr>
            <w:r>
              <w:rPr>
                <w:rFonts w:ascii="Times New Roman" w:cs="Times New Roman" w:eastAsia="Times New Roman" w:hAnsi="Times New Roman"/>
                <w:sz w:val="18"/>
                <w:szCs w:val="18"/>
                <w:color w:val="auto"/>
                <w:w w:val="99"/>
              </w:rPr>
              <w:t>September 30, 2004</w:t>
            </w:r>
          </w:p>
        </w:tc>
        <w:tc>
          <w:tcPr>
            <w:tcW w:w="0" w:type="dxa"/>
            <w:vAlign w:val="bottom"/>
          </w:tcPr>
          <w:p>
            <w:pPr>
              <w:spacing w:after="0"/>
              <w:rPr>
                <w:sz w:val="1"/>
                <w:szCs w:val="1"/>
                <w:color w:val="auto"/>
              </w:rPr>
            </w:pPr>
          </w:p>
        </w:tc>
      </w:tr>
      <w:tr>
        <w:trPr>
          <w:trHeight w:val="95"/>
        </w:trPr>
        <w:tc>
          <w:tcPr>
            <w:tcW w:w="3800" w:type="dxa"/>
            <w:vAlign w:val="bottom"/>
            <w:tcBorders>
              <w:bottom w:val="single" w:sz="8" w:color="808080"/>
            </w:tcBorders>
          </w:tcPr>
          <w:p>
            <w:pPr>
              <w:spacing w:after="0"/>
              <w:rPr>
                <w:sz w:val="8"/>
                <w:szCs w:val="8"/>
                <w:color w:val="auto"/>
              </w:rPr>
            </w:pPr>
          </w:p>
        </w:tc>
        <w:tc>
          <w:tcPr>
            <w:tcW w:w="48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Gregg W. Steinhafel</w:t>
            </w:r>
          </w:p>
        </w:tc>
        <w:tc>
          <w:tcPr>
            <w:tcW w:w="4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 Edwin H. Wingate</w:t>
            </w:r>
          </w:p>
        </w:tc>
        <w:tc>
          <w:tcPr>
            <w:tcW w:w="4820" w:type="dxa"/>
            <w:vAlign w:val="bottom"/>
          </w:tcPr>
          <w:p>
            <w:pPr>
              <w:jc w:val="center"/>
              <w:ind w:left="531"/>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ind w:left="551"/>
              <w:spacing w:after="0"/>
              <w:rPr>
                <w:sz w:val="20"/>
                <w:szCs w:val="20"/>
                <w:color w:val="auto"/>
              </w:rPr>
            </w:pPr>
            <w:r>
              <w:rPr>
                <w:rFonts w:ascii="Times New Roman" w:cs="Times New Roman" w:eastAsia="Times New Roman" w:hAnsi="Times New Roman"/>
                <w:sz w:val="18"/>
                <w:szCs w:val="18"/>
                <w:color w:val="auto"/>
                <w:w w:val="99"/>
              </w:rPr>
              <w:t>September 30, 2004</w:t>
            </w:r>
          </w:p>
        </w:tc>
        <w:tc>
          <w:tcPr>
            <w:tcW w:w="0" w:type="dxa"/>
            <w:vAlign w:val="bottom"/>
          </w:tcPr>
          <w:p>
            <w:pPr>
              <w:spacing w:after="0"/>
              <w:rPr>
                <w:sz w:val="1"/>
                <w:szCs w:val="1"/>
                <w:color w:val="auto"/>
              </w:rPr>
            </w:pPr>
          </w:p>
        </w:tc>
      </w:tr>
      <w:tr>
        <w:trPr>
          <w:trHeight w:val="95"/>
        </w:trPr>
        <w:tc>
          <w:tcPr>
            <w:tcW w:w="3800" w:type="dxa"/>
            <w:vAlign w:val="bottom"/>
            <w:tcBorders>
              <w:bottom w:val="single" w:sz="8" w:color="808080"/>
            </w:tcBorders>
          </w:tcPr>
          <w:p>
            <w:pPr>
              <w:spacing w:after="0"/>
              <w:rPr>
                <w:sz w:val="8"/>
                <w:szCs w:val="8"/>
                <w:color w:val="auto"/>
              </w:rPr>
            </w:pPr>
          </w:p>
        </w:tc>
        <w:tc>
          <w:tcPr>
            <w:tcW w:w="48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Edwin H. Wingate</w:t>
            </w:r>
          </w:p>
        </w:tc>
        <w:tc>
          <w:tcPr>
            <w:tcW w:w="4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8"/>
        </w:trPr>
        <w:tc>
          <w:tcPr>
            <w:tcW w:w="3800" w:type="dxa"/>
            <w:vAlign w:val="bottom"/>
            <w:tcBorders>
              <w:bottom w:val="single" w:sz="8" w:color="808080"/>
            </w:tcBorders>
          </w:tcPr>
          <w:p>
            <w:pPr>
              <w:spacing w:after="0"/>
              <w:rPr>
                <w:sz w:val="24"/>
                <w:szCs w:val="24"/>
                <w:color w:val="auto"/>
              </w:rPr>
            </w:pPr>
          </w:p>
        </w:tc>
        <w:tc>
          <w:tcPr>
            <w:tcW w:w="482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both"/>
        <w:ind w:firstLine="225"/>
        <w:spacing w:after="0" w:line="268" w:lineRule="auto"/>
        <w:rPr>
          <w:sz w:val="20"/>
          <w:szCs w:val="20"/>
          <w:color w:val="auto"/>
        </w:rPr>
      </w:pPr>
      <w:r>
        <w:rPr>
          <w:rFonts w:ascii="Times New Roman" w:cs="Times New Roman" w:eastAsia="Times New Roman" w:hAnsi="Times New Roman"/>
          <w:sz w:val="18"/>
          <w:szCs w:val="18"/>
          <w:b w:val="1"/>
          <w:bCs w:val="1"/>
          <w:color w:val="auto"/>
        </w:rPr>
        <w:t>The Plan</w:t>
      </w:r>
      <w:r>
        <w:rPr>
          <w:rFonts w:ascii="Times New Roman" w:cs="Times New Roman" w:eastAsia="Times New Roman" w:hAnsi="Times New Roman"/>
          <w:sz w:val="18"/>
          <w:szCs w:val="18"/>
          <w:color w:val="auto"/>
        </w:rPr>
        <w:t>. Pursuant to the requirements of the Securities Act of 1933, the trustees (or other persons who administer the employee benefit plan) have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caused this Registration Statement to be signed on its behalf by the undersigned, thereunto duly authorized, in the City of Bloomington, State of Minnesota, on September 30, 2004.</w:t>
      </w:r>
    </w:p>
    <w:p>
      <w:pPr>
        <w:spacing w:after="0" w:line="17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THE TORO COMPANY PROFIT SHARING</w:t>
      </w:r>
    </w:p>
    <w:p>
      <w:pPr>
        <w:spacing w:after="0" w:line="3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PLAN FOR PLYMOUTH UNION</w:t>
      </w:r>
    </w:p>
    <w:p>
      <w:pPr>
        <w:spacing w:after="0" w:line="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 xml:space="preserve">EMPLOYEES </w:t>
      </w:r>
      <w:r>
        <w:rPr>
          <w:rFonts w:ascii="Times New Roman" w:cs="Times New Roman" w:eastAsia="Times New Roman" w:hAnsi="Times New Roman"/>
          <w:sz w:val="18"/>
          <w:szCs w:val="18"/>
          <w:color w:val="auto"/>
        </w:rPr>
        <w:t>(Plan)</w:t>
      </w:r>
    </w:p>
    <w:p>
      <w:pPr>
        <w:spacing w:after="0" w:line="20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By: /s/ J. Lawrence McIntyre</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J. Lawrence McIntyre,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5" w:right="39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988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EXHIBIT LIST</w:t>
            </w:r>
          </w:p>
        </w:tc>
      </w:tr>
      <w:tr>
        <w:trPr>
          <w:trHeight w:val="405"/>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 Exhibits</w:t>
            </w:r>
          </w:p>
        </w:tc>
        <w:tc>
          <w:tcPr>
            <w:tcW w:w="9880" w:type="dxa"/>
            <w:vAlign w:val="bottom"/>
          </w:tcPr>
          <w:p>
            <w:pPr>
              <w:spacing w:after="0"/>
              <w:rPr>
                <w:sz w:val="24"/>
                <w:szCs w:val="24"/>
                <w:color w:val="auto"/>
              </w:rPr>
            </w:pPr>
          </w:p>
        </w:tc>
      </w:tr>
      <w:tr>
        <w:trPr>
          <w:trHeight w:val="522"/>
        </w:trPr>
        <w:tc>
          <w:tcPr>
            <w:tcW w:w="15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9880" w:type="dxa"/>
            <w:vAlign w:val="bottom"/>
          </w:tcPr>
          <w:p>
            <w:pPr>
              <w:ind w:left="47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4"/>
        </w:trPr>
        <w:tc>
          <w:tcPr>
            <w:tcW w:w="1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w:t>
            </w:r>
          </w:p>
        </w:tc>
        <w:tc>
          <w:tcPr>
            <w:tcW w:w="9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Instruments defining the rights of security holders, including indentures</w:t>
            </w:r>
          </w:p>
        </w:tc>
      </w:tr>
      <w:tr>
        <w:trPr>
          <w:trHeight w:val="414"/>
        </w:trPr>
        <w:tc>
          <w:tcPr>
            <w:tcW w:w="1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4(a)</w:t>
            </w:r>
          </w:p>
        </w:tc>
        <w:tc>
          <w:tcPr>
            <w:tcW w:w="9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Amended and Restated Certificate of Incorporation of Registrant (incorporated by reference to Exhibit 4(b) to Registrant’s Current</w:t>
            </w:r>
          </w:p>
        </w:tc>
      </w:tr>
      <w:tr>
        <w:trPr>
          <w:trHeight w:val="234"/>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Report on Form 8-K dated May 28, 2003, Commission File No. 1-8649).</w:t>
            </w:r>
          </w:p>
        </w:tc>
      </w:tr>
      <w:tr>
        <w:trPr>
          <w:trHeight w:val="414"/>
        </w:trPr>
        <w:tc>
          <w:tcPr>
            <w:tcW w:w="1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4(b)</w:t>
            </w:r>
          </w:p>
        </w:tc>
        <w:tc>
          <w:tcPr>
            <w:tcW w:w="9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Bylaws of Registrant (incorporated by reference to Exhibit 4(c) to Registrant’s Current Report on Form 8-K dated May 28, 2003,</w:t>
            </w:r>
          </w:p>
        </w:tc>
      </w:tr>
      <w:tr>
        <w:trPr>
          <w:trHeight w:val="234"/>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Commission File No. 1-8649).</w:t>
            </w:r>
          </w:p>
        </w:tc>
      </w:tr>
      <w:tr>
        <w:trPr>
          <w:trHeight w:val="414"/>
        </w:trPr>
        <w:tc>
          <w:tcPr>
            <w:tcW w:w="1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4(c)</w:t>
            </w:r>
          </w:p>
        </w:tc>
        <w:tc>
          <w:tcPr>
            <w:tcW w:w="9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Specimen form of Common Stock certificate (incorporated by reference to Exhibit 4(c) to Registrant’s Registration Statement on</w:t>
            </w:r>
          </w:p>
        </w:tc>
      </w:tr>
      <w:tr>
        <w:trPr>
          <w:trHeight w:val="234"/>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S-8, Registration No. 2-94417).</w:t>
            </w:r>
          </w:p>
        </w:tc>
      </w:tr>
      <w:tr>
        <w:trPr>
          <w:trHeight w:val="414"/>
        </w:trPr>
        <w:tc>
          <w:tcPr>
            <w:tcW w:w="1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4(d)</w:t>
            </w:r>
          </w:p>
        </w:tc>
        <w:tc>
          <w:tcPr>
            <w:tcW w:w="9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Rights Agreement dated as of May 20, 1998, between Registrant and Wells Fargo Bank Minnesota, National Association relating to</w:t>
            </w:r>
          </w:p>
        </w:tc>
      </w:tr>
      <w:tr>
        <w:trPr>
          <w:trHeight w:val="216"/>
        </w:trPr>
        <w:tc>
          <w:tcPr>
            <w:tcW w:w="1540" w:type="dxa"/>
            <w:vAlign w:val="bottom"/>
          </w:tcPr>
          <w:p>
            <w:pPr>
              <w:spacing w:after="0"/>
              <w:rPr>
                <w:sz w:val="18"/>
                <w:szCs w:val="18"/>
                <w:color w:val="auto"/>
              </w:rPr>
            </w:pPr>
          </w:p>
        </w:tc>
        <w:tc>
          <w:tcPr>
            <w:tcW w:w="9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rights to purchase Series B Junior Participating Voting Preferred Stock, as amended (incorporated by reference to Registrant’s</w:t>
            </w:r>
          </w:p>
        </w:tc>
      </w:tr>
      <w:tr>
        <w:trPr>
          <w:trHeight w:val="234"/>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Current Report on Form 8-K dated May 27, 1998, Commission File No. 1-8649).</w:t>
            </w:r>
          </w:p>
        </w:tc>
      </w:tr>
      <w:tr>
        <w:trPr>
          <w:trHeight w:val="414"/>
        </w:trPr>
        <w:tc>
          <w:tcPr>
            <w:tcW w:w="1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4(e)</w:t>
            </w:r>
          </w:p>
        </w:tc>
        <w:tc>
          <w:tcPr>
            <w:tcW w:w="9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Certificate of Adjusted Purchase Price or Number of Shares dated April 14, 2003 filed by Registrant with Wells Fargo Bank</w:t>
            </w:r>
          </w:p>
        </w:tc>
      </w:tr>
      <w:tr>
        <w:trPr>
          <w:trHeight w:val="216"/>
        </w:trPr>
        <w:tc>
          <w:tcPr>
            <w:tcW w:w="1540" w:type="dxa"/>
            <w:vAlign w:val="bottom"/>
          </w:tcPr>
          <w:p>
            <w:pPr>
              <w:spacing w:after="0"/>
              <w:rPr>
                <w:sz w:val="18"/>
                <w:szCs w:val="18"/>
                <w:color w:val="auto"/>
              </w:rPr>
            </w:pPr>
          </w:p>
        </w:tc>
        <w:tc>
          <w:tcPr>
            <w:tcW w:w="9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Minnesota, N.A., as Rights Agent, in connection with Rights Agreement dated as of May 20, 1998 (incorporated by reference to</w:t>
            </w:r>
          </w:p>
        </w:tc>
      </w:tr>
      <w:tr>
        <w:trPr>
          <w:trHeight w:val="216"/>
        </w:trPr>
        <w:tc>
          <w:tcPr>
            <w:tcW w:w="1540" w:type="dxa"/>
            <w:vAlign w:val="bottom"/>
          </w:tcPr>
          <w:p>
            <w:pPr>
              <w:spacing w:after="0"/>
              <w:rPr>
                <w:sz w:val="18"/>
                <w:szCs w:val="18"/>
                <w:color w:val="auto"/>
              </w:rPr>
            </w:pPr>
          </w:p>
        </w:tc>
        <w:tc>
          <w:tcPr>
            <w:tcW w:w="9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Exhibit 2 to Registrant’s Amendment No. 1 to Registration Statement on Form 8-A/A dated April 14, 2003, Commission File No. 1-</w:t>
            </w:r>
          </w:p>
        </w:tc>
      </w:tr>
      <w:tr>
        <w:trPr>
          <w:trHeight w:val="234"/>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8649).</w:t>
            </w:r>
          </w:p>
        </w:tc>
      </w:tr>
      <w:tr>
        <w:trPr>
          <w:trHeight w:val="414"/>
        </w:trPr>
        <w:tc>
          <w:tcPr>
            <w:tcW w:w="1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4(f)</w:t>
            </w:r>
          </w:p>
        </w:tc>
        <w:tc>
          <w:tcPr>
            <w:tcW w:w="9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Indenture dated as of January 31, 1997, between Registrant and First National Trust Association, as Trustee, relating to the</w:t>
            </w:r>
          </w:p>
        </w:tc>
      </w:tr>
      <w:tr>
        <w:trPr>
          <w:trHeight w:val="216"/>
        </w:trPr>
        <w:tc>
          <w:tcPr>
            <w:tcW w:w="1540" w:type="dxa"/>
            <w:vAlign w:val="bottom"/>
          </w:tcPr>
          <w:p>
            <w:pPr>
              <w:spacing w:after="0"/>
              <w:rPr>
                <w:sz w:val="18"/>
                <w:szCs w:val="18"/>
                <w:color w:val="auto"/>
              </w:rPr>
            </w:pPr>
          </w:p>
        </w:tc>
        <w:tc>
          <w:tcPr>
            <w:tcW w:w="98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Registrant’s 7.125% Notes due June 15, 2007 and its 7.80% Debentures due June 15, 2027 (incorporated by reference to Exhibit 4(a)</w:t>
            </w:r>
          </w:p>
        </w:tc>
      </w:tr>
      <w:tr>
        <w:trPr>
          <w:trHeight w:val="234"/>
        </w:trPr>
        <w:tc>
          <w:tcPr>
            <w:tcW w:w="1540" w:type="dxa"/>
            <w:vAlign w:val="bottom"/>
          </w:tcPr>
          <w:p>
            <w:pPr>
              <w:spacing w:after="0"/>
              <w:rPr>
                <w:sz w:val="20"/>
                <w:szCs w:val="20"/>
                <w:color w:val="auto"/>
              </w:rPr>
            </w:pPr>
          </w:p>
        </w:tc>
        <w:tc>
          <w:tcPr>
            <w:tcW w:w="9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 Registrant’s Current Report on Form 8-K for June 24, 1997, Commission File No. 1-8649).</w:t>
            </w:r>
          </w:p>
        </w:tc>
      </w:tr>
      <w:tr>
        <w:trPr>
          <w:trHeight w:val="618"/>
        </w:trPr>
        <w:tc>
          <w:tcPr>
            <w:tcW w:w="1540" w:type="dxa"/>
            <w:vAlign w:val="bottom"/>
            <w:tcBorders>
              <w:bottom w:val="single" w:sz="8" w:color="808080"/>
            </w:tcBorders>
          </w:tcPr>
          <w:p>
            <w:pPr>
              <w:spacing w:after="0"/>
              <w:rPr>
                <w:sz w:val="24"/>
                <w:szCs w:val="24"/>
                <w:color w:val="auto"/>
              </w:rPr>
            </w:pPr>
          </w:p>
        </w:tc>
        <w:tc>
          <w:tcPr>
            <w:tcW w:w="9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9" w:lineRule="exact"/>
        <w:rPr>
          <w:sz w:val="20"/>
          <w:szCs w:val="20"/>
          <w:color w:val="auto"/>
        </w:rPr>
      </w:pPr>
    </w:p>
    <w:p>
      <w:pPr>
        <w:ind w:left="20"/>
        <w:spacing w:after="0"/>
        <w:tabs>
          <w:tab w:leader="none" w:pos="596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14" w:lineRule="exact"/>
        <w:rPr>
          <w:sz w:val="20"/>
          <w:szCs w:val="20"/>
          <w:color w:val="auto"/>
        </w:rPr>
      </w:pPr>
    </w:p>
    <w:p>
      <w:pPr>
        <w:ind w:left="1240" w:hanging="894"/>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of counsel regarding legality (</w:t>
      </w:r>
      <w:r>
        <w:rPr>
          <w:rFonts w:ascii="Times New Roman" w:cs="Times New Roman" w:eastAsia="Times New Roman" w:hAnsi="Times New Roman"/>
          <w:sz w:val="18"/>
          <w:szCs w:val="18"/>
          <w:i w:val="1"/>
          <w:iCs w:val="1"/>
          <w:color w:val="auto"/>
        </w:rPr>
        <w:t>filed electronically herewith)</w:t>
      </w:r>
      <w:r>
        <w:rPr>
          <w:rFonts w:ascii="Times New Roman" w:cs="Times New Roman" w:eastAsia="Times New Roman" w:hAnsi="Times New Roman"/>
          <w:sz w:val="18"/>
          <w:szCs w:val="18"/>
          <w:color w:val="auto"/>
        </w:rPr>
        <w:t>.</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236"/>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9"/>
              </w:rPr>
              <w:t>23(a)</w:t>
            </w: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Consent of counsel (</w:t>
            </w:r>
            <w:r>
              <w:rPr>
                <w:rFonts w:ascii="Times New Roman" w:cs="Times New Roman" w:eastAsia="Times New Roman" w:hAnsi="Times New Roman"/>
                <w:sz w:val="18"/>
                <w:szCs w:val="18"/>
                <w:i w:val="1"/>
                <w:iCs w:val="1"/>
                <w:color w:val="auto"/>
              </w:rPr>
              <w:t>contained in Exhibit 5(a)</w:t>
            </w:r>
            <w:r>
              <w:rPr>
                <w:rFonts w:ascii="Times New Roman" w:cs="Times New Roman" w:eastAsia="Times New Roman" w:hAnsi="Times New Roman"/>
                <w:sz w:val="18"/>
                <w:szCs w:val="18"/>
                <w:color w:val="auto"/>
              </w:rPr>
              <w:t>).</w:t>
            </w:r>
          </w:p>
        </w:tc>
      </w:tr>
      <w:tr>
        <w:trPr>
          <w:trHeight w:val="432"/>
        </w:trPr>
        <w:tc>
          <w:tcPr>
            <w:tcW w:w="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7"/>
              </w:rPr>
              <w:t>23(b)</w:t>
            </w: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Consent of KPMG LLP (</w:t>
            </w:r>
            <w:r>
              <w:rPr>
                <w:rFonts w:ascii="Times New Roman" w:cs="Times New Roman" w:eastAsia="Times New Roman" w:hAnsi="Times New Roman"/>
                <w:sz w:val="18"/>
                <w:szCs w:val="18"/>
                <w:i w:val="1"/>
                <w:iCs w:val="1"/>
                <w:color w:val="auto"/>
                <w:w w:val="99"/>
              </w:rPr>
              <w:t>filed electronically herewith</w:t>
            </w:r>
            <w:r>
              <w:rPr>
                <w:rFonts w:ascii="Times New Roman" w:cs="Times New Roman" w:eastAsia="Times New Roman" w:hAnsi="Times New Roman"/>
                <w:sz w:val="18"/>
                <w:szCs w:val="18"/>
                <w:color w:val="auto"/>
                <w:w w:val="99"/>
              </w:rPr>
              <w:t>).</w:t>
            </w:r>
          </w:p>
        </w:tc>
      </w:tr>
    </w:tbl>
    <w:p>
      <w:pPr>
        <w:spacing w:after="0" w:line="196" w:lineRule="exact"/>
        <w:rPr>
          <w:sz w:val="20"/>
          <w:szCs w:val="20"/>
          <w:color w:val="auto"/>
        </w:rPr>
      </w:pPr>
    </w:p>
    <w:p>
      <w:pPr>
        <w:ind w:left="1240" w:hanging="984"/>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Powers of Attorney (</w:t>
      </w:r>
      <w:r>
        <w:rPr>
          <w:rFonts w:ascii="Times New Roman" w:cs="Times New Roman" w:eastAsia="Times New Roman" w:hAnsi="Times New Roman"/>
          <w:sz w:val="17"/>
          <w:szCs w:val="17"/>
          <w:i w:val="1"/>
          <w:iCs w:val="1"/>
          <w:color w:val="auto"/>
        </w:rPr>
        <w:t>filed electronically herewith and contained in the signature pages</w:t>
      </w:r>
      <w:r>
        <w:rPr>
          <w:rFonts w:ascii="Times New Roman" w:cs="Times New Roman" w:eastAsia="Times New Roman" w:hAnsi="Times New Roman"/>
          <w:sz w:val="17"/>
          <w:szCs w:val="17"/>
          <w:color w:val="auto"/>
        </w:rPr>
        <w:t>).</w:t>
      </w:r>
    </w:p>
    <w:p>
      <w:pPr>
        <w:sectPr>
          <w:pgSz w:w="11900" w:h="16838" w:orient="portrait"/>
          <w:cols w:equalWidth="0" w:num="1">
            <w:col w:w="10219"/>
          </w:cols>
          <w:pgMar w:left="240" w:top="415" w:right="144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191895" cy="788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9189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EXHIBIT 5 AND 23(a)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2004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8111 Lyndale Avenue South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 55420</w:t>
      </w:r>
    </w:p>
    <w:p>
      <w:pPr>
        <w:spacing w:after="0" w:line="180" w:lineRule="exact"/>
        <w:rPr>
          <w:sz w:val="20"/>
          <w:szCs w:val="20"/>
          <w:color w:val="auto"/>
        </w:rPr>
      </w:pPr>
    </w:p>
    <w:p>
      <w:pPr>
        <w:ind w:right="2640" w:firstLine="225"/>
        <w:spacing w:after="0" w:line="454" w:lineRule="auto"/>
        <w:rPr>
          <w:sz w:val="20"/>
          <w:szCs w:val="20"/>
          <w:color w:val="auto"/>
        </w:rPr>
      </w:pPr>
      <w:r>
        <w:rPr>
          <w:rFonts w:ascii="Times New Roman" w:cs="Times New Roman" w:eastAsia="Times New Roman" w:hAnsi="Times New Roman"/>
          <w:sz w:val="18"/>
          <w:szCs w:val="18"/>
          <w:color w:val="auto"/>
        </w:rPr>
        <w:t>Re: Registration Statement on Form S-8 for The Toro Company Profit Sharing Plan for Plymouth Union Employees Gentlemen:</w:t>
      </w:r>
    </w:p>
    <w:p>
      <w:pPr>
        <w:jc w:val="both"/>
        <w:ind w:right="120" w:firstLine="225"/>
        <w:spacing w:after="0" w:line="258" w:lineRule="auto"/>
        <w:rPr>
          <w:sz w:val="20"/>
          <w:szCs w:val="20"/>
          <w:color w:val="auto"/>
        </w:rPr>
      </w:pPr>
      <w:r>
        <w:rPr>
          <w:rFonts w:ascii="Times New Roman" w:cs="Times New Roman" w:eastAsia="Times New Roman" w:hAnsi="Times New Roman"/>
          <w:sz w:val="18"/>
          <w:szCs w:val="18"/>
          <w:color w:val="auto"/>
        </w:rPr>
        <w:t>I am Vice President, Secretary and General Counsel of The Toro Company (the “Company”). In connection with the Registration Statement on Form S-8 filed by the Company with the Securities and Exchange Commission relating to an aggregate of up to 35,000 shares of Common Stock, $1.00 par value per share (the “Common Stock”), and up to 35,000 related Preferred Share Purchase Rights (the “Rights”) of the Company, to be issued in connection with The Toro Company Profit Sharing Plan for Plymouth Union Employees, please be advised that as counsel to the Company, upon examination of such corporate documents and records as I have deemed necessary or appropriate for the purpose of rendering this opinion, it is my opinion that:</w:t>
      </w:r>
    </w:p>
    <w:p>
      <w:pPr>
        <w:spacing w:after="0" w:line="184" w:lineRule="exact"/>
        <w:rPr>
          <w:sz w:val="20"/>
          <w:szCs w:val="20"/>
          <w:color w:val="auto"/>
        </w:rPr>
      </w:pPr>
    </w:p>
    <w:p>
      <w:pPr>
        <w:ind w:left="220" w:right="220" w:firstLine="4"/>
        <w:spacing w:after="0" w:line="282" w:lineRule="auto"/>
        <w:tabs>
          <w:tab w:leader="none" w:pos="44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being offered by the Company, when issued in accordance with proper corporate authorizations, will be legally issued, fully paid and non-assessable; and</w:t>
      </w:r>
    </w:p>
    <w:p>
      <w:pPr>
        <w:spacing w:after="0" w:line="161" w:lineRule="exact"/>
        <w:rPr>
          <w:rFonts w:ascii="Times New Roman" w:cs="Times New Roman" w:eastAsia="Times New Roman" w:hAnsi="Times New Roman"/>
          <w:sz w:val="18"/>
          <w:szCs w:val="18"/>
          <w:color w:val="auto"/>
        </w:rPr>
      </w:pPr>
    </w:p>
    <w:p>
      <w:pPr>
        <w:ind w:left="220" w:firstLine="4"/>
        <w:spacing w:after="0" w:line="261"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the Rights Agreement dated as of May 20, 1998, as modified by the Certificate of Adjusted Price or Number of Shares dated April 14, 2003 (the “Rights Agreement”), has been duly authorized, executed and delivered by the Rights Agent, the Rights, if and when issued as contemplated by the Rights Agreement, as it may be amended from time to time, will have been legally issued and entitled to the benefits of the Rights Agreement pursuant to which they will be issued.</w:t>
      </w:r>
    </w:p>
    <w:p>
      <w:pPr>
        <w:spacing w:after="0" w:line="180" w:lineRule="exact"/>
        <w:rPr>
          <w:sz w:val="20"/>
          <w:szCs w:val="20"/>
          <w:color w:val="auto"/>
        </w:rPr>
      </w:pPr>
    </w:p>
    <w:p>
      <w:pPr>
        <w:ind w:right="140" w:firstLine="222"/>
        <w:spacing w:after="0" w:line="282" w:lineRule="auto"/>
        <w:rPr>
          <w:sz w:val="20"/>
          <w:szCs w:val="20"/>
          <w:color w:val="auto"/>
        </w:rPr>
      </w:pPr>
      <w:r>
        <w:rPr>
          <w:rFonts w:ascii="Times New Roman" w:cs="Times New Roman" w:eastAsia="Times New Roman" w:hAnsi="Times New Roman"/>
          <w:sz w:val="18"/>
          <w:szCs w:val="18"/>
          <w:color w:val="auto"/>
        </w:rPr>
        <w:t>The foregoing opinion is limited to the Federal laws of the United States and the General Corporation Law of the State of Delaware, and I am expressing no opinion as to the effect of the laws of any other jurisdiction.</w:t>
      </w:r>
    </w:p>
    <w:p>
      <w:pPr>
        <w:spacing w:after="0" w:line="135" w:lineRule="exact"/>
        <w:rPr>
          <w:sz w:val="20"/>
          <w:szCs w:val="20"/>
          <w:color w:val="auto"/>
        </w:rPr>
      </w:pPr>
    </w:p>
    <w:p>
      <w:pPr>
        <w:ind w:right="320" w:firstLine="225"/>
        <w:spacing w:after="0" w:line="266" w:lineRule="auto"/>
        <w:rPr>
          <w:sz w:val="20"/>
          <w:szCs w:val="20"/>
          <w:color w:val="auto"/>
        </w:rPr>
      </w:pPr>
      <w:r>
        <w:rPr>
          <w:rFonts w:ascii="Times New Roman" w:cs="Times New Roman" w:eastAsia="Times New Roman" w:hAnsi="Times New Roman"/>
          <w:sz w:val="18"/>
          <w:szCs w:val="18"/>
          <w:color w:val="auto"/>
        </w:rPr>
        <w:t>I hereby consent to the filing of this opinion as an exhibit to the above-captioned Registration Statement, and to the reference to my name under the heading “Interests of Named Experts and Counsel” contained in the Registration Statement. In giving such consent, I do not hereby admit that I am in the category of persons whose consent is required under Section 7 of the Act.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 Lawrence McIntyre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Lawrence McIntyre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General Counsel</w:t>
      </w:r>
    </w:p>
    <w:p>
      <w:pPr>
        <w:sectPr>
          <w:pgSz w:w="11900" w:h="16838" w:orient="portrait"/>
          <w:cols w:equalWidth="0" w:num="1">
            <w:col w:w="11380"/>
          </w:cols>
          <w:pgMar w:left="240" w:top="1440" w:right="27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color w:val="auto"/>
        </w:rPr>
        <w:t>EXHIBIT 23 (b)</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AUDITORS’ CONSENT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w:t>
      </w:r>
    </w:p>
    <w:p>
      <w:pPr>
        <w:spacing w:after="0" w:line="166" w:lineRule="exact"/>
        <w:rPr>
          <w:sz w:val="20"/>
          <w:szCs w:val="20"/>
          <w:color w:val="auto"/>
        </w:rPr>
      </w:pPr>
    </w:p>
    <w:p>
      <w:pPr>
        <w:ind w:right="180" w:firstLine="222"/>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December 8, 2003 incorporated by reference in this Form S-8. Our report refers to the adoption of Statement of Financial Accounting Standards No. 142, Goodwill and Other Intangible Assets on November 1, 2001.</w:t>
      </w:r>
    </w:p>
    <w:p>
      <w:pPr>
        <w:spacing w:after="0" w:line="347"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/s/ KPMG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4, 2004</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lvl w:ilvl="1">
      <w:lvlJc w:val="left"/>
      <w:lvlText w:val="(%2)"/>
      <w:numFmt w:val="lowerLetter"/>
      <w:start w:val="3"/>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lvl w:ilvl="1">
      <w:lvlJc w:val="left"/>
      <w:lvlText w:val="(%2)"/>
      <w:numFmt w:val="lowerRoman"/>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lowerLetter"/>
      <w:start w:val="8"/>
    </w:lvl>
  </w:abstractNum>
  <w:abstractNum w:abstractNumId="5">
    <w:nsid w:val="41B71EFB"/>
    <w:multiLevelType w:val="hybridMultilevel"/>
    <w:lvl w:ilvl="0">
      <w:lvlJc w:val="left"/>
      <w:lvlText w:val="5"/>
      <w:numFmt w:val="bullet"/>
      <w:start w:val="1"/>
    </w:lvl>
  </w:abstractNum>
  <w:abstractNum w:abstractNumId="6">
    <w:nsid w:val="79E2A9E3"/>
    <w:multiLevelType w:val="hybridMultilevel"/>
    <w:lvl w:ilvl="0">
      <w:lvlJc w:val="left"/>
      <w:lvlText w:val="%1"/>
      <w:numFmt w:val="decimal"/>
      <w:start w:val="24"/>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2019-12-11T20:11:59Z</dcterms:created>
  <dcterms:modified xsi:type="dcterms:W3CDTF">2019-12-11T20:11:59Z</dcterms:modified>
</cp:coreProperties>
</file>