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303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3032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VP, Treasurer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80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520" w:type="dxa"/>
            <w:vAlign w:val="bottom"/>
          </w:tcPr>
          <w:p>
            <w:pPr>
              <w:spacing w:after="0"/>
              <w:rPr>
                <w:sz w:val="11"/>
                <w:szCs w:val="11"/>
                <w:color w:val="auto"/>
              </w:rPr>
            </w:pPr>
          </w:p>
        </w:tc>
        <w:tc>
          <w:tcPr>
            <w:tcW w:w="1800" w:type="dxa"/>
            <w:vAlign w:val="bottom"/>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12/18/2019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rPr>
              <w:t>10,619</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right="1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20,301.344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right"/>
              <w:ind w:right="89"/>
              <w:spacing w:after="0"/>
              <w:rPr>
                <w:sz w:val="20"/>
                <w:szCs w:val="20"/>
                <w:color w:val="auto"/>
              </w:rPr>
            </w:pPr>
            <w:r>
              <w:rPr>
                <w:rFonts w:ascii="Arial" w:cs="Arial" w:eastAsia="Arial" w:hAnsi="Arial"/>
                <w:sz w:val="17"/>
                <w:szCs w:val="17"/>
                <w:color w:val="0000FF"/>
              </w:rPr>
              <w:t>12/18/2019</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F</w:t>
            </w:r>
          </w:p>
        </w:tc>
        <w:tc>
          <w:tcPr>
            <w:tcW w:w="820" w:type="dxa"/>
            <w:vAlign w:val="bottom"/>
          </w:tcPr>
          <w:p>
            <w:pPr>
              <w:jc w:val="right"/>
              <w:ind w:right="131"/>
              <w:spacing w:after="0"/>
              <w:rPr>
                <w:sz w:val="20"/>
                <w:szCs w:val="20"/>
                <w:color w:val="auto"/>
              </w:rPr>
            </w:pPr>
            <w:r>
              <w:rPr>
                <w:rFonts w:ascii="Arial" w:cs="Arial" w:eastAsia="Arial" w:hAnsi="Arial"/>
                <w:sz w:val="17"/>
                <w:szCs w:val="17"/>
                <w:color w:val="0000FF"/>
              </w:rPr>
              <w:t>4,843</w:t>
            </w:r>
          </w:p>
        </w:tc>
        <w:tc>
          <w:tcPr>
            <w:tcW w:w="5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00" w:type="dxa"/>
            <w:vAlign w:val="bottom"/>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15,458.344</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Held by the</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Renee J.</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Peterson</w:t>
            </w:r>
          </w:p>
        </w:tc>
        <w:tc>
          <w:tcPr>
            <w:tcW w:w="0" w:type="dxa"/>
            <w:vAlign w:val="bottom"/>
          </w:tcPr>
          <w:p>
            <w:pPr>
              <w:spacing w:after="0"/>
              <w:rPr>
                <w:sz w:val="1"/>
                <w:szCs w:val="1"/>
                <w:color w:val="auto"/>
              </w:rPr>
            </w:pPr>
          </w:p>
        </w:tc>
      </w:tr>
      <w:tr>
        <w:trPr>
          <w:trHeight w:val="215"/>
        </w:trPr>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30,184</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Trust #1</w:t>
            </w:r>
          </w:p>
        </w:tc>
        <w:tc>
          <w:tcPr>
            <w:tcW w:w="0" w:type="dxa"/>
            <w:vAlign w:val="bottom"/>
          </w:tcPr>
          <w:p>
            <w:pPr>
              <w:spacing w:after="0"/>
              <w:rPr>
                <w:sz w:val="1"/>
                <w:szCs w:val="1"/>
                <w:color w:val="auto"/>
              </w:rPr>
            </w:pPr>
          </w:p>
        </w:tc>
      </w:tr>
      <w:tr>
        <w:trPr>
          <w:trHeight w:val="62"/>
        </w:trPr>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Held by the</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Renee J.</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Peterson</w:t>
            </w:r>
          </w:p>
        </w:tc>
        <w:tc>
          <w:tcPr>
            <w:tcW w:w="0" w:type="dxa"/>
            <w:vAlign w:val="bottom"/>
          </w:tcPr>
          <w:p>
            <w:pPr>
              <w:spacing w:after="0"/>
              <w:rPr>
                <w:sz w:val="1"/>
                <w:szCs w:val="1"/>
                <w:color w:val="auto"/>
              </w:rPr>
            </w:pPr>
          </w:p>
        </w:tc>
      </w:tr>
      <w:tr>
        <w:trPr>
          <w:trHeight w:val="215"/>
        </w:trPr>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19,816</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Trust #2</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The Toro</w:t>
      </w:r>
    </w:p>
    <w:p>
      <w:pPr>
        <w:spacing w:after="0" w:line="26"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Company</w:t>
      </w:r>
    </w:p>
    <w:p>
      <w:pPr>
        <w:ind w:left="80"/>
        <w:spacing w:after="0"/>
        <w:tabs>
          <w:tab w:leader="none" w:pos="8520" w:val="left"/>
          <w:tab w:leader="none" w:pos="9920" w:val="left"/>
          <w:tab w:leader="none" w:pos="10480" w:val="left"/>
        </w:tabs>
        <w:rPr>
          <w:sz w:val="20"/>
          <w:szCs w:val="20"/>
          <w:color w:val="auto"/>
        </w:rPr>
      </w:pPr>
      <w:r>
        <w:rPr>
          <w:rFonts w:ascii="Arial" w:cs="Arial" w:eastAsia="Arial" w:hAnsi="Arial"/>
          <w:sz w:val="17"/>
          <w:szCs w:val="17"/>
          <w:color w:val="0000FF"/>
        </w:rPr>
        <w:t>Common Stock</w:t>
      </w:r>
      <w:r>
        <w:rPr>
          <w:sz w:val="20"/>
          <w:szCs w:val="20"/>
          <w:color w:val="auto"/>
        </w:rPr>
        <w:tab/>
      </w:r>
      <w:r>
        <w:rPr>
          <w:rFonts w:ascii="Arial" w:cs="Arial" w:eastAsia="Arial" w:hAnsi="Arial"/>
          <w:sz w:val="17"/>
          <w:szCs w:val="17"/>
          <w:color w:val="0000FF"/>
        </w:rPr>
        <w:t>716.027</w:t>
      </w:r>
      <w:r>
        <w:rPr>
          <w:rFonts w:ascii="Arial" w:cs="Arial" w:eastAsia="Arial" w:hAnsi="Arial"/>
          <w:sz w:val="22"/>
          <w:szCs w:val="22"/>
          <w:color w:val="008000"/>
          <w:vertAlign w:val="superscript"/>
        </w:rPr>
        <w:t>(2)</w:t>
      </w:r>
      <w:r>
        <w:rPr>
          <w:sz w:val="20"/>
          <w:szCs w:val="20"/>
          <w:color w:val="auto"/>
        </w:rPr>
        <w:tab/>
      </w:r>
      <w:r>
        <w:rPr>
          <w:rFonts w:ascii="Arial" w:cs="Arial" w:eastAsia="Arial" w:hAnsi="Arial"/>
          <w:sz w:val="17"/>
          <w:szCs w:val="17"/>
          <w:color w:val="0000FF"/>
        </w:rPr>
        <w:t>I</w:t>
      </w:r>
      <w:r>
        <w:rPr>
          <w:sz w:val="20"/>
          <w:szCs w:val="20"/>
          <w:color w:val="auto"/>
        </w:rPr>
        <w:tab/>
      </w:r>
      <w:r>
        <w:rPr>
          <w:rFonts w:ascii="Arial" w:cs="Arial" w:eastAsia="Arial" w:hAnsi="Arial"/>
          <w:sz w:val="15"/>
          <w:szCs w:val="15"/>
          <w:color w:val="0000FF"/>
        </w:rPr>
        <w:t>Investment,</w:t>
      </w:r>
    </w:p>
    <w:p>
      <w:pPr>
        <w:spacing w:after="0" w:line="1"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Savings &amp;</w:t>
      </w:r>
    </w:p>
    <w:p>
      <w:pPr>
        <w:spacing w:after="0" w:line="12" w:lineRule="exact"/>
        <w:rPr>
          <w:sz w:val="24"/>
          <w:szCs w:val="24"/>
          <w:color w:val="auto"/>
        </w:rPr>
      </w:pPr>
    </w:p>
    <w:p>
      <w:pPr>
        <w:ind w:left="10500"/>
        <w:spacing w:after="0"/>
        <w:rPr>
          <w:sz w:val="20"/>
          <w:szCs w:val="20"/>
          <w:color w:val="auto"/>
        </w:rPr>
      </w:pPr>
      <w:r>
        <w:rPr>
          <w:rFonts w:ascii="Arial" w:cs="Arial" w:eastAsia="Arial" w:hAnsi="Arial"/>
          <w:sz w:val="17"/>
          <w:szCs w:val="17"/>
          <w:color w:val="0000FF"/>
        </w:rPr>
        <w:t>ESOP</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323"/>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83,841.535</w:t>
            </w:r>
            <w:r>
              <w:rPr>
                <w:rFonts w:ascii="Arial" w:cs="Arial" w:eastAsia="Arial" w:hAnsi="Arial"/>
                <w:sz w:val="22"/>
                <w:szCs w:val="22"/>
                <w:color w:val="008000"/>
                <w:vertAlign w:val="superscript"/>
              </w:rPr>
              <w:t>(3)</w:t>
            </w: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12/19/2019</w:t>
            </w:r>
          </w:p>
        </w:tc>
        <w:tc>
          <w:tcPr>
            <w:tcW w:w="118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33,900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12/19/2029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33,900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tcPr>
          <w:p>
            <w:pPr>
              <w:ind w:left="300"/>
              <w:spacing w:after="0"/>
              <w:rPr>
                <w:sz w:val="20"/>
                <w:szCs w:val="20"/>
                <w:color w:val="auto"/>
              </w:rPr>
            </w:pPr>
            <w:r>
              <w:rPr>
                <w:rFonts w:ascii="Arial" w:cs="Arial" w:eastAsia="Arial" w:hAnsi="Arial"/>
                <w:sz w:val="13"/>
                <w:szCs w:val="13"/>
                <w:color w:val="0000FF"/>
              </w:rPr>
              <w:t>33,900</w:t>
            </w:r>
          </w:p>
        </w:tc>
        <w:tc>
          <w:tcPr>
            <w:tcW w:w="880" w:type="dxa"/>
            <w:vAlign w:val="bottom"/>
          </w:tcPr>
          <w:p>
            <w:pPr>
              <w:ind w:left="46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2017 to Fiscal 2019 Performance Period under The Toro Company Amended and Restated 2010 Equity and Incentive Plan, as amended and restated (the "Amended and Restated 2010 Plan"), as approved by the Issuer's Compensation &amp; Human Resources Committee of its Board of Directors on December 3, 2019, and which was conditioned upon and subject to confirmation by the Issuer's Fiscal 2019 financial results that were released on December 18, 2019.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2.15 net shares of common stock acquired by the reporting person since the date of her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254.375 performance share units acquired by the reporting person since the date of her last report under the dividend reinvestment feature of The Toro Company Deferred Compensation Plan for Officers.</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4. The option vests in three equal annual installments commencing on the first anniversary of the date of grant.</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2019-12-20T13:48:23Z</dcterms:created>
  <dcterms:modified xsi:type="dcterms:W3CDTF">2019-12-20T13:48:23Z</dcterms:modified>
</cp:coreProperties>
</file>