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15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158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12/07/2011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6"/>
        <w:spacing w:after="0"/>
        <w:rPr>
          <w:sz w:val="20"/>
          <w:szCs w:val="20"/>
          <w:color w:val="auto"/>
        </w:rPr>
      </w:pPr>
      <w:r>
        <w:rPr>
          <w:rFonts w:ascii="Arial" w:cs="Arial" w:eastAsia="Arial" w:hAnsi="Arial"/>
          <w:sz w:val="17"/>
          <w:szCs w:val="17"/>
          <w:color w:val="0000FF"/>
        </w:rPr>
        <w:t>VP, Finance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280"/>
              <w:spacing w:after="0"/>
              <w:rPr>
                <w:sz w:val="20"/>
                <w:szCs w:val="20"/>
                <w:color w:val="auto"/>
              </w:rPr>
            </w:pPr>
            <w:r>
              <w:rPr>
                <w:rFonts w:ascii="Arial" w:cs="Arial" w:eastAsia="Arial" w:hAnsi="Arial"/>
                <w:sz w:val="17"/>
                <w:szCs w:val="17"/>
                <w:color w:val="0000FF"/>
              </w:rPr>
              <w:t>22,587.116</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12/07/2011</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18,100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12/07/2021</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18,100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18,100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22,500 shares of restricted stock awarded to the reporting person and 87.116 shares acquired under The Toro Company Dividend Reinvestment Plan (the "DRIP") from dividends paid on the restricted stock since the date of her last report. The restricted stock and related DRIP shares vest in three equal installments on the first, second and third anniversaries of the date of grant, which was August 22, 2011.</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12/08/2011</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2019-12-17T01:05:05Z</dcterms:created>
  <dcterms:modified xsi:type="dcterms:W3CDTF">2019-12-17T01:05:05Z</dcterms:modified>
</cp:coreProperties>
</file>