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36195</wp:posOffset>
            </wp:positionV>
            <wp:extent cx="6968490" cy="1612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61290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Rodier Richard W</w:t>
        </w:r>
      </w:hyperlink>
    </w:p>
    <w:p>
      <w:pPr>
        <w:spacing w:after="0" w:line="28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12/16/2020</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73"/>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3"/>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7"/>
          <w:szCs w:val="17"/>
          <w:color w:val="0000FF"/>
        </w:rPr>
        <w:t>Group VP, Construction &amp; RLC</w:t>
      </w:r>
    </w:p>
    <w:p>
      <w:pPr>
        <w:spacing w:after="0" w:line="302"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p>
      <w:pPr>
        <w:spacing w:after="0" w:line="155" w:lineRule="exact"/>
        <w:rPr>
          <w:sz w:val="24"/>
          <w:szCs w:val="24"/>
          <w:color w:val="auto"/>
        </w:rPr>
      </w:pPr>
    </w:p>
    <w:tbl>
      <w:tblPr>
        <w:tblLayout w:type="fixed"/>
        <w:tblInd w:w="80" w:type="dxa"/>
        <w:tblCellMar>
          <w:top w:w="0" w:type="dxa"/>
          <w:left w:w="0" w:type="dxa"/>
          <w:bottom w:w="0" w:type="dxa"/>
          <w:right w:w="0" w:type="dxa"/>
        </w:tblCellMar>
      </w:tblPr>
      <w:tr>
        <w:trPr>
          <w:trHeight w:val="173"/>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6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55420</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8"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5" w:lineRule="auto"/>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8"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-2486660</wp:posOffset>
            </wp:positionH>
            <wp:positionV relativeFrom="paragraph">
              <wp:posOffset>151130</wp:posOffset>
            </wp:positionV>
            <wp:extent cx="6968490" cy="1908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8490" cy="1908175"/>
                    </a:xfrm>
                    <a:prstGeom prst="rect">
                      <a:avLst/>
                    </a:prstGeom>
                    <a:noFill/>
                  </pic:spPr>
                </pic:pic>
              </a:graphicData>
            </a:graphic>
          </wp:anchor>
        </w:drawing>
      </w:r>
    </w:p>
    <w:p>
      <w:pPr>
        <w:spacing w:after="0" w:line="296"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w w:val="93"/>
              </w:rPr>
              <w:t>2A. Deemed</w:t>
            </w:r>
          </w:p>
        </w:tc>
        <w:tc>
          <w:tcPr>
            <w:tcW w:w="30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5"/>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40"/>
              <w:spacing w:after="0" w:line="124"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0"/>
                <w:szCs w:val="10"/>
                <w:color w:val="auto"/>
              </w:rPr>
            </w:pPr>
          </w:p>
        </w:tc>
        <w:tc>
          <w:tcPr>
            <w:tcW w:w="1020" w:type="dxa"/>
            <w:vAlign w:val="bottom"/>
            <w:gridSpan w:val="3"/>
          </w:tcPr>
          <w:p>
            <w:pPr>
              <w:ind w:left="60"/>
              <w:spacing w:after="0" w:line="124"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2"/>
                <w:szCs w:val="12"/>
                <w:b w:val="1"/>
                <w:bCs w:val="1"/>
                <w:color w:val="auto"/>
                <w:w w:val="94"/>
              </w:rPr>
              <w:t>Transaction</w:t>
            </w:r>
          </w:p>
        </w:tc>
        <w:tc>
          <w:tcPr>
            <w:tcW w:w="1940" w:type="dxa"/>
            <w:vAlign w:val="bottom"/>
            <w:gridSpan w:val="4"/>
          </w:tcPr>
          <w:p>
            <w:pPr>
              <w:ind w:left="120"/>
              <w:spacing w:after="0" w:line="124" w:lineRule="exact"/>
              <w:rPr>
                <w:sz w:val="20"/>
                <w:szCs w:val="20"/>
                <w:color w:val="auto"/>
              </w:rPr>
            </w:pPr>
            <w:r>
              <w:rPr>
                <w:rFonts w:ascii="Arial" w:cs="Arial" w:eastAsia="Arial" w:hAnsi="Arial"/>
                <w:sz w:val="12"/>
                <w:szCs w:val="12"/>
                <w:b w:val="1"/>
                <w:bCs w:val="1"/>
                <w:color w:val="auto"/>
              </w:rPr>
              <w:t>Disposed Of (D) (Instr. 3, 4 and</w:t>
            </w:r>
          </w:p>
        </w:tc>
        <w:tc>
          <w:tcPr>
            <w:tcW w:w="72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0"/>
                <w:szCs w:val="10"/>
                <w:color w:val="auto"/>
              </w:rPr>
            </w:pPr>
          </w:p>
        </w:tc>
        <w:tc>
          <w:tcPr>
            <w:tcW w:w="880" w:type="dxa"/>
            <w:vAlign w:val="bottom"/>
            <w:gridSpan w:val="2"/>
          </w:tcPr>
          <w:p>
            <w:pPr>
              <w:ind w:left="20"/>
              <w:spacing w:after="0" w:line="124"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5"/>
          </w:tcPr>
          <w:p>
            <w:pPr>
              <w:ind w:left="80"/>
              <w:spacing w:after="0" w:line="124"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ind w:left="74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Beneficially</w:t>
            </w:r>
          </w:p>
        </w:tc>
        <w:tc>
          <w:tcPr>
            <w:tcW w:w="4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5"/>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5"/>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5"/>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1"/>
                <w:szCs w:val="11"/>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76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7"/>
                <w:szCs w:val="17"/>
                <w:color w:val="0000FF"/>
              </w:rPr>
              <w:t>12/16/2020</w:t>
            </w:r>
          </w:p>
        </w:tc>
        <w:tc>
          <w:tcPr>
            <w:tcW w:w="1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1"/>
              </w:rPr>
              <w:t>1,097</w:t>
            </w:r>
            <w:r>
              <w:rPr>
                <w:rFonts w:ascii="Times New Roman" w:cs="Times New Roman" w:eastAsia="Times New Roman" w:hAnsi="Times New Roman"/>
                <w:sz w:val="21"/>
                <w:szCs w:val="21"/>
                <w:color w:val="008000"/>
                <w:w w:val="91"/>
                <w:vertAlign w:val="superscript"/>
              </w:rPr>
              <w:t>(1)</w:t>
            </w:r>
          </w:p>
        </w:tc>
        <w:tc>
          <w:tcPr>
            <w:tcW w:w="6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2"/>
              </w:rPr>
              <w:t>6,000.825</w:t>
            </w:r>
            <w:r>
              <w:rPr>
                <w:rFonts w:ascii="Times New Roman" w:cs="Times New Roman" w:eastAsia="Times New Roman" w:hAnsi="Times New Roman"/>
                <w:sz w:val="21"/>
                <w:szCs w:val="21"/>
                <w:color w:val="008000"/>
                <w:w w:val="92"/>
                <w:vertAlign w:val="superscript"/>
              </w:rPr>
              <w:t>(2)</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4"/>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2"/>
              </w:rPr>
              <w:t>2,760.16</w:t>
            </w:r>
            <w:r>
              <w:rPr>
                <w:rFonts w:ascii="Times New Roman" w:cs="Times New Roman" w:eastAsia="Times New Roman" w:hAnsi="Times New Roman"/>
                <w:sz w:val="21"/>
                <w:szCs w:val="21"/>
                <w:color w:val="008000"/>
                <w:w w:val="92"/>
                <w:vertAlign w:val="superscript"/>
              </w:rPr>
              <w:t>(3)</w:t>
            </w:r>
          </w:p>
        </w:tc>
        <w:tc>
          <w:tcPr>
            <w:tcW w:w="340" w:type="dxa"/>
            <w:vAlign w:val="bottom"/>
          </w:tcPr>
          <w:p>
            <w:pPr>
              <w:spacing w:after="0"/>
              <w:rPr>
                <w:sz w:val="17"/>
                <w:szCs w:val="17"/>
                <w:color w:val="auto"/>
              </w:rPr>
            </w:pPr>
          </w:p>
        </w:tc>
        <w:tc>
          <w:tcPr>
            <w:tcW w:w="540" w:type="dxa"/>
            <w:vAlign w:val="bottom"/>
            <w:vMerge w:val="restart"/>
          </w:tcPr>
          <w:p>
            <w:pPr>
              <w:jc w:val="center"/>
              <w:ind w:right="294"/>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21,185</w:t>
            </w:r>
          </w:p>
        </w:tc>
        <w:tc>
          <w:tcPr>
            <w:tcW w:w="340" w:type="dxa"/>
            <w:vAlign w:val="bottom"/>
          </w:tcPr>
          <w:p>
            <w:pPr>
              <w:spacing w:after="0"/>
              <w:rPr>
                <w:sz w:val="22"/>
                <w:szCs w:val="22"/>
                <w:color w:val="auto"/>
              </w:rPr>
            </w:pPr>
          </w:p>
        </w:tc>
        <w:tc>
          <w:tcPr>
            <w:tcW w:w="540" w:type="dxa"/>
            <w:vAlign w:val="bottom"/>
          </w:tcPr>
          <w:p>
            <w:pPr>
              <w:jc w:val="center"/>
              <w:ind w:right="314"/>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840" w:type="dxa"/>
            <w:vAlign w:val="bottom"/>
            <w:tcBorders>
              <w:bottom w:val="single" w:sz="8" w:color="2C2C2C"/>
            </w:tcBorders>
            <w:gridSpan w:val="6"/>
          </w:tcPr>
          <w:p>
            <w:pPr>
              <w:spacing w:after="0"/>
              <w:rPr>
                <w:sz w:val="8"/>
                <w:szCs w:val="8"/>
                <w:color w:val="auto"/>
              </w:rPr>
            </w:pPr>
          </w:p>
        </w:tc>
        <w:tc>
          <w:tcPr>
            <w:tcW w:w="262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6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0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4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4"/>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Arial" w:cs="Arial" w:eastAsia="Arial" w:hAnsi="Arial"/>
                <w:sz w:val="12"/>
                <w:szCs w:val="12"/>
                <w:b w:val="1"/>
                <w:bCs w:val="1"/>
                <w:color w:val="auto"/>
                <w:w w:val="92"/>
              </w:rPr>
              <w:t>(Instr. 4)</w:t>
            </w: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vMerge w:val="continue"/>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93.33</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12/17/2020</w:t>
            </w:r>
          </w:p>
        </w:tc>
        <w:tc>
          <w:tcPr>
            <w:tcW w:w="1140" w:type="dxa"/>
            <w:vAlign w:val="bottom"/>
          </w:tcPr>
          <w:p>
            <w:pPr>
              <w:spacing w:after="0"/>
              <w:rPr>
                <w:sz w:val="16"/>
                <w:szCs w:val="16"/>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Pr>
          <w:p>
            <w:pPr>
              <w:spacing w:after="0"/>
              <w:rPr>
                <w:sz w:val="16"/>
                <w:szCs w:val="16"/>
                <w:color w:val="auto"/>
              </w:rPr>
            </w:pPr>
          </w:p>
        </w:tc>
        <w:tc>
          <w:tcPr>
            <w:tcW w:w="5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29,600</w:t>
            </w:r>
          </w:p>
        </w:tc>
        <w:tc>
          <w:tcPr>
            <w:tcW w:w="300" w:type="dxa"/>
            <w:vAlign w:val="bottom"/>
          </w:tcPr>
          <w:p>
            <w:pPr>
              <w:spacing w:after="0"/>
              <w:rPr>
                <w:sz w:val="16"/>
                <w:szCs w:val="16"/>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12/17/2030</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29,600</w:t>
            </w:r>
          </w:p>
        </w:tc>
        <w:tc>
          <w:tcPr>
            <w:tcW w:w="40" w:type="dxa"/>
            <w:vAlign w:val="bottom"/>
          </w:tcPr>
          <w:p>
            <w:pPr>
              <w:spacing w:after="0"/>
              <w:rPr>
                <w:sz w:val="16"/>
                <w:szCs w:val="16"/>
                <w:color w:val="auto"/>
              </w:rPr>
            </w:pPr>
          </w:p>
        </w:tc>
        <w:tc>
          <w:tcPr>
            <w:tcW w:w="72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0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29,600</w:t>
            </w: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ind w:left="1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-1957070</wp:posOffset>
            </wp:positionV>
            <wp:extent cx="7033895" cy="20961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09613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3"/>
          <w:szCs w:val="13"/>
          <w:color w:val="0000FF"/>
        </w:rPr>
        <w:t>Option</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2"/>
        <w:spacing w:after="0" w:line="237"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payout of a Performance Share Award for the Fiscal 2018 to Fiscal 2020 Performance Period under The Toro Company Amended and Restated 2010 Equity and Incentive Plan, as amended and restated, as approved by the Issuer's Compensation &amp; Human Resources Committee of its Board of Directors on December 1, 2020, and which was conditioned upon and subject to confirmation by the Issuer's Fiscal 2020 financial results that were released on December 16, 2020. The reporting person has deferred the payout of her Performance Share Award under The Toro Company Deferred Compensation Plan for Officers (the "Deferred Plan") and, accordingly, the reporting person's Performance Share Award is paid in performance share units under the Deferred Plan.</w:t>
      </w:r>
    </w:p>
    <w:p>
      <w:pPr>
        <w:spacing w:after="0" w:line="2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13.967 performance share units acquired by the reporting person since the date of his last report under the dividend reinvestment feature of the Deferred Plan.</w:t>
      </w:r>
    </w:p>
    <w:p>
      <w:pPr>
        <w:spacing w:after="0" w:line="43" w:lineRule="exact"/>
        <w:rPr>
          <w:rFonts w:ascii="Times New Roman" w:cs="Times New Roman" w:eastAsia="Times New Roman" w:hAnsi="Times New Roman"/>
          <w:sz w:val="13"/>
          <w:szCs w:val="13"/>
          <w:color w:val="008000"/>
        </w:rPr>
      </w:pPr>
    </w:p>
    <w:p>
      <w:pPr>
        <w:ind w:left="40" w:right="20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7.851 net shares of common stock acquired by the reporting person since the date of his last report under the dividend reinvestment feature of The Toro Company Retirement Plan, less quarterly non-discretionary administrative fees.</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in three equal annual installments commencing on the first anniversary of the date of grant.</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Angela D. Snavely,</w:t>
            </w:r>
          </w:p>
        </w:tc>
        <w:tc>
          <w:tcPr>
            <w:tcW w:w="7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12/18/2020</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310825"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2020-12-18T16:20:25Z</dcterms:created>
  <dcterms:modified xsi:type="dcterms:W3CDTF">2020-12-18T16:20:25Z</dcterms:modified>
</cp:coreProperties>
</file>