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8"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-232410</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6"/>
        </w:trPr>
        <w:tc>
          <w:tcPr>
            <w:tcW w:w="6280" w:type="dxa"/>
            <w:vAlign w:val="bottom"/>
          </w:tcPr>
          <w:p>
            <w:pPr>
              <w:jc w:val="center"/>
              <w:ind w:right="19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97"/>
              <w:spacing w:after="0" w:line="141"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1"/>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8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5254625</wp:posOffset>
            </wp:positionH>
            <wp:positionV relativeFrom="paragraph">
              <wp:posOffset>-623570</wp:posOffset>
            </wp:positionV>
            <wp:extent cx="57785" cy="6369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690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-623570</wp:posOffset>
            </wp:positionV>
            <wp:extent cx="57785" cy="636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90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20320</wp:posOffset>
            </wp:positionV>
            <wp:extent cx="7046595" cy="49485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948555"/>
                    </a:xfrm>
                    <a:prstGeom prst="rect">
                      <a:avLst/>
                    </a:prstGeom>
                    <a:noFill/>
                  </pic:spPr>
                </pic:pic>
              </a:graphicData>
            </a:graphic>
          </wp:anchor>
        </w:drawing>
      </w:r>
    </w:p>
    <w:p>
      <w:pPr>
        <w:spacing w:after="0" w:line="99" w:lineRule="exact"/>
        <w:rPr>
          <w:sz w:val="24"/>
          <w:szCs w:val="24"/>
          <w:color w:val="auto"/>
        </w:rPr>
      </w:pPr>
    </w:p>
    <w:p>
      <w:pPr>
        <w:sectPr>
          <w:pgSz w:w="11900" w:h="16838" w:orient="portrait"/>
          <w:cols w:equalWidth="0" w:num="2">
            <w:col w:w="2240" w:space="340"/>
            <w:col w:w="8500"/>
          </w:cols>
          <w:pgMar w:left="460" w:top="221" w:right="359" w:bottom="1440"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Mullen Joyce A</w:t>
        </w:r>
      </w:hyperlink>
    </w:p>
    <w:p>
      <w:pPr>
        <w:spacing w:after="0" w:line="29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(Last)</w:t>
            </w:r>
          </w:p>
        </w:tc>
        <w:tc>
          <w:tcPr>
            <w:tcW w:w="1640" w:type="dxa"/>
            <w:vAlign w:val="bottom"/>
          </w:tcPr>
          <w:p>
            <w:pPr>
              <w:ind w:left="420"/>
              <w:spacing w:after="0"/>
              <w:rPr>
                <w:sz w:val="20"/>
                <w:szCs w:val="20"/>
                <w:color w:val="auto"/>
              </w:rPr>
            </w:pPr>
            <w:r>
              <w:rPr>
                <w:rFonts w:ascii="Arial" w:cs="Arial" w:eastAsia="Arial" w:hAnsi="Arial"/>
                <w:sz w:val="13"/>
                <w:szCs w:val="13"/>
                <w:color w:val="auto"/>
              </w:rPr>
              <w:t>(First)</w:t>
            </w:r>
          </w:p>
        </w:tc>
        <w:tc>
          <w:tcPr>
            <w:tcW w:w="1200" w:type="dxa"/>
            <w:vAlign w:val="bottom"/>
          </w:tcPr>
          <w:p>
            <w:pPr>
              <w:spacing w:after="0"/>
              <w:rPr>
                <w:sz w:val="20"/>
                <w:szCs w:val="20"/>
                <w:color w:val="auto"/>
              </w:rPr>
            </w:pPr>
            <w:r>
              <w:rPr>
                <w:rFonts w:ascii="Arial" w:cs="Arial" w:eastAsia="Arial" w:hAnsi="Arial"/>
                <w:sz w:val="13"/>
                <w:szCs w:val="13"/>
                <w:color w:val="auto"/>
              </w:rPr>
              <w:t>(Middle)</w:t>
            </w:r>
          </w:p>
        </w:tc>
      </w:tr>
      <w:tr>
        <w:trPr>
          <w:trHeight w:val="269"/>
        </w:trPr>
        <w:tc>
          <w:tcPr>
            <w:tcW w:w="20" w:type="dxa"/>
            <w:vAlign w:val="bottom"/>
          </w:tcPr>
          <w:p>
            <w:pPr>
              <w:spacing w:after="0"/>
              <w:rPr>
                <w:sz w:val="23"/>
                <w:szCs w:val="23"/>
                <w:color w:val="auto"/>
              </w:rPr>
            </w:pPr>
          </w:p>
        </w:tc>
        <w:tc>
          <w:tcPr>
            <w:tcW w:w="2460" w:type="dxa"/>
            <w:vAlign w:val="bottom"/>
            <w:gridSpan w:val="2"/>
          </w:tcPr>
          <w:p>
            <w:pPr>
              <w:ind w:left="20"/>
              <w:spacing w:after="0"/>
              <w:rPr>
                <w:sz w:val="20"/>
                <w:szCs w:val="20"/>
                <w:color w:val="auto"/>
              </w:rPr>
            </w:pPr>
            <w:r>
              <w:rPr>
                <w:rFonts w:ascii="Arial" w:cs="Arial" w:eastAsia="Arial" w:hAnsi="Arial"/>
                <w:sz w:val="17"/>
                <w:szCs w:val="17"/>
                <w:color w:val="0000FF"/>
                <w:w w:val="93"/>
              </w:rPr>
              <w:t>8111 LYNDALE AVENUE SOUTH</w:t>
            </w:r>
          </w:p>
        </w:tc>
        <w:tc>
          <w:tcPr>
            <w:tcW w:w="1200" w:type="dxa"/>
            <w:vAlign w:val="bottom"/>
          </w:tcPr>
          <w:p>
            <w:pPr>
              <w:spacing w:after="0"/>
              <w:rPr>
                <w:sz w:val="23"/>
                <w:szCs w:val="23"/>
                <w:color w:val="auto"/>
              </w:rPr>
            </w:pPr>
          </w:p>
        </w:tc>
      </w:tr>
      <w:tr>
        <w:trPr>
          <w:trHeight w:val="200"/>
        </w:trPr>
        <w:tc>
          <w:tcPr>
            <w:tcW w:w="20" w:type="dxa"/>
            <w:vAlign w:val="bottom"/>
          </w:tcPr>
          <w:p>
            <w:pPr>
              <w:spacing w:after="0"/>
              <w:rPr>
                <w:sz w:val="17"/>
                <w:szCs w:val="17"/>
                <w:color w:val="auto"/>
              </w:rPr>
            </w:pPr>
          </w:p>
        </w:tc>
        <w:tc>
          <w:tcPr>
            <w:tcW w:w="820" w:type="dxa"/>
            <w:vAlign w:val="bottom"/>
            <w:tcBorders>
              <w:bottom w:val="single" w:sz="8" w:color="9A9A9A"/>
            </w:tcBorders>
          </w:tcPr>
          <w:p>
            <w:pPr>
              <w:spacing w:after="0"/>
              <w:rPr>
                <w:sz w:val="17"/>
                <w:szCs w:val="17"/>
                <w:color w:val="auto"/>
              </w:rPr>
            </w:pPr>
          </w:p>
        </w:tc>
        <w:tc>
          <w:tcPr>
            <w:tcW w:w="1640" w:type="dxa"/>
            <w:vAlign w:val="bottom"/>
            <w:tcBorders>
              <w:bottom w:val="single" w:sz="8" w:color="9A9A9A"/>
            </w:tcBorders>
          </w:tcPr>
          <w:p>
            <w:pPr>
              <w:spacing w:after="0"/>
              <w:rPr>
                <w:sz w:val="17"/>
                <w:szCs w:val="17"/>
                <w:color w:val="auto"/>
              </w:rPr>
            </w:pPr>
          </w:p>
        </w:tc>
        <w:tc>
          <w:tcPr>
            <w:tcW w:w="1200" w:type="dxa"/>
            <w:vAlign w:val="bottom"/>
            <w:tcBorders>
              <w:bottom w:val="single" w:sz="8" w:color="9A9A9A"/>
            </w:tcBorders>
          </w:tcPr>
          <w:p>
            <w:pPr>
              <w:spacing w:after="0"/>
              <w:rPr>
                <w:sz w:val="17"/>
                <w:szCs w:val="17"/>
                <w:color w:val="auto"/>
              </w:rPr>
            </w:pPr>
          </w:p>
        </w:tc>
      </w:tr>
      <w:tr>
        <w:trPr>
          <w:trHeight w:val="256"/>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64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30"/>
        </w:trPr>
        <w:tc>
          <w:tcPr>
            <w:tcW w:w="20" w:type="dxa"/>
            <w:vAlign w:val="bottom"/>
          </w:tcPr>
          <w:p>
            <w:pPr>
              <w:spacing w:after="0"/>
              <w:rPr>
                <w:sz w:val="20"/>
                <w:szCs w:val="20"/>
                <w:color w:val="auto"/>
              </w:rPr>
            </w:pPr>
          </w:p>
        </w:tc>
        <w:tc>
          <w:tcPr>
            <w:tcW w:w="2460" w:type="dxa"/>
            <w:vAlign w:val="bottom"/>
            <w:gridSpan w:val="2"/>
          </w:tcPr>
          <w:p>
            <w:pPr>
              <w:ind w:left="20"/>
              <w:spacing w:after="0"/>
              <w:rPr>
                <w:sz w:val="20"/>
                <w:szCs w:val="20"/>
                <w:color w:val="auto"/>
              </w:rPr>
            </w:pPr>
            <w:r>
              <w:rPr>
                <w:rFonts w:ascii="Arial" w:cs="Arial" w:eastAsia="Arial" w:hAnsi="Arial"/>
                <w:sz w:val="17"/>
                <w:szCs w:val="17"/>
                <w:color w:val="0000FF"/>
              </w:rPr>
              <w:t>BLOOMINGTON MN</w:t>
            </w:r>
          </w:p>
        </w:tc>
        <w:tc>
          <w:tcPr>
            <w:tcW w:w="1200" w:type="dxa"/>
            <w:vAlign w:val="bottom"/>
          </w:tcPr>
          <w:p>
            <w:pPr>
              <w:jc w:val="right"/>
              <w:ind w:right="669"/>
              <w:spacing w:after="0"/>
              <w:rPr>
                <w:sz w:val="20"/>
                <w:szCs w:val="20"/>
                <w:color w:val="auto"/>
              </w:rPr>
            </w:pPr>
            <w:r>
              <w:rPr>
                <w:rFonts w:ascii="Arial" w:cs="Arial" w:eastAsia="Arial" w:hAnsi="Arial"/>
                <w:sz w:val="17"/>
                <w:szCs w:val="17"/>
                <w:color w:val="0000FF"/>
                <w:w w:val="92"/>
              </w:rPr>
              <w:t>55420</w:t>
            </w:r>
          </w:p>
        </w:tc>
      </w:tr>
      <w:tr>
        <w:trPr>
          <w:trHeight w:val="148"/>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64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640" w:type="dxa"/>
            <w:vAlign w:val="bottom"/>
          </w:tcPr>
          <w:p>
            <w:pPr>
              <w:ind w:left="420"/>
              <w:spacing w:after="0"/>
              <w:rPr>
                <w:sz w:val="20"/>
                <w:szCs w:val="20"/>
                <w:color w:val="auto"/>
              </w:rPr>
            </w:pPr>
            <w:r>
              <w:rPr>
                <w:rFonts w:ascii="Arial" w:cs="Arial" w:eastAsia="Arial" w:hAnsi="Arial"/>
                <w:sz w:val="13"/>
                <w:szCs w:val="13"/>
                <w:color w:val="auto"/>
              </w:rPr>
              <w:t>(State)</w:t>
            </w:r>
          </w:p>
        </w:tc>
        <w:tc>
          <w:tcPr>
            <w:tcW w:w="1200" w:type="dxa"/>
            <w:vAlign w:val="bottom"/>
          </w:tcPr>
          <w:p>
            <w:pPr>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7"/>
        </w:trPr>
        <w:tc>
          <w:tcPr>
            <w:tcW w:w="60" w:type="dxa"/>
            <w:vAlign w:val="bottom"/>
          </w:tcPr>
          <w:p>
            <w:pPr>
              <w:spacing w:after="0"/>
              <w:rPr>
                <w:sz w:val="11"/>
                <w:szCs w:val="11"/>
                <w:color w:val="auto"/>
              </w:rPr>
            </w:pPr>
          </w:p>
        </w:tc>
        <w:tc>
          <w:tcPr>
            <w:tcW w:w="3760" w:type="dxa"/>
            <w:vAlign w:val="bottom"/>
            <w:gridSpan w:val="3"/>
          </w:tcPr>
          <w:p>
            <w:pPr>
              <w:spacing w:after="0" w:line="137" w:lineRule="exact"/>
              <w:rPr>
                <w:rFonts w:ascii="Arial" w:cs="Arial" w:eastAsia="Arial" w:hAnsi="Arial"/>
                <w:sz w:val="15"/>
                <w:szCs w:val="15"/>
                <w:color w:val="0000EE"/>
              </w:rPr>
            </w:pPr>
            <w:hyperlink r:id="rId13">
              <w:r>
                <w:rPr>
                  <w:rFonts w:ascii="Arial" w:cs="Arial" w:eastAsia="Arial" w:hAnsi="Arial"/>
                  <w:sz w:val="15"/>
                  <w:szCs w:val="15"/>
                  <w:color w:val="0000EE"/>
                </w:rPr>
                <w:t xml:space="preserve">TORO CO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TTC</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86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780" w:type="dxa"/>
            <w:vAlign w:val="bottom"/>
            <w:tcBorders>
              <w:bottom w:val="single" w:sz="8" w:color="0000EE"/>
            </w:tcBorders>
          </w:tcPr>
          <w:p>
            <w:pPr>
              <w:spacing w:after="0"/>
              <w:rPr>
                <w:sz w:val="3"/>
                <w:szCs w:val="3"/>
                <w:color w:val="auto"/>
              </w:rPr>
            </w:pPr>
          </w:p>
        </w:tc>
        <w:tc>
          <w:tcPr>
            <w:tcW w:w="2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40" w:type="dxa"/>
            <w:vAlign w:val="bottom"/>
            <w:vMerge w:val="restart"/>
          </w:tcPr>
          <w:p>
            <w:pPr>
              <w:ind w:left="60"/>
              <w:spacing w:after="0" w:line="160"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86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40" w:type="dxa"/>
            <w:vAlign w:val="bottom"/>
            <w:vMerge w:val="continue"/>
          </w:tcPr>
          <w:p>
            <w:pPr>
              <w:spacing w:after="0"/>
              <w:rPr>
                <w:sz w:val="11"/>
                <w:szCs w:val="11"/>
                <w:color w:val="auto"/>
              </w:rPr>
            </w:pPr>
          </w:p>
        </w:tc>
        <w:tc>
          <w:tcPr>
            <w:tcW w:w="1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3"/>
        </w:trPr>
        <w:tc>
          <w:tcPr>
            <w:tcW w:w="960" w:type="dxa"/>
            <w:vAlign w:val="bottom"/>
            <w:gridSpan w:val="3"/>
          </w:tcPr>
          <w:p>
            <w:pPr>
              <w:ind w:left="60"/>
              <w:spacing w:after="0"/>
              <w:rPr>
                <w:sz w:val="20"/>
                <w:szCs w:val="20"/>
                <w:color w:val="auto"/>
              </w:rPr>
            </w:pPr>
            <w:r>
              <w:rPr>
                <w:rFonts w:ascii="Arial" w:cs="Arial" w:eastAsia="Arial" w:hAnsi="Arial"/>
                <w:sz w:val="17"/>
                <w:szCs w:val="17"/>
                <w:color w:val="0000FF"/>
              </w:rPr>
              <w:t>11/01/2023</w:t>
            </w:r>
          </w:p>
        </w:tc>
        <w:tc>
          <w:tcPr>
            <w:tcW w:w="2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1"/>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8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2"/>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100"/>
        <w:spacing w:after="0" w:line="226"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139"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05" w:lineRule="exact"/>
        <w:rPr>
          <w:sz w:val="24"/>
          <w:szCs w:val="24"/>
          <w:color w:val="auto"/>
        </w:rPr>
      </w:pPr>
    </w:p>
    <w:p>
      <w:pPr>
        <w:ind w:left="320" w:right="320"/>
        <w:spacing w:after="0" w:line="23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20" w:type="dxa"/>
            <w:vAlign w:val="bottom"/>
          </w:tcPr>
          <w:p>
            <w:pPr>
              <w:ind w:left="820"/>
              <w:spacing w:after="0" w:line="12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0"/>
                <w:szCs w:val="10"/>
                <w:color w:val="auto"/>
              </w:rPr>
            </w:pPr>
          </w:p>
        </w:tc>
        <w:tc>
          <w:tcPr>
            <w:tcW w:w="940" w:type="dxa"/>
            <w:vAlign w:val="bottom"/>
            <w:gridSpan w:val="2"/>
          </w:tcPr>
          <w:p>
            <w:pPr>
              <w:ind w:left="40"/>
              <w:spacing w:after="0" w:line="125"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2540" w:type="dxa"/>
            <w:vAlign w:val="bottom"/>
            <w:gridSpan w:val="4"/>
          </w:tcPr>
          <w:p>
            <w:pPr>
              <w:ind w:left="60"/>
              <w:spacing w:after="0" w:line="125" w:lineRule="exact"/>
              <w:rPr>
                <w:sz w:val="20"/>
                <w:szCs w:val="20"/>
                <w:color w:val="auto"/>
              </w:rPr>
            </w:pPr>
            <w:r>
              <w:rPr>
                <w:rFonts w:ascii="Arial" w:cs="Arial" w:eastAsia="Arial" w:hAnsi="Arial"/>
                <w:sz w:val="12"/>
                <w:szCs w:val="12"/>
                <w:b w:val="1"/>
                <w:bCs w:val="1"/>
                <w:color w:val="auto"/>
                <w:w w:val="98"/>
              </w:rPr>
              <w:t>Transaction  Disposed Of (D) (Instr. 3, 4 and</w:t>
            </w:r>
          </w:p>
        </w:tc>
        <w:tc>
          <w:tcPr>
            <w:tcW w:w="14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0"/>
                <w:szCs w:val="10"/>
                <w:color w:val="auto"/>
              </w:rPr>
            </w:pPr>
          </w:p>
        </w:tc>
        <w:tc>
          <w:tcPr>
            <w:tcW w:w="960" w:type="dxa"/>
            <w:vAlign w:val="bottom"/>
            <w:gridSpan w:val="2"/>
          </w:tcPr>
          <w:p>
            <w:pPr>
              <w:ind w:left="20"/>
              <w:spacing w:after="0" w:line="125"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60" w:type="dxa"/>
            <w:vAlign w:val="bottom"/>
            <w:gridSpan w:val="2"/>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Code (Instr.</w:t>
            </w:r>
          </w:p>
        </w:tc>
        <w:tc>
          <w:tcPr>
            <w:tcW w:w="6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(Month/Day/Year)  8)</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(A) or</w:t>
            </w: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40" w:type="dxa"/>
            <w:vAlign w:val="bottom"/>
            <w:vMerge w:val="continue"/>
          </w:tcPr>
          <w:p>
            <w:pPr>
              <w:spacing w:after="0"/>
              <w:rPr>
                <w:sz w:val="11"/>
                <w:szCs w:val="11"/>
                <w:color w:val="auto"/>
              </w:rPr>
            </w:pPr>
          </w:p>
        </w:tc>
        <w:tc>
          <w:tcPr>
            <w:tcW w:w="520" w:type="dxa"/>
            <w:vAlign w:val="bottom"/>
            <w:vMerge w:val="restart"/>
          </w:tcPr>
          <w:p>
            <w:pPr>
              <w:jc w:val="right"/>
              <w:ind w:right="76"/>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w w:val="90"/>
              </w:rPr>
              <w:t>Common Stock Units</w:t>
            </w:r>
          </w:p>
        </w:tc>
        <w:tc>
          <w:tcPr>
            <w:tcW w:w="98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20"/>
              <w:spacing w:after="0"/>
              <w:rPr>
                <w:sz w:val="20"/>
                <w:szCs w:val="20"/>
                <w:color w:val="auto"/>
              </w:rPr>
            </w:pPr>
            <w:r>
              <w:rPr>
                <w:rFonts w:ascii="Arial" w:cs="Arial" w:eastAsia="Arial" w:hAnsi="Arial"/>
                <w:sz w:val="17"/>
                <w:szCs w:val="17"/>
                <w:color w:val="0000FF"/>
              </w:rPr>
              <w:t>11/01/2023</w:t>
            </w:r>
          </w:p>
        </w:tc>
        <w:tc>
          <w:tcPr>
            <w:tcW w:w="6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A</w:t>
            </w:r>
          </w:p>
        </w:tc>
        <w:tc>
          <w:tcPr>
            <w:tcW w:w="68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w w:val="83"/>
              </w:rPr>
              <w:t>943</w:t>
            </w:r>
            <w:r>
              <w:rPr>
                <w:rFonts w:ascii="Arial" w:cs="Arial" w:eastAsia="Arial" w:hAnsi="Arial"/>
                <w:sz w:val="21"/>
                <w:szCs w:val="21"/>
                <w:color w:val="008000"/>
                <w:w w:val="83"/>
                <w:vertAlign w:val="superscript"/>
              </w:rPr>
              <w:t>(1)</w:t>
            </w:r>
          </w:p>
        </w:tc>
        <w:tc>
          <w:tcPr>
            <w:tcW w:w="64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tcPr>
          <w:p>
            <w:pPr>
              <w:jc w:val="right"/>
              <w:ind w:right="1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20" w:type="dxa"/>
            <w:vAlign w:val="bottom"/>
            <w:tcBorders>
              <w:bottom w:val="single" w:sz="8" w:color="2C2C2C"/>
            </w:tcBorders>
            <w:gridSpan w:val="3"/>
          </w:tcPr>
          <w:p>
            <w:pPr>
              <w:ind w:left="320"/>
              <w:spacing w:after="0"/>
              <w:rPr>
                <w:sz w:val="20"/>
                <w:szCs w:val="20"/>
                <w:color w:val="auto"/>
              </w:rPr>
            </w:pPr>
            <w:r>
              <w:rPr>
                <w:rFonts w:ascii="Arial" w:cs="Arial" w:eastAsia="Arial" w:hAnsi="Arial"/>
                <w:sz w:val="17"/>
                <w:szCs w:val="17"/>
                <w:color w:val="0000FF"/>
              </w:rPr>
              <w:t>4,406.438</w:t>
            </w:r>
            <w:r>
              <w:rPr>
                <w:rFonts w:ascii="Arial" w:cs="Arial" w:eastAsia="Arial" w:hAnsi="Arial"/>
                <w:sz w:val="21"/>
                <w:szCs w:val="21"/>
                <w:color w:val="008000"/>
                <w:vertAlign w:val="superscript"/>
              </w:rPr>
              <w:t>(2)</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840" w:type="dxa"/>
            <w:vAlign w:val="bottom"/>
            <w:tcBorders>
              <w:top w:val="single" w:sz="8" w:color="2C2C2C"/>
            </w:tcBorders>
          </w:tcPr>
          <w:p>
            <w:pPr>
              <w:spacing w:after="0"/>
              <w:rPr>
                <w:sz w:val="18"/>
                <w:szCs w:val="18"/>
                <w:color w:val="auto"/>
              </w:rPr>
            </w:pPr>
          </w:p>
        </w:tc>
        <w:tc>
          <w:tcPr>
            <w:tcW w:w="98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460" w:type="dxa"/>
            <w:vAlign w:val="bottom"/>
            <w:gridSpan w:val="9"/>
          </w:tcPr>
          <w:p>
            <w:pPr>
              <w:jc w:val="right"/>
              <w:ind w:right="7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9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6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w w:val="94"/>
              </w:rPr>
              <w:t>Derivative</w:t>
            </w:r>
          </w:p>
        </w:tc>
        <w:tc>
          <w:tcPr>
            <w:tcW w:w="260" w:type="dxa"/>
            <w:vAlign w:val="bottom"/>
          </w:tcPr>
          <w:p>
            <w:pPr>
              <w:spacing w:after="0"/>
              <w:rPr>
                <w:sz w:val="11"/>
                <w:szCs w:val="11"/>
                <w:color w:val="auto"/>
              </w:rPr>
            </w:pPr>
          </w:p>
        </w:tc>
        <w:tc>
          <w:tcPr>
            <w:tcW w:w="15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4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w w:val="94"/>
              </w:rPr>
              <w:t>Securities</w:t>
            </w:r>
          </w:p>
        </w:tc>
        <w:tc>
          <w:tcPr>
            <w:tcW w:w="260" w:type="dxa"/>
            <w:vAlign w:val="bottom"/>
          </w:tcPr>
          <w:p>
            <w:pPr>
              <w:spacing w:after="0"/>
              <w:rPr>
                <w:sz w:val="11"/>
                <w:szCs w:val="11"/>
                <w:color w:val="auto"/>
              </w:rPr>
            </w:pPr>
          </w:p>
        </w:tc>
        <w:tc>
          <w:tcPr>
            <w:tcW w:w="15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98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Acquired (A)</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or Disposed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vMerge w:val="restart"/>
          </w:tcPr>
          <w:p>
            <w:pPr>
              <w:spacing w:after="0"/>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w:t>
            </w:r>
          </w:p>
        </w:tc>
        <w:tc>
          <w:tcPr>
            <w:tcW w:w="26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vMerge w:val="continue"/>
          </w:tcPr>
          <w:p>
            <w:pPr>
              <w:spacing w:after="0"/>
              <w:rPr>
                <w:sz w:val="13"/>
                <w:szCs w:val="13"/>
                <w:color w:val="auto"/>
              </w:rPr>
            </w:pPr>
          </w:p>
        </w:tc>
        <w:tc>
          <w:tcPr>
            <w:tcW w:w="52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Non-</w:t>
            </w: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Qualified</w:t>
            </w:r>
          </w:p>
        </w:tc>
        <w:tc>
          <w:tcPr>
            <w:tcW w:w="84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81.03</w:t>
            </w:r>
          </w:p>
        </w:tc>
        <w:tc>
          <w:tcPr>
            <w:tcW w:w="980" w:type="dxa"/>
            <w:vAlign w:val="bottom"/>
            <w:vMerge w:val="restart"/>
          </w:tcPr>
          <w:p>
            <w:pPr>
              <w:jc w:val="right"/>
              <w:ind w:right="161"/>
              <w:spacing w:after="0"/>
              <w:rPr>
                <w:sz w:val="20"/>
                <w:szCs w:val="20"/>
                <w:color w:val="auto"/>
              </w:rPr>
            </w:pPr>
            <w:r>
              <w:rPr>
                <w:rFonts w:ascii="Arial" w:cs="Arial" w:eastAsia="Arial" w:hAnsi="Arial"/>
                <w:sz w:val="13"/>
                <w:szCs w:val="13"/>
                <w:color w:val="0000FF"/>
              </w:rPr>
              <w:t>11/01/2023</w:t>
            </w:r>
          </w:p>
        </w:tc>
        <w:tc>
          <w:tcPr>
            <w:tcW w:w="1120" w:type="dxa"/>
            <w:vAlign w:val="bottom"/>
          </w:tcPr>
          <w:p>
            <w:pPr>
              <w:spacing w:after="0"/>
              <w:rPr>
                <w:sz w:val="12"/>
                <w:szCs w:val="12"/>
                <w:color w:val="auto"/>
              </w:rPr>
            </w:pPr>
          </w:p>
        </w:tc>
        <w:tc>
          <w:tcPr>
            <w:tcW w:w="740" w:type="dxa"/>
            <w:vAlign w:val="bottom"/>
            <w:vMerge w:val="restart"/>
          </w:tcPr>
          <w:p>
            <w:pPr>
              <w:ind w:left="160"/>
              <w:spacing w:after="0"/>
              <w:rPr>
                <w:sz w:val="20"/>
                <w:szCs w:val="20"/>
                <w:color w:val="auto"/>
              </w:rPr>
            </w:pPr>
            <w:r>
              <w:rPr>
                <w:rFonts w:ascii="Arial" w:cs="Arial" w:eastAsia="Arial" w:hAnsi="Arial"/>
                <w:sz w:val="13"/>
                <w:szCs w:val="13"/>
                <w:color w:val="0000FF"/>
              </w:rPr>
              <w:t>A</w:t>
            </w:r>
          </w:p>
        </w:tc>
        <w:tc>
          <w:tcPr>
            <w:tcW w:w="680" w:type="dxa"/>
            <w:vAlign w:val="bottom"/>
            <w:vMerge w:val="restart"/>
          </w:tcPr>
          <w:p>
            <w:pPr>
              <w:ind w:left="140"/>
              <w:spacing w:after="0"/>
              <w:rPr>
                <w:sz w:val="20"/>
                <w:szCs w:val="20"/>
                <w:color w:val="auto"/>
              </w:rPr>
            </w:pPr>
            <w:r>
              <w:rPr>
                <w:rFonts w:ascii="Arial" w:cs="Arial" w:eastAsia="Arial" w:hAnsi="Arial"/>
                <w:sz w:val="13"/>
                <w:szCs w:val="13"/>
                <w:color w:val="0000FF"/>
              </w:rPr>
              <w:t>2,130</w:t>
            </w:r>
            <w:r>
              <w:rPr>
                <w:rFonts w:ascii="Arial" w:cs="Arial" w:eastAsia="Arial" w:hAnsi="Arial"/>
                <w:sz w:val="21"/>
                <w:szCs w:val="21"/>
                <w:color w:val="008000"/>
                <w:vertAlign w:val="superscript"/>
              </w:rPr>
              <w:t>(3)</w:t>
            </w:r>
          </w:p>
        </w:tc>
        <w:tc>
          <w:tcPr>
            <w:tcW w:w="260" w:type="dxa"/>
            <w:vAlign w:val="bottom"/>
          </w:tcPr>
          <w:p>
            <w:pPr>
              <w:spacing w:after="0"/>
              <w:rPr>
                <w:sz w:val="12"/>
                <w:szCs w:val="12"/>
                <w:color w:val="auto"/>
              </w:rPr>
            </w:pP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680" w:type="dxa"/>
            <w:vAlign w:val="bottom"/>
            <w:vMerge w:val="restart"/>
          </w:tcPr>
          <w:p>
            <w:pPr>
              <w:spacing w:after="0"/>
              <w:rPr>
                <w:sz w:val="20"/>
                <w:szCs w:val="20"/>
                <w:color w:val="auto"/>
              </w:rPr>
            </w:pPr>
            <w:r>
              <w:rPr>
                <w:rFonts w:ascii="Arial" w:cs="Arial" w:eastAsia="Arial" w:hAnsi="Arial"/>
                <w:sz w:val="13"/>
                <w:szCs w:val="13"/>
                <w:color w:val="0000FF"/>
              </w:rPr>
              <w:t>11/01/2033</w:t>
            </w:r>
          </w:p>
        </w:tc>
        <w:tc>
          <w:tcPr>
            <w:tcW w:w="640" w:type="dxa"/>
            <w:vAlign w:val="bottom"/>
          </w:tcPr>
          <w:p>
            <w:pPr>
              <w:ind w:left="40"/>
              <w:spacing w:after="0" w:line="141" w:lineRule="exact"/>
              <w:rPr>
                <w:sz w:val="20"/>
                <w:szCs w:val="20"/>
                <w:color w:val="auto"/>
              </w:rPr>
            </w:pPr>
            <w:r>
              <w:rPr>
                <w:rFonts w:ascii="Arial" w:cs="Arial" w:eastAsia="Arial" w:hAnsi="Arial"/>
                <w:sz w:val="13"/>
                <w:szCs w:val="13"/>
                <w:color w:val="0000FF"/>
              </w:rPr>
              <w:t>Common</w:t>
            </w:r>
          </w:p>
        </w:tc>
        <w:tc>
          <w:tcPr>
            <w:tcW w:w="520" w:type="dxa"/>
            <w:vAlign w:val="bottom"/>
            <w:vMerge w:val="restart"/>
          </w:tcPr>
          <w:p>
            <w:pPr>
              <w:jc w:val="right"/>
              <w:ind w:right="36"/>
              <w:spacing w:after="0"/>
              <w:rPr>
                <w:sz w:val="20"/>
                <w:szCs w:val="20"/>
                <w:color w:val="auto"/>
              </w:rPr>
            </w:pPr>
            <w:r>
              <w:rPr>
                <w:rFonts w:ascii="Arial" w:cs="Arial" w:eastAsia="Arial" w:hAnsi="Arial"/>
                <w:sz w:val="17"/>
                <w:szCs w:val="17"/>
                <w:color w:val="0000FF"/>
                <w:w w:val="93"/>
              </w:rPr>
              <w:t>2,130</w:t>
            </w:r>
          </w:p>
        </w:tc>
        <w:tc>
          <w:tcPr>
            <w:tcW w:w="760" w:type="dxa"/>
            <w:vAlign w:val="bottom"/>
            <w:gridSpan w:val="2"/>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60" w:type="dxa"/>
            <w:vAlign w:val="bottom"/>
            <w:vMerge w:val="restart"/>
          </w:tcPr>
          <w:p>
            <w:pPr>
              <w:ind w:left="260"/>
              <w:spacing w:after="0"/>
              <w:rPr>
                <w:sz w:val="20"/>
                <w:szCs w:val="20"/>
                <w:color w:val="auto"/>
              </w:rPr>
            </w:pPr>
            <w:r>
              <w:rPr>
                <w:rFonts w:ascii="Arial" w:cs="Arial" w:eastAsia="Arial" w:hAnsi="Arial"/>
                <w:sz w:val="13"/>
                <w:szCs w:val="13"/>
                <w:color w:val="0000FF"/>
                <w:w w:val="85"/>
              </w:rPr>
              <w:t>2,130</w:t>
            </w:r>
          </w:p>
        </w:tc>
        <w:tc>
          <w:tcPr>
            <w:tcW w:w="30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84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0000FF"/>
              </w:rPr>
              <w:t>Stock</w:t>
            </w:r>
          </w:p>
        </w:tc>
        <w:tc>
          <w:tcPr>
            <w:tcW w:w="520" w:type="dxa"/>
            <w:vAlign w:val="bottom"/>
            <w:vMerge w:val="continue"/>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8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Option</w:t>
      </w:r>
    </w:p>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4"/>
          <w:szCs w:val="24"/>
          <w:color w:val="auto"/>
        </w:rPr>
      </w:pPr>
    </w:p>
    <w:p>
      <w:pPr>
        <w:ind w:left="40" w:right="320" w:firstLine="1"/>
        <w:spacing w:after="0" w:line="238"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Annual common stock award for service as a non-employee director issued under The Toro Company 2022 Equity and Incentive Plan (the "2022 Plan"). The reporting person has deferred the payout of her stock award under The Toro Company Deferred Compensation Plan for Non-Employee Directors (the "Deferred Plan") and, accordingly, the reporting person's stock award is paid in common stock units under the Deferred Plan.</w:t>
      </w:r>
    </w:p>
    <w:p>
      <w:pPr>
        <w:spacing w:after="0" w:line="30" w:lineRule="exact"/>
        <w:rPr>
          <w:rFonts w:ascii="Arial" w:cs="Arial" w:eastAsia="Arial" w:hAnsi="Arial"/>
          <w:sz w:val="13"/>
          <w:szCs w:val="13"/>
          <w:color w:val="008000"/>
        </w:rPr>
      </w:pPr>
    </w:p>
    <w:p>
      <w:pPr>
        <w:ind w:left="160" w:hanging="119"/>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Includes 45.862 common stock units acquired by the reporting person under the dividend reinvestment feature of the Deferred Plan since the date of her last report.</w:t>
      </w:r>
    </w:p>
    <w:p>
      <w:pPr>
        <w:spacing w:after="0" w:line="43" w:lineRule="exact"/>
        <w:rPr>
          <w:rFonts w:ascii="Arial" w:cs="Arial" w:eastAsia="Arial" w:hAnsi="Arial"/>
          <w:sz w:val="13"/>
          <w:szCs w:val="13"/>
          <w:color w:val="008000"/>
        </w:rPr>
      </w:pPr>
    </w:p>
    <w:p>
      <w:pPr>
        <w:ind w:left="160" w:hanging="119"/>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Annual option grant for service as a non-employee director issued under the 2022 Plan.</w:t>
      </w:r>
    </w:p>
    <w:p>
      <w:pPr>
        <w:spacing w:after="0" w:line="43" w:lineRule="exact"/>
        <w:rPr>
          <w:rFonts w:ascii="Arial" w:cs="Arial" w:eastAsia="Arial" w:hAnsi="Arial"/>
          <w:sz w:val="13"/>
          <w:szCs w:val="13"/>
          <w:color w:val="008000"/>
        </w:rPr>
      </w:pPr>
    </w:p>
    <w:p>
      <w:pPr>
        <w:ind w:left="160" w:hanging="119"/>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vests in three equal annual installments commencing on the first anniversary of the November 1, 2023, grant date.</w:t>
      </w:r>
    </w:p>
    <w:p>
      <w:pPr>
        <w:ind w:left="6600"/>
        <w:spacing w:after="0" w:line="182" w:lineRule="auto"/>
        <w:rPr>
          <w:sz w:val="20"/>
          <w:szCs w:val="20"/>
          <w:color w:val="auto"/>
        </w:rPr>
      </w:pPr>
      <w:r>
        <w:rPr>
          <w:rFonts w:ascii="Arial" w:cs="Arial" w:eastAsia="Arial" w:hAnsi="Arial"/>
          <w:sz w:val="17"/>
          <w:szCs w:val="17"/>
          <w:color w:val="0000FF"/>
        </w:rPr>
        <w:t xml:space="preserve">/s/ Joanna M. Totsky, Attorney- </w:t>
      </w:r>
      <w:r>
        <w:rPr>
          <w:rFonts w:ascii="Arial" w:cs="Arial" w:eastAsia="Arial" w:hAnsi="Arial"/>
          <w:sz w:val="33"/>
          <w:szCs w:val="33"/>
          <w:color w:val="0000FF"/>
          <w:vertAlign w:val="subscript"/>
        </w:rPr>
        <w:t>11/03/2023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-26670</wp:posOffset>
            </wp:positionV>
            <wp:extent cx="13392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3921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-20955</wp:posOffset>
            </wp:positionV>
            <wp:extent cx="3003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0035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-86360</wp:posOffset>
            </wp:positionV>
            <wp:extent cx="4787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78790" cy="8255"/>
                    </a:xfrm>
                    <a:prstGeom prst="rect">
                      <a:avLst/>
                    </a:prstGeom>
                    <a:noFill/>
                  </pic:spPr>
                </pic:pic>
              </a:graphicData>
            </a:graphic>
          </wp:anchor>
        </w:drawing>
      </w:r>
    </w:p>
    <w:p>
      <w:pPr>
        <w:spacing w:after="0" w:line="27"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1"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1"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Exhibit 24</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LIMITED POWER OF ATTORNEY</w:t>
      </w:r>
    </w:p>
    <w:p>
      <w:pPr>
        <w:spacing w:after="0" w:line="192" w:lineRule="exact"/>
        <w:rPr>
          <w:sz w:val="20"/>
          <w:szCs w:val="20"/>
          <w:color w:val="auto"/>
        </w:rPr>
      </w:pPr>
    </w:p>
    <w:p>
      <w:pPr>
        <w:ind w:right="3279"/>
        <w:spacing w:after="0" w:line="245"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Joanna M. Totsky, signing singly, true and lawful attorney-in-fact relative to the filings identified below in connection with the undersigned's derivative and non-derivative securities of The Toro Company (the ?Company?) to:</w:t>
      </w:r>
    </w:p>
    <w:p>
      <w:pPr>
        <w:spacing w:after="0" w:line="172" w:lineRule="exact"/>
        <w:rPr>
          <w:sz w:val="20"/>
          <w:szCs w:val="20"/>
          <w:color w:val="auto"/>
        </w:rPr>
      </w:pPr>
    </w:p>
    <w:p>
      <w:pPr>
        <w:ind w:right="3179" w:firstLine="3"/>
        <w:spacing w:after="0" w:line="245" w:lineRule="auto"/>
        <w:tabs>
          <w:tab w:leader="none" w:pos="801"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and execute for and on behalf of the undersigned, in the undersigned?s capacity as a director of the Company, Forms 3, 4 and 5 in accordance with Section 16(a) of the Securities Exchange Act of 1934, as amended, and the rules and regulations thereunder (the ?Exchange Act?);</w:t>
      </w:r>
    </w:p>
    <w:p>
      <w:pPr>
        <w:spacing w:after="0" w:line="172" w:lineRule="exact"/>
        <w:rPr>
          <w:rFonts w:ascii="Courier New" w:cs="Courier New" w:eastAsia="Courier New" w:hAnsi="Courier New"/>
          <w:sz w:val="17"/>
          <w:szCs w:val="17"/>
          <w:color w:val="auto"/>
        </w:rPr>
      </w:pPr>
    </w:p>
    <w:p>
      <w:pPr>
        <w:ind w:right="3479" w:firstLine="3"/>
        <w:spacing w:after="0" w:line="245" w:lineRule="auto"/>
        <w:tabs>
          <w:tab w:leader="none" w:pos="801"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and execute for and on behalf of the undersigned, in the undersigned?s capacity as a director of the Company, any Form 144 in accordance with Rule 144 under the Securities Act of 1933, as amended, and the rules and regulations thereunder (the ?Securities Act?);</w:t>
      </w:r>
    </w:p>
    <w:p>
      <w:pPr>
        <w:spacing w:after="0" w:line="172" w:lineRule="exact"/>
        <w:rPr>
          <w:rFonts w:ascii="Courier New" w:cs="Courier New" w:eastAsia="Courier New" w:hAnsi="Courier New"/>
          <w:sz w:val="17"/>
          <w:szCs w:val="17"/>
          <w:color w:val="auto"/>
        </w:rPr>
      </w:pPr>
    </w:p>
    <w:p>
      <w:pPr>
        <w:ind w:right="3179" w:firstLine="3"/>
        <w:spacing w:after="0" w:line="245" w:lineRule="auto"/>
        <w:tabs>
          <w:tab w:leader="none" w:pos="801"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Forms 3, 4, 5 and 144 and the timely filing of such forms with the United States Securities and Exchange Commission and any stock exchange or similar authority; and</w:t>
      </w:r>
    </w:p>
    <w:p>
      <w:pPr>
        <w:spacing w:after="0" w:line="172" w:lineRule="exact"/>
        <w:rPr>
          <w:rFonts w:ascii="Courier New" w:cs="Courier New" w:eastAsia="Courier New" w:hAnsi="Courier New"/>
          <w:sz w:val="17"/>
          <w:szCs w:val="17"/>
          <w:color w:val="auto"/>
        </w:rPr>
      </w:pPr>
    </w:p>
    <w:p>
      <w:pPr>
        <w:ind w:right="3179" w:firstLine="3"/>
        <w:spacing w:after="0" w:line="243" w:lineRule="auto"/>
        <w:tabs>
          <w:tab w:leader="none" w:pos="801"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Limited Power of Attorney shall be in such form and shall contain such terms and conditions as such attorney-in-fact may approve in such attorney-in-fact?s discretion.</w:t>
      </w:r>
    </w:p>
    <w:p>
      <w:pPr>
        <w:spacing w:after="0" w:line="173" w:lineRule="exact"/>
        <w:rPr>
          <w:sz w:val="20"/>
          <w:szCs w:val="20"/>
          <w:color w:val="auto"/>
        </w:rPr>
      </w:pPr>
    </w:p>
    <w:p>
      <w:pPr>
        <w:ind w:right="3079"/>
        <w:spacing w:after="0" w:line="258" w:lineRule="auto"/>
        <w:rPr>
          <w:sz w:val="20"/>
          <w:szCs w:val="20"/>
          <w:color w:val="auto"/>
        </w:rPr>
      </w:pPr>
      <w:r>
        <w:rPr>
          <w:rFonts w:ascii="Courier New" w:cs="Courier New" w:eastAsia="Courier New" w:hAnsi="Courier New"/>
          <w:sz w:val="16"/>
          <w:szCs w:val="16"/>
          <w:color w:val="auto"/>
        </w:rPr>
        <w:t>The undersigned hereby grants to such attorney-in-fact full power and authority to do and perform all and every act and thing whatsoever requisite, necessary, or proper to be done in the exercise of any of the rights and powers herein granted, as fully to all intents and purposes as such attorney-in-fact might or could do if personally present, with full power of substitution or revocation, hereby ratifying and confirming all that such attorney-in-fact,</w:t>
      </w:r>
    </w:p>
    <w:p>
      <w:pPr>
        <w:spacing w:after="0" w:line="2" w:lineRule="exact"/>
        <w:rPr>
          <w:sz w:val="20"/>
          <w:szCs w:val="20"/>
          <w:color w:val="auto"/>
        </w:rPr>
      </w:pPr>
    </w:p>
    <w:p>
      <w:pPr>
        <w:ind w:right="3279"/>
        <w:spacing w:after="0" w:line="257" w:lineRule="auto"/>
        <w:rPr>
          <w:sz w:val="20"/>
          <w:szCs w:val="20"/>
          <w:color w:val="auto"/>
        </w:rPr>
      </w:pPr>
      <w:r>
        <w:rPr>
          <w:rFonts w:ascii="Courier New" w:cs="Courier New" w:eastAsia="Courier New" w:hAnsi="Courier New"/>
          <w:sz w:val="16"/>
          <w:szCs w:val="16"/>
          <w:color w:val="auto"/>
        </w:rPr>
        <w:t>or any substitute or substitutes, shall lawfully do or cause to be done by virtue of this Limited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the Securities Act and Exchange Act, including Section 16 of the Exchange Act and Rule 144 under the Securities Act.</w:t>
      </w:r>
    </w:p>
    <w:p>
      <w:pPr>
        <w:spacing w:after="0" w:line="162" w:lineRule="exact"/>
        <w:rPr>
          <w:sz w:val="20"/>
          <w:szCs w:val="20"/>
          <w:color w:val="auto"/>
        </w:rPr>
      </w:pPr>
    </w:p>
    <w:p>
      <w:pPr>
        <w:ind w:right="3179"/>
        <w:spacing w:after="0" w:line="264" w:lineRule="auto"/>
        <w:rPr>
          <w:sz w:val="20"/>
          <w:szCs w:val="20"/>
          <w:color w:val="auto"/>
        </w:rPr>
      </w:pPr>
      <w:r>
        <w:rPr>
          <w:rFonts w:ascii="Courier New" w:cs="Courier New" w:eastAsia="Courier New" w:hAnsi="Courier New"/>
          <w:sz w:val="16"/>
          <w:szCs w:val="16"/>
          <w:color w:val="auto"/>
        </w:rPr>
        <w:t>IN WITNESS WHEREOF, the undersigned has caused this Limited Power of Attorney to be executed effective as of the date indicated below, and said Power of Attorney shall remain in effect until revoked by the undersigned in writing, or at such time as the undersigned is no longer a director of the Company, whichever first occurs.</w:t>
      </w:r>
    </w:p>
    <w:p>
      <w:pPr>
        <w:sectPr>
          <w:pgSz w:w="11900" w:h="16838" w:orient="portrait"/>
          <w:cols w:equalWidth="0" w:num="1">
            <w:col w:w="9999"/>
          </w:cols>
          <w:pgMar w:left="460" w:top="118" w:right="1440" w:bottom="1440" w:gutter="0" w:footer="0" w:header="0"/>
        </w:sectPr>
      </w:pP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Signed:</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Joyce A. Mullen</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Joyce A. Mullen</w:t>
      </w:r>
    </w:p>
    <w:p>
      <w:pPr>
        <w:spacing w:after="0" w:line="174" w:lineRule="exact"/>
        <w:rPr>
          <w:sz w:val="20"/>
          <w:szCs w:val="20"/>
          <w:color w:val="auto"/>
        </w:rPr>
      </w:pPr>
    </w:p>
    <w:p>
      <w:pPr>
        <w:sectPr>
          <w:pgSz w:w="11900" w:h="16838" w:orient="portrait"/>
          <w:cols w:equalWidth="0" w:num="2">
            <w:col w:w="880" w:space="720"/>
            <w:col w:w="8399"/>
          </w:cols>
          <w:pgMar w:left="460" w:top="118"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11/1/2023</w:t>
      </w:r>
    </w:p>
    <w:sectPr>
      <w:pgSz w:w="11900" w:h="16838" w:orient="portrait"/>
      <w:cols w:equalWidth="0" w:num="2">
        <w:col w:w="600" w:space="200"/>
        <w:col w:w="9199"/>
      </w:cols>
      <w:pgMar w:left="460" w:top="118"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71398"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2023-11-03T15:37:17Z</dcterms:created>
  <dcterms:modified xsi:type="dcterms:W3CDTF">2023-11-03T15:37:17Z</dcterms:modified>
</cp:coreProperties>
</file>