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right="600" w:hanging="4306"/>
        <w:spacing w:after="0" w:line="250" w:lineRule="auto"/>
        <w:rPr>
          <w:sz w:val="20"/>
          <w:szCs w:val="20"/>
          <w:color w:val="auto"/>
        </w:rPr>
      </w:pPr>
      <w:r>
        <w:rPr>
          <w:rFonts w:ascii="Courier New" w:cs="Courier New" w:eastAsia="Courier New" w:hAnsi="Courier New"/>
          <w:sz w:val="14"/>
          <w:szCs w:val="14"/>
          <w:color w:val="auto"/>
        </w:rPr>
        <w:t>AS FILED WITH THE SECURITIES AND EXCHANGE COMMISSION ON NOVEMBER 7, 1997 REGISTRATION NO. 333-</w:t>
      </w:r>
    </w:p>
    <w:p>
      <w:pPr>
        <w:spacing w:after="0" w:line="1"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26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26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2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jc w:val="center"/>
        <w:ind w:right="2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spacing w:after="0"/>
              <w:rPr>
                <w:sz w:val="14"/>
                <w:szCs w:val="14"/>
                <w:color w:val="auto"/>
              </w:rPr>
            </w:pPr>
          </w:p>
        </w:tc>
        <w:tc>
          <w:tcPr>
            <w:tcW w:w="190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3524</w:t>
            </w:r>
          </w:p>
        </w:tc>
        <w:tc>
          <w:tcPr>
            <w:tcW w:w="1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41-0580470</w:t>
            </w:r>
          </w:p>
        </w:tc>
      </w:tr>
      <w:tr>
        <w:trPr>
          <w:trHeight w:val="166"/>
        </w:trPr>
        <w:tc>
          <w:tcPr>
            <w:tcW w:w="2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(State or other jurisdiction</w:t>
            </w:r>
          </w:p>
        </w:tc>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(Primary Standard Industrial</w:t>
            </w:r>
          </w:p>
        </w:tc>
        <w:tc>
          <w:tcPr>
            <w:tcW w:w="1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86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of</w:t>
            </w:r>
          </w:p>
        </w:tc>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Classification Code Number)</w:t>
            </w:r>
          </w:p>
        </w:tc>
        <w:tc>
          <w:tcPr>
            <w:tcW w:w="1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Identification</w:t>
            </w:r>
          </w:p>
        </w:tc>
      </w:tr>
      <w:tr>
        <w:trPr>
          <w:trHeight w:val="166"/>
        </w:trPr>
        <w:tc>
          <w:tcPr>
            <w:tcW w:w="2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incorporation or organization)</w:t>
            </w: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No.)</w:t>
            </w:r>
          </w:p>
        </w:tc>
      </w:tr>
      <w:tr>
        <w:trPr>
          <w:trHeight w:val="497"/>
        </w:trPr>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J. LAWRENCE MCINTYRE, ESQ.</w:t>
            </w:r>
          </w:p>
        </w:tc>
      </w:tr>
      <w:tr>
        <w:trPr>
          <w:trHeight w:val="166"/>
        </w:trPr>
        <w:tc>
          <w:tcPr>
            <w:tcW w:w="2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THE TORO COMPANY</w:t>
            </w:r>
          </w:p>
        </w:tc>
      </w:tr>
      <w:tr>
        <w:trPr>
          <w:trHeight w:val="166"/>
        </w:trPr>
        <w:tc>
          <w:tcPr>
            <w:tcW w:w="28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8111 LYNDALE AVENUE SOUTH</w:t>
            </w:r>
          </w:p>
        </w:tc>
        <w:tc>
          <w:tcPr>
            <w:tcW w:w="640" w:type="dxa"/>
            <w:vAlign w:val="bottom"/>
          </w:tcPr>
          <w:p>
            <w:pPr>
              <w:spacing w:after="0"/>
              <w:rPr>
                <w:sz w:val="14"/>
                <w:szCs w:val="14"/>
                <w:color w:val="auto"/>
              </w:rPr>
            </w:pPr>
          </w:p>
        </w:tc>
        <w:tc>
          <w:tcPr>
            <w:tcW w:w="3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8111 LYNDALE AVENUE SOUTH</w:t>
            </w:r>
          </w:p>
        </w:tc>
      </w:tr>
      <w:tr>
        <w:trPr>
          <w:trHeight w:val="166"/>
        </w:trPr>
        <w:tc>
          <w:tcPr>
            <w:tcW w:w="350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MINNEAPOLIS, MINNESOTA 55420-1196</w:t>
            </w:r>
          </w:p>
        </w:tc>
        <w:tc>
          <w:tcPr>
            <w:tcW w:w="3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MINNEAPOLIS, MINNESOTA 55420-1196</w:t>
            </w:r>
          </w:p>
        </w:tc>
      </w:tr>
      <w:tr>
        <w:trPr>
          <w:trHeight w:val="166"/>
        </w:trPr>
        <w:tc>
          <w:tcPr>
            <w:tcW w:w="28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(612) 888-8801</w:t>
            </w:r>
          </w:p>
        </w:tc>
        <w:tc>
          <w:tcPr>
            <w:tcW w:w="640" w:type="dxa"/>
            <w:vAlign w:val="bottom"/>
          </w:tcPr>
          <w:p>
            <w:pPr>
              <w:spacing w:after="0"/>
              <w:rPr>
                <w:sz w:val="14"/>
                <w:szCs w:val="14"/>
                <w:color w:val="auto"/>
              </w:rPr>
            </w:pPr>
          </w:p>
        </w:tc>
        <w:tc>
          <w:tcPr>
            <w:tcW w:w="340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(612) 888-8801</w:t>
            </w:r>
          </w:p>
        </w:tc>
      </w:tr>
      <w:tr>
        <w:trPr>
          <w:trHeight w:val="166"/>
        </w:trPr>
        <w:tc>
          <w:tcPr>
            <w:tcW w:w="350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(Address, including zip code, and</w:t>
            </w:r>
          </w:p>
        </w:tc>
        <w:tc>
          <w:tcPr>
            <w:tcW w:w="3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(Name, address, including zip code,</w:t>
            </w:r>
          </w:p>
        </w:tc>
      </w:tr>
      <w:tr>
        <w:trPr>
          <w:trHeight w:val="166"/>
        </w:trPr>
        <w:tc>
          <w:tcPr>
            <w:tcW w:w="350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telephone number, including area code,</w:t>
            </w:r>
          </w:p>
        </w:tc>
        <w:tc>
          <w:tcPr>
            <w:tcW w:w="340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and telephone number, including area</w:t>
            </w:r>
          </w:p>
        </w:tc>
      </w:tr>
      <w:tr>
        <w:trPr>
          <w:trHeight w:val="166"/>
        </w:trPr>
        <w:tc>
          <w:tcPr>
            <w:tcW w:w="350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of Registrant's principal executive</w:t>
            </w:r>
          </w:p>
        </w:tc>
        <w:tc>
          <w:tcPr>
            <w:tcW w:w="3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code, of agent for service)</w:t>
            </w:r>
          </w:p>
        </w:tc>
      </w:tr>
      <w:tr>
        <w:trPr>
          <w:trHeight w:val="166"/>
        </w:trPr>
        <w:tc>
          <w:tcPr>
            <w:tcW w:w="28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offices)</w:t>
            </w: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40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24"/>
                <w:szCs w:val="24"/>
                <w:color w:val="auto"/>
              </w:rPr>
            </w:pPr>
          </w:p>
        </w:tc>
      </w:tr>
      <w:tr>
        <w:trPr>
          <w:trHeight w:val="166"/>
        </w:trPr>
        <w:tc>
          <w:tcPr>
            <w:tcW w:w="2860" w:type="dxa"/>
            <w:vAlign w:val="bottom"/>
          </w:tcPr>
          <w:p>
            <w:pPr>
              <w:spacing w:after="0"/>
              <w:rPr>
                <w:sz w:val="14"/>
                <w:szCs w:val="14"/>
                <w:color w:val="auto"/>
              </w:rPr>
            </w:pPr>
          </w:p>
        </w:tc>
        <w:tc>
          <w:tcPr>
            <w:tcW w:w="2540" w:type="dxa"/>
            <w:vAlign w:val="bottom"/>
            <w:gridSpan w:val="2"/>
          </w:tcPr>
          <w:p>
            <w:pPr>
              <w:jc w:val="center"/>
              <w:ind w:right="1288"/>
              <w:spacing w:after="0"/>
              <w:rPr>
                <w:sz w:val="20"/>
                <w:szCs w:val="20"/>
                <w:color w:val="auto"/>
              </w:rPr>
            </w:pPr>
            <w:r>
              <w:rPr>
                <w:rFonts w:ascii="Courier New" w:cs="Courier New" w:eastAsia="Courier New" w:hAnsi="Courier New"/>
                <w:sz w:val="14"/>
                <w:szCs w:val="14"/>
                <w:color w:val="auto"/>
              </w:rPr>
              <w:t>COPIES TO:</w:t>
            </w:r>
          </w:p>
        </w:tc>
        <w:tc>
          <w:tcPr>
            <w:tcW w:w="1500" w:type="dxa"/>
            <w:vAlign w:val="bottom"/>
          </w:tcPr>
          <w:p>
            <w:pPr>
              <w:spacing w:after="0"/>
              <w:rPr>
                <w:sz w:val="14"/>
                <w:szCs w:val="14"/>
                <w:color w:val="auto"/>
              </w:rPr>
            </w:pPr>
          </w:p>
        </w:tc>
      </w:tr>
      <w:tr>
        <w:trPr>
          <w:trHeight w:val="331"/>
        </w:trPr>
        <w:tc>
          <w:tcPr>
            <w:tcW w:w="28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J. ANDREW HERRING, ESQ.</w:t>
            </w:r>
          </w:p>
        </w:tc>
        <w:tc>
          <w:tcPr>
            <w:tcW w:w="640" w:type="dxa"/>
            <w:vAlign w:val="bottom"/>
          </w:tcPr>
          <w:p>
            <w:pPr>
              <w:spacing w:after="0"/>
              <w:rPr>
                <w:sz w:val="24"/>
                <w:szCs w:val="24"/>
                <w:color w:val="auto"/>
              </w:rPr>
            </w:pPr>
          </w:p>
        </w:tc>
        <w:tc>
          <w:tcPr>
            <w:tcW w:w="3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RICHARD A. DEWITT, ESQ.</w:t>
            </w:r>
          </w:p>
        </w:tc>
      </w:tr>
      <w:tr>
        <w:trPr>
          <w:trHeight w:val="166"/>
        </w:trPr>
        <w:tc>
          <w:tcPr>
            <w:tcW w:w="28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Dorsey &amp; Whitney LLP</w:t>
            </w:r>
          </w:p>
        </w:tc>
        <w:tc>
          <w:tcPr>
            <w:tcW w:w="640" w:type="dxa"/>
            <w:vAlign w:val="bottom"/>
          </w:tcPr>
          <w:p>
            <w:pPr>
              <w:spacing w:after="0"/>
              <w:rPr>
                <w:sz w:val="14"/>
                <w:szCs w:val="14"/>
                <w:color w:val="auto"/>
              </w:rPr>
            </w:pPr>
          </w:p>
        </w:tc>
        <w:tc>
          <w:tcPr>
            <w:tcW w:w="3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Croker, Huck, Kasher, DeWitt,</w:t>
            </w:r>
          </w:p>
        </w:tc>
      </w:tr>
      <w:tr>
        <w:trPr>
          <w:trHeight w:val="166"/>
        </w:trPr>
        <w:tc>
          <w:tcPr>
            <w:tcW w:w="2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Pillsbury Center South</w:t>
            </w:r>
          </w:p>
        </w:tc>
        <w:tc>
          <w:tcPr>
            <w:tcW w:w="640" w:type="dxa"/>
            <w:vAlign w:val="bottom"/>
          </w:tcPr>
          <w:p>
            <w:pPr>
              <w:spacing w:after="0"/>
              <w:rPr>
                <w:sz w:val="14"/>
                <w:szCs w:val="14"/>
                <w:color w:val="auto"/>
              </w:rPr>
            </w:pPr>
          </w:p>
        </w:tc>
        <w:tc>
          <w:tcPr>
            <w:tcW w:w="340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Anderson &amp; Gonderinger, P.C.</w:t>
            </w:r>
          </w:p>
        </w:tc>
      </w:tr>
      <w:tr>
        <w:trPr>
          <w:trHeight w:val="166"/>
        </w:trPr>
        <w:tc>
          <w:tcPr>
            <w:tcW w:w="2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220 South Sixth Street</w:t>
            </w:r>
          </w:p>
        </w:tc>
        <w:tc>
          <w:tcPr>
            <w:tcW w:w="640" w:type="dxa"/>
            <w:vAlign w:val="bottom"/>
          </w:tcPr>
          <w:p>
            <w:pPr>
              <w:spacing w:after="0"/>
              <w:rPr>
                <w:sz w:val="14"/>
                <w:szCs w:val="14"/>
                <w:color w:val="auto"/>
              </w:rPr>
            </w:pPr>
          </w:p>
        </w:tc>
        <w:tc>
          <w:tcPr>
            <w:tcW w:w="340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Commercial Federal Tower, Suite 1250</w:t>
            </w:r>
          </w:p>
        </w:tc>
      </w:tr>
      <w:tr>
        <w:trPr>
          <w:trHeight w:val="166"/>
        </w:trPr>
        <w:tc>
          <w:tcPr>
            <w:tcW w:w="2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Minneapolis, Minnesota 55402</w:t>
            </w:r>
          </w:p>
        </w:tc>
        <w:tc>
          <w:tcPr>
            <w:tcW w:w="640" w:type="dxa"/>
            <w:vAlign w:val="bottom"/>
          </w:tcPr>
          <w:p>
            <w:pPr>
              <w:spacing w:after="0"/>
              <w:rPr>
                <w:sz w:val="14"/>
                <w:szCs w:val="14"/>
                <w:color w:val="auto"/>
              </w:rPr>
            </w:pPr>
          </w:p>
        </w:tc>
        <w:tc>
          <w:tcPr>
            <w:tcW w:w="340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2120 South 72nd Street</w:t>
            </w:r>
          </w:p>
        </w:tc>
      </w:tr>
      <w:tr>
        <w:trPr>
          <w:trHeight w:val="166"/>
        </w:trPr>
        <w:tc>
          <w:tcPr>
            <w:tcW w:w="2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Omaha, Nebraska 68124</w:t>
            </w:r>
          </w:p>
        </w:tc>
      </w:tr>
    </w:tbl>
    <w:p>
      <w:pPr>
        <w:spacing w:after="0" w:line="170" w:lineRule="exact"/>
        <w:rPr>
          <w:sz w:val="24"/>
          <w:szCs w:val="24"/>
          <w:color w:val="auto"/>
        </w:rPr>
      </w:pPr>
    </w:p>
    <w:p>
      <w:pPr>
        <w:ind w:right="440" w:firstLine="344"/>
        <w:spacing w:after="0" w:line="251" w:lineRule="auto"/>
        <w:rPr>
          <w:sz w:val="20"/>
          <w:szCs w:val="20"/>
          <w:color w:val="auto"/>
        </w:rPr>
      </w:pPr>
      <w:r>
        <w:rPr>
          <w:rFonts w:ascii="Courier New" w:cs="Courier New" w:eastAsia="Courier New" w:hAnsi="Courier New"/>
          <w:sz w:val="14"/>
          <w:szCs w:val="14"/>
          <w:color w:val="auto"/>
        </w:rPr>
        <w:t>APPROXIMATE DATE OF COMMENCEMENT OF PROPOSED SALE OF THE SECURITIES TO THE PUBLIC: As promptly as practicable after this Registration Statement becomes effective and the effective time of the proposed merger (the "Merger") of a subsidiary of the Registrant with and into Exmark Manufacturing Company Incorporated, as described in the Agreement and Plan of Merger, dated as of October 23, 1997, attached as Exhibit A to the Proxy Statement/ Prospectus forming a part of this Registration Statement.</w:t>
      </w:r>
    </w:p>
    <w:p>
      <w:pPr>
        <w:spacing w:after="0" w:line="164" w:lineRule="exact"/>
        <w:rPr>
          <w:sz w:val="24"/>
          <w:szCs w:val="24"/>
          <w:color w:val="auto"/>
        </w:rPr>
      </w:pPr>
    </w:p>
    <w:p>
      <w:pPr>
        <w:ind w:right="340" w:firstLine="344"/>
        <w:spacing w:after="0" w:line="252" w:lineRule="auto"/>
        <w:rPr>
          <w:sz w:val="20"/>
          <w:szCs w:val="20"/>
          <w:color w:val="auto"/>
        </w:rPr>
      </w:pPr>
      <w:r>
        <w:rPr>
          <w:rFonts w:ascii="Courier New" w:cs="Courier New" w:eastAsia="Courier New" w:hAnsi="Courier New"/>
          <w:sz w:val="14"/>
          <w:szCs w:val="14"/>
          <w:color w:val="auto"/>
        </w:rPr>
        <w:t>If the securities being registered on this Form are to be offered in connection with the formation of a holding company and there is compliance with General Instruction G, check the following box. / /</w:t>
      </w:r>
    </w:p>
    <w:p>
      <w:pPr>
        <w:spacing w:after="0" w:line="163" w:lineRule="exact"/>
        <w:rPr>
          <w:sz w:val="24"/>
          <w:szCs w:val="24"/>
          <w:color w:val="auto"/>
        </w:rPr>
      </w:pPr>
    </w:p>
    <w:p>
      <w:pPr>
        <w:ind w:right="260" w:firstLine="344"/>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_____________________________.</w:t>
      </w:r>
    </w:p>
    <w:p>
      <w:pPr>
        <w:spacing w:after="0" w:line="162" w:lineRule="exact"/>
        <w:rPr>
          <w:sz w:val="24"/>
          <w:szCs w:val="24"/>
          <w:color w:val="auto"/>
        </w:rPr>
      </w:pPr>
    </w:p>
    <w:p>
      <w:pPr>
        <w:ind w:right="260" w:firstLine="344"/>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 ____________________________________________________.</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CALCULATION OF REGISTRATION FEE</w:t>
            </w:r>
          </w:p>
        </w:tc>
        <w:tc>
          <w:tcPr>
            <w:tcW w:w="1640" w:type="dxa"/>
            <w:vAlign w:val="bottom"/>
          </w:tcPr>
          <w:p>
            <w:pPr>
              <w:spacing w:after="0"/>
              <w:rPr>
                <w:sz w:val="14"/>
                <w:szCs w:val="14"/>
                <w:color w:val="auto"/>
              </w:rPr>
            </w:pPr>
          </w:p>
        </w:tc>
      </w:tr>
      <w:tr>
        <w:trPr>
          <w:trHeight w:val="663"/>
        </w:trPr>
        <w:tc>
          <w:tcPr>
            <w:tcW w:w="3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PROPOSED MAXIMUM</w:t>
            </w:r>
          </w:p>
        </w:tc>
      </w:tr>
      <w:tr>
        <w:trPr>
          <w:trHeight w:val="166"/>
        </w:trPr>
        <w:tc>
          <w:tcPr>
            <w:tcW w:w="39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TITLE OF EACH CLASS OF</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AMOUNT TO</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OFFERING PRICE</w:t>
            </w:r>
          </w:p>
        </w:tc>
      </w:tr>
      <w:tr>
        <w:trPr>
          <w:trHeight w:val="166"/>
        </w:trPr>
        <w:tc>
          <w:tcPr>
            <w:tcW w:w="39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TO BE REGISTERED(1)</w:t>
            </w:r>
          </w:p>
        </w:tc>
        <w:tc>
          <w:tcPr>
            <w:tcW w:w="1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BE REGISTERED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PER SHARE</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Common/Preferred Contingent Payment</w:t>
            </w: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22,847(2)</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w:t>
            </w:r>
          </w:p>
        </w:tc>
      </w:tr>
      <w:tr>
        <w:trPr>
          <w:trHeight w:val="166"/>
        </w:trPr>
        <w:tc>
          <w:tcPr>
            <w:tcW w:w="3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Class B Contingent Payment Rights...........</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10,000(3)</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w:t>
            </w:r>
          </w:p>
        </w:tc>
      </w:tr>
      <w:tr>
        <w:trPr>
          <w:trHeight w:val="166"/>
        </w:trPr>
        <w:tc>
          <w:tcPr>
            <w:tcW w:w="3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Common Stock, $1.00 par value...............</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1,646,600(4)</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Not Applicable</w:t>
            </w:r>
          </w:p>
        </w:tc>
      </w:tr>
    </w:tbl>
    <w:p>
      <w:pPr>
        <w:spacing w:after="0" w:line="335" w:lineRule="exact"/>
        <w:rPr>
          <w:sz w:val="24"/>
          <w:szCs w:val="24"/>
          <w:color w:val="auto"/>
        </w:rPr>
      </w:pPr>
    </w:p>
    <w:p>
      <w:pPr>
        <w:ind w:left="360" w:right="520" w:hanging="352"/>
        <w:spacing w:after="0" w:line="250"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Registration Statement relates to the securities of the Registrant issuable to holders of capital stock of Exmark Manufacturing Company Incorporated in connection with the Merger, including the preferred share purchase rights associated with the Common Stock of the Registrant as described herein.</w:t>
      </w:r>
    </w:p>
    <w:p>
      <w:pPr>
        <w:spacing w:after="0" w:line="2" w:lineRule="exact"/>
        <w:rPr>
          <w:rFonts w:ascii="Courier New" w:cs="Courier New" w:eastAsia="Courier New" w:hAnsi="Courier New"/>
          <w:sz w:val="14"/>
          <w:szCs w:val="14"/>
          <w:color w:val="auto"/>
        </w:rPr>
      </w:pPr>
    </w:p>
    <w:p>
      <w:pPr>
        <w:ind w:left="360" w:right="600" w:hanging="352"/>
        <w:spacing w:after="0" w:line="250"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estimated maximum number of shares of Common Stock and Preferred Stock of Exmark Manufacturing Company Incorporated that may be outstanding immediately prior to the Merger.</w:t>
      </w:r>
    </w:p>
    <w:p>
      <w:pPr>
        <w:spacing w:after="0" w:line="1" w:lineRule="exact"/>
        <w:rPr>
          <w:rFonts w:ascii="Courier New" w:cs="Courier New" w:eastAsia="Courier New" w:hAnsi="Courier New"/>
          <w:sz w:val="14"/>
          <w:szCs w:val="14"/>
          <w:color w:val="auto"/>
        </w:rPr>
      </w:pPr>
    </w:p>
    <w:p>
      <w:pPr>
        <w:ind w:left="360" w:right="440" w:hanging="352"/>
        <w:spacing w:after="0" w:line="250"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estimated maximum number of shares of Class B Preferred Stock of Exmark Manufacturing Company Incorporated that may be outstanding immediately prior to the Merger.</w:t>
      </w:r>
    </w:p>
    <w:p>
      <w:pPr>
        <w:spacing w:after="0" w:line="1" w:lineRule="exact"/>
        <w:rPr>
          <w:rFonts w:ascii="Courier New" w:cs="Courier New" w:eastAsia="Courier New" w:hAnsi="Courier New"/>
          <w:sz w:val="14"/>
          <w:szCs w:val="14"/>
          <w:color w:val="auto"/>
        </w:rPr>
      </w:pPr>
    </w:p>
    <w:p>
      <w:pPr>
        <w:ind w:left="360" w:right="440" w:hanging="352"/>
        <w:spacing w:after="0" w:line="251"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457(f)(2) and (3), the registration fee was calculated based upon the book value, calculated as of August 31, 1997 (the latest practicable date before filing this Registration Statement) of the securities to be received by the Registrant in the Merger (or $9,167,121), less $3,372,000 representing cash to be provided by the Registrant in such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PROPOSED MAXIMUM</w:t>
            </w:r>
          </w:p>
        </w:tc>
        <w:tc>
          <w:tcPr>
            <w:tcW w:w="1540" w:type="dxa"/>
            <w:vAlign w:val="bottom"/>
          </w:tcPr>
          <w:p>
            <w:pPr>
              <w:spacing w:after="0"/>
              <w:rPr>
                <w:sz w:val="14"/>
                <w:szCs w:val="14"/>
                <w:color w:val="auto"/>
              </w:rPr>
            </w:pPr>
          </w:p>
        </w:tc>
      </w:tr>
      <w:tr>
        <w:trPr>
          <w:trHeight w:val="166"/>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AGGREGATE</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OFFERING PRICE</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REGISTRATION FEE</w:t>
            </w:r>
          </w:p>
        </w:tc>
      </w:tr>
      <w:tr>
        <w:trPr>
          <w:trHeight w:val="49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w:t>
            </w:r>
          </w:p>
        </w:tc>
      </w:tr>
      <w:tr>
        <w:trPr>
          <w:trHeight w:val="166"/>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(3)</w:t>
            </w:r>
          </w:p>
        </w:tc>
        <w:tc>
          <w:tcPr>
            <w:tcW w:w="15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w:t>
            </w:r>
          </w:p>
        </w:tc>
      </w:tr>
      <w:tr>
        <w:trPr>
          <w:trHeight w:val="166"/>
        </w:trPr>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Not Applicable</w:t>
            </w:r>
          </w:p>
        </w:tc>
        <w:tc>
          <w:tcPr>
            <w:tcW w:w="15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$1,756.10</w:t>
            </w:r>
          </w:p>
        </w:tc>
      </w:tr>
    </w:tbl>
    <w:p>
      <w:pPr>
        <w:sectPr>
          <w:pgSz w:w="11900" w:h="16838" w:orient="portrait"/>
          <w:cols w:equalWidth="0" w:num="2">
            <w:col w:w="7160" w:space="340"/>
            <w:col w:w="3100"/>
          </w:cols>
          <w:pgMar w:left="220" w:top="395" w:right="1079" w:bottom="0" w:gutter="0" w:footer="0" w:header="0"/>
        </w:sectPr>
      </w:pPr>
    </w:p>
    <w:bookmarkStart w:id="1" w:name="page2"/>
    <w:bookmarkEnd w:id="1"/>
    <w:p>
      <w:pPr>
        <w:ind w:left="360" w:right="3939"/>
        <w:spacing w:after="0" w:line="250" w:lineRule="auto"/>
        <w:rPr>
          <w:sz w:val="20"/>
          <w:szCs w:val="20"/>
          <w:color w:val="auto"/>
        </w:rPr>
      </w:pPr>
      <w:r>
        <w:rPr>
          <w:rFonts w:ascii="Courier New" w:cs="Courier New" w:eastAsia="Courier New" w:hAnsi="Courier New"/>
          <w:sz w:val="14"/>
          <w:szCs w:val="14"/>
          <w:color w:val="auto"/>
        </w:rPr>
        <w:t>Merger based on the minimum potential payments under the terms of the contingent payments described in the Merger.</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6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1120"/>
        <w:spacing w:after="0"/>
        <w:rPr>
          <w:sz w:val="20"/>
          <w:szCs w:val="20"/>
          <w:color w:val="auto"/>
        </w:rPr>
      </w:pPr>
      <w:r>
        <w:rPr>
          <w:rFonts w:ascii="Courier New" w:cs="Courier New" w:eastAsia="Courier New" w:hAnsi="Courier New"/>
          <w:sz w:val="14"/>
          <w:szCs w:val="14"/>
          <w:color w:val="auto"/>
        </w:rPr>
        <w:t>[EXMARK MANUFACTURING COMPANY INCORPORATED LETTERHEAD]</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 of Exmark Manufacturing Company Incorporated:</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You are cordially invited to attend a Special Meeting of Stockholders of Exmark Manufacturing Company Incorporated ("Exmark"), to be held at Exmark's corporate offices, 2101 Ashland Avenue, P.O. Box 808, Beatrice, Nebraska 68310,</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 1997, at 9:00 a.m. local time. A notice of the Special Meeting, Proxy Statement/Prospectus and proxy card containing information about the matters to be acted upon are enclosed. All holders of outstanding shares of common stock, $10.00 par value, of Exmark ("Exmark Common Stock"), and preferred stock, $40.00 par value, of Exmark ("Exmark Preferred Stock"), as of</w:t>
      </w:r>
    </w:p>
    <w:p>
      <w:pPr>
        <w:spacing w:after="0" w:line="2" w:lineRule="exact"/>
        <w:rPr>
          <w:sz w:val="20"/>
          <w:szCs w:val="20"/>
          <w:color w:val="auto"/>
        </w:rPr>
      </w:pPr>
    </w:p>
    <w:p>
      <w:pPr>
        <w:ind w:right="3339" w:firstLine="956"/>
        <w:spacing w:after="0" w:line="255" w:lineRule="auto"/>
        <w:tabs>
          <w:tab w:leader="none" w:pos="11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(the "Record Date"), will be entitled to notice of and to vote at the Special Meeting and any postponement or adjournment thereof.</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the Special Meeting, you will be asked to consider and vote upon a proposal to approve and adopt an Agreement and Plan of Merger (as it may be amended, the "Merger Agreement"), dated as of October 23, 1997, by and among Exmark, The Toro Company, a Delaware corporation ("Toro"), and EMCI Acquisition Corp., a Nebraska corporation and wholly owned subsidiary of Toro ("Merger Subsidiary"), pursuant to which, among other things, Merger Subsidiary will merge with and into Exmark (the "Merger"), with Exmark continuing as the surviving corporation (the "Surviving Corporation"). If the Merger Agreement is approved and the Merger becomes effective, then, except for shares of Exmark capital stock with respect to which dissenters' rights have been properly exercised ("Dissenting Shares") and shares of Exmark capital stock issued and outstanding prior to the effective time of the Merger that are owned by Toro, Exmark or Merger Subsidiary ("Canceled Shares") (1) each issued and outstanding share of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Exmark Preferred Stock will be converted into and become a right to receive (a) four times the Initial Per Share Payment Consideration and (b) four Common/Preferred Contingent Payment Rights, (3) each issued and outstanding share of Class B preferred stock, $.01 par value, of Exmark ("Exmark Class B Stock") will be converted into and become a right to receive (a) one-tenth of a share of Toro Common Stock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The cash portion of the aggregate Merger Consideration (as defined in the Merger Agreement) will be approximately 12% and the remainder will be shares of Toro Common Stock; however, Exmark stockholders may elect to receive a greater or lesser percentage of their portion of the Merger Consideration in cash.</w:t>
      </w:r>
    </w:p>
    <w:p>
      <w:pPr>
        <w:spacing w:after="0" w:line="200" w:lineRule="exact"/>
        <w:rPr>
          <w:sz w:val="20"/>
          <w:szCs w:val="20"/>
          <w:color w:val="auto"/>
        </w:rPr>
      </w:pPr>
    </w:p>
    <w:p>
      <w:pPr>
        <w:spacing w:after="0" w:line="31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aggregate amount of cash and shares of Toro Common Stock to be paid by Toro with respect to the total Initial Per Share Payment Consideration (in the aggregate, the "Initial Payment") to be exchanged for the Exmark Common Stock, Exmark Preferred Stock and Exmark Class C Stock will be equal to $28,100,000 (subject to the holdback of 15% of such amount plus an additional $100,000 of such amount, certain offsets and other adjustments described in the enclosed Proxy Statement/Prospectus). Based on the Initial Toro Share Price (as defined in the Merger Agreement) as of October 31, 1997, the Initial Per Share Consideration would be 576.01 consisting of 12.239 shares of Toro Common Stock and cash equal to $69.12 (or a total of $487.56 in cash and Toro Common Stock after such holdbacks and certain other adjustments), in the absence of any election to receive more or less of the Merger Consideration in cash. However, in the event the Merger is not consummated prior to November 30, the Initial Toro Share Price may be a different amount and may result in the payment of more or less shares of Toro Common Stock as part of Initial Per Share Consideration.</w:t>
      </w:r>
    </w:p>
    <w:p>
      <w:pPr>
        <w:sectPr>
          <w:pgSz w:w="11900" w:h="16838" w:orient="portrait"/>
          <w:cols w:equalWidth="0" w:num="1">
            <w:col w:w="10239"/>
          </w:cols>
          <w:pgMar w:left="220" w:top="451" w:right="1440" w:bottom="1440" w:gutter="0" w:footer="0" w:header="0"/>
        </w:sectPr>
      </w:pPr>
    </w:p>
    <w:bookmarkStart w:id="3" w:name="page4"/>
    <w:bookmarkEnd w:id="3"/>
    <w:p>
      <w:pPr>
        <w:ind w:right="3339" w:firstLine="344"/>
        <w:spacing w:after="0" w:line="251"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will not exceed $14,000,000 (subject to certain offsets and other adjustments described in the enclosed Proxy Statement/Prospectus). Similarly, the maximum amount of cash and shares of Toro Common Stock that may be paid by Toro with respect to the Class B Contingent Payment Rights will not exceed $14,000,000 (subject to certain offsets and other adjustments described in the enclosed Proxy Statement/Prospectus). No assurance can be given that any cash and shares of Toro Common Stock will be paid with respect to either of such rights.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Details of the proposed Merger and other important information are set forth in the accompanying Proxy Statement/Prospectus, which you are urged to read carefully. The Merger is subject to the satisfaction of a number of conditions, including, among others, approval of the Merger Agreement by the holders of two-thirds of the number of outstanding shares of Exmark Common Stock and Exmark Preferred Stock, voting together as one class. Each share of Exmark Common Stock and Exmark Preferred Stock is entitled to one vote per share.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agreements with Toro dated October 23, 1997, certain stockholders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the Merger and the other proposals described below and have granted an irrevocable proxy to Toro to vote their respective shares.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Your Board of Directors has carefully reviewed and considered the terms and conditions of the Merger Agreement and proposed Merger. In addition, your Board of Directors has received the opinion of its financial advisor, McCarthy &amp; Co., that the Merger Consideration is fair, from a financial point of view, to the stockholders of Exmark.</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YOUR BOARD OF DIRECTORS HAS UNANIMOUSLY APPROVED THE MERGER AGREEMENT AND THE MERGER AND RECOMMENDS THAT YOU VOTE FOR APPROVAL OF THE MERGER AGREEMENT AND THE MERGER.</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addition, you will be asked to consider and act upon three other proposals relating to the Merger Agreement and the Merger. First, you will be asked to consider and act upon a proposal to adopt amended and restated articles of incorporation (the "New Articles of Incorporation"), which authorize the issuance of the Exmark Class B Stock and the Exmark Class C Stock and clarify the four-to-one distribution preference associated with the Exmark Preferred Stock. The Exmark Class B Stock will be issued to certain officers, directors and employees of Exmark pursuant to the exercise of certain previously issued stock purchase rights. The Exmark Class C Stock will be issued in exchange for all of the outstanding shares of capital stock of the Holiman Co., Inc., all of which shares are owned by Roger Smith, an officer and director of Exmark. Second, you will be asked to consider and act upon a proposal to approve the payment in connection with the Merger of signing bonuses (the "Signing Bonuses") to H. John Smith and Ray Rickard, each of whom is an officer and director of Exmark, to be paid by Toro in cash in the aggregate amount of $2,075,000 pursuant to new employment agreements between each of Messrs. Smith and Rickard, respectively, and Exmark and Toro, which employment agreements also include noncompete covenants. Stockholder approval of such signing bonuses is being requested so that such bonuses will not constitute "excess parachute payments" pursuant to Section 280G of the Internal Revenue Code of 1986, as amended. If treated as excess parachute payments, the bonuses would not be deductible and Messrs. Smith and Rickard and each would be subject to a 20% excise tax on a portion of such payments. Finally, you will be asked to consider and act upon a proposal to ratify the appointment of H. John Smith, Ray Rickard and Roger Smith as the initial stockholders' representatives as described in the Merger Agreement ("Stockholders' Representatives"). The Stockholders' Representatives will act on behalf of the Exmark stockholders who participate in the Merger and as such will assist in the calculation of the amount of merger consideration to be paid by Toro in connection with the Merger, including the calculation of the amount to be paid with respect to the Common/Preferred Contingent Payment Rights and Class B</w:t>
      </w:r>
    </w:p>
    <w:p>
      <w:pPr>
        <w:sectPr>
          <w:pgSz w:w="11900" w:h="16838" w:orient="portrait"/>
          <w:cols w:equalWidth="0" w:num="1">
            <w:col w:w="10239"/>
          </w:cols>
          <w:pgMar w:left="220" w:top="451" w:right="1440" w:bottom="1440" w:gutter="0" w:footer="0" w:header="0"/>
        </w:sectPr>
      </w:pPr>
    </w:p>
    <w:bookmarkStart w:id="4" w:name="page5"/>
    <w:bookmarkEnd w:id="4"/>
    <w:p>
      <w:pPr>
        <w:jc w:val="both"/>
        <w:ind w:right="3419"/>
        <w:spacing w:after="0" w:line="252" w:lineRule="auto"/>
        <w:rPr>
          <w:sz w:val="20"/>
          <w:szCs w:val="20"/>
          <w:color w:val="auto"/>
        </w:rPr>
      </w:pPr>
      <w:r>
        <w:rPr>
          <w:rFonts w:ascii="Courier New" w:cs="Courier New" w:eastAsia="Courier New" w:hAnsi="Courier New"/>
          <w:sz w:val="14"/>
          <w:szCs w:val="14"/>
          <w:color w:val="auto"/>
        </w:rPr>
        <w:t>Contingent Payment Rights, and may sign and deliver certificates and notices on behalf of such Exmark stockholders, among other things described in the Merger Agreement.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shares of Exmark Common Stock and Exmark Preferred Stock, voting together as one class, present in person or by proxy at the Special Meeting, providing a quorum for the transaction of business is present at the meeting.</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Your Board of Directors has carefully reviewed and considered the foregoing proposals. YOUR BOARD OF DIRECTORS HAS UNANIMOUSLY APPROVED THESE PROPOSALS AND RECOMMENDS THAT YOU VOTE FOR APPROVAL OF EACH OF THEM. The approval by Exmark's stockholders of each proposal described above (except for the proposal regarding the ratification of the Stockholders' Representatives) is a condition to consummation of the Merger.</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Whether or not you plan to attend the Special Meeting, please complete, sign and date the accompanying proxy card and return it in the enclosed prepaid envelope. If you attend the Special Meeting, you may revoke such proxy and vote in person if you wish, even if you have previously returned your proxy card. If you do not attend the Special Meeting, you may still revoke such proxy at any time prior to the Special Meeting by providing written notice of such revocation to Roger Smith, Secretary of Exmark.</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Very truly yours,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H. John Smith</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w:t>
      </w:r>
    </w:p>
    <w:p>
      <w:pPr>
        <w:sectPr>
          <w:pgSz w:w="11900" w:h="16838" w:orient="portrait"/>
          <w:cols w:equalWidth="0" w:num="1">
            <w:col w:w="10239"/>
          </w:cols>
          <w:pgMar w:left="220" w:top="451" w:right="1440" w:bottom="1440" w:gutter="0" w:footer="0" w:header="0"/>
        </w:sectPr>
      </w:pPr>
    </w:p>
    <w:bookmarkStart w:id="5" w:name="page6"/>
    <w:bookmarkEnd w:id="5"/>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2101 ASHLAND AVENUE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P.O. BOX 808</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BEATRICE, NEBRASKA 68310</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7" w:lineRule="exact"/>
        <w:rPr>
          <w:sz w:val="20"/>
          <w:szCs w:val="20"/>
          <w:color w:val="auto"/>
        </w:rPr>
      </w:pPr>
    </w:p>
    <w:p>
      <w:pPr>
        <w:ind w:left="1980"/>
        <w:spacing w:after="0"/>
        <w:tabs>
          <w:tab w:leader="none" w:pos="4300" w:val="left"/>
        </w:tabs>
        <w:rPr>
          <w:sz w:val="20"/>
          <w:szCs w:val="20"/>
          <w:color w:val="auto"/>
        </w:rPr>
      </w:pPr>
      <w:r>
        <w:rPr>
          <w:rFonts w:ascii="Courier New" w:cs="Courier New" w:eastAsia="Courier New" w:hAnsi="Courier New"/>
          <w:sz w:val="14"/>
          <w:szCs w:val="14"/>
          <w:color w:val="auto"/>
        </w:rPr>
        <w:t>TO BE HELD ON</w:t>
      </w:r>
      <w:r>
        <w:rPr>
          <w:sz w:val="20"/>
          <w:szCs w:val="20"/>
          <w:color w:val="auto"/>
        </w:rPr>
        <w:tab/>
      </w:r>
      <w:r>
        <w:rPr>
          <w:rFonts w:ascii="Courier New" w:cs="Courier New" w:eastAsia="Courier New" w:hAnsi="Courier New"/>
          <w:sz w:val="14"/>
          <w:szCs w:val="14"/>
          <w:color w:val="auto"/>
        </w:rPr>
        <w:t>, 1997</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AT 9:00 A.M. LOCAL TIME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NOTICE IS HEREBY GIVEN that a Special Meeting of Stockholders of Exmark Manufacturing Company Incorporated, a Nebraska corporation ("Exmark"), will be held at Exmark's corporate offices, 2101 Ashland Avenue, P.O. Box 808, Beatrice,</w:t>
      </w:r>
    </w:p>
    <w:p>
      <w:pPr>
        <w:spacing w:after="0" w:line="1"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Nebraska 68310, on , 1997, at 9:00 a.m. local time, for the following purposes:</w:t>
      </w:r>
    </w:p>
    <w:p>
      <w:pPr>
        <w:spacing w:after="0" w:line="160" w:lineRule="exact"/>
        <w:rPr>
          <w:sz w:val="20"/>
          <w:szCs w:val="20"/>
          <w:color w:val="auto"/>
        </w:rPr>
      </w:pPr>
    </w:p>
    <w:p>
      <w:pPr>
        <w:ind w:left="620" w:right="3339" w:hanging="267"/>
        <w:spacing w:after="0" w:line="250" w:lineRule="auto"/>
        <w:tabs>
          <w:tab w:leader="none" w:pos="70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 Agreement and Plan of Merger (as it may be amended, supplemented or modified from time to time, the "Merger Agreement"), dated as of October 23, 1997, by and among Exmark, The Toro Company, a Delaware corporation ("Toro"), and EMCI Acquisition Corp., a Nebraska corporation and wholly owned subsidiary of Toro ("Merger Subsidiary"), pursuant to which, among other things, Merger Subsidiary will merge with and into Exmark (the "Merger"), with Exmark continuing as the surviving corporation (the "Surviving Corporation"). If the Merger Agreement is approved and the Merger becomes effective, then, except for shares of Exmark capital stock with respect to which dissenters' rights have been properly exercised and shares of Exmark capital stock issued and outstanding prior to the effective time of the Merger that are owned by Toro, Exmark or Merger Subsidiary, (1) each issued and outstanding share of common stock, $10.00 par value, of Exmark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preferred stock, $40.00 par value, of Exmark ("Exmark Preferred Stock") will be converted into and become a right to receive (a) four times the Initial Per Share Payment Consideration and (b) four Common/Preferred Contingent Payment Rights, (3) each issued and outstanding share of Class B preferred stock, $.01 par value, of Exmark ("Exmark Class B Stock") will be converted into and become a right to receive (a) one-tenth of a share of Toro Common Stock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The terms of the Merger Agreement are described in more detail in the attached Proxy Statement/Prospectus.</w:t>
      </w:r>
    </w:p>
    <w:p>
      <w:pPr>
        <w:spacing w:after="0" w:line="179" w:lineRule="exact"/>
        <w:rPr>
          <w:rFonts w:ascii="Courier New" w:cs="Courier New" w:eastAsia="Courier New" w:hAnsi="Courier New"/>
          <w:sz w:val="14"/>
          <w:szCs w:val="14"/>
          <w:color w:val="auto"/>
        </w:rPr>
      </w:pPr>
    </w:p>
    <w:p>
      <w:pPr>
        <w:ind w:left="620" w:right="3339" w:hanging="267"/>
        <w:spacing w:after="0" w:line="251" w:lineRule="auto"/>
        <w:tabs>
          <w:tab w:leader="none" w:pos="70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adopt amended and restated articles of incorporation (the "New Articles of Incorporation"), which authorize the issuance of the Exmark Class B Stock and the Exmark Class C Stock and clarify the four-to-one distribution preference associated with the Exmark Preferred Stock.</w:t>
      </w:r>
    </w:p>
    <w:p>
      <w:pPr>
        <w:spacing w:after="0" w:line="164" w:lineRule="exact"/>
        <w:rPr>
          <w:rFonts w:ascii="Courier New" w:cs="Courier New" w:eastAsia="Courier New" w:hAnsi="Courier New"/>
          <w:sz w:val="14"/>
          <w:szCs w:val="14"/>
          <w:color w:val="auto"/>
        </w:rPr>
      </w:pPr>
    </w:p>
    <w:p>
      <w:pPr>
        <w:ind w:left="620" w:right="3339" w:hanging="267"/>
        <w:spacing w:after="0" w:line="251" w:lineRule="auto"/>
        <w:tabs>
          <w:tab w:leader="none" w:pos="70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the payment in connection with the Merger of signing bonuses ("Signing Bonuses") to H. John Smith and Ray Rickard. Such bonuses will be paid by Toro in cash in the aggregate amount of $2,075,000 pursuant to new employment agreements, which employment agreements also include noncompete covenants.</w:t>
      </w:r>
    </w:p>
    <w:p>
      <w:pPr>
        <w:sectPr>
          <w:pgSz w:w="11900" w:h="16838" w:orient="portrait"/>
          <w:cols w:equalWidth="0" w:num="1">
            <w:col w:w="10239"/>
          </w:cols>
          <w:pgMar w:left="220" w:top="451" w:right="1440" w:bottom="1440" w:gutter="0" w:footer="0" w:header="0"/>
        </w:sectPr>
      </w:pPr>
    </w:p>
    <w:bookmarkStart w:id="6" w:name="page7"/>
    <w:bookmarkEnd w:id="6"/>
    <w:p>
      <w:pPr>
        <w:ind w:left="620" w:right="3679" w:hanging="267"/>
        <w:spacing w:after="0" w:line="252" w:lineRule="auto"/>
        <w:tabs>
          <w:tab w:leader="none" w:pos="70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ratify the appointment of H. John Smith, Ray Rickard and Roger Smith as the initial stockholders' representatives as described in the Merger Agreement ("Stockholders' Representatives").</w:t>
      </w:r>
    </w:p>
    <w:p>
      <w:pPr>
        <w:spacing w:after="0" w:line="162" w:lineRule="exact"/>
        <w:rPr>
          <w:rFonts w:ascii="Courier New" w:cs="Courier New" w:eastAsia="Courier New" w:hAnsi="Courier New"/>
          <w:sz w:val="14"/>
          <w:szCs w:val="14"/>
          <w:color w:val="auto"/>
        </w:rPr>
      </w:pPr>
    </w:p>
    <w:p>
      <w:pPr>
        <w:ind w:left="620" w:right="3419" w:hanging="267"/>
        <w:spacing w:after="0" w:line="255" w:lineRule="auto"/>
        <w:tabs>
          <w:tab w:leader="none" w:pos="70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or any adjournment or postponement thereof.</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close of business on , 1997, has been fixed as the record date (the "Record Date") for the determination of the stockholders of Exmark entitled to notice of and to vote at the Special Meeting and any adjournment or postponement thereof. Accordingly, only holders of record of issued and outstanding shares of Exmark Common Stock and Exmark Preferred Stock at the close of business on the Record Date shall be entitled to notice of and to vote at the Special Meeting and any adjournment or postponement thereof.</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is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 The meeting may be postponed or adjourned from time to time without notice other than such notice as may be given at the meeting or any postponement or adjournment thereof, and any business for which notice is hereby given may be transacted at any such postponed or adjourned meeting.</w:t>
      </w:r>
    </w:p>
    <w:p>
      <w:pPr>
        <w:spacing w:after="0" w:line="34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Pursuant to agreements with Toro dated October 23, 1997, certain directors and officers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and the Merger and have granted an irrevocable proxy to Toro to vote their respective shares.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 summary of certain provisions of Sections 21-20,137 to 21-20,150 of the Nebraska Business Corporation Act pertaining to the rights of dissenting stockholders if the Merger is consummated is included in the accompanying Proxy Statement/Prospectus under the heading THE "MERGER--Dissenters' Rights." A copy of Sections 21-20,137 to 21-20,150 of the Nebraska Business Corporation Act is set forth in Exhibit B to the attached Proxy Statement/Prospectus.</w:t>
      </w:r>
    </w:p>
    <w:p>
      <w:pPr>
        <w:sectPr>
          <w:pgSz w:w="11900" w:h="16838" w:orient="portrait"/>
          <w:cols w:equalWidth="0" w:num="1">
            <w:col w:w="10239"/>
          </w:cols>
          <w:pgMar w:left="220" w:top="451" w:right="1440" w:bottom="1440" w:gutter="0" w:footer="0" w:header="0"/>
        </w:sectPr>
      </w:pPr>
    </w:p>
    <w:bookmarkStart w:id="7" w:name="page8"/>
    <w:bookmarkEnd w:id="7"/>
    <w:p>
      <w:pPr>
        <w:ind w:right="3339" w:firstLine="344"/>
        <w:spacing w:after="0" w:line="251" w:lineRule="auto"/>
        <w:rPr>
          <w:sz w:val="20"/>
          <w:szCs w:val="20"/>
          <w:color w:val="auto"/>
        </w:rPr>
      </w:pPr>
      <w:r>
        <w:rPr>
          <w:rFonts w:ascii="Courier New" w:cs="Courier New" w:eastAsia="Courier New" w:hAnsi="Courier New"/>
          <w:sz w:val="14"/>
          <w:szCs w:val="14"/>
          <w:color w:val="auto"/>
        </w:rPr>
        <w:t>Whether or not you plan to attend the Special Meeting, please complete, sign and date the accompanying proxy card and return it promptly in the enclosed prepaid envelope. If you attend the Special Meeting, you may revoke such proxy and vote in person if you wish, even if you have previously returned your proxy card. If you do not attend the Special Meeting, you may still revoke such proxy at any time prior to the Special Meeting by providing written notice of such revocation to Roger Smith, Secretary of Exmark.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Beatrice, Nebraska</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 1997</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Roger Smith</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TO ASSURE YOUR REPRESENTATION AT THE SPECIAL MEETING, PLEASE COMPLETE, SIGN AND DATE YOUR PROXY CARD AND RETURN IT PROMPTLY IN THE ENCLOSED ENVELOPE,WHICH REQUIRES NO POSTAGE IF MAILED IN THE UNITED STATES. DO NOT SEND ANY STOCK CERTIFICATES WITH THE ENCLOSED PROXY CARD. THE PROCEDURE FOR THE EXCHANGE OF YOUR SHARES AFTER THE MERGER IS CONSUMMATED IS SET FORTH IN THE ATTACHED PROXY STATEMENT/PROSPECTUS.</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BOARD OF DIRECTORS OF EXMARK MANUFACTURING COMPANY INCORPORATED UNANIMOUSLY RECOMMENDS THAT STOCKHOLDERS VOTE TO APPROVE THE MERGER AGREEMENT AND THE MERGER AND EACH OF THE OTHER PROPOSALS TO BE PRESENTED AT THE SPECIAL MEETING.</w:t>
      </w:r>
    </w:p>
    <w:p>
      <w:pPr>
        <w:sectPr>
          <w:pgSz w:w="11900" w:h="16838" w:orient="portrait"/>
          <w:cols w:equalWidth="0" w:num="1">
            <w:col w:w="10239"/>
          </w:cols>
          <w:pgMar w:left="220" w:top="451" w:right="1440" w:bottom="1440" w:gutter="0" w:footer="0" w:header="0"/>
        </w:sectPr>
      </w:pPr>
    </w:p>
    <w:bookmarkStart w:id="8" w:name="page9"/>
    <w:bookmarkEnd w:id="8"/>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PROSPECTUS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This Proxy Statement/Prospectus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is being</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furnished by Exmark Manufacturing</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Company Incorporated, a Nebraska</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corporation</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("Exmark"), to holders of its</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and preferred stock</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connection with the solicitation of proxies</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by the board of directors of</w:t>
            </w:r>
          </w:p>
        </w:tc>
        <w:tc>
          <w:tcPr>
            <w:tcW w:w="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Exmark</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for use for</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a Special Meeting of</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Stockholders of Exmark to be</w:t>
            </w:r>
          </w:p>
        </w:tc>
        <w:tc>
          <w:tcPr>
            <w:tcW w:w="64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held on</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1997, at Exmark's corporate offices</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at 2101 Ashland Avenue, P.O.</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Box</w:t>
            </w:r>
          </w:p>
        </w:tc>
        <w:tc>
          <w:tcPr>
            <w:tcW w:w="13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808, Beatrice,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Nebraska 68310, commencing at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9:00 a.m. local time, and at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adjournment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postponement thereof (the</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"Special Meeting").</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17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Special Meeting has been called (1) to consider and vote upon a proposal to approve an Agreement and Plan of Merger (as it may be amended, the "Merger Agreement"), dated as of October 23, 1997, by and among Exmark, The Toro Company, a Delaware Corporation ("Toro"), and EMCI Acquisition Corp., a Nebraska corporation and wholly owned subsidiary of Toro ("Merger Subsidiary"), pursuant to which, among other things, Merger Subsidiary will merge (the "Merger") with and into Exmark, with Exmark continuing as the surviving corporation (the "Surviving Corporation"), (2) to consider and vote upon a proposal to adopt amended and restated articles of incorporation (the "New Articles of Incorporation"), which authorize the issuance of two new classes of preferred stock of Exmark and clarify the four-to-one distribution preference associated with the Exmark Preferred Stock, (3) to consider and vote upon a proposal to approve the payment in connection with the Merger of signing bonuses ("Signing Bonuses") to H. John Smith and Ray Rickard, which bonuses shall be paid by Toro pursuant to new employment agreements, which employment agreements also will include noncompete covenants, (4) to consider and vote upon a proposal to ratify the appointment of H. John Smith, Ray Rickard and Roger Smith as the initial stockholders' representatives as described in the Merger Agreement (the "Stockholders' Representatives") and (5) to transact such other business as may properly come before the Special Meeting. A copy of the Merger Agreement is attached hereto as Exhibit A and constitutes a part of this Proxy Statement/ Prospectus.</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 Merger Agreement is approved and the Merger becomes effective, then, except for shares of Exmark capital stock with respect to which dissenters' rights have been properly exercised ("Dissenting Shares") and shares of Exmark capital stock issued and outstanding prior to the effective time of the Merger that are owned by Toro, Exmark or Merger Subsidiary ("Canceled Shares"), (1) each issued and outstanding share of common stock, $10.00 par value, of Exmark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preferred stock, $40.00 par value, of Exmark</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 ON NEXT PAGE)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EXCHANGE COMMISSION OR ANY STATE SECURITIES COMMISSION NOR HAS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AND EXCHANGE COMMISSION OR ANY STATE SECURITIES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COMMISSION PASSED UPON THE ACCURACY OR ADEQUACY OF THIS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PROXY STATEMENT/PROSPECTUS. ANY REPRESENTATION</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TO THE CONTRARY IS A CRIMINAL OFFENSE.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1" w:right="1440" w:bottom="1440" w:gutter="0" w:footer="0" w:header="0"/>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date of this Proxy Statement/Prospectus is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1997</w:t>
      </w:r>
    </w:p>
    <w:p>
      <w:pPr>
        <w:sectPr>
          <w:pgSz w:w="11900" w:h="16838" w:orient="portrait"/>
          <w:cols w:equalWidth="0" w:num="2">
            <w:col w:w="4840" w:space="600"/>
            <w:col w:w="4799"/>
          </w:cols>
          <w:pgMar w:left="220" w:top="451"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("Exmark Preferred Stock") will be converted into and become a right to receive</w:t>
      </w:r>
    </w:p>
    <w:p>
      <w:pPr>
        <w:spacing w:after="0" w:line="7" w:lineRule="exact"/>
        <w:rPr>
          <w:sz w:val="20"/>
          <w:szCs w:val="20"/>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times the Initial Per Share Payment Consideration and (b) four</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Common/Preferred Contingent Payment Rights, (3) each issued and outstanding share of Class B preferred stock, $.01 par value, of Exmark ("Exmark Class B Stock") will be converted into and become a right to receive (a) one-tenth of a share of Toro Common Stock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For a more complete description of the Merger Agreement and the terms and conditions of the Merger, see "THE MERGER AGREEMENT" and "THE MERGER."</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Notwithstanding the foregoing, 15% of the aggregate amount of cash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Toro Common Stock representing the Initial Per Share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(in the aggregate, the "Initial Payment") will be held in escrow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order to satisfy (1) any right of offset Toro and certain other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may have with respect to certain losses, liabilities and other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Toro or any of such other related parties may suffer as a result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described in the Merger Agreement and (2) a "net worth" adjustment based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difference between a pre-closing estimated net worth of Exmark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net worth of Exmark at the Effective Time. Further,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will be withheld from the Initial Payment in order to reimburse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for certain out-of-pocket expenses they may incur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while acting on behalf of Exmark's stockholders in connection with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MERGER--Holdback Amount; Actual Net Worth Adjustment,"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Expense Fund," "THE MERGER AGREEMENT--Stockholders'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and "--Offset Right." For a more complete description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and the terms and conditions of the Merger, see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aggregate amount of cash and shares of Toro Common Stock to be delivered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Toro with respect to the Initial Payment to be exchanged for the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Exmark Preferred Stock and Exmark Class C Stock will be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$28,100,000 (subject to the holdback of 15% of such amount plus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of such amount, certain offsets and other adjustments described in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Statement/Prospectus). Based on the Initial Toro Share Price (as defined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Merger Agreement) as of October 31, 1997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12.239 shares of Toro Common Stock and cash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$69.12 (10.39 shares of Toro Common Stock and cash equal to $58.51 after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holdback and adjustments), in the absence any election to receive more or less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Merger Consideration in cash. However, in the event the Merger is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prior to November 30, the Initial Toro Share Price may be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different amount and may result in the payment of more or less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as part of the Initial Per Share Consideration.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will not exceed $14,000,000 (subject to certain offsets and other adjustments described in the enclosed Proxy Statement/Prospectus). Similarly, the maximum amount of cash and shares of Toro Common Stock that may be paid by Toro with respect to the Class B Contingent Payment Rights will not exceed $14,000,000 (subject to certain offsets and other adjustments described in the enclosed Proxy Statement/Prospectus).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This Proxy Statement/Prospectus also constitutes a Prospectus of Toro with respect to the shares of Toro Common Stock, the Common/Preferred Contingent Payment Rights and the Class B Contingent Payment Rights issuable to the stockholders of Exmark in connection with consummation of the Merger. Toro has supplied all information in this Proxy Statement/Prospectus relating to Toro and its subsidiaries, and Exmark has supplied all information contained in this Proxy Statement/Prospectus relating to Exmark.</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1440" w:gutter="0" w:footer="0" w:header="0"/>
        </w:sectPr>
      </w:pPr>
    </w:p>
    <w:bookmarkStart w:id="10" w:name="page11"/>
    <w:bookmarkEnd w:id="10"/>
    <w:p>
      <w:pPr>
        <w:ind w:right="3339" w:firstLine="344"/>
        <w:spacing w:after="0" w:line="251" w:lineRule="auto"/>
        <w:rPr>
          <w:sz w:val="20"/>
          <w:szCs w:val="20"/>
          <w:color w:val="auto"/>
        </w:rPr>
      </w:pPr>
      <w:r>
        <w:rPr>
          <w:rFonts w:ascii="Courier New" w:cs="Courier New" w:eastAsia="Courier New" w:hAnsi="Courier New"/>
          <w:sz w:val="14"/>
          <w:szCs w:val="14"/>
          <w:color w:val="auto"/>
        </w:rPr>
        <w:t>This Proxy Statement/Prospectus is included as part of a Registration Statement on Form S-4 filed with the Securities and Exchange Commission by Toro, relating to the registration under the Securities Act of 1933, as amended (the "Securities Act"), of 22,847 Common/Preferred Contingent Payment Rights, 10,000 Class B Contingent Payment Rights and up to 1,646,600 shares of Toro Common Stock that may be issued in connection with the Merger.</w:t>
      </w:r>
    </w:p>
    <w:p>
      <w:pPr>
        <w:spacing w:after="0" w:line="164"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This Proxy Statement/Prospectus and the accompanying form of proxy are first being mailed to stockholders of Exmark on or about , 1997.</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is subject to the informational requirements of the Securities Exchange Act of 1934, as amended (the "Exchange Act"), and in accordance therewith files reports, proxy statements and other information with the Securities and Exchange Commission (the "SEC"). The reports, proxy statements and other information filed by Toro with the SEC may be inspected and copied, at prescribed rates, at the public reference facilities maintained by the SEC at Judiciary Plaza, Room 1024, 450 Fifth Street, N.W., Washington, D.C. 20549, and at the Regional Offices of the SEC at Seven World Trade Center, 13th Floor, New York, New York 10048 and Citicorp Center, 500 West Madison Street, Suite 1400, Chicago, Illinois 60661-2511. The SEC maintains a web site that contains reports, proxy and information statements and other information regarding registrants that file electronically with the SEC at http://www.sec.gov.com. Toro Common Stock is listed on the New York Stock Exchange (the "NYSE") and materials filed by Toro may be inspected at the offices of the NYSE, Inc., 20 Broad Street, New York, New York 10005.</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has filed with the SEC a Registration Statement on Form S-4 (together with any amendments thereto, the "Registration Statement") under the Securities Act with respect to the shares of Toro Common Stock to be issued in the Merger. This Proxy Statement/Prospectus does not contain all the information set forth in the Registration Statement, as certain portions have been omitted as permitted by the rules and regulations of the SEC. Such additional information may be obtained from the SEC's principal office in Washington, D.C. Statements contained in this Proxy Statement/Prospectus as to the contents of any contract or other document referred to herein are not necessarily complete, and in each instance reference is made to the copy of such contract or other document filed as an exhibit to the Registration Statement, each such statement being qualified in all respects by such reference.</w:t>
      </w:r>
    </w:p>
    <w:p>
      <w:pPr>
        <w:spacing w:after="0" w:line="1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DOCUMENTS INCLUDED IN EXHIBIT D</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following documents filed with the SEC by Toro are included in Exhibit D to this Proxy Statement/Prospectus and constitute a part hereof: (1) Toro's Quarterly Report on Form 10-Q for the quarter ended August 1, 1997, filed with the SEC on September 10, 1997; (2) Toro's Quarterly Report on Form 10-Q for the quarter ended May 2, 1997, filed with the SEC on June 16, 1997; (3) Toro's Quarterly Report on Form 10-Q for the quarter ended January 31, 1997, filed with the SEC on March 17, 1997; (4) Toro's Annual Report on Form 10-K for the year ended October 31, 1996, filed with the SEC on January 29, 1997, including Toro's Annual Report to Stockholders for the fiscal year ended October 31, 1996, filed with the SEC on June 30, 1997 as exhibit 13 thereto; (5) Toro's Current Report on Form 8-K, filed with the SEC on June 27, 1997; (6) Toro's Current Report on Form 8-K, filed with the SEC on December 16, 1996 (as amended by Amendment No. 2 on Form 8-K/A, filed with the SEC on June 6, 1997); (7) Toro's Annual Report on Form 11-K, filed with the SEC on June 30, 1997; (8) Toro's definitive proxy statement included in Schedule 14A, filed with the SEC on February 11, 1997; and</w:t>
      </w:r>
    </w:p>
    <w:p>
      <w:pPr>
        <w:spacing w:after="0" w:line="7" w:lineRule="exact"/>
        <w:rPr>
          <w:sz w:val="20"/>
          <w:szCs w:val="20"/>
          <w:color w:val="auto"/>
        </w:rPr>
      </w:pPr>
    </w:p>
    <w:p>
      <w:pPr>
        <w:ind w:right="3339" w:firstLine="8"/>
        <w:spacing w:after="0" w:line="251"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Toro Common Stock contained in Toro's Registration Statement on Form 8-A, filed with the SEC on August 18, 1978 and the description of Toro's preferred share purchase rights associated with each share of Toro Common Stock in Toro's Registration Statement on Form 8-A, filed with the SEC on April 11, 1986 (as amended by Amendment No. 1 on Form 8-A, filed May 15, 1987), and Toro's Registration Statement on Form 8-A, filed with the SEC on June 17, 1988 (as amended by Amendment No. 1 on Form 8-A, filed August 30, 1990).</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11" w:name="page12"/>
    <w:bookmarkEnd w:id="11"/>
    <w:p>
      <w:pPr>
        <w:ind w:right="3339" w:firstLine="344"/>
        <w:spacing w:after="0" w:line="250" w:lineRule="auto"/>
        <w:rPr>
          <w:sz w:val="20"/>
          <w:szCs w:val="20"/>
          <w:color w:val="auto"/>
        </w:rPr>
      </w:pPr>
      <w:r>
        <w:rPr>
          <w:rFonts w:ascii="Courier New" w:cs="Courier New" w:eastAsia="Courier New" w:hAnsi="Courier New"/>
          <w:sz w:val="14"/>
          <w:szCs w:val="14"/>
          <w:color w:val="auto"/>
        </w:rPr>
        <w:t>The foregoing documents contain financial and other information concerning Toro, the Toro Common Stock and the related preferred share purchase rights. See "DESCRIPTION OF TORO CAPITAL STOCK." Such documents constitute a part of this Proxy Statement/Prospectus, and the information contained therein should be reviewed together with all of the other information contained herein.</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OTHER THAN THOSE CONTAINED IN THIS PROXY STATEMENT/PROSPECTUS IN CONNECTION WITH THE SOLICITATION OF PROXIES OR THE OFFERING OF SECURITIES MADE HEREBY AND, IF GIVEN OR MADE, SUCH INFORMATION OR REPRESENTATION MUST NOT BE RELIED UPON AS HAVING BEEN AUTHORIZED BY TORO, EXMARK OR ANY OTHER PERSON. THIS PROXY STATEMENT/ PROSPECTUS DOES NOT CONSTITUTE AN OFFER TO SELL, OR A SOLICITATION OF AN OFFER TO BUY, ANY SECURITIES, OR THE SOLICITATION OF A PROXY, IN ANY JURISDICTION TO OR FROM ANY PERSON TO WHOM IT IS NOT LAWFUL TO MAKE ANY SUCH OFFER OR SOLICITATION IN SUCH JURISDICTION. THIS PROXY STATEMENT/PROSPECTUS DOES NOT COVER ANY RESALES OF THE TORO COMMON STOCK OFFERED HEREBY TO BE RECEIVED BY STOCKHOLDERS OF EXMARK DEEMED TO BE "AFFILIATES" OF EXMARK OR TORO UPON THE CONSUMMATION OF THE MERGER. NO PERSON IS AUTHORIZED TO MAKE USE OF THIS PROXY STATEMENT/PROSPECTUS IN CONNECTION WITH SUCH RESALES. NEITHER THE DELIVERY OF THIS PROXY STATEMENT/ PROSPECTUS NOR ANY DISTRIBUTION OF SECURITIES MADE HEREUNDER SHALL, UNDER ANY CIRCUMSTANCES, CREATE AN IMPLICATION THAT THERE HAS BEEN NO CHANGE IN THE AFFAIRS OF TORO OR EXMARK SINCE THE DATE HEREOF OR THAT THE INFORMATION HEREIN IS CORRECT AS OF ANY TIME SUBSEQUENT TO ITS DATE.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PROXY STATEMENT/PROSPECTUS AND THE DOCUMENTS INCLUDED IN EXHIBIT D HERETO CONTAIN VARIOUS FORWARD-LOOKING STATEMENTS WITHIN THE MEANING OF SECTION 27A OF THE SECURITIES ACT AND SECTION 21E OF THE EXCHANGE ACT. STATEMENTS THAT ARE NOT HISTORICAL ARE FORWARD-LOOKING. WHEN USED IN THESE DOCUMENTS, THE WORDS "EXPECT," "ANTICIPATE," "ESTIMATE," AND SIMILAR EXPRESSIONS ARE INTENDED TO IDENTIFY FORWARD-LOOKING STATEMENTS. IN ADDITION, FORWARD-LOOKING STATEMENTS MAY BE MADE ORALLY IN THE FUTURE BY OR ON BEHALF OF TORO.</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TORO'S INDUSTRY; LACK OF GROWTH IN TORO'S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TORO'S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TORO UNDERTAKES NO OBLIGATION TO UPDATE ANY FORWARD-LOOKING STATEMENT TO REFLECT EVENTS OR CIRCUMSTANCES AFTER THE DATE ON WHICH SUCH STATEMENT IS MADE OR TO REFLECT THE OCCURRENCE OF UNANTICIPATED EVENTS.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7840" w:type="dxa"/>
            <w:vAlign w:val="bottom"/>
          </w:tcPr>
          <w:p>
            <w:pPr>
              <w:jc w:val="right"/>
              <w:ind w:right="3628"/>
              <w:spacing w:after="0"/>
              <w:rPr>
                <w:sz w:val="20"/>
                <w:szCs w:val="20"/>
                <w:color w:val="auto"/>
              </w:rPr>
            </w:pPr>
            <w:r>
              <w:rPr>
                <w:rFonts w:ascii="Courier New" w:cs="Courier New" w:eastAsia="Courier New" w:hAnsi="Courier New"/>
                <w:sz w:val="14"/>
                <w:szCs w:val="14"/>
                <w:color w:val="auto"/>
              </w:rPr>
              <w:t>TABLE OF CONTENTS</w:t>
            </w:r>
          </w:p>
        </w:tc>
        <w:tc>
          <w:tcPr>
            <w:tcW w:w="600" w:type="dxa"/>
            <w:vAlign w:val="bottom"/>
          </w:tcPr>
          <w:p>
            <w:pPr>
              <w:spacing w:after="0"/>
              <w:rPr>
                <w:sz w:val="14"/>
                <w:szCs w:val="14"/>
                <w:color w:val="auto"/>
              </w:rPr>
            </w:pPr>
          </w:p>
        </w:tc>
      </w:tr>
      <w:tr>
        <w:trPr>
          <w:trHeight w:val="663"/>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AVAILABLE INFORMATION.................................................................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DOCUMENTS INCLUDED IN EXHIBIT 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TABLE OF CONTENTS.....................................................................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Date, Time and Place..............................................................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Purposes of 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Record Date; Shares Entitled to Vote..............................................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Required Vote; Quorum.............................................................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Recommendation of Exmark's 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Opinion of Exmark's Financial Advisor.............................................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Parties to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Toro Company..................................................................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Manufacturing Company Incorporated.........................................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EMCI Acquisition Corp.............................................................</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Effective Time....................................................................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 of Exmark After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Contingent Payment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 Control......................................................................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Holdback Amount; Actual Net Worth Adjustment; Stockholders' Representatives</w:t>
            </w:r>
          </w:p>
        </w:tc>
        <w:tc>
          <w:tcPr>
            <w:tcW w:w="600" w:type="dxa"/>
            <w:vAlign w:val="bottom"/>
          </w:tcPr>
          <w:p>
            <w:pPr>
              <w:spacing w:after="0"/>
              <w:rPr>
                <w:sz w:val="14"/>
                <w:szCs w:val="14"/>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Expense Fund.....................................................................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Payment of Merger Consideration...................................................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Cash Election.....................................................................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Acquisition of Holiman............................................................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Accounting Treatment..............................................................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Federal Income Tax Consequences...........................................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Regulatory Approvals..............................................................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 Agreement................................................................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Limitations on Negotiations by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Conditions to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Offset Right......................................................................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 of the Merger Agreement; Termination Fees.............................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 Consolidated Financial Data of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 Financial Data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Market Price Data...................................................................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Comparative Unaudited Per Common Share Data.........................................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 Date, Time and Place.......................................................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Purposes of 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Board of Directors' Recommendations..........................................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Record Date; Shares Entitled to Vote; Required Vote; Quorum.........................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Proxies.............................................................................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Security Ownership of Certain Beneficial Owners and Management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Effective Time......................................................................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 of Exmark After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Synergies Council...................................................................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Representatives.......................................................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 Control........................................................................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Holdback Amount; Actual Net Worth Adjustment........................................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Representatives Expense Fund..........................................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Payment of Merger Consideration.....................................................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Contingent Payment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Valuation Formula.................................................................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Procedure for Determining Contingent Payments.....................................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Cash Election.......................................................................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Conversion of Exmark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Fractional Shares...................................................................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Voting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Employment and Noncompete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Issuance of Class B Stock to Insiders.............................................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Holiman Acquisition...............................................................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Manufacturer's Representatives and Distributors...................................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Acquisition of Holiman..............................................................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Excess Parachute Payments...........................................................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Federal Income Tax Consequences.............................................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Accounting Treatment................................................................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Background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Exmark's Reasons for the Merger; Recommendation of Exmark's 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Financial Resources...............................................................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Market Position...................................................................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Engineering and Product Development...............................................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Manufacturing and Facilities......................................................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Working Relationship..............................................................</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Fairness of the Transaction.......................................................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Toro's Reasons for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Opinion of McCarthy as Exmark's Financial Advisor...................................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Discounted Cash Flow Analysis.....................................................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Weighted Average of Historical Earnings...........................................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Book Value Multiple Analysis......................................................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Factors and Analyses........................................................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Procedure.........................................................................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 Exchange Listing..............................................................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Regulatory Approvals................................................................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Resales of Toro Common Stock Issued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Affiliate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 AGREEMENT..................................................................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Representations and Warranties......................................................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Covenants...........................................................................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Limitations on Negotiations by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Conditions..........................................................................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Survival............................................................................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Offset Right........................................................................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 Fees....................................................................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Fees and Expenses...................................................................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INFORMATION CONCERNING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Recent Developments.................................................................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Selected Summary Consolidated Financial Data Of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INFORMATION CONCERNING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SELECTED FINANCIAL DATA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MANAGEMENT'S DISCUSSION AND ANALYSIS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Financial Position at August 31, 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Liquidity and Capital Resources.....................................................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Inflation...........................................................................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DESCRIPTION OF TORO CAPITAL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Rights Plan.........................................................................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DESCRIPTION OF EXMARK CAPITAL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Preferred Stock if the New Articles of Incorporation are Approved............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COMPARISON OF STOCKHOLDER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Removal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Amendments to Bylaws................................................................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Amendments to Certificate or Articles...............................................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Indemnification.....................................................................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Liability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Meetings................................................................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Preemptive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Mergers, Consolidations and Other Business Combinations.............................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Anti-takeover Provisions......................................................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LEGAL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EXPERTS...............................................................................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w:t>
            </w:r>
          </w:p>
        </w:tc>
        <w:tc>
          <w:tcPr>
            <w:tcW w:w="1120" w:type="dxa"/>
            <w:vAlign w:val="bottom"/>
          </w:tcPr>
          <w:p>
            <w:pPr>
              <w:jc w:val="right"/>
              <w:spacing w:after="0"/>
              <w:rPr>
                <w:sz w:val="20"/>
                <w:szCs w:val="20"/>
                <w:color w:val="auto"/>
              </w:rPr>
            </w:pPr>
            <w:r>
              <w:rPr>
                <w:rFonts w:ascii="Courier New" w:cs="Courier New" w:eastAsia="Courier New" w:hAnsi="Courier New"/>
                <w:sz w:val="3"/>
                <w:szCs w:val="3"/>
                <w:color w:val="auto"/>
                <w:w w:val="92"/>
              </w:rPr>
              <w:t>..................................................................</w:t>
            </w:r>
          </w:p>
        </w:tc>
        <w:tc>
          <w:tcPr>
            <w:tcW w:w="5580" w:type="dxa"/>
            <w:vAlign w:val="bottom"/>
          </w:tcPr>
          <w:p>
            <w:pPr>
              <w:ind w:left="5340"/>
              <w:spacing w:after="0"/>
              <w:rPr>
                <w:sz w:val="20"/>
                <w:szCs w:val="20"/>
                <w:color w:val="auto"/>
              </w:rPr>
            </w:pPr>
            <w:r>
              <w:rPr>
                <w:rFonts w:ascii="Courier New" w:cs="Courier New" w:eastAsia="Courier New" w:hAnsi="Courier New"/>
                <w:sz w:val="14"/>
                <w:szCs w:val="14"/>
                <w:color w:val="auto"/>
                <w:w w:val="87"/>
              </w:rPr>
              <w:t>F-1</w:t>
            </w:r>
          </w:p>
        </w:tc>
      </w:tr>
      <w:tr>
        <w:trPr>
          <w:trHeight w:val="828"/>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Agreement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and Plan of</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Merger, dated as of October 23, 1997, among Toro, Merger</w:t>
            </w:r>
          </w:p>
        </w:tc>
      </w:tr>
      <w:tr>
        <w:trPr>
          <w:trHeight w:val="166"/>
        </w:trPr>
        <w:tc>
          <w:tcPr>
            <w:tcW w:w="86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Subsidiary and Exmark</w:t>
            </w:r>
          </w:p>
        </w:tc>
        <w:tc>
          <w:tcPr>
            <w:tcW w:w="55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2.01(a)</w:t>
            </w:r>
          </w:p>
        </w:tc>
        <w:tc>
          <w:tcPr>
            <w:tcW w:w="558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Sections 21-20,137 to</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21-20,150 of the Nebraska Business Corporation Act</w:t>
            </w:r>
          </w:p>
        </w:tc>
      </w:tr>
      <w:tr>
        <w:trPr>
          <w:trHeight w:val="166"/>
        </w:trPr>
        <w:tc>
          <w:tcPr>
            <w:tcW w:w="86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(Dissenters' Rights)</w:t>
            </w:r>
          </w:p>
        </w:tc>
        <w:tc>
          <w:tcPr>
            <w:tcW w:w="558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Opinion of McCarthy &amp;</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Co.</w:t>
            </w:r>
          </w:p>
        </w:tc>
      </w:tr>
    </w:tbl>
    <w:p>
      <w:pPr>
        <w:spacing w:after="0" w:line="17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Exhibit D</w:t>
        <w:tab/>
        <w:t>Additional Toro Documents</w:t>
      </w:r>
    </w:p>
    <w:p>
      <w:pPr>
        <w:spacing w:after="0" w:line="7" w:lineRule="exact"/>
        <w:rPr>
          <w:sz w:val="20"/>
          <w:szCs w:val="20"/>
          <w:color w:val="auto"/>
        </w:rPr>
      </w:pPr>
    </w:p>
    <w:p>
      <w:pPr>
        <w:ind w:left="960" w:right="265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August 1, 1997, filed with the SEC on September 10, 1997</w:t>
      </w:r>
    </w:p>
    <w:p>
      <w:pPr>
        <w:ind w:left="960" w:right="239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May 2, 1997, filed with the SEC on June 16, 1997</w:t>
      </w:r>
    </w:p>
    <w:p>
      <w:pPr>
        <w:ind w:left="960" w:right="247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January 31, 1997, filed with the SEC on March 17, 1997</w:t>
      </w:r>
    </w:p>
    <w:p>
      <w:pPr>
        <w:ind w:left="960" w:right="239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Annual Report on Form 10-K for the year ended October 31, 1996, filed with the SEC on January 29, 1997, including Toro's Annual Report to Stockholders</w:t>
      </w:r>
    </w:p>
    <w:p>
      <w:pPr>
        <w:ind w:left="1120" w:right="22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October 31, 1996, filed with the SEC on June 30, 1997 as exhibit 13 thereto</w:t>
      </w:r>
    </w:p>
    <w:p>
      <w:pPr>
        <w:ind w:left="1220" w:hanging="264"/>
        <w:spacing w:after="0"/>
        <w:tabs>
          <w:tab w:leader="none" w:pos="12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Current Report on Form 8-K, filed with the SEC on June 27, 1997</w:t>
      </w:r>
    </w:p>
    <w:p>
      <w:pPr>
        <w:spacing w:after="0" w:line="7" w:lineRule="exact"/>
        <w:rPr>
          <w:rFonts w:ascii="Courier New" w:cs="Courier New" w:eastAsia="Courier New" w:hAnsi="Courier New"/>
          <w:sz w:val="14"/>
          <w:szCs w:val="14"/>
          <w:color w:val="auto"/>
        </w:rPr>
      </w:pPr>
    </w:p>
    <w:p>
      <w:pPr>
        <w:ind w:left="960" w:right="229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Current Report on Form 8-K, filed with the SEC on December 16, 1996, as amended by Amendment No. 2 on Form 8-K/A, filed with the SEC on June 6, 1997</w:t>
      </w:r>
    </w:p>
    <w:p>
      <w:pPr>
        <w:ind w:left="1220" w:hanging="264"/>
        <w:spacing w:after="0"/>
        <w:tabs>
          <w:tab w:leader="none" w:pos="12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Annual Report on Form 11-K, filed with the SEC on June 30, 1997</w:t>
      </w:r>
    </w:p>
    <w:p>
      <w:pPr>
        <w:spacing w:after="0" w:line="7" w:lineRule="exact"/>
        <w:rPr>
          <w:rFonts w:ascii="Courier New" w:cs="Courier New" w:eastAsia="Courier New" w:hAnsi="Courier New"/>
          <w:sz w:val="14"/>
          <w:szCs w:val="14"/>
          <w:color w:val="auto"/>
        </w:rPr>
      </w:pPr>
    </w:p>
    <w:p>
      <w:pPr>
        <w:ind w:left="960" w:right="229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definitive proxy statement included in Schedule 14A, filed with the SEC on February 11, 1997</w:t>
      </w:r>
    </w:p>
    <w:p>
      <w:pPr>
        <w:ind w:left="1120" w:right="2559" w:hanging="164"/>
        <w:spacing w:after="0" w:line="250" w:lineRule="auto"/>
        <w:tabs>
          <w:tab w:leader="none" w:pos="120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August 18, 1978</w:t>
      </w:r>
    </w:p>
    <w:p>
      <w:pPr>
        <w:ind w:left="960" w:right="265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April 11, 1986, as amended by Amendment No. 1 on Form 8-A, filed May 15, 1987</w:t>
      </w:r>
    </w:p>
    <w:p>
      <w:pPr>
        <w:ind w:left="960" w:right="2299" w:hanging="4"/>
        <w:spacing w:after="0" w:line="250" w:lineRule="auto"/>
        <w:tabs>
          <w:tab w:leader="none" w:pos="121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June 17, 1988, as amended by Amendment No. 1 on Form 8-A, filed with the SEC on August 30,</w:t>
      </w: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16" w:name="page17"/>
    <w:bookmarkEnd w:id="16"/>
    <w:p>
      <w:pPr>
        <w:jc w:val="center"/>
        <w:ind w:right="3419"/>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FOLLOWING IS A SUMMARY OF CERTAIN INFORMATION CONTAINED IN THIS PROXY STATEMENT/PROSPECTUS. THIS SUMMARY IS NOT INTENDED TO BE COMPLETE AND IS QUALIFIED IN ALL RESPECTS BY THE MORE DETAILED INFORMATION INCLUDED IN THIS PROXY STATEMENT/PROSPECTUS AND ITS EXHIBITS. STOCKHOLDERS ARE URGED TO READ CAREFULLY THE ENTIRE PROXY STATEMENT/PROSPECTUS, INCLUDING THE EXHIBITS. TORO HAS SUPPLIED ALL INFORMATION CONCERNING TORO AND ITS SUBSIDIARIES INCLUDED HEREIN, AND EXMARK HAS SUPPLIED ALL INFORMATION CONCERNING EXMARK AND ITS SUBSIDIARIES INCLUDED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This Proxy Statement/Prospectus relates to the proposed merger (the "Merger") of EMCI Acquisition Corp., a Nebraska corporation ("Merger Subsidiary") and wholly owned subsidiary of The Toro Company, a Delaware corporation ("Toro"), with and into Exmark Manufacturing Company Incorporated, a Nebraska corporation ("Exmark"), pursuant to an Agreement and Plan of Merger, dated as of October 23, 1997 (as it may be amended, the "Merger Agreement"), by and among Exmark, Toro and Merger Subsidiary, a copy of which is attached to this Proxy Statement/Prospectus as Exhibit A. Pursuant to the Merger Agreement, Exmark will continue as the surviving corporation (the "Surviving Corporation").</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If the Merger Agreement is approved and the Merger becomes effective, then except for shares of Exmark capital stock with respect to which dissenters' rights have been properly exercised ("Dissenting Shares") and shares of Exmark capital stock issued and outstanding prior to the effective time of the Merger that are owned by Toro, Exmark or Merger Subsidiary ("Canceled Shares"), (1) each issued and outstanding share of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Exmark Preferred Stock will be converted into and become a right to receive (a) four times the Initial Per Share Payment Consideration and (b) four Common/Preferred Contingent Payment Rights, (3) each issued and outstanding share of Class B preferred stock, $.01 par value, of Exmark ("Exmark Class B Stock") will be converted into and become a right to receive (a) one-tenth of a share of Toro Common Stock (the "Class B Initial Per Share Payment Consideration")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See "THE MERGER AGREEMENT" and "THE MERGER."</w:t>
      </w:r>
    </w:p>
    <w:p>
      <w:pPr>
        <w:spacing w:after="0" w:line="17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aggregate amount of cash and shares of Toro Common Stock to be paid by Toro with respect to the total Initial Per Share Payment Consideration to be exchanged for the Exmark Common Stock, Exmark Preferred Stock and Exmark Class C Stock will be equal to $28,100,000 (subject to the holdback of 15% of such amount plus an additional $100,000 of such amount, certain offsets and other adjustments described herein). Based on the Initial Toro Share Price (as defined in the Merger Agreement) as of October 31, 1997 and assuming there are no Dissenting Shares nor Canceled Shares, the Initial Per Share Consideration would be $576.01, consisting of 12.239 shares of Toro Common Stock and cash equal to $79.01 (I.E., $487.56, consisting of 10.359 shares of Toro Common Stock and cash equal to $58.51, after such holdbacks and adjustments), in the absence any election to receive more or less of the Merger Consideration in cash. However, in the event the Merger is not consummated prior to November 30, the Initial Toro Share Price may be a different amount and may result in the payment of more or less cash and shares of Toro Common Stock pursuant to the Initial Per Share Consideration. See "THE MERGER-- Payment of Merger Consideration," "--Holdback Amount; Actual Net Worth Adjustment," "--Stockholders' Representatives Expense Fund" and "THE MERGER AGREEMENT--Offset Right."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17" w:name="page18"/>
    <w:bookmarkEnd w:id="17"/>
    <w:p>
      <w:pPr>
        <w:ind w:right="3339" w:firstLine="344"/>
        <w:spacing w:after="0" w:line="251"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will not exceed $14,000,000 (subject to certain offsets and other adjustments described in the enclosed Proxy Statement/Prospectus). Similarly, the maximum amount of cash and shares of Toro Common Stock that may be paid by Toro with respect to the Class B Contingent Payment Rights will not exceed $14,000,000 (subject to certain offsets and other adjustments described in the enclosed Proxy Statement/Prospectus). See "THE MERGER--Effects of the Merger," "--Holdback Amount; Actual Net Worth Adjustment," "--Stockholders' Representatives Expense Fund," "THE MERGER AGREEMENT--Offset Right" and "--Contingent Payments."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Common/Preferred Contingent Payment Rights and the Class B Contingent Payment Rights are collectively referred to herein as the "Contingent Payment Rights." The aggregate amount of the cash and shares of Toro Common Stock to be paid by Toro with respect to the Contingent Payment Rights, the Class B Initial Per Share Payment Consideration and the Initial Per Share Payment Consideration is referred to herein as the "Merger Consideration." The shares of Exmark Common Stock, Exmark Preferred Stock, Exmark Class B Stock and Exmark Class C Stock that are issued and outstanding immediately prior to the Effective Time, other than Dissenting Shares and Canceled Shares, are collectively referred to herein as the "Shares," and the holders thereof are referred to herein as the "Holders." Other capitalized terms not defined herein shall have the meanings ascribed to them in the Merger Agreement.</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 , 1997, the latest practicable date before the date of this Proxy Statement/Prospectus, the closing price per share of Toro Common Stock was</w:t>
      </w:r>
    </w:p>
    <w:p>
      <w:pPr>
        <w:spacing w:after="0" w:line="1" w:lineRule="exact"/>
        <w:rPr>
          <w:sz w:val="20"/>
          <w:szCs w:val="20"/>
          <w:color w:val="auto"/>
        </w:rPr>
      </w:pPr>
    </w:p>
    <w:p>
      <w:pPr>
        <w:ind w:right="3599" w:firstLine="8"/>
        <w:spacing w:after="0" w:line="252" w:lineRule="auto"/>
        <w:tabs>
          <w:tab w:leader="none" w:pos="86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Stockholders of Exmark are advised to obtain current market quotations for Toro Common Stock. No assurance can be given as to the market price of Toro Common Stock at any time before the Effective Time or as to the market price of Toro Common Stock at any time thereafter.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ind w:left="360"/>
              <w:spacing w:after="0"/>
              <w:rPr>
                <w:sz w:val="20"/>
                <w:szCs w:val="20"/>
                <w:color w:val="auto"/>
              </w:rPr>
            </w:pPr>
            <w:r>
              <w:rPr>
                <w:rFonts w:ascii="Courier New" w:cs="Courier New" w:eastAsia="Courier New" w:hAnsi="Courier New"/>
                <w:sz w:val="14"/>
                <w:szCs w:val="14"/>
                <w:color w:val="auto"/>
                <w:w w:val="95"/>
              </w:rPr>
              <w:t>The</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close of business on</w:t>
            </w:r>
          </w:p>
        </w:tc>
        <w:tc>
          <w:tcPr>
            <w:tcW w:w="6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1997 has been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fixed as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the record date</w:t>
            </w:r>
          </w:p>
        </w:tc>
      </w:tr>
      <w:tr>
        <w:trPr>
          <w:trHeight w:val="166"/>
        </w:trPr>
        <w:tc>
          <w:tcPr>
            <w:tcW w:w="5560" w:type="dxa"/>
            <w:vAlign w:val="bottom"/>
            <w:gridSpan w:val="6"/>
          </w:tcPr>
          <w:p>
            <w:pPr>
              <w:spacing w:after="0"/>
              <w:rPr>
                <w:sz w:val="20"/>
                <w:szCs w:val="20"/>
                <w:color w:val="auto"/>
              </w:rPr>
            </w:pPr>
            <w:r>
              <w:rPr>
                <w:rFonts w:ascii="Courier New" w:cs="Courier New" w:eastAsia="Courier New" w:hAnsi="Courier New"/>
                <w:sz w:val="14"/>
                <w:szCs w:val="14"/>
                <w:color w:val="auto"/>
              </w:rPr>
              <w:t>(the "Record Date") for the determination of the stockholders of</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Exmark entitled</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to notice of and to vote at the</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Special Meeting</w:t>
            </w:r>
          </w:p>
        </w:tc>
        <w:tc>
          <w:tcPr>
            <w:tcW w:w="28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of Stockholders of Exmark to be</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held on</w:t>
            </w:r>
          </w:p>
        </w:tc>
        <w:tc>
          <w:tcPr>
            <w:tcW w:w="62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 1997 (the "Special Meeting"). Accordingly, only holders of</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record</w:t>
            </w:r>
          </w:p>
        </w:tc>
        <w:tc>
          <w:tcPr>
            <w:tcW w:w="2100" w:type="dxa"/>
            <w:vAlign w:val="bottom"/>
          </w:tcPr>
          <w:p>
            <w:pPr>
              <w:spacing w:after="0"/>
              <w:rPr>
                <w:sz w:val="20"/>
                <w:szCs w:val="20"/>
                <w:color w:val="auto"/>
              </w:rPr>
            </w:pPr>
            <w:r>
              <w:rPr>
                <w:rFonts w:ascii="Courier New" w:cs="Courier New" w:eastAsia="Courier New" w:hAnsi="Courier New"/>
                <w:sz w:val="14"/>
                <w:szCs w:val="14"/>
                <w:color w:val="auto"/>
              </w:rPr>
              <w:t>of outstanding shares of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Exmark</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Stock and</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Exmark Preferred Stock</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at the</w:t>
            </w:r>
          </w:p>
        </w:tc>
        <w:tc>
          <w:tcPr>
            <w:tcW w:w="2100" w:type="dxa"/>
            <w:vAlign w:val="bottom"/>
          </w:tcPr>
          <w:p>
            <w:pPr>
              <w:spacing w:after="0"/>
              <w:rPr>
                <w:sz w:val="20"/>
                <w:szCs w:val="20"/>
                <w:color w:val="auto"/>
              </w:rPr>
            </w:pPr>
            <w:r>
              <w:rPr>
                <w:rFonts w:ascii="Courier New" w:cs="Courier New" w:eastAsia="Courier New" w:hAnsi="Courier New"/>
                <w:sz w:val="14"/>
                <w:szCs w:val="14"/>
                <w:color w:val="auto"/>
              </w:rPr>
              <w:t>close of business on the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Record</w:t>
            </w: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Date shall be entitled to</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notice of and</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to vote</w:t>
            </w:r>
          </w:p>
        </w:tc>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the Special Meeting and any</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business</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which notice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is hereby given</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may be</w:t>
            </w: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transacted at any postponed or adjourned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meeting</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thereof.</w:t>
            </w:r>
          </w:p>
        </w:tc>
        <w:tc>
          <w:tcPr>
            <w:tcW w:w="1340" w:type="dxa"/>
            <w:vAlign w:val="bottom"/>
          </w:tcPr>
          <w:p>
            <w:pPr>
              <w:spacing w:after="0"/>
              <w:rPr>
                <w:sz w:val="14"/>
                <w:szCs w:val="14"/>
                <w:color w:val="auto"/>
              </w:rPr>
            </w:pPr>
          </w:p>
        </w:tc>
      </w:tr>
    </w:tbl>
    <w:p>
      <w:pPr>
        <w:spacing w:after="0" w:line="17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addition to voting on the Merger Agreement and the Merger, Exmark stockholders will be asked to consider and act upon three other proposals relating to the Merger Agreement and the Merger. First, Exmark stockholders will be asked to consider and act upon a proposal to adopt amended and restated articles of incorporation (the "New Articles of Incorporation"), which authorize the issuance of the Exmark Class B Stock and the Exmark Class C Stock and clarify the four-to-one distribution preference associated with the Exmark Preferred Stock. The Exmark Class B Stock will be issued to certain officers, directors and employees of Exmark pursuant to the exercise of certain previously issued stock purchase rights. The Exmark Class C Stock will be issued in exchange for all of the outstanding shares of capital stock of the Holiman Co., Inc., all of which shares are owned by Roger Smith. Second, Exmark stockholders will be asked to consider and act upon a proposal to approve the payment in connection with the Merger of signing bonuses (the "Signing Bonuses") to H. John Smith and Ray Rickard, each of whom is an officer of Exmark, to be paid by Toro in cash in the aggregate amount of $2,075,000 pursuant to new employment agreements between each of Messrs. Smith and Rickard, respectively, and Exmark and Toro, which employment agreements also include noncompete covenants. Stockholder approval of such signing bonuses is being requested so that such bonuses will not constitute "excess parachute payments" pursuant to Section 280G of the Internal Revenue Code of 1986, as amended. If treated as excess parachute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8" w:name="page19"/>
    <w:bookmarkEnd w:id="18"/>
    <w:p>
      <w:pPr>
        <w:jc w:val="both"/>
        <w:ind w:right="3419"/>
        <w:spacing w:after="0" w:line="250" w:lineRule="auto"/>
        <w:rPr>
          <w:sz w:val="20"/>
          <w:szCs w:val="20"/>
          <w:color w:val="auto"/>
        </w:rPr>
      </w:pPr>
      <w:r>
        <w:rPr>
          <w:rFonts w:ascii="Courier New" w:cs="Courier New" w:eastAsia="Courier New" w:hAnsi="Courier New"/>
          <w:sz w:val="14"/>
          <w:szCs w:val="14"/>
          <w:color w:val="auto"/>
        </w:rPr>
        <w:t>payments, the bonuses would not be deductible and Messrs. Smith and Rickard and each would be subject to a 20% excise tax on that portion of such payments that is greater than his respective average income during the past five years.</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Finally, Exmark stockholders will be asked to consider and act upon a proposal to ratify the appointment of H. John Smith, Ray Rickard and Roger Smith as the initial stockholders' representatives as described in the Merger Agreement ("Stockholders' Representatives"). The Stockholders' Representatives will act on behalf of the Exmark stockholders who participate in the Merger and as such will assist in the calculation of the amount of merger consideration to be paid by Toro in connection with the Merger, including the calculation of the amount to be paid with respect to the Common/Preferred Contingent Payment Rights and Class B Contingent Payment Rights, and may sign and deliver certificates and notices on behalf of such Exmark stockholders, among other things described in the Merger Agreement.</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 The meeting may be postponed or adjourned from time to time without notice other than such notice as may be given at the meeting or any postponement or adjournment thereof, and any business for which notice is hereby given may be transacted at any such postponed or adjourned meeting. It is a condition to the consummation of the Merger that all of the foregoing proposals, other than the proposal to ratify the appointment of the Stockholders' Representatives, be approved by Exmark's stockholders.</w:t>
      </w:r>
    </w:p>
    <w:p>
      <w:pPr>
        <w:spacing w:after="0" w:line="341"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agreements with Toro dated October 23, 1997 (the "Stockholder Agreements"), certain stockholders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the Merger and the other proposals described herein and have granted an irrevocable proxy to Toro to vote their respective shares. See "THE MERGER--Stockholder Agreements."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 TIME AND PLACE</w:t>
      </w:r>
    </w:p>
    <w:p>
      <w:pPr>
        <w:sectPr>
          <w:pgSz w:w="11900" w:h="16838" w:orient="portrait"/>
          <w:cols w:equalWidth="0" w:num="1">
            <w:col w:w="10239"/>
          </w:cols>
          <w:pgMar w:left="220" w:top="451"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Special Meeting will be held at 9:00 a.m., local time,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at Exmark's executive offices, 2102 Ashland Avenue, Beatrice, Nebraska,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68310. See "THE SPECIAL MEETING-- General; Date, Time and Place."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515" w:lineRule="exact"/>
        <w:rPr>
          <w:sz w:val="20"/>
          <w:szCs w:val="20"/>
          <w:color w:val="auto"/>
        </w:rPr>
      </w:pPr>
    </w:p>
    <w:p>
      <w:pPr>
        <w:sectPr>
          <w:pgSz w:w="11900" w:h="16838" w:orient="portrait"/>
          <w:cols w:equalWidth="0" w:num="2">
            <w:col w:w="6640" w:space="0"/>
            <w:col w:w="3599"/>
          </w:cols>
          <w:pgMar w:left="220" w:top="45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PURPOSES OF THE SPECIAL MEETING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Special Meeting has been called (1) to consider and vote upon a proposal to approve the Merger Agreement by and among Exmark, Toro and Merger Subsidiary, pursuant to which, among other things, Merger Subsidiary will merge with and into Exmark, with Exmark continuing as the Surviving Corporation, (2) to consider and vote upon a proposal to adopt the New Articles of Incorporation, which authorize the issuance of two new classes of preferred stock of Exmark and clarify the four-to-one distribution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type w:val="continuous"/>
        </w:sectPr>
      </w:pPr>
    </w:p>
    <w:bookmarkStart w:id="19" w:name="page20"/>
    <w:bookmarkEnd w:id="19"/>
    <w:p>
      <w:pPr>
        <w:ind w:right="3339"/>
        <w:spacing w:after="0" w:line="251" w:lineRule="auto"/>
        <w:rPr>
          <w:sz w:val="20"/>
          <w:szCs w:val="20"/>
          <w:color w:val="auto"/>
        </w:rPr>
      </w:pPr>
      <w:r>
        <w:rPr>
          <w:rFonts w:ascii="Courier New" w:cs="Courier New" w:eastAsia="Courier New" w:hAnsi="Courier New"/>
          <w:sz w:val="14"/>
          <w:szCs w:val="14"/>
          <w:color w:val="auto"/>
        </w:rPr>
        <w:t>preference associated with the Exmark Preferred Stock, (3) to consider and vote upon a proposal to approve the payment in connection with the Merger of the Signing Bonuses to H. John Smith and Ray Rickard, which bonuses shall be paid by Toro pursuant to new employment agreements, which employment agreements also include noncompete covenants, (4) to consider and vote upon a proposal to ratify the appointment of H. John Smith, Ray Rickard and Roger Smith as the initial Stockholders' Representatives and (5) to transact such other business as may properly come before the Special Meeting. See "THE SPECIAL MEETING--Purposes of the Special Meeting."</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RECORD DATE; SHARES ENTITLED TO VOTE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Only holders of record of shares of Exmark Common Stock and Exmark Preferred</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on the close of business on , 1997 (the "Record Date") are entitled to notice of and to vote at the Special Meeting. As of the Record Date, there were 15,431 shares of Exmark Common Stock outstanding and 7,416 shares of Exmark Preferred Stock outstanding, each of which will be entitled to one vote on each matter which may properly come before the Special Meeting. See "THE SPECIAL MEETING--Record Date; Shares Entitled to Vote; Required Vote; Quorum."</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REQUIRED VOTE; QUORUM</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presence, in person or by properly executed proxy, of the record holders of a majority of the voting power of the outstanding shares of Exmark Common Stock and Exmark Preferred Stock, considered as one class, is necessary to constitute a quorum at the Special Meeting. As of the Record Date, approximately 15,086 shares of Exmark Common Stock and Exmark Preferred Stock (approximately 66.0% of the voting power of the outstanding shares of record as of the Record Date) were held by directors, executive officers and their affiliates. Pursuant to the Stockholder Agreements, certain officers and directors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the Merger and the other proposals described herein and have granted an irrevocable proxy to Toro to vote their respective shares. As of the Record Date, neither Toro, its officers, its directors nor any of their respective affiliates owned any shares of Exmark capital stock. See "THE SPECIAL MEETING--Record Date; Shares Entitled to Vote; Required Vote; Quorum."</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RECOMMENDATION OF EXMARK'S BOARD OF DIRECTORS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Board of Directors of Exmark believes that the Merger is in the best interests of Exmark and its stockholders and has unanimously approved the Merger Agreement and the Merger. THE BOARD OF DIRECTORS OF EXMARK UNANIMOUSLY RECOMMENDS THAT STOCKHOLDERS VOTE TO APPROVE THE MERGER AGREEMENT. FURTHERMORE, THE BOARD OF DIRECTORS OF EXMARK UNANIMOUSLY RECOMMENDS TO ITS STOCKHOLDERS APPROVAL OF</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20" w:name="page21"/>
    <w:bookmarkEnd w:id="20"/>
    <w:p>
      <w:pPr>
        <w:ind w:right="3419" w:firstLine="8"/>
        <w:spacing w:after="0" w:line="251"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NEW ARTICLES OF INCORPORATION (2) THE PAYMENT OF SIGNING BONUSES TO H. JOHN SMITH AND RAY RICKARD AND (3) THE RATIFICATION OF THE APPOINTMENT OF H. JOHN SMITH, RAY RICKARD AND ROGER SMITH AS THE INITIAL STOCKHOLDERS' REPRESENTATIVES. This recommendation is based on a number of factors discussed in this Proxy Statement/Prospectus. See "THE MERGER--Exmark's Reasons for the Merger; Recommendation of Exmark's Board of Directors."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OPINION OF EXMARK'S FINANCIAL ADVISOR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McCarthy &amp; Co. ("McCarthy") has delivered its written opinion to the Board of Directors of Exmark to the effect that as of the date hereof, the consideration to be received by the holders of Exmark capital stock pursuant to the Merger is fair to such holders from a financial point of view. A copy of the opinion, which sets forth the assumptions made, matters considered and limits on the review undertaken, is attached as Exhibit C to this Proxy Statement/Prospectus and is incorporated herein by reference. Exmark stockholders are urged to read carefully the opinion in its entirety. See "THE MERGER--Opinion of McCarthy as Exmark's Financial Advisor."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TO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Toro is a leading manufacturer of consumer lawn mowers, snowthrowers, trimmers, commercial mowing and turf maintenance equipment and underground automatic irrigation systems. These products are sold under the Toro-Registered Trademark-, Wheel Horse-Registered Trademark-, Lawn-Boy-Registered Trademark- and other brand names to the consumer and professional markets,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Toro sells most of its products through domestic and foreign distributors and mass merchandisers.</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was incorporated in Minnesota in 1935 as the successor to a business founded in 1914. It was reincorporated in Delaware in 1983. The principal executive offices of Toro are located at 8111 Lyndale Avenue South, Bloomington, Minnesota 55420, telephone number (612) 888-8801. For further information concerning Toro, see "CERTAIN INFORMATION CONCERNING TORO" and the Toro documents included in Exhibit 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Exmark is a leading manufacturer of commercial turf care equipment. It is principally engaged in the design and manufacturing of mid-size commercial walk behind and riding lawn mowers, which are sold to distributors for sale throughout the continental United States and Europe.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product line consists of mid-size commercial walk behind and riding mowers (E.G., 32", 36", 44", 48" and 60" cutting widths), and various accessories such as grass catchers and riding sulkies. Management has placed emphasis on new product generation because of the belief that in order to retain current dealers, attract new dealers and increase market share, new product offerings are critical. Examples of recent new product introductions are the Turf Tracer Hydro introduced in 1991, the Exmark Viking Hydro in 1992, Exmark Explorer Two in 1992, the Exmark Metro in 1993, the Exmark Lazer Z introduced in the Spring of 1995, the Turf Tracer HP introduced in the Fall of 1996 and the Metro HP introduced in the fall of 1997.</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Exmark sells its products throughout the United States and Canada. Sales volume is generated primarily through Exmark's manufacturer's representative, Holiman. It is a condition to the Merger that Exmark acquire Holiman prior to Toro's acquisition of Exmark.</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21" w:name="page22"/>
    <w:bookmarkEnd w:id="21"/>
    <w:p>
      <w:pPr>
        <w:ind w:right="3339" w:firstLine="344"/>
        <w:spacing w:after="0" w:line="250" w:lineRule="auto"/>
        <w:rPr>
          <w:sz w:val="20"/>
          <w:szCs w:val="20"/>
          <w:color w:val="auto"/>
        </w:rPr>
      </w:pPr>
      <w:r>
        <w:rPr>
          <w:rFonts w:ascii="Courier New" w:cs="Courier New" w:eastAsia="Courier New" w:hAnsi="Courier New"/>
          <w:sz w:val="14"/>
          <w:szCs w:val="14"/>
          <w:color w:val="auto"/>
        </w:rPr>
        <w:t>Exmark was incorporated in Nebraska in 1982. The principal executive offices of Exmark are located at 2102 Ashland Avenue, Beatrice, Nebraska 68310, telephone number (402) 223-4010. For further information concerning Exmark, see</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"CERTAIN INFORMATION CONCERNING EXMARK," "SELECTED FINANCIAL DATA OF EXMARK," "MANAGEMENT'S DISCUSSION AND ANALYSIS OF EXMARK," and "FINANCIAL STATEMENTS OF EXMARK."</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EMCI ACQUISITION CORP.</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EMCI Acquisition Corp., a Nebraska corporation and wholly owned subsidiary of Toro ("Merger Subsidiary"), was incorporated on September 29, 1997, solely for purposes of the transactions contemplated by the Merger Agreement. Merger Subsidiary engages in no other business. The principal executive offices of Merger Subsidiary are located at 8111 Lyndale Avenue South, Bloomington, Minnesota 55420, telephone number (612) 888-8801.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will become effective upon the filing of the Articles of Merger with the Secretary of State of the State of Nebraska (the "Effective Time"). Such filing is required by the Nebraska Business Corporation Act (the "NBCA") in connection with the Merger and will be made as soon as practicable after the approval by the stockholders of Exmark of the Merger Agreement and the satisfaction or waiver of all other conditions to the Merger. See "THE MERGER--Effective Time" and "--Effects of the Merger."</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EFFECTS OF THE MERGER</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At the Effective Time, pursuant to the Merger Agreement, (1) Merger Subsidiary will be merged with and into Exmark, which will be the Surviving Corporation, (2) Exmark will become a wholly owned subsidiary of Toro, (3) each issued and outstanding share of Exmark Common Stock will be converted into and become a right to receive (a) the Initial Per Share Payment Consideration and</w:t>
      </w:r>
    </w:p>
    <w:p>
      <w:pPr>
        <w:spacing w:after="0" w:line="2" w:lineRule="exact"/>
        <w:rPr>
          <w:sz w:val="20"/>
          <w:szCs w:val="20"/>
          <w:color w:val="auto"/>
        </w:rPr>
      </w:pPr>
    </w:p>
    <w:p>
      <w:pPr>
        <w:ind w:right="3419" w:firstLine="8"/>
        <w:spacing w:after="0" w:line="251" w:lineRule="auto"/>
        <w:tabs>
          <w:tab w:leader="none" w:pos="34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Common/ Preferred Contingent Payment Right, (4) each issued and outstanding share of Exmark Preferred Stock will be converted into and become a right to receive (a) the Initial Per Share Payment Consideration and (b) four Common/Preferred Contingent Payment Rights, (5) each issued and outstanding share of Exmark Class B Stock will be converted into and become a right to receive (a) the Class B Initial Per Share Payment Consideration and (b) one Class B Contingent Payment Right, and (6) each issued and outstanding share of Exmark Class C Stock will be converted into and become a right to receive the Initial Per Share Payment Consideration. See "THE MERGER--Effects of the Merger."</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MANAGEMENT OF EXMARK AFTER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 as the Surviving Corporation, will become a direct, wholly owned subsidiary of Toro upon consummation of the Merger. Notwithstanding the foregoing, Exmark will be operated as a stand-alone entity during the Contingent Payment Period (as defined in "THE MERGER--Management of Exmark After the Merger") and will be overseen by Exmark's existing management and their successors, subject to certain limitations described in the Merger Agreement. See "THE MERGER--Toro Control." The directors of Merger Subsidiary immediately prior to the Effective Time will be the initial directors of the Surviving Corporation. See "THE MERGER--Management of Exmark After the Merger." In addition, the parties have agreed to form a committee to act as an inter-company management team and as a dispute resolution panel for a period following the Merger (the "Synergies Council"). See "THE MERGER--Synergies Council."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22" w:name="page23"/>
    <w:bookmarkEnd w:id="22"/>
    <w:p>
      <w:pPr>
        <w:ind w:left="360"/>
        <w:spacing w:after="0"/>
        <w:rPr>
          <w:sz w:val="20"/>
          <w:szCs w:val="20"/>
          <w:color w:val="auto"/>
        </w:rPr>
      </w:pPr>
      <w:r>
        <w:rPr>
          <w:rFonts w:ascii="Courier New" w:cs="Courier New" w:eastAsia="Courier New" w:hAnsi="Courier New"/>
          <w:sz w:val="14"/>
          <w:szCs w:val="14"/>
          <w:color w:val="auto"/>
        </w:rPr>
        <w:t>CONTINGENT PAYMENT RIGHTS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Contingent Payment Rights qualify Holders to receive up to two separate payments (the 1998 Contingent Payment and the 1999 Contingent Payment) based on the financial performance of the Surviving Corporation on a stand-alone basis during each of the twelve-month periods ending October 31, 1998 and 1999, respectively. Only Holders of Exmark Common Stock, Exmark Preferred Stock and Exmark Class B Stock are entitled to receive Contingent Payment Rights in exchange for the surrender of their Shares. Holders of Exmark Class C Stock are not entitled to receive Contingent Payment Rights. See "THE MERGER--Effects of the Merger." Holders of Exmark Class B Stock will receive one-half of any Contingent Payment; Holders of Exmark Common Stock and Exmark Preferred Stock collectively will receive the other half of any Contingent Payment.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Contingent Payment Rights are based on Exmark's financial performance during the Contingent Payment Period, and no Contingent Payments will be made unless Exmark obtains certain financial results during the Contingent Payment Period. In addition, Contingent Payments are subject to Toro's Offset Right. See "THE MERGER AGREEMENT--Offset Right." Moreover, the maximum amount of Contingent Payments may not exceed $14,000,000 for Holders of Exmark Class B Stock and $14,000,000 for Holders of Exmark Common Stock and Exmark Preferred Stock (provided further that the number of shares of Toro Common Stock issued for all Contingent Payments may not exceed 821,334 shares). Furthermore, if Exmark fails to meet certain financial goals outlined in the Merger Agreement, then Toro shall have the option to take full control of Exmark's operations, in which case Contingent Payments would be extremely unlikely. See "THE MERGER--Toro Control."</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amount of each Contingent Payment will be determined using a valuation formula that compares a multiple of Exmark's recast earnings before interest and taxes ("REBIT") for the appropriate twelve-month period ending October 31, 1998 or 1999, subject to numerous adjustments, with a base amount of $30,000,000 plus the amount of any prior Contingent Payment, subject to certain adjustments. The multiplier is 3.5 times the compound annual growth rate ("CAGR") of Exmark's revenues, subject to certain adjustments, in each of 1998 and 1999 compared to $40,808,850, which is the amount of Exmark's gross sales for the twelve-month period ended October 31, 1996. See "THE MERGER--Contingent Payment Rights." By way of example, and assuming a compound annual growth rate of zero and no working capital adjustment, REBIT for the twelve-month period ending October 31, 1998 would have to exceed $8,571,429 before there would be a 1998 Contingent Payment.</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THERE CAN BE NO ASSURANCE THAT ANY CONTINGENT PAYMENTS WILL BE MADE.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TORO CONTROL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Exmark fails to obtain financial results equal to or greater than certain predetermined financial results for two successive fiscal quarters (as set forth in the Merger Agreement), Toro shall have the option to take full control of Exmark's operations. In the event Toro takes control of Exmark's operations, the financial results of Exmark accruing after such date will not be taken into account in computing the amount of any Contingent Payments to be made after such date. See "THE MERGER--Toro Control."</w:t>
      </w:r>
    </w:p>
    <w:p>
      <w:pPr>
        <w:spacing w:after="0" w:line="164" w:lineRule="exact"/>
        <w:rPr>
          <w:sz w:val="20"/>
          <w:szCs w:val="20"/>
          <w:color w:val="auto"/>
        </w:rPr>
      </w:pPr>
    </w:p>
    <w:p>
      <w:pPr>
        <w:ind w:left="440" w:right="3419" w:hanging="85"/>
        <w:spacing w:after="0" w:line="255" w:lineRule="auto"/>
        <w:rPr>
          <w:sz w:val="20"/>
          <w:szCs w:val="20"/>
          <w:color w:val="auto"/>
        </w:rPr>
      </w:pPr>
      <w:r>
        <w:rPr>
          <w:rFonts w:ascii="Courier New" w:cs="Courier New" w:eastAsia="Courier New" w:hAnsi="Courier New"/>
          <w:sz w:val="14"/>
          <w:szCs w:val="14"/>
          <w:color w:val="auto"/>
        </w:rPr>
        <w:t>HOLDBACK AMOUNT; ACTUAL NET WORTH ADJUSTMENT; STOCKHOLDERS' REPRESENTATIVES EXPENSE FUND</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 amount equal to 15% of the Initial Payment Fund (as defined in the Merger Agreement) will be placed in escrow (the "Holdback Amount") with Norwest Bank Minnesota, National Association (the "Escrow Agent" and "Paying Agent") and used to pay any claims Toro may have pursuant to its Offset Right with respect to breaches of Exmark's representations and warranties and covenants contained in the Merger Agreement and certain other losses and costs Toro and its affiliates may incur or suffer in connection with the Merger. In addition, $100,000 of the Initial Payment Fund will be held in escrow by the Escrow Agent and used to fund the expenses of the Stockholders' Representatives (the "Stockholders' Representatives Expense Fund").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23" w:name="page24"/>
    <w:bookmarkEnd w:id="23"/>
    <w:p>
      <w:pPr>
        <w:ind w:right="3339" w:firstLine="344"/>
        <w:spacing w:after="0" w:line="250" w:lineRule="auto"/>
        <w:rPr>
          <w:sz w:val="20"/>
          <w:szCs w:val="20"/>
          <w:color w:val="auto"/>
        </w:rPr>
      </w:pPr>
      <w:r>
        <w:rPr>
          <w:rFonts w:ascii="Courier New" w:cs="Courier New" w:eastAsia="Courier New" w:hAnsi="Courier New"/>
          <w:sz w:val="14"/>
          <w:szCs w:val="14"/>
          <w:color w:val="auto"/>
        </w:rPr>
        <w:t>Additionally, prior to the Effective Time, Toro and Exmark will estimate the net worth (total assets minus total liabilities) of Exmark as of the Effective Time. In the event that such estimate is less than $8,243,000, the difference will, in effect, further reduce the Initial Payment Fund and increase the Holdback Amount. Within 90 days after the Effective Time, Toro and Exmark will determine the actual net worth of Exmark as of the Effective Time. In the event that such amount is less than $8,243,000, the difference will be subtracted from the Holdback Amount and subsequently paid to Toro (the "Actual Net Worth Adjustment"). Exmark and Toro currently do not anticipate that there will be an Actual Net Worth Adjustment. Such estimate and the Actual Net Worth Adjustment will be determined without giving effect to the acquisition of Holiman by Exmark. The Holdback Amount also will be used to satisfy Toro's Offset Right, if any. Subject to Toro's Offset Right and the Actual Net Worth Adjustment, if any, two-thirds of the Holdback Amount will be paid to the Holders on approximately December 31, 1999 and the remainder will be paid to the Holders on December 31, 2000. Subject to any deduction for Stockholders' Representatives' expenses, the Stockholders' Representatives Expense Fund will be paid to the Holders on December 31, 2000 (the "Expense Fund Payment"). See "THE MERGER--Holdback Amount; Actual Net Worth Adjustment," "--Stockholders' Representatives Expense Fund" and "THE MERGER AGREEMENT-- Offset Right."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PAYMENT OF MERGER CONSIDERATION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Subject to Toro's Offset Right and the escrow of the Holdback Amount and the Stockholder's Representatives Expense Fund, the Merger Consideration will be paid in the form of cash and shares of Toro Common Stock to the Holders as follows: the Initial Payment, the Class B Initial Payment, the 1998 Contingent Payment, the 1999 Contingent Payment, the Holdback Payments and the payment of any remainder of the Stockholders' Representatives Expense Fund. The Initial Payment, consisting of the Initial Per Share Payment Consideration, will be made as promptly as practicable after the Effective Time and following surrender of shares of Exmark Common Stock, Exmark Preferred Stock or Exmark Class C Stock. The Class B Initial Payment, consisting of the Class B Initial Per Share Payment Consideration, will be made as promptly as practicable after the Effective Time and following surrender of shares of Exmark Class B Stock. The 1998 Contingent Payment, consisting of cash and shares of Toro Common Stock payable by Toro pursuant to the Contingent Payment Rights, will be paid as promptly as practicable following the later to occur of (1) December 31, 1998 or (2) 10 days after the amount of the 1998 Contingent Payment has been determined by Toro and the Stockholders' Representatives. The 1999 Contingent Payment, consisting of cash and shares of Toro Common Stock payable by Toro pursuant to the Contingent Payment Rights, will be paid as promptly as practicable following the later to occur of (1) December 31, 1999 or (2) 10 days after the amount of the 1999 Contingent Payment has been determined by Toro and the Stockholders' Representatives. Subject to any offset pursuant to Toro's Offset Right, two-thirds of the cash and shares of Toro Common Stock initially included in the Holdback Amount shall be paid concurrently with the 1999 Contingent Payment and the remainder will be paid on or before December 31, 2000. Subject to claims for payment of the expenses of the Stockholders' Representatives, the remainder of the Stockholders' Representatives Expense Fund will be paid on or before December 31, 2000. The cash portion of the Merger Consideration will be approximately 12% of the aggregate amount of each payment and the remainder of the Merger Consideration will be paid in shares of Toro Common Stock.</w:t>
      </w:r>
    </w:p>
    <w:p>
      <w:pPr>
        <w:spacing w:after="0" w:line="17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aggregate amount of cash and shares of Toro Common Stock to be paid by Toro with respect to the total Initial Per Share Payment Consideration to be exchanged for the Exmark Common Stock, Exmark Preferred Stock and Exmark Class C Stock will be equal to $28,100,000 (subject to the holdback of 15% of such amount plus $100,000 of such amount, certain offsets and other adjustments described herein). The Initial Per Share Payment Consideration shall be cash and Toro Common Stock in an amount equal to a quotient, the numerator of which is $28,100,000 and the denominator of which is the sum of (1) the number of shares of Exmark Common Stock, (2) the number of shares of Exmark Class C Stock and (3) four times the number of shares of Exmark Preferred Stock, which in all cases are issued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24" w:name="page25"/>
    <w:bookmarkEnd w:id="24"/>
    <w:p>
      <w:pPr>
        <w:ind w:right="3339"/>
        <w:spacing w:after="0" w:line="250" w:lineRule="auto"/>
        <w:rPr>
          <w:sz w:val="20"/>
          <w:szCs w:val="20"/>
          <w:color w:val="auto"/>
        </w:rPr>
      </w:pPr>
      <w:r>
        <w:rPr>
          <w:rFonts w:ascii="Courier New" w:cs="Courier New" w:eastAsia="Courier New" w:hAnsi="Courier New"/>
          <w:sz w:val="14"/>
          <w:szCs w:val="14"/>
          <w:color w:val="auto"/>
        </w:rPr>
        <w:t>outstanding immediately prior to the Effective Time, other than Canceled Shares. For purposes of calculating the number of shares of Toro Common Stock included in the Initial Payment Consideration, the value per share of Toro Common Stock shall be the Initial Toro Share Price. Therefore, if the Merger is consummated on or prior to November 30, 1997, the Initial Toro Share Price would be $41.4167 (I.E., the average closing price per share of Toro Common Stock as reported on the NYSE for the 30 trading days ending on October 31, 1997) and the Initial Per Share Consideration would be 12.239 shares of Toro Common Stock and cash equal to $69.12 (10.39 shares of Toro Common Stock and $58.51 after the Holdback Amount and the Stockholder Representatives Expense Fund are placed in escrow), in the absence of a Cash Election to receive more or less of the Merger Consideration in cash. However, in the event the Merger is not consummated prior to November 30, the Initial Toro Share Price would be calculated differently (I.E., the average closing price per share of Toro Common Stock as reported on the NYSE for the 30 trading days ending on the third trading day immediately preceding the Effective Date of the Merger) and, consequently, may be a different amount and may result in the payment of more or less cash and shares of Toro Common Stock pursuant to the Initial Per Share Consideration. See "THE MERGER--Payment of Merger Consideration" "--Holdback Amount; Actual Net Worth Adjustment," "--Stockholders' Representatives Expense Fund" and "THE MERGER AGREEMENT--Offset Right."</w:t>
      </w:r>
    </w:p>
    <w:p>
      <w:pPr>
        <w:spacing w:after="0" w:line="3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Each Common/Preferred Contingent Payment Right and Class B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Right entitles the holder thereof to receive cash and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based on the performance of the Surviving Corporation from November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1997 until October 31, 1999, subject to certain limitations and offsets.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amount of cash and shares of Toro Common Stock to be paid by Toro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Common/Preferred Contingent Payment Rights will not exceed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$14,000,000 (subject to certain offsets and other adjustments described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enclosed Proxy Statement/Prospectus). Similarly, the maximum amount of cash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Toro Common Stock to be paid by Toro with respect to the Class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Rights may not exceed $14,000,000 (subject to certain offsets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adjustments described in the enclosed Proxy Statement/Prospectus).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calculating the number of shares of Toro Common Stock included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1998 Contingent Payment, the value per share of Toro Common Stock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average closing price per share of Toro Common Stock as reported on the 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30 trading days ending on the third day immediately preceeing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1998 (the "1998 Toro Share Price"). For purposes of calculating the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Toro Common Stock included in the 1999 Contingent Payment,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per share of Toro Common Stock will be the average closing price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Toro Common Stock as reported on the NYSE for the 30 trading days ending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third day immediately preceding December 31, 1999 (the "1999 Toro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See "THE MERGER--Effects of the Merger," "--Holdback Amount; Actual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Adjustment," "--Stockholders' Representatives Expense Fund,"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AGREEMENT--Offset Right" and "--Contingent Payments."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Fractional shares of Toro Common Stock will not be issued in connection with the Merger. Stockholders of Exmark otherwise entitled to fractional shares of Toro Common Stock will be paid cash in lieu of such factional shares. See "THE MERGER--Fractional Shares."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CASH ELECTION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cash portion of the Merger Consideration will be approximately 12% of the aggregate amount of each payment and the remainder of the Merger Consideration will be paid in shares of Toro Common Stock. Each Exmark stockholder, however, will be allowed to elect to receive more or less than 12% of his or her portion of the Merger Consideration in Cash (subject to certain adjustments), with the remainder to be paid in the form of Toro Common Stock. In the event that the aggregate of all cash elections exceed 12%, then all percentages elected will be adjusted downward proportionately. The percentage of the Holder's Merger Consideration each Exmark stockholder elects, or is deemed to have elected, to receive in cash shall be referred to herein as the "Cash Election." Exmark stockholders will receive a cash election form to indicate their desired percentage cash. See "THE MERGER--Cash Election."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25" w:name="page26"/>
    <w:bookmarkEnd w:id="25"/>
    <w:p>
      <w:pPr>
        <w:ind w:left="360"/>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EMPLOYMENT AGREEMENTS. In connection with the Merger Agreement, Toro has entered into employment and noncompete agreements with certain employees and officers of Exmark. In connection therewith, H. John Smith and Ray Rickard will receive cash Signing Bonuses from Toro in the aggregate amount of $2,075,000 pursuant to new employment agreements, which contain noncompete covenants. H. John Smith is a director and the President of Exmark. Ray Rickard is a director and the Executive Vice President of Exmark. In approving the Signing Bonuses, Exmark's Board of Directors considered Exmark's financial performance during the tenure of Messrs. Smith and Rickard and the anticipated reduction to their overall compensation that will occur as a result of the Merger. Stockholder approval of such signing bonuses is being requested so that such bonuses will not constitute "excess parachute payments" pursuant to Section 280G of the Internal Revenue Code of 1986, as amended. If treated as excess parachute payments, the bonuses would not be deductible and Messrs. Smith and Rickard and each would be subject to a 20% excise tax on that portion of such payments that is greater than his respective average income during the past five years. Stockholder approval of the Signing Bonuses is a condition to consummation of the Merger. See "THE MERGER--Interests of Certain Persons in the Merger" and "--Excess Parachute Payments."</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STOCKHOLDER AGREEMENTS. Pursuant to the Stockholder Agreements, certain officers and directors of Exmark, in their individual capacities as stockholders, have agreed to vote all shares of Exmark Common Stock and Exmark Preferred Stock owned by them for approval and adoption of the Merger Agreement and have granted to Toro irrevocable proxies so to vote their respective shares. See "THE MERGER-- Stockholder Agreements" and "--Interests of Certain Persons in the Merger."</w:t>
      </w:r>
    </w:p>
    <w:p>
      <w:pPr>
        <w:spacing w:after="0" w:line="33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ISSUANCE OF CLASS B STOCK TO INSIDERS. Prior to the Effective Time and subject to approval of the New Articles of Incorporation by the requisite vote of the Holders, Exmark will issue 10,000 shares of Exmark Class B Stock to certain officers, directors and employees of Exmark pursuant to the exercise of certain previously issued stock purchase rights, including (1) 2,000 shares to each of H. John Smith, Ray Rickard and Roger Smith, (2) 210 shares to each of Merrell Clark and Robert Martin and (3) 120 shares to each of Gary Kuck and Keith Dietzen. Roger Smith is a director and the Secretary of Exmark and a Director and the President of Holiman. Merrell Clark is a director and the Treasurer of Exmark. Robert Martin, Gary Kuck and Keith Dietzen are directors of Exmark. Each share of Exmark Class B Stock will receive the Class B Initial Per Share Payment Consideration (I.E., one-tenth of a share of Toro Common Stock) and one Class B Contingent Payment Right. If the Class B Contingent is maximized and subject to Toro's Offset Right, each Class B Contingent Payment Right would entitle the holder thereof to receive cash and Toro Common Stock with a face value of $1,400. As a result, Messrs. Smith, Rickard and Smith each may receive up to approximately $2,810,000 in exchange for their respective shares of Exmark Class B Stock. Messrs. Clark and Martin each may receive up to approximately $295,000 in exchange for their respective shares of Exmark Class B Stock. Messrs. Kuck and Dietzen each may receive up to approximately $175,000 in exchange for their respective shares of Exmark Class B Stock. See "THE MERGER--Interests of Certain Persons in the Merger."</w:t>
      </w:r>
    </w:p>
    <w:p>
      <w:pPr>
        <w:spacing w:after="0" w:line="17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ROGER SMITH; HOLIMAN ACQUISITION. As a condition to the Merger, Exmark must first acquire all of the outstanding capital stock of Holiman. Roger Smith, a Director of Exmark and a major stockholder of Exmark, is the owner of all of the outstanding shares of Holiman. As a result of Exmark's acquisition of Holiman, Roger Smith will receive 3,689 shares of Exmark Class C Stock, which represents approximately $2,125,000 of the total Initial Payment Consideration. See "THE MERGER--Acquisition of Holiman" and "--Interests of Certain Persons in the Merger."</w:t>
      </w:r>
    </w:p>
    <w:p>
      <w:pPr>
        <w:spacing w:after="0" w:line="164"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The Board of Directors of Exmark was aware of the interests of each of the above described persons in the Merger and considered them, among other matters, in approving the Merger Agreement and the transactions contemplated thereby.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26" w:name="page27"/>
    <w:bookmarkEnd w:id="26"/>
    <w:p>
      <w:pPr>
        <w:ind w:left="360"/>
        <w:spacing w:after="0"/>
        <w:rPr>
          <w:sz w:val="20"/>
          <w:szCs w:val="20"/>
          <w:color w:val="auto"/>
        </w:rPr>
      </w:pPr>
      <w:r>
        <w:rPr>
          <w:rFonts w:ascii="Courier New" w:cs="Courier New" w:eastAsia="Courier New" w:hAnsi="Courier New"/>
          <w:sz w:val="14"/>
          <w:szCs w:val="14"/>
          <w:color w:val="auto"/>
        </w:rPr>
        <w:t>STOCKHOLDER AGREEMENTS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Concurrently with the execution of the Merger Agreement, H. John Smith, Ray Rickard, Roger T. Smith, Merrell F. Clark and Robert F. Martin, who collectively had record ownership of approximately 14,015 shares of Exmark Common Stock and 550 shares of Exmark Preferred Stock as of the Record Date (representing approximately 63.8% of the total voting power of the outstanding shares of Exmark Common Stock and Exmark Preferred Stock on such date), entered into separate Stockholder Agreements with Toro. Pursuant to the Stockholder Agreements, such stockholders have agreed to vote, and have granted to Toro an irrevocable proxy to vote, such shares in favor of approval of the Merger Agreement, the Merger, the New Articles of Incorporation and the Signing Bonuses. In addition, under the Stockholder Agreements, such stockholders have agreed to vote, and have granted to Toro an irrevocable proxy to vote, such shares against approval of any proposal made in opposition to or competition with consummation of the Merger and against any merger, consolidation, sale of assets, reorganization or recapitalization, with any party other than Toro and against any liquidation or winding up of Exmark. The Stockholder Agreements, other than the provisions relating to the grant of an irrevocable proxy, terminate on the earlier to occur of (1) the Effective Time or (2) such date and time as the Merger Agreement shall be terminated pursuant to Article IX of the Merger Agreement. See "THE MERGER--Stockholder Agreements."</w:t>
      </w:r>
    </w:p>
    <w:p>
      <w:pPr>
        <w:spacing w:after="0" w:line="3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ACQUISITION OF HOLIMAN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a condition to the Merger, Exmark has entered into a stock-for-stock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agreement (the "Holiman Agreement") with Roger Smith to acquire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Holiman, the primary manufacturer's representative of Exmark. Roger Smith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 owner of all of the issued and outstanding capital stock of Holiman.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of the Holiman Agreement, Roger Smith will receive 3,689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Class C Stock, which represents approximately $2,125,000 of the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Payment Consideration. See "THE MERGER--Effects of the Merger"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Merger Consideration." Mr. Smith, as the sole holder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Stock is not entitled to receive Contingent Payment Rights.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Holiman Agreement, the net book value of Holiman must be not less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$200,000. During Exmark's fiscal year ended August 31, 1997, Exmark 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Holiman $2,217,402 in commissions. See "THE MERGER--Contingent Payment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MERGER--Acquisition of Holiman" and "--Interests of Certain Persons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Merger will be accounted for under the purchase method of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MERGER-- Accounting Treatment."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It is intended that the Merger will qualify as a reorganization under the provisions of Section 368(a) of the Internal Revenue Code of 1986, as amended. If the Merger qualifies as a reorganization under the Code, (1) no gain or loss will be recognized by the stockholders of Exmark with respect to the shares of Toro Common Stock received in the Merger, and (2) gain, if any, but not loss, will be recognized by any Exmark stockholder upon the exchange of Exmark capital stock for cash in the Merger. See "THE MERGER--Certain Federal Income Tax Consequences."</w:t>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All record holders of Exmark securities as of the Record Date have the right to dissent from approval and adoption of the Merger Agreement and, if the Merger is consummated, to receive payment of the fair value of their shares (determined in accordance with Nebraska law) upon compliance with the provisions of Sections 21-20,137 to 21-20,150 of the Nebraska Business Corporation Act, a summary of which 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1" w:right="1440" w:bottom="1440" w:gutter="0" w:footer="0" w:header="0"/>
        </w:sectPr>
      </w:pPr>
    </w:p>
    <w:bookmarkStart w:id="27" w:name="page28"/>
    <w:bookmarkEnd w:id="27"/>
    <w:p>
      <w:pPr>
        <w:ind w:right="3339"/>
        <w:spacing w:after="0" w:line="251" w:lineRule="auto"/>
        <w:rPr>
          <w:sz w:val="20"/>
          <w:szCs w:val="20"/>
          <w:color w:val="auto"/>
        </w:rPr>
      </w:pPr>
      <w:r>
        <w:rPr>
          <w:rFonts w:ascii="Courier New" w:cs="Courier New" w:eastAsia="Courier New" w:hAnsi="Courier New"/>
          <w:sz w:val="14"/>
          <w:szCs w:val="14"/>
          <w:color w:val="auto"/>
        </w:rPr>
        <w:t>provided in "THE MERGER--Dissenters' Rights" and the full text of which is attached to this Proxy Statement/Prospectus as Exhibit B. All holders of Exmark securities are urged to read Sections 21-20,137 to 21-20,150 carefully. The value determined for such dissenters' rights could be more than, the same as, or less than the value of the consideration to be received under the Merger Agreement by Exmark stockholders who do not dissent from the Merger.</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Consummation of the Merger was conditioned upon, among other things, the expiration or termination of all applicable waiting periods pursuant to the Hart-Scott-Rodino Antitrust Improvements Act of 1976, as amended (the "HSR Act"). The HSR Act requires that parties to certain acquisitions file notifications with the federal antitrust authorities and observe a waiting period prior to consummation. The waiting period under the HSR Act expired on August 13, 1997. See "THE MERGER--Regulatory Approvals."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following is a summary of certain other material provisions of the Merger Agreement. The following descriptions do not purport to be complete and are qualified in their entirety by reference to the Merger Agreement included as Exhibit A to this Proxy Statement/Prospectus. All stockholders are urged to read the Merger Agreement in its entirety. See also "THE MERGER" and "THE MERGER AGREEMENT."</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LIMITATIONS ON NEGOTIATIONS BY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Prior to the termination of the Merger Agreement, Exmark is prohibited from soliciting, initiating or encouraging submission of any proposal or offer from any person, group or entity relating to any acquisition of the capital stock or business of Exmark, or all or a material portion of the assets of Exmark or other similar transaction or business combination involving the business of Exmark. Likewise, Exmark may not participate in any negotiations regarding, or furnish to any other person any information with respect to, or otherwise cooperate in any way with, or assist or participate in, facilitate or encourage, any effort or attempt by any other person or entity to do or seek any of the above actions. Notwithstanding the foregoing, Exmark and its board of directors may, pursuant to their fiduciary duties and subject to certain limitations, engage in negotiations with a third party in response to a bona fide proposal regarding such transactions and combinations. See "THE MERGER AGREEMENT--Limitations on Negotiations by Exmark."</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obligations of Toro and Exmark to effect the Merger are subject to the satisfaction of certain conditions, including among others: effectiveness of the Registration Statement, stockholder approval of the Merger Agreement and the Merger, the absence of any action, proceeding or injunction prohibiting consummation of the Merger, the receipt of necessary regulatory and other approvals and consents, continuing accuracy of representations and warranties in the Merger Agreement, performance or compliance with the agreements and covenants in the Merger Agreement and receipt by Toro and Exmark of various agreements. See "THE MERGER AGREEMENT--Conditions."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OFFSET RIGHT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Merger Agreement, Toro will have the right to offset certain losses, liabilities, deficiencies, damages, penalties, expenses or costs against the Holdback Amount and the Contingent Payments, if any, that Toro or the Surviving Corporation or their affiliates, officers, directors, employees or agents may incur as a result of certain misrepresentations of Exmark contained in, or for breaches by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1" w:right="1440" w:bottom="1440" w:gutter="0" w:footer="0" w:header="0"/>
        </w:sectPr>
      </w:pPr>
    </w:p>
    <w:bookmarkStart w:id="28" w:name="page29"/>
    <w:bookmarkEnd w:id="28"/>
    <w:p>
      <w:pPr>
        <w:ind w:right="3339"/>
        <w:spacing w:after="0" w:line="251" w:lineRule="auto"/>
        <w:rPr>
          <w:sz w:val="20"/>
          <w:szCs w:val="20"/>
          <w:color w:val="auto"/>
        </w:rPr>
      </w:pPr>
      <w:r>
        <w:rPr>
          <w:rFonts w:ascii="Courier New" w:cs="Courier New" w:eastAsia="Courier New" w:hAnsi="Courier New"/>
          <w:sz w:val="14"/>
          <w:szCs w:val="14"/>
          <w:color w:val="auto"/>
        </w:rPr>
        <w:t>Exmark of certain provisions of, the Merger Agreement or certain related agreements. The Offset Right for any breach of a representation of Exmark in the Merger Agreement or for certain environmental losses is subject to a one-time deductible of at least $50,000 and expires on the later to occur of (1) the date on which the 1999 Contingent Payment, if any, is fully paid and (2) the date on which the last payment of the Holdback Amount is made, subject to extension for any pending claims. An individual loss shall not give rise to an Offset Right unless such loss equals or exceeds $10,000. Notwithstanding anything to the contrary in the preceding sentence, the limitation set forth in such sentence shall not apply to any loss that relates to a claim or action that arises from the same or substantially the same facts as one or more other claims or actions and the aggregate amount of losses so arising is at least $10,000. See "THE MERGER AGREEMENT--Offset Right."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TERMINATION OF THE MERGER AGREEMENT; TERMINATION FEES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(1) by mutual consent of Toro, Merger Subsidiary and Exmark; (2) by Toro or Exmark in the event that, among other things, (a) there has been a material misrepresentation, breach of warranty or breach of covenant on the part of the other in the representations, warranties and covenants set forth in the Merger Agreement; (b) there shall be a final nonappealable order of a federal or state court in effect preventing the consummation of the Merger, or there shall be any action taken, or any statute, rule, regulation or order enacted, promulgated or issued or deemed applicable to the Merger by any governmental authority or agency, which would make the consummation of the Merger illegal; (c) there shall be any action taken, or any statute, rule, regulation or order enacted, promulgated or issued or deemed applicable to the Merger by any governmental authority or agency which would prohibit Exmark's or Toro's ownership or operation of all or a portion of Exmark's business or compel Toro or Exmark to dispose of or hold separate all or a portion of the business or assets of Exmark or Toro as a result of the Merger; (d) the transactions contemplated by the Merger Agreement or the Articles of Merger have not been consummated on or before January 31, 1998; or (e) if the stockholders of Exmark shall have failed to approve the Merger Agreement, the Merger, the New Articles of Incorporation and the Signing Bonus; or (3) by Toro, if (a) more than 8% of the outstanding shares of Exmark Common Stock and Exmark Preferred Stock shall be qualified to be Dissenting Shares or (b) after the date of the Merger Agreement, there shall have been a material adverse change in the assets, properties, financial condition, operating results or business condition of Exmark which shall continue to constitute such a material adverse change. In addition, the Merger Agreement may be terminated by Toro if the Initial Toro Share Price is less than $30 per share or terminated by Exmark if the Initial Toro Share Price exceeds $44 per share. See "THE MERGER AGREEMENT--Termination."</w:t>
      </w:r>
    </w:p>
    <w:p>
      <w:pPr>
        <w:spacing w:after="0" w:line="34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the event of termination of the Merger Agreement by either Toro or Exmark, under certain circumstances, Exmark could be required to pay to Toro a termination fee of $1,500,000. See "THE MERGER AGREEMENT--Termination Fees."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1" w:right="1440" w:bottom="1440" w:gutter="0" w:footer="0" w:header="0"/>
        </w:sectPr>
      </w:pPr>
    </w:p>
    <w:bookmarkStart w:id="29" w:name="page30"/>
    <w:bookmarkEnd w:id="29"/>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CONSOLIDATED FINANCIAL DATA OF TORO</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Set forth below is selected consolidated historical financial information of Toro derived from the unaudited consolidated financial statements of Toro for the nine months ended August 1, 1997 and August 2, 1996, the audited consolidated financial statements of Toro for the fiscal year ended October 31, 1996, the three months ended October 31, 1995 and the years ended July 31, 1995, 1994, 1993 and 1992. In November 1995, Toro changed its fiscal year from July 31 to October 31. The information should be read in conjunction with the consolidated financial statements of Toro and related notes thereto, included in Exhibit D or included elsewhere in this Proxy Statement/Prospectus. In the opinion of Toro's management, the operating results for the nine months ended August 1, 1997 and August 2, 1996 reflect all adjustments (consisting of normal recurring accruals) necessary to present fairly the information contained therein. Results for the nine months ended August 1, 1997 are not necessarily indicative of the results for the full year. See "CERTAIN INFORMATION CONCERNING TORO" and the documents included in Exhibit 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MONTHS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YEARS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w:t>
            </w:r>
          </w:p>
        </w:tc>
        <w:tc>
          <w:tcPr>
            <w:tcW w:w="940" w:type="dxa"/>
            <w:vAlign w:val="bottom"/>
            <w:gridSpan w:val="2"/>
          </w:tcPr>
          <w:p>
            <w:pPr>
              <w:ind w:left="40"/>
              <w:spacing w:after="0"/>
              <w:rPr>
                <w:sz w:val="20"/>
                <w:szCs w:val="20"/>
                <w:color w:val="auto"/>
              </w:rPr>
            </w:pPr>
            <w:r>
              <w:rPr>
                <w:rFonts w:ascii="Courier New" w:cs="Courier New" w:eastAsia="Courier New" w:hAnsi="Courier New"/>
                <w:sz w:val="4"/>
                <w:szCs w:val="4"/>
                <w:color w:val="auto"/>
                <w:w w:val="87"/>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8/1/97(1)</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8/2/96</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10/31/96</w:t>
            </w:r>
          </w:p>
        </w:tc>
        <w:tc>
          <w:tcPr>
            <w:tcW w:w="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10/31/95</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7/31/95</w:t>
            </w: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7/31/94</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7/31/93</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7/31/92</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(IN THOUSANDS, EXCEPT PER SHARE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DATA)</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DATA: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810,434</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$ 732,712</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$ 930,909</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$ 192,278</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$ 932,853</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$ 794,341</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$ 684,324</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$ 643,748</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517,695</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466,689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589,186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120,575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598,275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506,816</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445,495</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419,138</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292,739</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266,023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341,723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71,703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334,578</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287,525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238,829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224,610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231,255</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210,273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278,284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65,048</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269,757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244,943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203,377</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223,166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24,900</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Earnings (loss) from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61,484</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55,750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63,439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6,655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64,821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42,582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35,452</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(23,456)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15,408</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10,858</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13,590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2,532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11,902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13,562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18,726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(7,642)</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(10,331)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(8,193)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(8,030)</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(3,053)</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(7,279)</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Earnings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before income taxes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and extraordinary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52,033</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52,534</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60,180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61,112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37,050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21,355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(34,903)</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Provision for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20,553</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20,751</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23,771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24,445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14,820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8,315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(11,150)</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before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extraordinary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31,480</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31,783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22,230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13,040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(23,753)</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net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income tax benefit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$1,087............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(1,663)</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31,783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13,040</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(23,753)</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per common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common equivalent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share before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extraordinary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net of income tax</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benefit............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 per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equivalent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221,094</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$ 197,896</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$ 197,144</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$ 165,086</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$ 168,951</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$ 175,783</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$ 193,870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$ 210,430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704,970</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531,930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472,653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468,315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443,639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419,203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421,310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Short-term debt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(including current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portion of long-term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debt)................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95,365</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83,973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41,375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56,909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38,625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20,300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15,000</w:t>
            </w:r>
          </w:p>
        </w:tc>
        <w:tc>
          <w:tcPr>
            <w:tcW w:w="1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Long-term debt (less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177,650</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53,046</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53,365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64,935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81,025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122,970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164,100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233,667</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209,562</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190,892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185,471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168,652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144,601</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132,614</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Dividends per common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3419" w:hanging="352"/>
        <w:spacing w:after="0" w:line="252"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consolidated financial statements include the results of operations of the James Hardie Irrigation Group from the date of acquisition, December 2, 1996.</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30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SUMMARY FINANCIAL DATA OF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Set forth below is selected historical financial information of Exmark derived from the audited financial statements of Exmark for the fiscal years ended August 31, 1997, 1996, 1995, 1994 and 1993. The information should be read in conjunction with the Management's Discussion and Analysis of Exmark, the financial statements of Exmark and related notes thereto included elsewhere herein. See "CERTAIN INFORMATION CONCERNING EXMARK," "SELECTED FINANCIAL DATA OF EXMARK," "MANAGEMENT'S DISCUSSION AND ANALYSIS OF EXMARK," and "FINANCIAL STATEMENTS OF EXMARK."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640"/>
        <w:spacing w:after="0"/>
        <w:rPr>
          <w:sz w:val="20"/>
          <w:szCs w:val="20"/>
          <w:color w:val="auto"/>
        </w:rPr>
      </w:pPr>
      <w:r>
        <w:rPr>
          <w:rFonts w:ascii="Courier New" w:cs="Courier New" w:eastAsia="Courier New" w:hAnsi="Courier New"/>
          <w:sz w:val="14"/>
          <w:szCs w:val="14"/>
          <w:color w:val="auto"/>
        </w:rPr>
        <w:t>YEARS ENDED</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8/31/97</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8/31/96</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8/31/95</w:t>
            </w:r>
          </w:p>
        </w:tc>
        <w:tc>
          <w:tcPr>
            <w:tcW w:w="1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8/31/94</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78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38,372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25,265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14,680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35,687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16,535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9,585</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17,733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13,155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8,730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12,614</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2,212</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4,288</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Net earnings per common and common equivalent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10.61</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3,795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2,842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9,966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8,466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6,156</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Short-term debt (including current portion of long-term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(less current portion)....................</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5,742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4,117</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3,071</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2,332</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497"/>
        </w:trPr>
        <w:tc>
          <w:tcPr>
            <w:tcW w:w="51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23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MARKET PRICE DATA</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Common Stock is listed on the NYSE under the symbol "TTC." There is no public market for shares of Exmark capital stock. On June 3, 1997, the last full trading day before Toro and Exmark announced the execution of the letter of intent relating to the Merger, the closing price per share of Toro Common Stock was $37.25, and on October 22, 1997, the closing price per share of Toro Common Stock was $43.125. Stockholders of Exmark are advised to obtain current market quotations for Toro Common Stock. No assurance can be given as to the market price of Toro Common Stock at any time before the Effective Time or as to the market price of Toro Common Stock at any time thereafter.</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following table sets forth the Toro Initial Share Price of $41.4167, which is based upon the average closing price per share of Toro Common Stock as reported on the NYSE for the 30 trading days ending on October 31, 1997. This amount is subject to change if the Merger is not consummated on or prior to November 30, 1997. In the event the Merger is not consummated prior to November 30, the Initial Toro Share Price would be equal to the average closing price per share of Toro Common Stock as reported on the NYSE for the 30 trading days ending on the third trading day immediately preceding the Effective Date of the Merger. The following table also sets forth the "equivalent per share price" for shares of Exmark capital stock (as defined below). The "equivalent per share price" of the Exmark capital stock shown below equals the sum of (a) the Toro Initial Share Price of $41.4167 (which price is subject to change if the Merger is not consummated prior to November 30, 1997) multiplied by the number derived by dividing $23,785,000 (I.E., the Initial Payment Fund, which is equal to $28,100,000 less the Holdback Amount and the Stockholders' Representatives Expense Fund) by the sum of the number of shares of Exmark Common Stock, the number of shares of Exmark Class B Stock, and four times the number of shares of Exmark Preferred Stock, which in each case are issued and outstanding immediately prior to the Effective Time, other than Canceled Shares. The effects of any Contingent Payments have not been included. See "THE MERGER--Effect of the Merger."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EQUIVALENT</w:t>
            </w:r>
          </w:p>
        </w:tc>
      </w:tr>
      <w:tr>
        <w:trPr>
          <w:trHeight w:val="166"/>
        </w:trPr>
        <w:tc>
          <w:tcPr>
            <w:tcW w:w="4020" w:type="dxa"/>
            <w:vAlign w:val="bottom"/>
          </w:tcPr>
          <w:p>
            <w:pPr>
              <w:spacing w:after="0"/>
              <w:rPr>
                <w:sz w:val="14"/>
                <w:szCs w:val="14"/>
                <w:color w:val="auto"/>
              </w:rPr>
            </w:pP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EQUIVALENT</w:t>
            </w: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EQUIVALENT</w:t>
            </w:r>
          </w:p>
        </w:tc>
        <w:tc>
          <w:tcPr>
            <w:tcW w:w="1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4020" w:type="dxa"/>
            <w:vAlign w:val="bottom"/>
          </w:tcPr>
          <w:p>
            <w:pPr>
              <w:spacing w:after="0"/>
              <w:rPr>
                <w:sz w:val="14"/>
                <w:szCs w:val="14"/>
                <w:color w:val="auto"/>
              </w:rPr>
            </w:pPr>
          </w:p>
        </w:tc>
        <w:tc>
          <w:tcPr>
            <w:tcW w:w="13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PER SHARE</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PER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PRICE FOR</w:t>
            </w:r>
          </w:p>
        </w:tc>
      </w:tr>
      <w:tr>
        <w:trPr>
          <w:trHeight w:val="166"/>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PRICE</w:t>
            </w: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PRICE FOR</w:t>
            </w:r>
          </w:p>
        </w:tc>
        <w:tc>
          <w:tcPr>
            <w:tcW w:w="1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EXMARK</w:t>
            </w:r>
          </w:p>
        </w:tc>
      </w:tr>
      <w:tr>
        <w:trPr>
          <w:trHeight w:val="166"/>
        </w:trPr>
        <w:tc>
          <w:tcPr>
            <w:tcW w:w="4020" w:type="dxa"/>
            <w:vAlign w:val="bottom"/>
          </w:tcPr>
          <w:p>
            <w:pPr>
              <w:spacing w:after="0"/>
              <w:rPr>
                <w:sz w:val="14"/>
                <w:szCs w:val="14"/>
                <w:color w:val="auto"/>
              </w:rPr>
            </w:pP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FOR EXMARK</w:t>
            </w:r>
          </w:p>
        </w:tc>
        <w:tc>
          <w:tcPr>
            <w:tcW w:w="1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EXMARK</w:t>
            </w:r>
          </w:p>
        </w:tc>
        <w:tc>
          <w:tcPr>
            <w:tcW w:w="1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MARKET PRICE PER SHARE</w:t>
            </w:r>
          </w:p>
        </w:tc>
        <w:tc>
          <w:tcPr>
            <w:tcW w:w="13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COMMON STOCK</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 STOCK</w:t>
            </w:r>
          </w:p>
        </w:tc>
        <w:tc>
          <w:tcPr>
            <w:tcW w:w="1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$41.416 (Initial Toro Share Price)..........</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487.56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$37.25 (at June 3, 1997)....................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487.56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r>
    </w:tbl>
    <w:p>
      <w:pPr>
        <w:spacing w:after="0" w:line="33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following table sets forth the market price per share of Toro Common Stock on each of June 3, 1997 and October 22, 1997 and the equivalent per share price of the Exmark Class C Stock, which equals one-tenth of the price per share of Toro Common Stock.</w:t>
      </w:r>
    </w:p>
    <w:p>
      <w:pPr>
        <w:sectPr>
          <w:pgSz w:w="11900" w:h="16838" w:orient="portrait"/>
          <w:cols w:equalWidth="0" w:num="1">
            <w:col w:w="10239"/>
          </w:cols>
          <w:pgMar w:left="22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PER SHARE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EQUIVALENT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FOR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STOCK</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440" w:space="80"/>
            <w:col w:w="1300" w:space="0"/>
            <w:col w:w="341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June 3,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22, 1997.............................................</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Courier New" w:cs="Courier New" w:eastAsia="Courier New" w:hAnsi="Courier New"/>
          <w:sz w:val="14"/>
          <w:szCs w:val="14"/>
          <w:color w:val="auto"/>
        </w:rPr>
        <w:t>$ 37.25 $ 43.125</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3.725</w:t>
      </w:r>
    </w:p>
    <w:p>
      <w:pPr>
        <w:spacing w:after="0" w:line="7"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tab/>
        <w:t>4.3125</w:t>
      </w:r>
    </w:p>
    <w:p>
      <w:pPr>
        <w:spacing w:after="0" w:line="212" w:lineRule="exact"/>
        <w:rPr>
          <w:sz w:val="20"/>
          <w:szCs w:val="20"/>
          <w:color w:val="auto"/>
        </w:rPr>
      </w:pPr>
    </w:p>
    <w:p>
      <w:pPr>
        <w:sectPr>
          <w:pgSz w:w="11900" w:h="16838" w:orient="portrait"/>
          <w:cols w:equalWidth="0" w:num="3">
            <w:col w:w="5260" w:space="340"/>
            <w:col w:w="860" w:space="520"/>
            <w:col w:w="3259"/>
          </w:cols>
          <w:pgMar w:left="220" w:top="451" w:right="1440" w:bottom="1440" w:gutter="0" w:footer="0" w:header="0"/>
          <w:type w:val="continuous"/>
        </w:sectPr>
      </w:pPr>
    </w:p>
    <w:p>
      <w:pPr>
        <w:spacing w:after="0" w:line="126"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Apart from the publicly disclosed information concerning Toro, Toro does not know what factors account for changes in the market price of its stock. Exmark stockholders are advised to obtain current market quotations for Toro Common Stock. As a result, in the event the market price of Toro Common Stock decreases compared to the Initial Toro Share Price, the value of the Toro Common Stock to be received in the Merger in exchange for Exmark capital stock would decrease. On the other hand, in the event the market price of Toro Common Stock increases compared to the Initial Toro Share Price, the value of the Toro Common Stock to be received in the Merger in exchange for Exmark capital stock would increase. See "THE MERGER--Effect of the Merger" and "--Payment of Merger Consideration."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1" w:right="1440" w:bottom="144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COMPARATIVE UNAUDITED PER COMMON SHARE DATA</w:t>
      </w:r>
    </w:p>
    <w:p>
      <w:pPr>
        <w:spacing w:after="0" w:line="173" w:lineRule="exact"/>
        <w:rPr>
          <w:sz w:val="20"/>
          <w:szCs w:val="20"/>
          <w:color w:val="auto"/>
        </w:rPr>
      </w:pPr>
    </w:p>
    <w:p>
      <w:pPr>
        <w:ind w:right="3880" w:firstLine="344"/>
        <w:spacing w:after="0" w:line="251" w:lineRule="auto"/>
        <w:rPr>
          <w:sz w:val="20"/>
          <w:szCs w:val="20"/>
          <w:color w:val="auto"/>
        </w:rPr>
      </w:pPr>
      <w:r>
        <w:rPr>
          <w:rFonts w:ascii="Courier New" w:cs="Courier New" w:eastAsia="Courier New" w:hAnsi="Courier New"/>
          <w:sz w:val="14"/>
          <w:szCs w:val="14"/>
          <w:color w:val="auto"/>
        </w:rPr>
        <w:t>The following table presents selected comparative unaudited per common share data with respect to Toro Common Stock and Exmark Common Stock on a historical basis and a pro forma combined basis, giving effect to the Merger using the purchase method of accounting. This information is derived from the historical financial statements and the related notes thereto included in Exhibit D or included elsewhere in this Proxy Statement/Prospectus. The per share data set forth below are presented for informational purposes only and are not necessarily indicative of the results of the future operations of the combined entity or the actual results that would have been achieved had the Merger been consummated at the dates assumed in preparing such data.</w:t>
      </w:r>
    </w:p>
    <w:p>
      <w:pPr>
        <w:spacing w:after="0" w:line="163" w:lineRule="exact"/>
        <w:rPr>
          <w:sz w:val="20"/>
          <w:szCs w:val="20"/>
          <w:color w:val="auto"/>
        </w:rPr>
      </w:pPr>
    </w:p>
    <w:p>
      <w:pPr>
        <w:ind w:right="3880" w:firstLine="344"/>
        <w:spacing w:after="0" w:line="251" w:lineRule="auto"/>
        <w:rPr>
          <w:sz w:val="20"/>
          <w:szCs w:val="20"/>
          <w:color w:val="auto"/>
        </w:rPr>
      </w:pPr>
      <w:r>
        <w:rPr>
          <w:rFonts w:ascii="Courier New" w:cs="Courier New" w:eastAsia="Courier New" w:hAnsi="Courier New"/>
          <w:sz w:val="14"/>
          <w:szCs w:val="14"/>
          <w:color w:val="auto"/>
        </w:rPr>
        <w:t>The pro forma information that follows was prepared assuming that the Initial Payment of an estimated $28,100,000 will be comprised of cash of approximately $3,372,000 (I.E., 12% of the aggregate amount of the cash and shares of Toro Common Stock to be paid by Toro that represent the total Initial Per Share Payment Consideration) and approximately 597,054 shares of Toro Common Stock, based upon a Toro Initial Share Price of $41.4167 per share, calculated assuming the Merger is consummated on or before November 30, 1997 (I.E., the average closing sale price of Toro Common Stock for the 30 trading days ending October 31, 1997). The effects of any Contingent Payments have not been included.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EXMARK</w:t>
            </w:r>
          </w:p>
        </w:tc>
        <w:tc>
          <w:tcPr>
            <w:tcW w:w="12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TORO</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EXMARK</w:t>
            </w:r>
          </w:p>
        </w:tc>
        <w:tc>
          <w:tcPr>
            <w:tcW w:w="122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TORO</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COMMON STOCK</w:t>
            </w:r>
          </w:p>
        </w:tc>
        <w:tc>
          <w:tcPr>
            <w:tcW w:w="128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COMMON STOCK</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COMMON STOCK</w:t>
            </w:r>
          </w:p>
        </w:tc>
        <w:tc>
          <w:tcPr>
            <w:tcW w:w="122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(HISTORICAL AT</w:t>
            </w:r>
          </w:p>
        </w:tc>
        <w:tc>
          <w:tcPr>
            <w:tcW w:w="128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(HISTORICAL AT</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(HISTORICAL AT</w:t>
            </w:r>
          </w:p>
        </w:tc>
        <w:tc>
          <w:tcPr>
            <w:tcW w:w="122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(HISTORICAL AT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AUGUST 31,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OCTOBER 31</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AUGUST 31,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26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1, 1997)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1997)(4)</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COMBINED(1)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1996)(4)</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COMBINED(2)</w:t>
            </w: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19.29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203.28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20.67</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17.75</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142.65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18.94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dividends per share (3):</w:t>
            </w:r>
          </w:p>
        </w:tc>
        <w:tc>
          <w:tcPr>
            <w:tcW w:w="6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0.48</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0.48</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Earnings per share before</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w:t>
            </w:r>
          </w:p>
        </w:tc>
        <w:tc>
          <w:tcPr>
            <w:tcW w:w="6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36.95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earnings per share:</w:t>
            </w:r>
          </w:p>
        </w:tc>
        <w:tc>
          <w:tcPr>
            <w:tcW w:w="6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36.95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880" w:hanging="352"/>
        <w:spacing w:after="0" w:line="251"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book value per share was derived from the combined historical book value of Toro at August 1, 1997 and Exmark at August 31, 1997, giving effect to the Merger using the purchase method of accounting. The pro forma combined net income per share of Toro Common Stock is derived from the combined historical net income of Toro for the year ended August 1, 1997 and the historical net income of Exmark for the fiscal year ended August 31, 1997, including those pro forma adjustments appropriate to reflect the Merger as though it had occurred at the beginning of the period using the purchase method of accounting.</w:t>
      </w:r>
    </w:p>
    <w:p>
      <w:pPr>
        <w:spacing w:after="0" w:line="163" w:lineRule="exact"/>
        <w:rPr>
          <w:rFonts w:ascii="Courier New" w:cs="Courier New" w:eastAsia="Courier New" w:hAnsi="Courier New"/>
          <w:sz w:val="14"/>
          <w:szCs w:val="14"/>
          <w:color w:val="auto"/>
        </w:rPr>
      </w:pPr>
    </w:p>
    <w:p>
      <w:pPr>
        <w:ind w:left="360" w:right="3880" w:hanging="352"/>
        <w:spacing w:after="0" w:line="251"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book value per share was derived from the combined historical book value of Toro at October 31, 1996 and Exmark at August 31, 1996, giving effect to the Merger using the purchase method of accounting. The pro forma combined net income per share of Toro Common Stock is derived from the combined historical net income of Toro for the fiscal year ended October 31, 1997 and the historical net income of Exmark for the fiscal year ended August 31, 1996, including those pro forma adjustments appropriate to reflect the Merger as though it had occurred at the beginning of the period using the purchase method of accounting.</w:t>
      </w:r>
    </w:p>
    <w:p>
      <w:pPr>
        <w:spacing w:after="0" w:line="163" w:lineRule="exact"/>
        <w:rPr>
          <w:rFonts w:ascii="Courier New" w:cs="Courier New" w:eastAsia="Courier New" w:hAnsi="Courier New"/>
          <w:sz w:val="14"/>
          <w:szCs w:val="14"/>
          <w:color w:val="auto"/>
        </w:rPr>
      </w:pPr>
    </w:p>
    <w:p>
      <w:pPr>
        <w:ind w:left="360" w:right="3960" w:hanging="352"/>
        <w:spacing w:after="0" w:line="255"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no changes in cash dividends per share by Toro after the completion of the Merger.</w:t>
      </w:r>
    </w:p>
    <w:p>
      <w:pPr>
        <w:spacing w:after="0" w:line="159" w:lineRule="exact"/>
        <w:rPr>
          <w:rFonts w:ascii="Courier New" w:cs="Courier New" w:eastAsia="Courier New" w:hAnsi="Courier New"/>
          <w:sz w:val="14"/>
          <w:szCs w:val="14"/>
          <w:color w:val="auto"/>
        </w:rPr>
      </w:pPr>
    </w:p>
    <w:p>
      <w:pPr>
        <w:ind w:left="360" w:right="3880" w:hanging="352"/>
        <w:spacing w:after="0" w:line="252"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book value per common share is computed by dividing total stockholders' equity by the total common shares outstanding assuming that the participating preferred shares have been converted to common shares at a ratio of 4 common shares for each preferred share.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780"/>
          </w:cols>
          <w:pgMar w:left="220" w:top="451" w:right="899" w:bottom="1440" w:gutter="0" w:footer="0" w:header="0"/>
        </w:sectPr>
      </w:pPr>
    </w:p>
    <w:bookmarkStart w:id="34" w:name="page35"/>
    <w:bookmarkEnd w:id="34"/>
    <w:p>
      <w:pPr>
        <w:ind w:left="2600"/>
        <w:spacing w:after="0"/>
        <w:rPr>
          <w:sz w:val="20"/>
          <w:szCs w:val="20"/>
          <w:color w:val="auto"/>
        </w:rPr>
      </w:pPr>
      <w:r>
        <w:rPr>
          <w:rFonts w:ascii="Courier New" w:cs="Courier New" w:eastAsia="Courier New" w:hAnsi="Courier New"/>
          <w:sz w:val="14"/>
          <w:szCs w:val="14"/>
          <w:color w:val="auto"/>
        </w:rPr>
        <w:t>THE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DATE, TIME AND PLACE</w:t>
      </w:r>
    </w:p>
    <w:p>
      <w:pPr>
        <w:spacing w:after="0" w:line="173"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This Proxy Statement/Prospectus is being furnished to holders of Exmark Common Stock and Exmark Preferred Stock in connection with the solicitation of proxies by the Board of Directors of Exmark for use at a Special Meeting to be</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held on , 1997 at Exmark's corporate offices, 2101 Ashland Avenue, P.O. Box 808, Beatrice, Nebraska 68310, commencing at 9:00 A.M. local time, and at any adjournment or postponement thereof.</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This Proxy Statement/Prospectus and accompanying forms of proxy are first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being mailed to stockholders of Exmark on or about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1997.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THE SPECIAL MEETING</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the Special Meeting, holders of Exmark Common Stock and Exmark Preferred Stock will (1) consider and vote upon a proposal to approve the Merger Agreement by and among Exmark, Toro and Merger Subsidiary, pursuant to which, among other things, Merger Subsidiary will merge with and into Exmark, with Exmark continuing as the Surviving Corporation, (2) consider and vote upon a proposal to adopt the New Articles of Incorporation, which authorize the issuance of two new classes of preferred stock of Exmark and clarify the four-to-one distribution preference associated with the Exmark Preferred Stock, (3) consider and vote upon a proposal to approve the payment in connection with the Merger of the Signing Bonuses to H. John Smith and Ray Rickard, which bonuses shall be paid by Toro pursuant to new employment agreements, which employment agreements also include noncompete covenants, (4) consider and vote upon a proposal to ratify the appointment of H. John Smith, Ray Rickard and Roger Smith as the initial Stockholders' Representatives and (5) transact such other business as may properly come before the Special Meeting. A copy of the Merger Agreement is attached hereto as Exhibit A and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BOARD OF DIRECTORS' RECOMMENDATIONS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BOARD OF DIRECTORS OF EXMARK BELIEVES THAT THE MERGER IS IN THE BEST INTEREST OF EXMARK AND ITS STOCKHOLDERS AND UNANIMOUSLY RECOMMENDS APPROVAL OF THE MERGER AGREEMENT AND THE MERGER TO ITS STOCKHOLDERS.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FURTHERMORE, THE BOARD OF DIRECTORS OF EXMARK UNANIMOUSLY RECOMMENDS TO ITS STOCKHOLDERS APPROVAL OF (1) THE PROPOSED NEW ARTICLES OF INCORPORATION, (2) THE PAYMENT OF SIGNING BONUSES TO H. JOHN SMITH AND RAY RICKARD AND (3) THE RATIFICATION OF THE APPOINTMENT OF H. JOHN SMITH, RAY RICKARD AND ROGER SMITH AS THE INITIAL STOCKHOLDERS' REPRESENTATIVES.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SHARES ENTITLED TO VOTE; REQUIRED VOTE; QUORUM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Exmark has fixed</w:t>
            </w:r>
          </w:p>
        </w:tc>
        <w:tc>
          <w:tcPr>
            <w:tcW w:w="46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 1997 as the Record Date for the determination</w:t>
            </w: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of the holders of Exmark Common Stock and Exmark Preferred</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Stock entitled 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notice of and to</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vote at the Special Meeting. Only holders</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of record of Exmark</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Common Stock and</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Exmark Preferred Stock on the Record 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will be entitled 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notice of and to</w:t>
            </w:r>
          </w:p>
        </w:tc>
        <w:tc>
          <w:tcPr>
            <w:tcW w:w="54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vote at the Special Meeting. As of the Record Date, there were</w:t>
            </w: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15,431 outstanding shares of Exmark Common Stock and 7,416</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outstanding shares of</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Exmark Preferred</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 entitled to vote, which shares were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held in the aggregate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by approximately</w:t>
            </w:r>
          </w:p>
        </w:tc>
        <w:tc>
          <w:tcPr>
            <w:tcW w:w="54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52 holders of record. Each holder of record of Exmark Common</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Stock and Exmark</w:t>
            </w:r>
          </w:p>
        </w:tc>
        <w:tc>
          <w:tcPr>
            <w:tcW w:w="54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Preferred Stock on the Record Date is entitled to cast one vote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per share on all</w:t>
            </w:r>
          </w:p>
        </w:tc>
        <w:tc>
          <w:tcPr>
            <w:tcW w:w="54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matters properly submitted for the vote of Exmark stockholders,</w:t>
            </w: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exercisable in person or by properly executed proxy, at the Special Meeting. The presence, in person or by properly executed proxy, of the holders of a majority of the voting power of the outstanding shares of Exmark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1" w:right="1440" w:bottom="1440" w:gutter="0" w:footer="0" w:header="0"/>
        </w:sectPr>
      </w:pPr>
    </w:p>
    <w:bookmarkStart w:id="35" w:name="page36"/>
    <w:bookmarkEnd w:id="35"/>
    <w:p>
      <w:pPr>
        <w:ind w:right="3339"/>
        <w:spacing w:after="0" w:line="252" w:lineRule="auto"/>
        <w:rPr>
          <w:sz w:val="20"/>
          <w:szCs w:val="20"/>
          <w:color w:val="auto"/>
        </w:rPr>
      </w:pPr>
      <w:r>
        <w:rPr>
          <w:rFonts w:ascii="Courier New" w:cs="Courier New" w:eastAsia="Courier New" w:hAnsi="Courier New"/>
          <w:sz w:val="14"/>
          <w:szCs w:val="14"/>
          <w:color w:val="auto"/>
        </w:rPr>
        <w:t>Common Stock and Exmark Preferred Stock entitled to vote at the Special Meeting, considered as one class, is necessary to constitute a quorum at the Special Meeting.</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 If an executed proxy card is returned and the stockholder has abstained from voting on any matter, the shares represented by such proxy will be considered present at the meeting for purposes of determining a quorum and for purposes of calculating the vote, but will not be considered to have been voted in favor of such matter. Accordingly, such abstentions will have the same effect as a vote against adoption of such matter.</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the Record Date, the executive officers and directors of Exmark collectively owned, directly or indirectly, approximately 15,086 shares of Exmark Common Stock and Exmark Preferred Stock combined (approximately 66.0% of the voting power of outstanding Exmark Common Stock and Exmark Preferred Stock). Pursuant to the Stockholder Agreements, certain stockholders, including certain executive officers and directors, have agreed to vote, and have granted Toro an irrevocable proxy to vote, all shares of Exmark Common Stock and Exmark Preferred Stock collectively owned by them (approximately 14,015 shares of Exmark Common Stock and 550 shares of Exmark Preferred Stock, representing approximately 63.8% of the outstanding shares of Exmark Common Stock and Exmark Preferred Stock as of the Record Date) for approval of the Merger Agreement, the Merger and the other proposals described herein. See "THE MERGER--Stockholder Agreements." As of the Record Date, neither Toro, its officers, its directors nor any of their respective affiliates owned any shares of Exmark capital stock.</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As of the Record Date, neither Toro nor any of its directors and executive officers nor their affiliates beneficially owned any shares of Exmark Common Stock or Exmark Preferred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All shares of Exmark Common Stock and Exmark Preferred Stock represented at the Special Meeting by properly executed proxies received prior to or at the Special Meeting, and not revoked, will be voted at the Special Meeting in accordance with the instructions indicated on such proxies. If no instructions are indicated, such proxies will be voted for approval of the Merger Agreement and the Merger and the other proposals described herein. If any other matters are properly presented at the Special Meeting for consideration, including, among other things, consideration of a motion to adjourn the Special Meeting to another time or place, the persons named in the enclosed form of proxy and acting thereunder will have discretion to vote on such matters in accordance with their best judgment.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Proxies may be revoked by (1) filing with the Secretary of Exmark, at or before the taking of the vote at the Special Meeting, a written notice of revocation bearing a later date than the proxy, (2) duly executing a later-dated proxy relating to the same shares and delivering it to the Secretary of Exmark before the taking of the vote at the Special Meeting or (3) attending the Special Meeting and voting in person (although attendance at the Special Meeting will not in and of itself constitute a revocation of a</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36" w:name="page37"/>
    <w:bookmarkEnd w:id="36"/>
    <w:p>
      <w:pPr>
        <w:ind w:right="3880"/>
        <w:spacing w:after="0" w:line="251" w:lineRule="auto"/>
        <w:rPr>
          <w:sz w:val="20"/>
          <w:szCs w:val="20"/>
          <w:color w:val="auto"/>
        </w:rPr>
      </w:pPr>
      <w:r>
        <w:rPr>
          <w:rFonts w:ascii="Courier New" w:cs="Courier New" w:eastAsia="Courier New" w:hAnsi="Courier New"/>
          <w:sz w:val="14"/>
          <w:szCs w:val="14"/>
          <w:color w:val="auto"/>
        </w:rPr>
        <w:t>proxy). Any written notice of revocation or subsequent proxy should be sent so as to be delivered to Exmark Manufacturing Company Incorporated, 2101 Ashland Avenue, P.O. Box 808, Beatrice, Nebraska 68310, Attention: Secretary, or hand delivered to the Secretary of Exmark, at or before the taking of the vote at the Special Meeting.</w:t>
      </w:r>
    </w:p>
    <w:p>
      <w:pPr>
        <w:spacing w:after="0" w:line="165" w:lineRule="exact"/>
        <w:rPr>
          <w:sz w:val="20"/>
          <w:szCs w:val="20"/>
          <w:color w:val="auto"/>
        </w:rPr>
      </w:pPr>
    </w:p>
    <w:p>
      <w:pPr>
        <w:ind w:right="3960" w:firstLine="344"/>
        <w:spacing w:after="0" w:line="251" w:lineRule="auto"/>
        <w:rPr>
          <w:sz w:val="20"/>
          <w:szCs w:val="20"/>
          <w:color w:val="auto"/>
        </w:rPr>
      </w:pPr>
      <w:r>
        <w:rPr>
          <w:rFonts w:ascii="Courier New" w:cs="Courier New" w:eastAsia="Courier New" w:hAnsi="Courier New"/>
          <w:sz w:val="14"/>
          <w:szCs w:val="14"/>
          <w:color w:val="auto"/>
        </w:rPr>
        <w:t>If a quorum is not obtained, or if fewer shares of Exmark Common Stock and Exmark Preferred Stock are likely to be voted for approval of the Merger Agreement and the Merger and the other proposals described herein than the number required for approval, the Special Meeting may be adjourned for the purpose of obtaining additional proxies or votes or for any other purpose, and, at any subsequent reconvening of the Special Meeting, all proxies will be voted in the same manner as such proxies would have been voted at the original convening of the Special Meeting (except for any proxies which have theretofore effectively been revoked or withdrawn), notwithstanding that they may have been effectively voted on the same or any other matter at a previous meeting.</w:t>
      </w:r>
    </w:p>
    <w:p>
      <w:pPr>
        <w:spacing w:after="0" w:line="163" w:lineRule="exact"/>
        <w:rPr>
          <w:sz w:val="20"/>
          <w:szCs w:val="20"/>
          <w:color w:val="auto"/>
        </w:rPr>
      </w:pPr>
    </w:p>
    <w:p>
      <w:pPr>
        <w:ind w:right="3960" w:firstLine="344"/>
        <w:spacing w:after="0" w:line="251" w:lineRule="auto"/>
        <w:rPr>
          <w:sz w:val="20"/>
          <w:szCs w:val="20"/>
          <w:color w:val="auto"/>
        </w:rPr>
      </w:pPr>
      <w:r>
        <w:rPr>
          <w:rFonts w:ascii="Courier New" w:cs="Courier New" w:eastAsia="Courier New" w:hAnsi="Courier New"/>
          <w:sz w:val="14"/>
          <w:szCs w:val="14"/>
          <w:color w:val="auto"/>
        </w:rPr>
        <w:t>Pursuant to the Merger Agreement, all expenses of this solicitation, including the cost of preparing and mailing this Proxy Statement/Prospectus, will be borne by Toro, except that each party shall pay its own attorneys' and accountants' fees. In addition to use of the mails, proxies may be solicited personally or by telephone or facsimile by directors, officers and employees of Exmark, who will not be specially compensated for such activities. See "THE MERGER--Cash Election."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STOCKHOLDERS SHOULD NOT SEND ANY STOCK CERTIFICATES WITH THEIR PROXY CARDS.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EXMARK</w:t>
      </w:r>
    </w:p>
    <w:p>
      <w:pPr>
        <w:spacing w:after="0" w:line="173" w:lineRule="exact"/>
        <w:rPr>
          <w:sz w:val="20"/>
          <w:szCs w:val="20"/>
          <w:color w:val="auto"/>
        </w:rPr>
      </w:pPr>
    </w:p>
    <w:p>
      <w:pPr>
        <w:ind w:right="3880" w:firstLine="344"/>
        <w:spacing w:after="0" w:line="251" w:lineRule="auto"/>
        <w:rPr>
          <w:sz w:val="20"/>
          <w:szCs w:val="20"/>
          <w:color w:val="auto"/>
        </w:rPr>
      </w:pPr>
      <w:r>
        <w:rPr>
          <w:rFonts w:ascii="Courier New" w:cs="Courier New" w:eastAsia="Courier New" w:hAnsi="Courier New"/>
          <w:sz w:val="14"/>
          <w:szCs w:val="14"/>
          <w:color w:val="auto"/>
        </w:rPr>
        <w:t>Set forth below are the names and addresses of and the number of shares held as of the Record Date for the Special Meeting by (1) those persons who may be deemed to own beneficially, whether directly or indirectly, 5% or more of the outstanding shares of Exmark Common Stock and Exmark Preferred Stock, (2) each executive officer or director of Exmark and (3) all directors and executive officers of Exmark as a group. Each stockholder named below has sole voting and investment power over the shares shown in the table, unless otherwise indicated.</w:t>
      </w:r>
    </w:p>
    <w:p>
      <w:pPr>
        <w:sectPr>
          <w:pgSz w:w="11900" w:h="16838" w:orient="portrait"/>
          <w:cols w:equalWidth="0" w:num="1">
            <w:col w:w="10780"/>
          </w:cols>
          <w:pgMar w:left="220" w:top="45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EXMARK COMMON STOCK</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BENEFICIALLY OWNED(1)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 OF</w:t>
      </w:r>
    </w:p>
    <w:p>
      <w:pPr>
        <w:spacing w:after="0" w:line="7" w:lineRule="exact"/>
        <w:rPr>
          <w:sz w:val="20"/>
          <w:szCs w:val="20"/>
          <w:color w:val="auto"/>
        </w:rPr>
      </w:pPr>
    </w:p>
    <w:p>
      <w:pPr>
        <w:ind w:left="160"/>
        <w:spacing w:after="0"/>
        <w:tabs>
          <w:tab w:leader="none" w:pos="11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CLASS(1)</w:t>
      </w:r>
    </w:p>
    <w:p>
      <w:pPr>
        <w:spacing w:after="0" w:line="7" w:lineRule="exact"/>
        <w:rPr>
          <w:sz w:val="20"/>
          <w:szCs w:val="20"/>
          <w:color w:val="auto"/>
        </w:rPr>
      </w:pPr>
    </w:p>
    <w:p>
      <w:pPr>
        <w:ind w:left="160"/>
        <w:spacing w:after="0"/>
        <w:tabs>
          <w:tab w:leader="none" w:pos="12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EXMARK PREFERRED STOCK</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BENEFICIALLY OWNED(1)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 OF</w:t>
      </w:r>
    </w:p>
    <w:p>
      <w:pPr>
        <w:spacing w:after="0" w:line="7" w:lineRule="exact"/>
        <w:rPr>
          <w:sz w:val="20"/>
          <w:szCs w:val="20"/>
          <w:color w:val="auto"/>
        </w:rPr>
      </w:pPr>
    </w:p>
    <w:p>
      <w:pPr>
        <w:ind w:left="160"/>
        <w:spacing w:after="0"/>
        <w:tabs>
          <w:tab w:leader="none" w:pos="11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CLASS(2)</w:t>
      </w:r>
    </w:p>
    <w:p>
      <w:pPr>
        <w:spacing w:after="0" w:line="7" w:lineRule="exact"/>
        <w:rPr>
          <w:sz w:val="20"/>
          <w:szCs w:val="20"/>
          <w:color w:val="auto"/>
        </w:rPr>
      </w:pPr>
    </w:p>
    <w:p>
      <w:pPr>
        <w:ind w:left="160"/>
        <w:spacing w:after="0"/>
        <w:tabs>
          <w:tab w:leader="none" w:pos="12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AND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5180" w:space="0"/>
            <w:col w:w="2240" w:space="0"/>
            <w:col w:w="2240" w:space="0"/>
            <w:col w:w="1120"/>
          </w:cols>
          <w:pgMar w:left="220" w:top="451"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Virgil H. and Betty C. Greenley,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625</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8.43%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625</w:t>
      </w:r>
    </w:p>
    <w:p>
      <w:pPr>
        <w:spacing w:after="0" w:line="7" w:lineRule="exact"/>
        <w:rPr>
          <w:sz w:val="20"/>
          <w:szCs w:val="20"/>
          <w:color w:val="auto"/>
        </w:rPr>
      </w:pPr>
    </w:p>
    <w:p>
      <w:pPr>
        <w:sectPr>
          <w:pgSz w:w="11900" w:h="16838" w:orient="portrait"/>
          <w:cols w:equalWidth="0" w:num="6">
            <w:col w:w="5000" w:space="520"/>
            <w:col w:w="740" w:space="720"/>
            <w:col w:w="320" w:space="720"/>
            <w:col w:w="320" w:space="720"/>
            <w:col w:w="480" w:space="720"/>
            <w:col w:w="52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Co-Trustees of the Virgil H. Greenley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529 Cuesta Drive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Aptos, CA 95003</w:t>
      </w:r>
    </w:p>
    <w:p>
      <w:pPr>
        <w:sectPr>
          <w:pgSz w:w="11900" w:h="16838" w:orient="portrait"/>
          <w:cols w:equalWidth="0" w:num="1">
            <w:col w:w="10780"/>
          </w:cols>
          <w:pgMar w:left="220" w:top="451" w:right="8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 Jane Holiman,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625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8.43%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625</w:t>
      </w:r>
    </w:p>
    <w:p>
      <w:pPr>
        <w:spacing w:after="0" w:line="7" w:lineRule="exact"/>
        <w:rPr>
          <w:sz w:val="20"/>
          <w:szCs w:val="20"/>
          <w:color w:val="auto"/>
        </w:rPr>
      </w:pPr>
    </w:p>
    <w:p>
      <w:pPr>
        <w:sectPr>
          <w:pgSz w:w="11900" w:h="16838" w:orient="portrait"/>
          <w:cols w:equalWidth="0" w:num="6">
            <w:col w:w="5000" w:space="520"/>
            <w:col w:w="740" w:space="720"/>
            <w:col w:w="320" w:space="720"/>
            <w:col w:w="320" w:space="720"/>
            <w:col w:w="480" w:space="720"/>
            <w:col w:w="52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Trustee(4)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1720 Palm Street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Sebring, FL 33870</w:t>
      </w:r>
    </w:p>
    <w:p>
      <w:pPr>
        <w:sectPr>
          <w:pgSz w:w="11900" w:h="16838" w:orient="portrait"/>
          <w:cols w:equalWidth="0" w:num="1">
            <w:col w:w="10780"/>
          </w:cols>
          <w:pgMar w:left="220" w:top="451" w:right="8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Smith(5)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500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6.74%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w:t>
      </w:r>
    </w:p>
    <w:p>
      <w:pPr>
        <w:spacing w:after="0" w:line="7" w:lineRule="exact"/>
        <w:rPr>
          <w:sz w:val="20"/>
          <w:szCs w:val="20"/>
          <w:color w:val="auto"/>
        </w:rPr>
      </w:pPr>
    </w:p>
    <w:p>
      <w:pPr>
        <w:sectPr>
          <w:pgSz w:w="11900" w:h="16838" w:orient="portrait"/>
          <w:cols w:equalWidth="0" w:num="6">
            <w:col w:w="5000" w:space="520"/>
            <w:col w:w="740" w:space="720"/>
            <w:col w:w="320" w:space="720"/>
            <w:col w:w="320" w:space="720"/>
            <w:col w:w="480" w:space="720"/>
            <w:col w:w="52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108 Valley View Road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Cumberland, PA 17070</w:t>
      </w:r>
    </w:p>
    <w:p>
      <w:pPr>
        <w:sectPr>
          <w:pgSz w:w="11900" w:h="16838" w:orient="portrait"/>
          <w:cols w:equalWidth="0" w:num="1">
            <w:col w:w="10780"/>
          </w:cols>
          <w:pgMar w:left="220" w:top="451" w:right="89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CLASS(3)</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180" w:space="0"/>
            <w:col w:w="5600"/>
          </w:cols>
          <w:pgMar w:left="220" w:top="451"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Virgil H. and Betty C. Greenley,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2.74%</w:t>
      </w:r>
    </w:p>
    <w:p>
      <w:pPr>
        <w:spacing w:after="0" w:line="7" w:lineRule="exact"/>
        <w:rPr>
          <w:sz w:val="20"/>
          <w:szCs w:val="20"/>
          <w:color w:val="auto"/>
        </w:rPr>
      </w:pPr>
    </w:p>
    <w:p>
      <w:pPr>
        <w:sectPr>
          <w:pgSz w:w="11900" w:h="16838" w:orient="portrait"/>
          <w:cols w:equalWidth="0" w:num="2">
            <w:col w:w="5000" w:space="700"/>
            <w:col w:w="508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Co-Trustees of the Virgil H. Greenley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529 Cuesta Drive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Aptos, CA 95003</w:t>
      </w:r>
    </w:p>
    <w:p>
      <w:pPr>
        <w:sectPr>
          <w:pgSz w:w="11900" w:h="16838" w:orient="portrait"/>
          <w:cols w:equalWidth="0" w:num="1">
            <w:col w:w="10780"/>
          </w:cols>
          <w:pgMar w:left="220" w:top="451" w:right="8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 Jane Holiman,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2.74%</w:t>
      </w:r>
    </w:p>
    <w:p>
      <w:pPr>
        <w:spacing w:after="0" w:line="7" w:lineRule="exact"/>
        <w:rPr>
          <w:sz w:val="20"/>
          <w:szCs w:val="20"/>
          <w:color w:val="auto"/>
        </w:rPr>
      </w:pPr>
    </w:p>
    <w:p>
      <w:pPr>
        <w:sectPr>
          <w:pgSz w:w="11900" w:h="16838" w:orient="portrait"/>
          <w:cols w:equalWidth="0" w:num="2">
            <w:col w:w="5000" w:space="700"/>
            <w:col w:w="508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Trustee(4)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1720 Palm Street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Sebring, FL 33870</w:t>
      </w:r>
    </w:p>
    <w:p>
      <w:pPr>
        <w:sectPr>
          <w:pgSz w:w="11900" w:h="16838" w:orient="portrait"/>
          <w:cols w:equalWidth="0" w:num="1">
            <w:col w:w="10780"/>
          </w:cols>
          <w:pgMar w:left="220" w:top="451" w:right="8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w:t>
      </w:r>
    </w:p>
    <w:p>
      <w:pPr>
        <w:spacing w:after="0" w:line="7" w:lineRule="exact"/>
        <w:rPr>
          <w:sz w:val="20"/>
          <w:szCs w:val="20"/>
          <w:color w:val="auto"/>
        </w:rPr>
      </w:pPr>
    </w:p>
    <w:p>
      <w:pPr>
        <w:sectPr>
          <w:pgSz w:w="11900" w:h="16838" w:orient="portrait"/>
          <w:cols w:equalWidth="0" w:num="2">
            <w:col w:w="5000" w:space="700"/>
            <w:col w:w="508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108 Valley View Road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Cumberland, PA 17070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780"/>
          </w:cols>
          <w:pgMar w:left="220" w:top="451" w:right="899" w:bottom="1440" w:gutter="0" w:footer="0" w:header="0"/>
          <w:type w:val="continuous"/>
        </w:sectPr>
      </w:pPr>
    </w:p>
    <w:bookmarkStart w:id="37" w:name="page38"/>
    <w:bookmarkEnd w:id="37"/>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COMMON AND</w:t>
            </w: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518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EXMARK COMMON STOCK</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EXMARK PREFERRED STOCK</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STOCK</w:t>
            </w: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BENEFICIALLY</w:t>
            </w:r>
          </w:p>
        </w:tc>
      </w:tr>
      <w:tr>
        <w:trPr>
          <w:trHeight w:val="166"/>
        </w:trPr>
        <w:tc>
          <w:tcPr>
            <w:tcW w:w="518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BENEFICIALLY OWNED(1)</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BENEFICIALLY OWNED(1)</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OWNED</w:t>
            </w:r>
          </w:p>
        </w:tc>
      </w:tr>
      <w:tr>
        <w:trPr>
          <w:trHeight w:val="166"/>
        </w:trPr>
        <w:tc>
          <w:tcPr>
            <w:tcW w:w="5180" w:type="dxa"/>
            <w:vAlign w:val="bottom"/>
          </w:tcPr>
          <w:p>
            <w:pPr>
              <w:spacing w:after="0"/>
              <w:rPr>
                <w:sz w:val="14"/>
                <w:szCs w:val="14"/>
                <w:color w:val="auto"/>
              </w:rPr>
            </w:pPr>
          </w:p>
        </w:tc>
        <w:tc>
          <w:tcPr>
            <w:tcW w:w="2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CLASS(1)</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CLASS(2)</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W.H. and Rosalie Tegtmeier ...............................</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1408 Oak</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Beatrice, NE 68310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Louis Zucker, Sr. .................................</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6829 Greystone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Raleigh, NC 27615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Doris J. (Lewis) Mehlig ..................................</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5507 Osage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St. Joseph, MO 64503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H. John Smith,(6)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2,194</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Ray Rickard,(6)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2,089</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Executive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Roger T. Smith,(6)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27.38%</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4,225</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Secretary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Merrell F. Clark,(6)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19.02%</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Treasurer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A. Martin,(6)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3,122</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Keith Dietzen,(6)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0.09%</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Gary Kuck,(6)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All Directors and Officers as a group (7 persons).........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14,053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14,628</w:t>
            </w:r>
          </w:p>
        </w:tc>
      </w:tr>
      <w:tr>
        <w:trPr>
          <w:trHeight w:val="663"/>
        </w:trPr>
        <w:tc>
          <w:tcPr>
            <w:tcW w:w="518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CLASS(3)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W.H. and Rosalie Tegtmeier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1408 Oak</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Beatrice, NE 68310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Louis Zucker, Sr.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6829 Greystone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Raleigh, NC 27615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Doris J. (Lewis) Mehlig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5507 Osage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St. Joseph, MO 64503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H. John Smith,(6)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Ray Rickard,(6)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Executive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Roger T. Smith,(6)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18.49%</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Secretary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Merrell F. Clark,(6)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Treasurer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A. Martin,(6)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Keith Dietzen,(6)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Gary Kuck,(6)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All Directors and Officers as a group (7 persons).........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64.03%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4060"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15,431 shares of Exmark Common Stock outstanding.</w:t>
      </w:r>
    </w:p>
    <w:p>
      <w:pPr>
        <w:spacing w:after="0" w:line="159" w:lineRule="exact"/>
        <w:rPr>
          <w:rFonts w:ascii="Courier New" w:cs="Courier New" w:eastAsia="Courier New" w:hAnsi="Courier New"/>
          <w:sz w:val="14"/>
          <w:szCs w:val="14"/>
          <w:color w:val="auto"/>
        </w:rPr>
      </w:pPr>
    </w:p>
    <w:p>
      <w:pPr>
        <w:ind w:left="360" w:right="3880"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7,416 shares of Exmark Preferred Stock outstanding.</w:t>
      </w:r>
    </w:p>
    <w:p>
      <w:pPr>
        <w:spacing w:after="0" w:line="159" w:lineRule="exact"/>
        <w:rPr>
          <w:rFonts w:ascii="Courier New" w:cs="Courier New" w:eastAsia="Courier New" w:hAnsi="Courier New"/>
          <w:sz w:val="14"/>
          <w:szCs w:val="14"/>
          <w:color w:val="auto"/>
        </w:rPr>
      </w:pPr>
    </w:p>
    <w:p>
      <w:pPr>
        <w:ind w:left="360" w:right="4400"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a combined total of 22,847 shares of Exmark Common Stock and Exmark Preferred Stock outstanding.</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Mary Jane Holiman is the mother-in-law of Roger Smith.</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Francine Smith is the wife of Roger Smith.</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each officer's and director's mailing address is</w:t>
      </w:r>
    </w:p>
    <w:p>
      <w:pPr>
        <w:sectPr>
          <w:pgSz w:w="11900" w:h="16877" w:orient="portrait"/>
          <w:cols w:equalWidth="0" w:num="1">
            <w:col w:w="10780"/>
          </w:cols>
          <w:pgMar w:left="220" w:top="782" w:right="899"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2101 Ashland Avenue, P.O. Box 808, Beatrice, Nebraska 68310.</w:t>
      </w:r>
    </w:p>
    <w:p>
      <w:pPr>
        <w:sectPr>
          <w:pgSz w:w="11900" w:h="16838" w:orient="portrait"/>
          <w:cols w:equalWidth="0" w:num="1">
            <w:col w:w="9879"/>
          </w:cols>
          <w:pgMar w:left="580" w:top="141" w:right="1440" w:bottom="1440" w:gutter="0" w:footer="0" w:header="0"/>
        </w:sectPr>
      </w:pPr>
    </w:p>
    <w:p>
      <w:pPr>
        <w:spacing w:after="0" w:line="17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879"/>
          </w:cols>
          <w:pgMar w:left="580" w:top="141" w:right="1440" w:bottom="1440" w:gutter="0" w:footer="0" w:header="0"/>
          <w:type w:val="continuous"/>
        </w:sectPr>
      </w:pPr>
    </w:p>
    <w:bookmarkStart w:id="39" w:name="page40"/>
    <w:bookmarkEnd w:id="39"/>
    <w:p>
      <w:pPr>
        <w:jc w:val="center"/>
        <w:ind w:right="3339"/>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FOLLOWING INFORMATION SUMMARIZES CERTAIN ASPECTS OF THE MERGER. THIS DESCRIPTION DOES NOT PURPORT TO BE COMPLETE AND IS QUALIFIED IN ITS ENTIRETY BY REFERENCE TO THE EXHIBITS HERETO, INCLUDING THE MERGER AGREEMENT, WHICH IS ATTACHED TO THIS PROXY STATEMENT/PROSPECTUS AS EXHIBIT A AND IS INCORPORATED HEREIN BY REFERENCE. ALL STOCKHOLDERS ARE URGED TO READ EXHIBIT A IN ITS ENTIRETY. SEE ALSO "THE MERGER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If the Merger Agreement is approved by the requisite vote of the stockholders of Exmark and the other conditions to the Merger are satisfied (or waived to the extent permitted), the Merger will be effected at the time and date the Articles of Merger are filed with the Secretary of State of the State of Nebraska. The Merger Agreement may be terminated prior to the Effective Time by either Toro or Exmark in certain circumstances. See "THE MERGER AGREEMENT--Termination" and "--Termination Fees."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the Effective Time, pursuant to the Merger Agreement, Merger Subsidiary will be merged with and into Exmark, which will be the Surviving Corporation and a wholly owned subsidiary of Toro. Upon consummation of the Merger, then, except for Dissenting Shares and Canceled Shares, (1) each issued and outstanding share of Exmark Common Stock will be converted into and become a right to receive (a) the Initial Per Share Payment Consideration and (b) one Common/Preferred Contingent Payment Right, (2) each issued and outstanding share of Exmark Preferred Stock will be converted into and become a right to receive (a) four times the Initial Per Share Payment Consideration and (b) four Common/Preferred Contingent Payment Rights, (3) each issued and outstanding share of Exmark Class B Stock will be converted into and become a right to receive (a) the Class B Initial Per Share Payment Consideration and (b) one Class B Contingent Payment Right, and (4) each issued and outstanding share of Exmark Class C preferred stock will be converted into and become a right to receive the Initial Per Share Payment Consideration. See "--Contingent Payment Rights."</w:t>
      </w:r>
    </w:p>
    <w:p>
      <w:pPr>
        <w:spacing w:after="0" w:line="17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the Record Date, there were 15,431 outstanding shares of Exmark Common Stock and 7,416, outstanding shares of Exmark Preferred Stock. Immediately prior to the Effective Time, there will be 15,431 outstanding shares of Exmark Common Stock, 7,416 outstanding shares of Exmark Preferred Stock, 10,000 outstanding shares of Exmark Class B Stock and 3,689 outstanding shares of Exmark Class C Stock. The aggregate amount of cash and shares of Toro Common Stock to be delivered by Toro with respect to all of such shares of Exmark Common Stock, Exmark Preferred Stock, Exmark Class B Stock and Exmark Class C Stock in the Merger will be approximately $28,100,000 with respect to the Initial Payment, 1,000 shares of Toro Common Stock with respect to the Class B Initial Payment and, in addition, up to $28,000,000 if the Contingent Payments are maximized, subject to Toro's Offset Right and any Actual Net Worth Adjustment (as defined below). See "--Holdback Amount; Actual Net Worth Adjustment," "--Stockholders' Representatives Expense Fund" and "THE MERGER AGREEMENT--Offset Right."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EXMARK AFTER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 will be the Surviving Corporation in the Merger and will become a wholly owned subsidiary of Toro upon consummation of the Merger. The directors of Merger Subsidiary immediately prior to the Effective Time will be the initial directors of the Surviving Corporation, and the officers of Exmark immediately prior to the Effective Time will be the initial officers of the Surviving Corporation. Notwithstanding the foregoing, the Stockholders' Representatives may designate one Stockholders' Representative to serve as a director of the Surviving Corporation until the end of the period from the Effective Time until the earlier of the date on which Toro takes control of Exmark's operations pursuant to Section 7.03 of the Merger Agreement or October 31, 1999 (the "Contingent Payment Period"). See "--Toro Control." Furthermore, during the Contingent Payment Period, Exmark will operate as a stand-alone entity.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51" w:right="1440" w:bottom="1440" w:gutter="0" w:footer="0" w:header="0"/>
        </w:sectPr>
      </w:pPr>
    </w:p>
    <w:bookmarkStart w:id="40" w:name="page41"/>
    <w:bookmarkEnd w:id="40"/>
    <w:p>
      <w:pPr>
        <w:ind w:right="3339" w:firstLine="344"/>
        <w:spacing w:after="0" w:line="251" w:lineRule="auto"/>
        <w:rPr>
          <w:sz w:val="20"/>
          <w:szCs w:val="20"/>
          <w:color w:val="auto"/>
        </w:rPr>
      </w:pPr>
      <w:r>
        <w:rPr>
          <w:rFonts w:ascii="Courier New" w:cs="Courier New" w:eastAsia="Courier New" w:hAnsi="Courier New"/>
          <w:sz w:val="14"/>
          <w:szCs w:val="14"/>
          <w:color w:val="auto"/>
        </w:rPr>
        <w:t>During the Contingent Payment Period, Toro and Exmark intend to continue to produce their products under separate brand names and to sell their products through dual distribution channels. Based on this intention, each of Toro and Exmark will have its own distinct distributor and dealer organizations and its own marketing and pricing strategy. Further, each of Toro and Exmark intent to continue to produce new but differentiated products, allowing each of their respective product lines to adapt to the changing needs of the commercial landscape segment of the industry. There will be similar products in both lines; however, Toro's products will have distinctive Toro features and the Exmark products will have distinctive Exmark features. The focus of this strategy is to enhance the value of both brand names in the commercial landscape segment of the industry.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SYNERGIES COUNCIL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order to effectuate the transition of Exmark from a separate company to a subsidiary of Toro following the Merger, the parties have agreed to form the Synergies Council following the Effective Time, to be maintained until the end of the Contingent Payment Period. The Synergies Council will consist of the Stockholders' Representatives, who will represent the interests of the Holders, and three executives of Toro who will represent the interests of Toro. The Synergies Council will, among other things, approve proposed actions that Toro and Exmark may want to take that would be inconsistent with certain covenants contained in the Merger Agreement relating to the conduct of Exmark following the acquisition or which materially affect Exmark as a stand-alone entity prior to the end of the Contingent Payment Period. Further, the Synergies Council will act as an inter-company management team and as a dispute resolution panel during the Contingent Payment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Pursuant to the terms of the Merger Agreement, the Holders of Shares will ratify the appointment of H. John Smith, Ray Rickard and Roger Smith as the initial Stockholders' Representatives. The Stockholders' Representatives will act on behalf of the Holders with respect to the Merger after the Effective Time and as such will assist in the calculation of the amount of Merger Consideration to be paid by Toro in connection with the Merger, including the calculation of the amount to be paid with respect to the Contingent Payments, and may sign and deliver certificates and notices on behalf of such Exmark stockholders, among other things described in the Merger Agreement. The Stockholders' Representatives will be members of the Synergies Council. The number of Stockholders' Representatives cannot exceed more than three persons. A majority of the voting power of the Shares may remove existing Stockholders' Representatives and elect Stockholders' Representatives to fill vacancies, subject to the terms of the Merger Agreement. The Stockholders' Representatives are authorized to take action by majority vote and to make and deliver any certificate, notice, consent or instrument required or permitted to be made or delivered under the Merger Agreement, including without limitation any such actions with respect to the Initial Per Share Payment Consideration and the Contingent Payment Rights. The Stockholders' Representatives also will act as members of the Synergies Council.</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CONTROL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Upon consummation of the Merger, Exmark will become a wholly owned subsidiary of Toro. Notwithstanding the foregoing, Exmark will be operated as a stand-alone entity and the day-to-day management of the business of Exmark during the Contingent Payment Period will be overseen by Exmark's existing management and their successors, subject to certain limitations described in the Merger Agreement. See "--Management of Exmark After the Merger." However, if Exmark fails to earn REBIT equal to or greater than the REBIT shown below for two successive fiscal quarters, Toro shall have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1" w:right="1440" w:bottom="1440" w:gutter="0" w:footer="0" w:header="0"/>
        </w:sectPr>
      </w:pPr>
    </w:p>
    <w:bookmarkStart w:id="41" w:name="page42"/>
    <w:bookmarkEnd w:id="41"/>
    <w:p>
      <w:pPr>
        <w:ind w:right="3519"/>
        <w:spacing w:after="0" w:line="252" w:lineRule="auto"/>
        <w:rPr>
          <w:sz w:val="20"/>
          <w:szCs w:val="20"/>
          <w:color w:val="auto"/>
        </w:rPr>
      </w:pPr>
      <w:r>
        <w:rPr>
          <w:rFonts w:ascii="Courier New" w:cs="Courier New" w:eastAsia="Courier New" w:hAnsi="Courier New"/>
          <w:sz w:val="14"/>
          <w:szCs w:val="14"/>
          <w:color w:val="auto"/>
        </w:rPr>
        <w:t>option to give notice to the Stockholders' Representatives of Toro's intent to take full control of Exmark's operations and, immediately thereafter, to take full control of Exmark's operations: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QUARTER ENDING</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QUARTER ENDING</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QUARTER ENDING</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QUARTER ENDING</w:t>
            </w:r>
          </w:p>
        </w:tc>
      </w:tr>
      <w:tr>
        <w:trPr>
          <w:trHeight w:val="166"/>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JANUARY 31</w:t>
            </w:r>
          </w:p>
        </w:tc>
        <w:tc>
          <w:tcPr>
            <w:tcW w:w="260" w:type="dxa"/>
            <w:vAlign w:val="bottom"/>
          </w:tcPr>
          <w:p>
            <w:pPr>
              <w:spacing w:after="0"/>
              <w:rPr>
                <w:sz w:val="14"/>
                <w:szCs w:val="14"/>
                <w:color w:val="auto"/>
              </w:rPr>
            </w:pPr>
          </w:p>
        </w:tc>
        <w:tc>
          <w:tcPr>
            <w:tcW w:w="10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APRIL 30</w:t>
            </w:r>
          </w:p>
        </w:tc>
        <w:tc>
          <w:tcPr>
            <w:tcW w:w="3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JULY 31</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24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Fiscal 1998................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Fiscal 1999................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875,000</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620,000</w:t>
            </w:r>
          </w:p>
        </w:tc>
      </w:tr>
      <w:tr>
        <w:trPr>
          <w:trHeight w:val="497"/>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For purposes of determining the REBIT, REBIT for each immediately preceding</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fiscal quarter earned in excess of the applicable threshold amount may be added</w:t>
            </w: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to the next succeeding fiscal quarter's REBIT. In the event Toro takes control</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of Exmark's operations, REBIT and CAGR (as defined in "--Contingent Payment</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Rights.") accruing after such date will not be taken into account in computing</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the amount of any Contingent Payments to be made after such date.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rPr>
              <w:t>HOLDBACK AMOUNT; ACTUAL NET WORTH ADJUSTMENT</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6980" w:type="dxa"/>
            <w:vAlign w:val="bottom"/>
            <w:gridSpan w:val="8"/>
          </w:tcPr>
          <w:p>
            <w:pPr>
              <w:ind w:left="360"/>
              <w:spacing w:after="0"/>
              <w:rPr>
                <w:sz w:val="20"/>
                <w:szCs w:val="20"/>
                <w:color w:val="auto"/>
              </w:rPr>
            </w:pPr>
            <w:r>
              <w:rPr>
                <w:rFonts w:ascii="Courier New" w:cs="Courier New" w:eastAsia="Courier New" w:hAnsi="Courier New"/>
                <w:sz w:val="14"/>
                <w:szCs w:val="14"/>
                <w:color w:val="auto"/>
              </w:rPr>
              <w:t>The Escrow Agent shall place the Holdback Amount (I.E., 15% of the Initial</w:t>
            </w:r>
          </w:p>
        </w:tc>
        <w:tc>
          <w:tcPr>
            <w:tcW w:w="860" w:type="dxa"/>
            <w:vAlign w:val="bottom"/>
          </w:tcPr>
          <w:p>
            <w:pPr>
              <w:spacing w:after="0"/>
              <w:rPr>
                <w:sz w:val="24"/>
                <w:szCs w:val="2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Payment Fund) in escrow. The Holdback Amount will be held for purposes of, among</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other things, satisfying Toro's Offset Right, under which Toro is entitled to</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recoveries for certain losses, liabilities, deficiencies, damages, penalties,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expenses or costs Toro or its affiliates officers, directors, employees or</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gridSpan w:val="6"/>
          </w:tcPr>
          <w:p>
            <w:pPr>
              <w:spacing w:after="0"/>
              <w:rPr>
                <w:sz w:val="20"/>
                <w:szCs w:val="20"/>
                <w:color w:val="auto"/>
              </w:rPr>
            </w:pPr>
            <w:r>
              <w:rPr>
                <w:rFonts w:ascii="Courier New" w:cs="Courier New" w:eastAsia="Courier New" w:hAnsi="Courier New"/>
                <w:sz w:val="14"/>
                <w:szCs w:val="14"/>
                <w:color w:val="auto"/>
              </w:rPr>
              <w:t>agents may suffer in connection with the Merger. See "THE MERGER</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AGREEMENT--Offset Right." Subject to Toro's Offset Right and the Actual Net</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Worth Adjustment, if any, two-thirds of the cash and two-thirds of the shares of</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Toro Common Stock included in the Holdback Amount shall be delivered by the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Paying Agent to the Holders of Exmark Common Stock, Exmark Preferred Stock and</w:t>
            </w: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Exmark Class C Stock, as part of their respective Initial Payment Consideration</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and based on their Cash Elections, concurrently with the payment of the 1999</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Contingent Payment (approximately December 31, 1999) and the remainder will be</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delivered by the Paying Agent to such Holders on or before December 31, 2000,</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subject to delay pending the outcome of any then-pending dispute regarding any</w:t>
            </w: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such offset amount.</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6980" w:type="dxa"/>
            <w:vAlign w:val="bottom"/>
            <w:gridSpan w:val="8"/>
          </w:tcPr>
          <w:p>
            <w:pPr>
              <w:ind w:left="360"/>
              <w:spacing w:after="0"/>
              <w:rPr>
                <w:sz w:val="20"/>
                <w:szCs w:val="20"/>
                <w:color w:val="auto"/>
              </w:rPr>
            </w:pPr>
            <w:r>
              <w:rPr>
                <w:rFonts w:ascii="Courier New" w:cs="Courier New" w:eastAsia="Courier New" w:hAnsi="Courier New"/>
                <w:sz w:val="14"/>
                <w:szCs w:val="14"/>
                <w:color w:val="auto"/>
              </w:rPr>
              <w:t>The Holdback Amount also is subject to a net worth adjustment. Prior to the</w:t>
            </w:r>
          </w:p>
        </w:tc>
        <w:tc>
          <w:tcPr>
            <w:tcW w:w="860" w:type="dxa"/>
            <w:vAlign w:val="bottom"/>
          </w:tcPr>
          <w:p>
            <w:pPr>
              <w:spacing w:after="0"/>
              <w:rPr>
                <w:sz w:val="24"/>
                <w:szCs w:val="2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Effective Time, Toro and Exmark will estimate the net worth (total assets minus</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total liabilities) of Exmark as of the Effective Time. In the event that such</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estimate is less than $8,243,000, the difference will, in effect, be subtracted</w:t>
            </w: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from the Initial Payment Fund and added to the Holdback Amount. As a result, the</w:t>
            </w: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Holdback Amount may be greater than 15% of the Initial Payment Fund. Within 90</w:t>
            </w: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days after the Effective Time, the parties will prepare a statement of the book</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value of Exmark's total assets as of the Effective Time, minus Exmark's total</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liabilities as of the Effective Time (the "Actual Net Worth"). The Actual Net</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Worth Adjustment means the amount, determined on a dollar-for-dollar basis, by</w:t>
            </w:r>
          </w:p>
        </w:tc>
        <w:tc>
          <w:tcPr>
            <w:tcW w:w="86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which the Actual Net Worth of Exmark is less than $8,243,000. If the Actual Net</w:t>
            </w:r>
          </w:p>
        </w:tc>
        <w:tc>
          <w:tcPr>
            <w:tcW w:w="860" w:type="dxa"/>
            <w:vAlign w:val="bottom"/>
          </w:tcPr>
          <w:p>
            <w:pPr>
              <w:spacing w:after="0"/>
              <w:rPr>
                <w:sz w:val="14"/>
                <w:szCs w:val="14"/>
                <w:color w:val="auto"/>
              </w:rPr>
            </w:pPr>
          </w:p>
        </w:tc>
      </w:tr>
      <w:tr>
        <w:trPr>
          <w:trHeight w:val="166"/>
        </w:trPr>
        <w:tc>
          <w:tcPr>
            <w:tcW w:w="6640" w:type="dxa"/>
            <w:vAlign w:val="bottom"/>
            <w:gridSpan w:val="7"/>
          </w:tcPr>
          <w:p>
            <w:pPr>
              <w:spacing w:after="0"/>
              <w:rPr>
                <w:sz w:val="20"/>
                <w:szCs w:val="20"/>
                <w:color w:val="auto"/>
              </w:rPr>
            </w:pPr>
            <w:r>
              <w:rPr>
                <w:rFonts w:ascii="Courier New" w:cs="Courier New" w:eastAsia="Courier New" w:hAnsi="Courier New"/>
                <w:sz w:val="14"/>
                <w:szCs w:val="14"/>
                <w:color w:val="auto"/>
              </w:rPr>
              <w:t>Worth is equal to or greater than $8,243,000, then the Actual Net Worth</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gridSpan w:val="6"/>
          </w:tcPr>
          <w:p>
            <w:pPr>
              <w:spacing w:after="0"/>
              <w:rPr>
                <w:sz w:val="20"/>
                <w:szCs w:val="20"/>
                <w:color w:val="auto"/>
              </w:rPr>
            </w:pPr>
            <w:r>
              <w:rPr>
                <w:rFonts w:ascii="Courier New" w:cs="Courier New" w:eastAsia="Courier New" w:hAnsi="Courier New"/>
                <w:sz w:val="14"/>
                <w:szCs w:val="14"/>
                <w:color w:val="auto"/>
              </w:rPr>
              <w:t>Adjustment shall be zero. If the Actual Net Worth is less than $</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8,243,000, then</w:t>
            </w:r>
          </w:p>
        </w:tc>
        <w:tc>
          <w:tcPr>
            <w:tcW w:w="860" w:type="dxa"/>
            <w:vAlign w:val="bottom"/>
          </w:tcPr>
          <w:p>
            <w:pPr>
              <w:spacing w:after="0"/>
              <w:rPr>
                <w:sz w:val="14"/>
                <w:szCs w:val="14"/>
                <w:color w:val="auto"/>
              </w:rPr>
            </w:pPr>
          </w:p>
        </w:tc>
      </w:tr>
    </w:tbl>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Actual Net Worth Adjustment shall equal the difference, and Toro shall be paid from the Holdback Amount cash and shares of Toro Common Stock in an amount equal to such difference, plus interest and dividends thereon. Such estimate and the Actual Net Worth Adjustment will be determined without giving effect to the acquisition of Holiman by Exmark.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EXPENSE FUND</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Escrow Agent also will deduct $100,000, in the form of $12,000 in cash and $88,000 worth of shares of Toro Common Stock (based on the Initial Toro Share Price), from the Initial Payment Fund and will hold such cash and shares in escrow as the Stockholders' Representatives Expense Fund. This fund will be used to pay the expenses of the Stockholders' Representatives that they may incur in connection with their actions as Stockholders' Representatives, including legal, banking and accounting fees. Subject to any deduction for Stockholders' Representatives expenses, the Stockholders' Representatives Expenses Fund will be paid to the Holders of Exmark Common Stock, Exmark Preferred Stock and Exmark Class C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1" w:right="1440" w:bottom="1440" w:gutter="0" w:footer="0" w:header="0"/>
        </w:sectPr>
      </w:pPr>
    </w:p>
    <w:bookmarkStart w:id="42" w:name="page43"/>
    <w:bookmarkEnd w:id="42"/>
    <w:p>
      <w:pPr>
        <w:ind w:right="3679"/>
        <w:spacing w:after="0" w:line="255" w:lineRule="auto"/>
        <w:rPr>
          <w:sz w:val="20"/>
          <w:szCs w:val="20"/>
          <w:color w:val="auto"/>
        </w:rPr>
      </w:pPr>
      <w:r>
        <w:rPr>
          <w:rFonts w:ascii="Courier New" w:cs="Courier New" w:eastAsia="Courier New" w:hAnsi="Courier New"/>
          <w:sz w:val="14"/>
          <w:szCs w:val="14"/>
          <w:color w:val="auto"/>
        </w:rPr>
        <w:t>as part of their respective Initial Payment Consideration and based on their Cash Elections, on or before December 31,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MERGER CONSIDERATION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Subject to Toro's Offset Right and the escrow of the Holdback Amount and the Stockholder's Representatives Expense Fund, the Merger Consideration will be paid in the form of cash and shares of Toro Common Stock to the Holders as follows: the Initial Payment, the Class B Initial Payment, the 1998 Contingent Payment, the 1999 Contingent Payment, the Holdback Payment and the payment of any remainder of the Stockholders' Representatives Expense Fund. The Initial Payment, consisting of the Initial Per Share Payment Consideration, will be made as promptly as practicable after the Effective Time and following surrender of shares of Exmark Common Stock, Exmark Preferred Stock or Exmark Class C Stock. The Class B Initial Payment, consisting of the Class B Initial Per Share Payment Consideration, will be made as promptly as practicable after the Effective Time and following surrender of shares of Exmark Class B Stock. The 1998 Contingent Payment, consisting of cash and shares of Toro Common Stock payable by Toro pursuant to the Contingent Payment Rights, will be paid as promptly as practicable following the later to occur of (1) December 31, 1998 or (2) 10 days after the amount of the 1999 Contingent Payment has been determined by Toro and the Stockholders' Representatives. The 1999 Contingent Payment, consisting of cash and shares of Toro Common Stock payable by Toro pursuant to the Contingent Payment Rights, will be paid as promptly as practicable following the later to occur of (1) December 31, 1999 or (2) 10 days after the amount of the 1999 Contingent Payment has been determined by Toro and the Stockholders' Representatives. Subject to any offset pursuant to Toro's Offset Right, two-thirds of the cash and shares of Toro Common Stock initially included in the Holdback Amount shall be paid concurrently with the 1999 Contingent Payment and the remainder will be paid on or before December 31, 2000. Subject to claims for payment of the expenses of the Stockholders' Representatives, the remainder of the Stockholders' Representatives Expense Fund will be paid on or before December 31, 2000. The cash portion of the Merger Consideration will be approximately 12% of the aggregate amount of each payment and the remainder of the Merger Consideration will be paid in shares of Toro Common Stock. See "--Holdback Amount; Actual Net Worth Adjustment," "--Stockholders' Representatives Expense Fund," "Cash Election" and "--Contingent Payment Rights."</w:t>
      </w:r>
    </w:p>
    <w:p>
      <w:pPr>
        <w:spacing w:after="0" w:line="34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aggregate amount of cash and shares of Toro Common Stock to be delivered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Toro with respect to the total Initial Per Share Payment Consideration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exchanged for the Exmark Common Stock, Exmark Preferred Stock and Exmark Class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will be equal to $28,100,000 (I.E., $23,785,000 after deducting the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held in escrow for the Holdback Amount and the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Expense Fund), certain offsets and other adjustments described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The Initial Per Share Payment Consideration shall be cash and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in an amount equal to a quotient, the numerator of which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$28,100,000 and the denominator of which is the sum of (1) the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Exmark Common Stock, (2) the number of shares of Exmark Class C Stock and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 times the number of shares of Exmark Preferred Stock, which in all cases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issued and outstanding immediately prior to the Effective Time, other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Canceled Shares. For purposes of calculating the number of shares of Toro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included in the Initial Payment Consideration, the value per share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shall be the Initial Toro Share Price. Therefore, if the Merger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on or prior to November 30, 1997, the Initial Toro Share Price would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$41.4167 (I.E., the average closing price per share of Toro Common Stock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 on the NYSE for the 30 trading days ending on October 31, 1997) and,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Dissenting Shares nor Canceled Shares,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$506.89, consisting of 12.239 shares of Toro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cash equal to $69.12, in the absence of a Cash Election to receive more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of the Merger Consideration in cash. Based on this example,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subtracting the Holdback Amount and the Stockholders' Representatives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each share of Exmark Common Stock and each share of Exmark Class C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exchanged in the Merger would receive 10.359 shares of Toro 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equal to $58.51 pursuant to the Initial Payment and each share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exchanged in the Merger would receive 41.436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51" w:right="1440" w:bottom="1440" w:gutter="0" w:footer="0" w:header="0"/>
        </w:sectPr>
      </w:pPr>
    </w:p>
    <w:bookmarkStart w:id="43" w:name="page44"/>
    <w:bookmarkEnd w:id="43"/>
    <w:p>
      <w:pPr>
        <w:ind w:right="3339"/>
        <w:spacing w:after="0" w:line="251" w:lineRule="auto"/>
        <w:rPr>
          <w:sz w:val="20"/>
          <w:szCs w:val="20"/>
          <w:color w:val="auto"/>
        </w:rPr>
      </w:pPr>
      <w:r>
        <w:rPr>
          <w:rFonts w:ascii="Courier New" w:cs="Courier New" w:eastAsia="Courier New" w:hAnsi="Courier New"/>
          <w:sz w:val="14"/>
          <w:szCs w:val="14"/>
          <w:color w:val="auto"/>
        </w:rPr>
        <w:t>Stock and cash equal to $234.04 pursuant to the Initial Payment. However, in the event the Merger is not consummated prior to November 30, the Initial Toro Share Price would be calculated differently (I.E., the average closing price per share of Toro Common Stock as reported on the NYSE for the 30 trading days ending on the third trading day immediately preceding the Effective Date of the Merger) and, consequently, may be a different amount and may result in the payment of more or less shares of Toro Common Stock pursuant to the Initial Per Share Consideration. See "--Payment of Merger Consideration" "--Holdback Amount; Actual Net Worth Adjustment," "--Stockholders' Representatives Expense Fund" and "THE MERGER AGREEMENT--Offset Right."</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may not exceed $14,000,000 (subject to certain offsets and other adjustments described in the enclosed Proxy Statement/Prospectus). Similarly, the maximum amount of cash and shares of Toro Common Stock that may be paid by Toro with respect to the Class B Contingent Payment Rights may not exceed $14,000,000 (subject to certain offsets and other adjustments described in the enclosed Proxy Statement/Prospectus). For purposes of calculating the number of shares of Toro Common Stock included in the 1998 Contingent Payment, the value per share of Toro Common Stock will be the average closing price per share of Toro Common Stock as reported on the NYSE for the 30 trading days ending on the third trading day immediately preceding December 31, 1998 (the "1998 Toro Share Price"). For purposes of calculating the number of shares of Toro Common Stock included in the 1999 Contingent Payment, the value per share of Toro Common Stock will be the average closing price per share of Toro Common Stock as reported on the NYSE for the 30 trading days ending on the third trading day immediately preceding December 31, 1999 (the "1999 Toro Share Price"). See "--Effects of the Merger," "--Holdback Amount; Actual Net Worth Adjustment," "--Stockholders' Representatives Expense Fund," "THE MERGER AGREEMENT--Offset Right" and "--Contingent Payments."</w:t>
      </w:r>
    </w:p>
    <w:p>
      <w:pPr>
        <w:spacing w:after="0" w:line="176"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Fractional shares of Toro Common Stock will not be issued in connection with the Merger. Stockholders of Exmark otherwise entitled to fractional shares of Toro Common Stock will be paid cash in lieu of such factional shares. See "--Fractional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RIGHTS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Contingent Payment Rights qualify the Holders to receive up to two separate payments (the 1998 Contingent Payment and the 1999 Contingent Payment) based on the financial performance of the Surviving Corporation during each of the twelve-month periods ending October 31, 1998 and 1999, respectively. During these periods, existing management will continue to operate Exmark on a stand-alone basis, subject to Toro's right to take control of the day-to-day management of Exmark if certain financial requirements are not satisfied.</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Only Holders of Exmark Common Stock, Exmark Preferred Stock and Exmark Class B Stock are entitled to receive Contingent Payment Rights in exchange for the surrender of their Shares. Holders of Exmark Class C Stock are not entitled to receive Contingent Payment Rights. See "--Effects of the Merger." Holders of Exmark Class B Stock will receive one-half of any Contingent Payment; Holders of Exmark Common Stock and Exmark Preferred Stock will receive the other half of any Contingent Payment. The cash portion of any Contingent Payment will equal</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12% of the total amount of such payment, with the remainder to be paid in shares of Toro Common Stock, valued at either the 1998 Toro Share Price or the 1999 Toro Share Price, as appropriate.</w:t>
      </w:r>
    </w:p>
    <w:p>
      <w:pPr>
        <w:spacing w:after="0" w:line="16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The Contingent Payment Rights are based on Exmark's financial performance during the Contingent Payment Period, and no Contingent Payments will be made unless Exmark obtains certain financial results during the Contingent Payment Period. In addition, Contingent Payments are subject to Toro's Offset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51" w:right="1440" w:bottom="1440" w:gutter="0" w:footer="0" w:header="0"/>
        </w:sectPr>
      </w:pPr>
    </w:p>
    <w:bookmarkStart w:id="44" w:name="page45"/>
    <w:bookmarkEnd w:id="44"/>
    <w:p>
      <w:pPr>
        <w:ind w:right="3339"/>
        <w:spacing w:after="0" w:line="251" w:lineRule="auto"/>
        <w:rPr>
          <w:sz w:val="20"/>
          <w:szCs w:val="20"/>
          <w:color w:val="auto"/>
        </w:rPr>
      </w:pPr>
      <w:r>
        <w:rPr>
          <w:rFonts w:ascii="Courier New" w:cs="Courier New" w:eastAsia="Courier New" w:hAnsi="Courier New"/>
          <w:sz w:val="14"/>
          <w:szCs w:val="14"/>
          <w:color w:val="auto"/>
        </w:rPr>
        <w:t>Right. See "THE MERGER AGREEMENT--Offset Right." Moreover, the total aggregate amount of Contingent Payments may not exceed $14,000,000 for Holders of Exmark Class B Stock and $14,000,000 for Holders of Exmark Common Stock and Exmark Preferred Stock (provided further that the number of shares of Toro Common Stock issued for all Contingent Payments may not exceed 821,334 shares) (the "Contingent Payment Cap").</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Furthermore, if Exmark fails to meet certain financial goals outlined in the Merger Agreement, then Toro shall have the option to take full control of Exmark's operations. In the event Toro takes control of Exmark, the amount of any REBIT and CAGR following the date of such control will not be taken into account in computing the Contingent Payments, thus making any Contingent Payment extremely unlikely. See "--Toro Control."</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VALUATION FORMULA</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amount of each Contingent Payment will be determined using the following valuation formula (the "Valuation Formula"):</w:t>
      </w:r>
    </w:p>
    <w:p>
      <w:pPr>
        <w:spacing w:after="0" w:line="200" w:lineRule="exact"/>
        <w:rPr>
          <w:sz w:val="20"/>
          <w:szCs w:val="20"/>
          <w:color w:val="auto"/>
        </w:rPr>
      </w:pPr>
    </w:p>
    <w:p>
      <w:pPr>
        <w:spacing w:after="0" w:line="291" w:lineRule="exact"/>
        <w:rPr>
          <w:sz w:val="20"/>
          <w:szCs w:val="20"/>
          <w:color w:val="auto"/>
        </w:rPr>
      </w:pPr>
    </w:p>
    <w:p>
      <w:pPr>
        <w:ind w:left="1980" w:right="4379" w:hanging="1980"/>
        <w:spacing w:after="0" w:line="252" w:lineRule="auto"/>
        <w:tabs>
          <w:tab w:leader="none" w:pos="1960" w:val="left"/>
        </w:tabs>
        <w:rPr>
          <w:sz w:val="20"/>
          <w:szCs w:val="20"/>
          <w:color w:val="auto"/>
        </w:rPr>
      </w:pPr>
      <w:r>
        <w:rPr>
          <w:rFonts w:ascii="Courier New" w:cs="Courier New" w:eastAsia="Courier New" w:hAnsi="Courier New"/>
          <w:sz w:val="14"/>
          <w:szCs w:val="14"/>
          <w:color w:val="auto"/>
        </w:rPr>
        <w:t>Contingent Payment =</w:t>
        <w:tab/>
        <w:t>[(3.5) * REBIT * (1 + CAGR)] - [$30,000,000 + the amount of any prior Contingent Payment] - [Working Capital Adjustment]</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Valuation Formula, the 1998 Contingent Payment will be based on Exmark's recast earnings before interest and Taxes (as such term is defined in the Merger Agreement) ("REBIT") for the twelve-month period ending October 31, 1998, and its compound annual growth rate ("CAGR") in Adjusted Revenue (as defined below) for the twelve-month period ending October 31, 1998, compared to $40,808,850 ("Base Year Revenue"). Under the Valuation Formula, the 1999 Contingent Payment will be based on Exmark's REBIT for the twelve-month period ending October 31, 1999 and its CAGR in Adjusted Revenue for the twelve-month period ending October 31, 1999, compared to the Base Year Revenue. The amount of the Contingent Payments, either individually or collectively, cannot exceed the Contingent Payment Cap.</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 determine REBIT for any period, the net earnings before interest and Taxes (as such term is defined in the Merger Agreement) ("EBIT") of Exmark for such period must be determined. EBIT will be calculated based on the actual EBIT of Exmark for such period, determined in conformity with generally accepted accounting principles ("GAAP"), subject to certain clarifications and adjustments, if necessary, including the following: (1) only interest paid by Exmark with respect to bank debt, intercompany debt and long-term debt will be added back to net earnings; (2) no costs or expenses incurred during such period that are related to or that result from the Merger will be included as either a cost or expense to Exmark; (3) if and to the extent that Toro transfers to Exmark Toro manufactured products (including parts) that are branded for Exmark for sale by Exmark through its distribution system ("Toro Supplied Products"), the transfer price for such Toro Supplied Products will be Toro's distributor net price minus Exmark's per unit sales, marketing, distribution and warranty costs related to the sale thereof and minus an amount equal to 1.5% of Toro's distributor net price; (4) Exmark's gross sales from Exmark manufactured products (including parts) that are branded for Toro, transferred to Toro and sold by Toro ("Exmark Cross-Branded Products") will only include an amount equal to the standard cost of such Exmark Cross-Branded Products plus, for products sold in the United States and Canada, a management fee equal to 3% of such amount; (5) Exmark will receive, and its EBIT will include, a sales commission equal to 1% of the gross sales of Exmark Cross-Branded Products that are sold by Toro outside of the United States and Canada; and (6) EBIT will be reduced by the amount of all compensation and benefits paid by Toro or the Toro Sales Company to former employees of Exmark or Holiman after the Effective Time, except for the Signing Bonuses.</w:t>
      </w:r>
    </w:p>
    <w:p>
      <w:pPr>
        <w:spacing w:after="0" w:line="342"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After the adjusted EBIT of Exmark has been calculated for any period, the REBIT for such period will be determined. REBIT equals the EBIT of Exmark for such period, (1) plus the amount of the Cross-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451" w:right="1440" w:bottom="1440" w:gutter="0" w:footer="0" w:header="0"/>
        </w:sectPr>
      </w:pPr>
    </w:p>
    <w:bookmarkStart w:id="45" w:name="page46"/>
    <w:bookmarkEnd w:id="45"/>
    <w:p>
      <w:pPr>
        <w:ind w:right="3419"/>
        <w:spacing w:after="0" w:line="250" w:lineRule="auto"/>
        <w:rPr>
          <w:sz w:val="20"/>
          <w:szCs w:val="20"/>
          <w:color w:val="auto"/>
        </w:rPr>
      </w:pPr>
      <w:r>
        <w:rPr>
          <w:rFonts w:ascii="Courier New" w:cs="Courier New" w:eastAsia="Courier New" w:hAnsi="Courier New"/>
          <w:sz w:val="14"/>
          <w:szCs w:val="14"/>
          <w:color w:val="auto"/>
        </w:rPr>
        <w:t>Branding REBIT Factor (as defined below) for such period; (2) minus 100% of all cost savings realized during such period by Exmark, (a) resulting from Exmark being a subsidiary of Toro and (b) relating to insurance and risk management expenses, and legal, human resources, administration and floor plan expenses;</w:t>
      </w:r>
    </w:p>
    <w:p>
      <w:pPr>
        <w:spacing w:after="0" w:line="2" w:lineRule="exact"/>
        <w:rPr>
          <w:sz w:val="20"/>
          <w:szCs w:val="20"/>
          <w:color w:val="auto"/>
        </w:rPr>
      </w:pPr>
    </w:p>
    <w:p>
      <w:pPr>
        <w:ind w:right="3339" w:firstLine="8"/>
        <w:spacing w:after="0" w:line="250"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minus 50% of all operating cost savings realized during such period by Exmark directly or indirectly resulting from Exmark being a subsidiary of Toro, other than certain cost savings resulting from, among other things, reduced purchasing costs related to Exmark becoming a part of Toro's purchasing group or changes in the senior management compensation structure following the Merger;</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minus 50% of all cost savings realized during such period by Exmark resulting from changes in the stand-alone status of Exmark; (5) plus 100% of any additional costs incurred during such period by Exmark resulting from changes in the stand-alone status of Exmark; (6) minus all management fees paid by Toro to Exmark during such period with respect to Exmark Cross-Branded Products; and (7) in the event Exmark does not maintain certain minimum marketing and engineering expenditure levels, minus the difference between such minimum amount(s) and Exmark's actual respective expenditure levels.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For purposes of determining CAGR, the "Adjusted Revenue" of Exmark for any period will be calculated based on the actual gross sales of Exmark for such period determined in accordance with GAAP, but subject to certain adjustments, including the following: (1) no gross sales of any Exmark Cross-Branded Products (including parts) supplied to Toro during such period will be included in the gross sales of Exmark; (2) an amount equal to the Cross-Branding Revenue Factor (as defined below) for such period will be added to the gross sales of Exmark for such period; and (3) no gross sales from the sale by Exmark of any Toro Supplied Products will be included in the gross sales of Exmark.</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"Cross-Branding REBIT Factor" for determining the 1998 Contingent Payment will equal 12.5% of the Cross-Branding Revenue Factor used to determine the 1998 Contingent Payment. The "Cross-Branding REBIT Factor" for determining the 1999 Contingent Payment will equal 10% of the Cross-Branding Revenue Factor used to determine the 1999 Contingent Payment. The "Cross-Branding Revenue Factor" for determining the 1998 Contingent Payment will equal (1) the aggregate sum of the number of Toro-branded Exmark products sold by Toro in the United States or Canada (whether manufactured by Toro or by Exmark) during the period from the Effective Time to October 31, 1998, multiplied by (2) the applicable "Cross-Branding Revenue Per Unit" for each such product. The "Cross-Branding Revenue Factor" for determining the 1999 Contingent Payment will equal (1) the aggregate sum of the number of different Toro-branded Exmark products sold by Toro in the United States or Canada (whether manufactured by Toro or by Exmark) during the twelve-month period ending October 31, 1999, multiplied by (2) the applicable "Cross-Branding Revenue Per Unit" for each such product.</w:t>
      </w:r>
    </w:p>
    <w:p>
      <w:pPr>
        <w:spacing w:after="0" w:line="17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"Working Capital Adjustment" will be the greater of (1) 10% of the excess, if any, of (a) the Average Working Capital (as defined below) of Exmark during such period over (b) 22% of the actual cost of goods sold of Exmark during such period determined in conformity with GAAP and (2) zero. The "Average Working Capital" of Exmark for any period will be the average of the month-end differences between the current assets, excluding cash, of Exmark and the current liabilities, excluding intercompany debt and the current portion of long-term debt, of Exmark during such period, in each case, determined in accordance with GAAP.</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an example of calculating the 1998 Contingent Payment, and assuming a CAGR equal to zero and no Working Capital Adjustment, REBIT for the twelve-month period ending October 31, 1998 would have to exceed $8,571,429 for there to be a 1998 Contingent Payment. In this example, the aggregate amount of the 1998 Contingent Payment would be $3.50 for each dollar of REBIT for the period in excess of $8,571,429. As an example of calculating the 1999 Contingent Payment, and assuming a CAGR equal to zero, no Working Capital Adjustment and, for illustrative purposes only, an aggregate 1998 Contingent Payment of $500,000, REBIT for the twelve-month period ending October 31, 1999 would have to exceed $8,714,286 for there to be a 1999 Contingent Payment. In this example, the aggregate amount of the 1999 Contingent Payment would be $3.50 for each dollar of REBIT for the period in excess of $8,714,286. By way of example and for illustrative purposes only, EBIT for Exmark for the years ended August 31, 1995, 1996 and 1997 was $1,438,653, $2,691,931, and $4,354,959, respectively.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51" w:right="1440" w:bottom="1440" w:gutter="0" w:footer="0" w:header="0"/>
        </w:sectPr>
      </w:pPr>
    </w:p>
    <w:bookmarkStart w:id="46" w:name="page47"/>
    <w:bookmarkEnd w:id="46"/>
    <w:p>
      <w:pPr>
        <w:ind w:left="360"/>
        <w:spacing w:after="0"/>
        <w:rPr>
          <w:sz w:val="20"/>
          <w:szCs w:val="20"/>
          <w:color w:val="auto"/>
        </w:rPr>
      </w:pPr>
      <w:r>
        <w:rPr>
          <w:rFonts w:ascii="Courier New" w:cs="Courier New" w:eastAsia="Courier New" w:hAnsi="Courier New"/>
          <w:sz w:val="14"/>
          <w:szCs w:val="14"/>
          <w:color w:val="auto"/>
        </w:rPr>
        <w:t>PROCEDURE FOR DETERMINING CONTINGENT PAYMENTS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Within 60 days after the end of each fiscal year during the Contingent Payment Period, the parties shall prepare and deliver to the Synergies Council a statement (a "Contingent Payment Statement"), which shall identify the gross sales, EBIT, REBIT, CAGR and Working Capital Adjustment of Exmark for such fiscal year (including the manner of determination) in reasonable detail and the amount of the Contingent Payment to be made with respect to such fiscal year. All amounts used in a Contingent Payment Statement to determine a Contingent Payment will be based on the final audited financial statements of Toro, subject to adjustment by the Synergies Council to reflect differences between Toro's accounting practices and those used by Exmark in its audited financial statements for the two year period ended August 31, 1996. The Contingent Payment Statement shall be subject to review and verification by the Stockholders' Representatives. In the event there is a dispute concerning the amount of the Contingent Payment, dispute resolutions specified in the Merger Agreement must be followed.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cash portion of the Merger Consideration will be approximately 12% of the aggregate amount of each payment and the remainder of the Merger Consideration will be paid in shares of Toro Common Stock. Each Holder, however, will be allowed to elect to receive more or less than 12% of his or her portion of the Merger Consideration in Cash, with the remainder to be paid in the form of Toro Common Stock. Prior to the Special Meeting, each record stockholder will receive a cash election form to be used to indicate if such stockholder desires to receive more or less than 12% of such stockholder's Merger Consideration in cash. Any Holder who wants to receive more or less than 12% of such Holder's Merger Consideration in the form of cash must properly complete the form, sign it and return it to the Escrow Agent prior to the Special Meeting. Any Holder that does not return such form, properly completed and signed, to the Escrow Agent prior to the Special Meeting, will be deemed to have elected to receive</w:t>
      </w:r>
    </w:p>
    <w:p>
      <w:pPr>
        <w:spacing w:after="0" w:line="6"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12% of such Holder's Merger Consideration in the form of cash. The percentage of the Holder's Merger Consideration each Holder elects, or is deemed to have elected, to receive in cash is referred to herein as the "Cash Election." In the event that the weighted average of all of the Cash Elections does not equal 12%, the portion of the Holder's Merger Consideration that each Holder will be entitled to receive in cash will be proportionately adjusted (either increased or decreased), so that the aggregate cash consideration to be paid pursuant to the Initial Payment, the 1998 Contingent Payment, the 1999 Contingent Payment or any payment made upon release of the Holdback Amount, will be 12% of the Merger Consideration, subject only to the payment of additional cash in lieu of fractional shares. (For the mechanics of how these adjustments may be made, see the Merger Agreement attached hereto as Exhibit A.) The remaining portion of each Holder's Merger Consideration will be in the form of shares of Toro Common Stock as described below. Based on the Cash Elections of record Holders of Exmark Class B Stock and Exmark Class C Stock, the cash that record Holders of Exmark Common Stock and Exmark Preferred Stock receive in connection with the Initial Payment, expressed as a percentage of such payment, may be different than the cash that such Holders receive in connection with the Contingent Payment Rights, expressed as a percentage of each such payment.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EXMARK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or prior to the Effective Time, Toro will deposit, or will cause to be deposited, cash and shares of Toro Common Stock representing the Initial Payment Fund with the Escrow Agent, to be exchanged for shares of Exmark Common Stock, Exmark Preferred Stock, and Exmark Class C Stock , and will deposit, or will cause to be deposited, cash and shares of Toro Common Stock representing the Class B Initial Payment Fund with the Escrow Agent, to be exchanged for shares of Exmark Class B Stock. On or before the later to occur of December 31, 1998, or 10 days after the amount of the 1998 Contingent Payment has been determined, Toro shall deposit, or shall cause to be deposited, cash and shares of Toro Common Stock representing the 1998 Contingent Payment with the Escrow Agent. Similarly, on or before the later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51" w:right="1440" w:bottom="1440" w:gutter="0" w:footer="0" w:header="0"/>
        </w:sectPr>
      </w:pPr>
    </w:p>
    <w:bookmarkStart w:id="47" w:name="page48"/>
    <w:bookmarkEnd w:id="47"/>
    <w:p>
      <w:pPr>
        <w:ind w:right="3339"/>
        <w:spacing w:after="0" w:line="251" w:lineRule="auto"/>
        <w:rPr>
          <w:sz w:val="20"/>
          <w:szCs w:val="20"/>
          <w:color w:val="auto"/>
        </w:rPr>
      </w:pPr>
      <w:r>
        <w:rPr>
          <w:rFonts w:ascii="Courier New" w:cs="Courier New" w:eastAsia="Courier New" w:hAnsi="Courier New"/>
          <w:sz w:val="14"/>
          <w:szCs w:val="14"/>
          <w:color w:val="auto"/>
        </w:rPr>
        <w:t>to occur of December 31, 1999, or 10 days after the amount of the 1999 Contingent Payment has been determined, Toro shall deposit, or shall cause to be deposited, cash and shares of Toro Common Stock representing the 1999 Contingent Payment with the Escrow Agent. The Escrow Agent shall hold these funds, including any interest earned thereon and any dividends paid in respect thereof, for the benefit of the Holders, subject to Toro's Offset Right and any Actual Net Worth Adjustment (as defined below). See "--Holdback Amount; Actual Net Worth Adjustment," "--Stockholders' Representatives Expense Fund" and "THE MERGER AGREEMENT--Offset Rights."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As soon as reasonably practicable after the Effective Time, the Paying Agent will mail to each holder of record of a certificate or certificates which immediately prior to the Effective Time represented shares of Exmark capital stock (the "Certificates") (1) a letter of transmittal in customary form (which will specify that delivery will be effected, and risk of loss and title to the Certificates will pass, only upon proper delivery of the Certificates to the Paying Agent), and (2) instructions for use in effecting the surrender of the Certificates in exchange for such holder's portion of the Merger Consideration. Upon surrender of a Certificate that immediately prior to the Effective Time represented outstanding shares of Exmark Common Stock, Exmark Preferred Stock or Exmark Class C Stock, for cancellation to the Paying Agent, together with such letter of transmittal, duly executed, and such other documents as may be required pursuant to such instructions, the Paying Agent shall distribute in exchange therefor, subject to escrow of the appropriate portion thereof included in the Holdback Amount, (1) a certificate or certificates representing the number of whole shares of Toro Common Stock issuable to such Holder pursuant to the Initial Payment and based on such Holder's Cash Election, (2) cash representing the amount payable to such Holder pursuant to the Initial Payment and based on such Holder's Cash Election, (3) cash in lieu of any fractional share thereof, (4) any interest earned or dividends paid with respect to such Holder's Merger Consideration and (5) except for holders of Exmark Class C Stock, the right to receive such Holder's portion of the Contingent Payment Rights, which right shall be uncertificated. Upon surrender of a Certificate that immediately prior to the Effective Time represented outstanding shares of Exmark Class B Stock, for cancellation to the Paying Agent, together with such letter of transmittal, duly executed, and such other documents as may be required pursuant to such instructions, the Paying Agent shall distribute in exchange therefor (1) a certificate or certificates representing the number of whole shares of Toro Common Stock issuable to such Holder pursuant to the Class B Initial Payment, (2) cash in lieu of any fractional share thereof, (3) any interest earned or dividends paid with respect to such Holder's Merger Consideration and (4) the right to receive such Holder's portion of the Contingent Payment Rights, which right shall be uncertificated. All Certificates so surrendered will forthwith be canceled. Until surrendered, each Certificate shall be deemed at any time after the Effective Time to represent only the right to receive the appropriate Merger Consideration with respect to the shares of Exmark securities formerly represented by such Certificate.</w:t>
      </w:r>
    </w:p>
    <w:p>
      <w:pPr>
        <w:spacing w:after="0" w:line="347"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there is a transfer of Share ownership that is not registered in the transfer records of Exmark, that portion of the Merger Consideration to be issued in exchange for any such transferred Shares in connection with the Merger may be issued to a person other than the person in whose name such Shares are registered, if, upon presentation to the Paying Agent, the Certificate representing such Shares shall be properly endorsed or otherwise be in proper form for transfer and the person requesting such payment shall pay any transfer or other taxes required by reason of the issuance of such portion of the Merger Consideration to a person other than the registered holder of such Certificate or establish to the reasonable satisfaction of Toro that such tax has been paid or is not applicable.</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Subject to Toro's Offset Right, as promptly as practicable following the deposit by Toro of each of the 1998 Contingent Payment and the 1999 Contingent Payment, the Paying Agent shall distribute to the holders of Exmark Common Stock, Exmark Preferred Stock and Exmark Class B Stock cash and shares of Toro Common Stock in an amount equal to their respective portions of such Contingent Payment. See "--Contingent Payment Rights" and "THE MERGER AGREEMENT--Offset Rights."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51" w:right="1440" w:bottom="1440" w:gutter="0" w:footer="0" w:header="0"/>
        </w:sectPr>
      </w:pPr>
    </w:p>
    <w:bookmarkStart w:id="48" w:name="page49"/>
    <w:bookmarkEnd w:id="48"/>
    <w:p>
      <w:pPr>
        <w:ind w:right="3519" w:firstLine="344"/>
        <w:spacing w:after="0" w:line="252" w:lineRule="auto"/>
        <w:rPr>
          <w:sz w:val="20"/>
          <w:szCs w:val="20"/>
          <w:color w:val="auto"/>
        </w:rPr>
      </w:pPr>
      <w:r>
        <w:rPr>
          <w:rFonts w:ascii="Courier New" w:cs="Courier New" w:eastAsia="Courier New" w:hAnsi="Courier New"/>
          <w:sz w:val="14"/>
          <w:szCs w:val="14"/>
          <w:color w:val="auto"/>
        </w:rPr>
        <w:t>STOCKHOLDERS OF EXMARK SHOULD NOT FORWARD THEIR STOCK CERTIFICATES TO THE PAYING AGENT WITHOUT A LETTER OF TRANSMITTAL AND SHOULD NOT RETURN THEIR STOCK CERTIFICATES WITH THE ENCLOSED PROXY.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FRACTIONAL SHARES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certificates or scrip representing fractional shares of Toro Common Stock shall be issued upon the surrender for exchange of Certificates, and such fractional share interests will not entitle the owner thereof to vote or to any rights of a stockholder of Toro. Holders otherwise entitled to fractional shares of Toro Common Stock will be paid cash by the Paying Agent in lieu of such factional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VOTING AGREEMENTS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Stockholder Agreements, H. John Smith, Ray Rickard, Roger T. Smith, Merrell F. Clark and Robert F. Martin, in their individual capacities as stockholders, have agreed to vote all shares of Exmark Common Stock and Exmark Preferred Stock owned by them for approval and adoption of the Merger Agreement and have granted to Toro an irrevocable proxy so to vote their respective shares. H. John Smith is a director and the President of Exmark. Ray Rickard is a director and the Executive Vice President of Exmark. Roger Smith is a director and the Secretary of Exmark and a director and the President of Holiman. Merrell Clark is a director and the Treasurer of Exmark. Robert Martin is a director of Exmark. Such officers and directors collectively own approximately 14,015 shares of Exmark Common Stock and 550 shares of Exmark Preferred Stock as of the Record Date (representing approximately 63.8% of the total voting power of the outstanding shares of Exmark Common Stock and Exmark Preferred Stock on such date). See "--Stockholder Agreements."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EMPLOYMENT AND NONCOMPETE AGREEMENTS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connection with the Merger Agreement, Toro has entered into employment and noncompete agreements with certain employees or officers of Exmark. In connection therewith, H. John Smith and Ray Rickard will receive cash Signing Bonuses from Toro in the aggregate amount of $2,075,000 pursuant to new employment agreements, which contain noncompete covenants. In approving the Signing Bonuses, Exmark's Board of Directors considered Exmark's financial performance during the tenure of Messrs. Smith and Rickard and the reduction to their overall compensation that will occur as a result of the Merger. Exmark's stockholders are being asked to approve the payment of the Signing Bonuses. Stockholder approval of the Signing Bonuses is a condition to consummation of the Merger. See "--Excess Parachute Payments."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ISSUANCE OF CLASS B STOCK TO INSIDERS</w:t>
      </w:r>
    </w:p>
    <w:p>
      <w:pPr>
        <w:spacing w:after="0" w:line="173"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Prior to the Effective Time and subject to approval of the New Articles of Incorporation by the requisite vote of the Holders, Exmark will issue 10,000 shares of Exmark Class B Stock to certain officers, directors and employees of Exmark pursuant to the exercise of certain previously issued stock purchase rights, including (1) 2,000 shares to each of H. John Smith, Ray Rickard and Roger Smith, (2) 210 shares to each of Merrell Clark and Robert Martin and (3) 120 shares to each of Gary Kuck and Keith Dietzen. Gary Kuck and Keith Dietzen are directors of Exmark. Each share of Exmark Class B Stock will receive the Class B Initial Per Share Payment Consideration (I.E., one-tenth of a share of Toro Common Stock) and one Class B Contingent Payment Right. If the Class B Contingent is maximized and subject to Toro's Offset Right, each Class B Contingent Payment Right would entitle the holder thereof to receive cash and Toro Common Stock with a face value of $1,400. As a result, Messrs. Smith, Rickard and Smith each may receive up to approximately $2,810,000 in exchange for their respective shares of Exmark Class B Stock. Messrs. Clark and Martin each may receive up to approximately $295,000 in exchange for their respective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51" w:right="1440" w:bottom="1440" w:gutter="0" w:footer="0" w:header="0"/>
        </w:sectPr>
      </w:pPr>
    </w:p>
    <w:bookmarkStart w:id="49" w:name="page50"/>
    <w:bookmarkEnd w:id="49"/>
    <w:p>
      <w:pPr>
        <w:ind w:right="3339"/>
        <w:spacing w:after="0" w:line="252" w:lineRule="auto"/>
        <w:rPr>
          <w:sz w:val="20"/>
          <w:szCs w:val="20"/>
          <w:color w:val="auto"/>
        </w:rPr>
      </w:pPr>
      <w:r>
        <w:rPr>
          <w:rFonts w:ascii="Courier New" w:cs="Courier New" w:eastAsia="Courier New" w:hAnsi="Courier New"/>
          <w:sz w:val="14"/>
          <w:szCs w:val="14"/>
          <w:color w:val="auto"/>
        </w:rPr>
        <w:t>shares of Exmark Class B Stock. Messrs. Kuck and Dietzen each may receive up to approximately $175,000 in exchange for their respective shares of Exmark Class B Stock. Stockholder approval of the New Articles of Incorporation is a condition to consummation of the Merger.</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HOLIMAN ACQUISITION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a condition to the Merger, Exmark must first acquire all of the issued and outstanding capital stock of Holiman. Roger Smith, the Secretary of Exmark, a director of Exmark and a major stockholder of Exmark, is the sole stockholder of Holiman. Under the terms of the Holiman Agreement, Roger Smith will receive 3,689 shares of Exmark Class C Stock which represents approximately $2,125,000 of the total Initial Payment Consideration. See "THE MERGER--Effects of the Merger" and "--Payment of Merger Consideration." In addition, prior to the Effective Time, Holiman may pay to Roger Smith a one-time bonus or dividend in the amount by which the book value of Holiman exceeds $200,000, which, based on a current book value of approximately $900,000, would be approximately $700,000. See "--Acquisition of Holiman."</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MANUFACTURER'S REPRESENTATIVES AND DISTRIBUTORS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 is highly dependent upon Holiman, which is Exmark's primary manufacturer's representative. Exmark is also highly dependent upon a select few distributors. One of these distributors is Lawn Equipment Part Co. ("Lawn Equipment"). Merrell Clark, who is the majority stockholder of Lawn Equipment, is a major stockholder of Exmark. Merrell Clark is also Treasurer and a director of Exmark.</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Board of Directors of Exmark was aware of the interests of certain persons in the Merger described above and considered them, among other matters, in approving the Merger Agreement and the transactions contemplated thereby.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AGREEMENTS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As a condition to the willingness of Toro to execute the Merger Agreement, and concurrently with the execution of the Merger Agreement, H. John Smith, Ray Rickard, Roger T. Smith, Merrell F. Clark and Robert F. Martin, who collectively had record ownership of approximately 14,015 shares of Exmark Common Stock and 550 shares of Exmark Preferred Stock as of the Record Date (representing approximately 63.8% of the total voting power of the outstanding shares of Exmark Common Stock and Exmark Preferred Stock on such date), entered into separate Stockholder Agreements with Toro, pursuant to which such stockholders, in such capacity, have agreed to vote, and have granted to Toro an irrevocable proxy to vote, such shares (and any other shares of Exmark Common Stock and Exmark Preferred Stock acquired by them after the date of the Merger Agreement) in favor of approval of the Merger Agreement, the Merger, the New Articles of Incorporation and the Signing Bonuses and any other matter reasonably necessary to facilitate the Merger. In addition, under the Stockholder Agreements, such stockholders have agreed to vote, and have granted to Toro an irrevocable proxy to vote, such shares against approval of any proposal made in opposition to or competition with consummation of the Merger and against any merger, consolidation, sale of assets, reorganization or recapitalization, with any party other than Toro, the Merger Subsidiary and their affiliates and against any liquidation or winding up of Exmark. Also, under the Stockholder Agreements, such stockholders have agreed (1) not to solicit, initiate or encourage submission of any proposal or offer from any person, group or entity relating to any acquisition of the assets, business or capital stock of Exmark, or other similar transaction or business combination involving the business of Exmark,</w:t>
      </w:r>
    </w:p>
    <w:p>
      <w:pPr>
        <w:spacing w:after="0" w:line="10" w:lineRule="exact"/>
        <w:rPr>
          <w:sz w:val="20"/>
          <w:szCs w:val="20"/>
          <w:color w:val="auto"/>
        </w:rPr>
      </w:pPr>
    </w:p>
    <w:p>
      <w:pPr>
        <w:ind w:right="3419" w:firstLine="8"/>
        <w:spacing w:after="0" w:line="251"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participate in any negotiations or discussions regarding or furnish to any other person or entity any information with respect to, or otherwise cooperate in any way with, or assist or participate in, facilitate or encourage any effort or attempt by any other person or entity to do or seek such acquisition or transaction and (3) to inform Toro of any inquiry. The Stockholder Agreements, other than the provisions relating to the grant of an irrevocable proxy, terminate on the earlier to occur of (1) the Effective Time or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50" w:right="1440" w:bottom="1440" w:gutter="0" w:footer="0" w:header="0"/>
        </w:sectPr>
      </w:pPr>
    </w:p>
    <w:bookmarkStart w:id="50" w:name="page51"/>
    <w:bookmarkEnd w:id="50"/>
    <w:p>
      <w:pPr>
        <w:ind w:right="3519" w:firstLine="8"/>
        <w:spacing w:after="0" w:line="255" w:lineRule="auto"/>
        <w:tabs>
          <w:tab w:leader="none" w:pos="34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date and time as the Merger Agreement shall be terminated pursuant to Article IX of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HOLIMAN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a condition to the Merger, Exmark has entered into the Holiman Agreement whereby Exmark will acquire all of the issued and outstanding capital stock of Holiman from Roger Smith. Prior to the Merger, Holiman will thus become a wholly owned subsidiary of Exmark.</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terms of the Holiman Agreement, Roger Smith will receive 3,689 shares of Exmark Class C Stock, which represents approximately $2,125,000 of the total Initial Payment. See "THE MERGER-- Effects of the Merger" and "--Payment of Merger Consideration." Mr. Smith, as the sole holder of Exmark Class C Stock, is not entitled to receive Contingent Payment Rights for such shares. See "THE MERGER--Contingent Payment Rights."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Holiman Agreement requires that, at the Effective Time, the book value of Holiman (equal to total assets minus total liabilities) must not be less than $200,000. Consequently, prior the Effective Time, Holiman may pay to Smith a one-time bonus or dividend in the amount by which the book value of Holiman exceeds $200,000. Based on the book value of Holiman as of October 31, 1997, which was approximately $970,000, the bonus or dividend could be up to approximately $770,000.</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Presently, Exmark pays a commission of 5.0% to Holiman for all sales by Holiman of Exmark's products, and the total amounts of the commissions paid to Holiman for 1995, 1996 and 1997 have been $1,071,225, $1,651,063 and $2,217,402, respectively. Following the acquisition of the capital stock of Holiman, Exmark will cease paying commissions to Holiman.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the Holiman Agreement, Roger Smith has made certain representations and warranties to Exmark and has agreed to indemnify Exmark for certain breaches of the representations and warranties contained therein, subject to a maximum aggregate amount of $318,000 (excluding matters relating to taxes). Similarly, Exmark has made certain representations and warranties to Roger Smith. Toro is expressly named as a third party beneficiary to the Holiman Agreement. See "--Effects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PARACHUTE PAYMENTS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It is a condition to the consummation of the Merger that the Singing Bonuses be approved by Exmark's stockholders. For tax purposes, such that the Signing Bonuses will not be "excess parachute payments" within the meaning of Section 280G of the Code, the approval of the Signing Bonuses will require the affirmative vote of the holders of 75% of the voting power of all disinterested Exmark stockholders. Generally speaking, excess parachute payments result when there is a change in control of an employer, such as contemplated by the Merger, and as a result, certain employee/officers receive compensation equal to or in excess of three times their average annual compensation for the five years preceding the taxable year in which the change in control occurs (the "base amount"). The amount of any such "parachute payment" in excess of the base amount (1) will not be deductible by the payor and (2) will be subject to an excise tax payable by the recipient of such payment. It is probable that the Signing Bonuses would constitute excess parachute payments. Section 280G of the Code contains an exemption for such payments by a corporation if (1) such corporation's stock is not publicly traded on an established securities market and (2) the holders of at least 75% of the voting power of such corporation's stock that is held by disinterested stockholders approve the payment. In order to avoid the denial of deductibility and the imposition of the excise tax with respect to the Signing Bonuses, Exmark's stockholders are being asked to approve the payment of the Signing Bonuses. Approval of the Signing Bonuses by Exmark's stockholders is a condition to consummation of the Merger, but will not affect the amount of the Merger Consideration to be received by Holders of Exmark's Shares. For a discussion of the compensation to be received by H. John Smith and Ray Rickard in connection with the Merger, see "--Interests of Certain Persons in the Merger."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51" w:right="1440" w:bottom="1440" w:gutter="0" w:footer="0" w:header="0"/>
        </w:sectPr>
      </w:pPr>
    </w:p>
    <w:bookmarkStart w:id="51" w:name="page52"/>
    <w:bookmarkEnd w:id="51"/>
    <w:p>
      <w:pPr>
        <w:ind w:right="3339" w:firstLine="344"/>
        <w:spacing w:after="0" w:line="251" w:lineRule="auto"/>
        <w:rPr>
          <w:sz w:val="20"/>
          <w:szCs w:val="20"/>
          <w:color w:val="auto"/>
        </w:rPr>
      </w:pPr>
      <w:r>
        <w:rPr>
          <w:rFonts w:ascii="Courier New" w:cs="Courier New" w:eastAsia="Courier New" w:hAnsi="Courier New"/>
          <w:sz w:val="14"/>
          <w:szCs w:val="14"/>
          <w:color w:val="auto"/>
        </w:rPr>
        <w:t>FOR TAX PURPOSES, APPROVAL OF THE SIGNING BONUSES REQUIRES THE AFFIRMATIVE VOTE OF MORE THAN 75% OF THE VOTING POWER OF ALL OUTSTANDING SHARES OF EXMARK COMMON STOCK AND EXMARK PREFERRED STOCK, EXCLUDING THOSE SHARES HELD OR CONSTRUCTIVELY OWNED BY H. JOHN SMITH AND RAY RICKARD. THE BOARD OF DIRECTORS OF EXMARK RECOMMENDS THAT EXMARK'S STOCKHOLDERS VOTE FOR APPROVAL OF THE SIGNING BONUSES.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following discusses only the federal income tax consequences of the Merger to United States persons who hold shares of Exmark capital stock and its capital assets. It does not discuss all of the tax consequences that might be relevant to Exmark stockholders entitled to special treatment under the federal income tax law or to Exmark stockholders who acquired their shares of Exmark's capital stock or Toro capital stock through the exercise or cancellation of employee stock options, pursuant to a separate merger or acquisition or otherwise as compensation, specifically including but not limited to stockholders who have or will acquire Exmark Class B Stock or Exmark Class C Stock.</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It is a condition to the consummation of the Merger that Exmark receive an opinion (the "Tax Opinion") from its counsel, Croker, Huck, Kasher, DeWitt, Anderson &amp; Gonderinger, P.C., substantially to the effect that, if the Merger is consummated in accordance with the terms of the Merger Agreement and as described in this Proxy Statement/Prospectus, under current law, for federal income tax purposes, the Merger will constitute a reorganization within the meaning of Section 368(a) of the Code. The opinion is conditioned upon the receipt and accuracy of certain representations made to Croker, Huck, Kasher, DeWitt, Anderson &amp; Gonderinger, P.C. with respect to certain factual matters required to qualify the Merger as a reorganization under the Code. Moreover, the opinion is based on the Code, regulations and rulings in effect as of the date of such opinion, current administrative rulings and practice and judicial precedent, all of which are subject to change. Any change, which may or may not be retroactive, could alter the tax consequences discussed herein. Such opinion is neither binding to the Internal Revenue Service (the "Service") nor precludes the Service from adopting a contrary position. The parties will not request and the Merger is not conditioned upon a ruling from the Service with respect to any of the federal income tax consequences of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Accordingly, if the Merger qualifies as a reorganization under the Code, (1) no gain or loss will be recognized by the stockholders of Exmark with respect to the shares of Toro received in the Merger, (2) the basis of the Toro Common Stock received by an Exmark stockholder who exchanges Exmark capital stock for Toro Common Stock and cash will be the same as the basis of the Exmark capital stock surrendered in exchange therefor, decreased by the amount of cash received by such stockholder, and increased by the amount of capital gain, but not dividend income, recognized by such stockholder (subject to any adjustments required as the result of receipt of cash in lieu of a fractional share of Toro Common Stock), (3) for purposes of determining whether a gain or loss on a disposition of shares of Toro capital stock is long term or short term, the holding period of the shares of Toro capital stock received pursuant to the merger by the Exmark stockholders will include the holding period of the Exmark capital stock exchanged therefor, provided the shares of Exmark capital stock were held as a capital asset on the date of the Merger, and (4) gain, if any, but not loss, will be recognized by any Exmark stockholder upon the exchange of Exmark capital stock for cash in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gain described in (4) above will be recognized, but not in excess of the amount of cash received, in an amount equal to the difference, if any, between the fair market value of the Toro Common Stock and cash received and the Exmark stockholder's adjusted tax basis in the Exmark Capital Stock surrendered in exchange therefor pursuant to the Merger. If, as described below, the exchange has the effect of a distribution of a dividend, some or all of the gain recognized will be treated as a dividend. If the exchange does not have the effect of a distribution of a dividend, all of the gain recognized would be a capital gain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51" w:right="1440" w:bottom="1440" w:gutter="0" w:footer="0" w:header="0"/>
        </w:sectPr>
      </w:pPr>
    </w:p>
    <w:bookmarkStart w:id="52" w:name="page53"/>
    <w:bookmarkEnd w:id="52"/>
    <w:p>
      <w:pPr>
        <w:ind w:right="3339"/>
        <w:spacing w:after="0" w:line="255" w:lineRule="auto"/>
        <w:rPr>
          <w:sz w:val="20"/>
          <w:szCs w:val="20"/>
          <w:color w:val="auto"/>
        </w:rPr>
      </w:pPr>
      <w:r>
        <w:rPr>
          <w:rFonts w:ascii="Courier New" w:cs="Courier New" w:eastAsia="Courier New" w:hAnsi="Courier New"/>
          <w:sz w:val="14"/>
          <w:szCs w:val="14"/>
          <w:color w:val="auto"/>
        </w:rPr>
        <w:t>(provided that the Exmark capital stock of such Exmark stockholder was held as a capital asset at the Effective Time).</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determination of whether the exchange of Exmark capital stock for cash pursuant to the Merger has the effect of a distribution of a dividend will be made, on a stockholder by stockholder basis, by applying the rules of Section 302 of the Code and by comparing the proportionate, percentage interest of a former Exmark stockholder in Toro after the Merger with the proportionate, percentage interest such stockholder would have had if such stockholder had received solely Toro Common Stock pursuant to the Merger. This comparison is made as though Toro had issued in the Merger to such stockholder solely its Toro Common Stock and in a hypothetical redemption Toro had then redeemed such portion of its Toro Common Stock at the time of the Merger for the amount of cash the stockholder actually received pursuant thereto. In making this comparison, there must be taken into account (1) any other shares of Toro Common Stock or other shares of capital stock of Toro actually owned by such Exmark stockholder, and (2) any such shares considered to be owned by such holder by reason of the constructive ownership rules set forth in Section 318 of the Code. These constructive ownership rules apply in certain specified circumstances to attribute ownership of shares of a corporation from the stockholder actually owning the shares, whether an individual, trust, partnership or corporation, to certain members of such individual's family or to certain other individuals, trusts, partnerships or corporations. Under these rules, a stockholder is also considered to own any shares with respect to which a stockholder holds exercisable stock options.</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applicable Internal Revenue Service guidelines, generally such a hypothetical redemption, as described above, involving a holder of a minority interest in Toro whose relative stock interest in Toro is minimal, who exercises no control over the affairs of Toro and who experiences a reduction in the stockholder's proportionate interest in Toro, both directly and by application of the foregoing constructive ownership rules, will not be deemed to have resulted in a distribution of a dividend under the rules set forth in Section 302(b)(1) of the Code. Because the determination of whether cash received pursuant to the Merger will be treated as the distribution of a dividend generally will depend upon the facts and circumstances peculiar to each Exmark stockholder, such stockholders are strongly advised to consult with their own tax advisers regarding the tax treatment of cash received pursuant to the Merger.</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opinion described above will be based upon certain assumptions, including the assumption that the stockholders of Exmark do not have any plan or intention to dispose, sell, exchange or otherwise dispose of a number of shares of Toro Common Stock received pursuant to the Merger that would reduce the ownership by such stockholders of Exmark of Toro Common Stock to a number of shares having a value, as of the date of the Merger, which is less than 50% of the value of all of the formerly outstanding Exmark capital stock held by such Exmark stockholders as of the same date.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information is provided herein with respect to the tax consequences, if any, of the Merger under applicable foreign, state, local and other tax laws. The foregoing discussion is based upon the provisions of the Code, applicable treasury regulations thereunder, Internal Revenue Service rulings and judicial decisions, as in effect as of the date hereof. There can be no assurance that future legislative, administrative or judicial changes or interpretations will not affect the accuracy of the statements or conclusions set forth herein. Any such change could apply retroactively and could affect the accuracy of such discussion. No rulings have or will be sought from the Service concerning the tax consequences of the Merger. Because of the complexity of the tax laws, and because the tax consequences of any particular Exmark stockholder may be affected by matters not discussed herein, it is recommended that each Exmark stockholder consult his or her personal tax advisor concerning the applicability of any foreign laws as well as other federal, state and local income tax consequences of the Merger.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5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will be accounted for under the purchase method of accounting under which the total consideration paid in the Merger by Toro will be allocated among the Surviving Corporation's consolidated assets and liabilities based on the fair values of the assets acquired and liabilities assumed as provided for under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 first became interested in acquiring Exmark, including Holiman, its primary manufacturers' representative, in May 1996 after learning, from industry conferences, trade journals and Toro's distributor network, of Exmark's focused product line and excellent reputation. Shortly thereafter, The Geneva Companies, acting on Toro's behalf, made an informal inquiry of Exmark's interest in being acquired by Toro. In July 1996, Dennis Himan, Toro's Vice President of Distributor Development and Mergers/ Acquisitions, met with H. John Smith and Ray Rickard, Exmark's Chief Executive Officer and Executive Vice President, respectively, to discuss a business combination of the two companies. In August 1996, Toro and Exmark entered into a confidentiality agreement pertaining to the sharing of certain non-public information about Exmark. Between August 1996 and May 1997, Exmark internally explored and considered a variety of strategic financial alternatives, including a public sale of common stock and potential business combinations with several larger turf care equipment manufacturers, including Toro.</w:t>
      </w:r>
    </w:p>
    <w:p>
      <w:pPr>
        <w:spacing w:after="0" w:line="17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From August 1996 until May 1997, Messrs. Himan, H. John Smith and Rickard met on several occasions to discuss in a general way whether there existed a basis for considering a possible business combination between the two companies. Beginning in October 1996, Roger Smith also joined these discussions regarding Toro's potential acquisition of Holiman, as part of Toro's acquisition of Exmark. Following several telephone conversations and meetings, members of Toro's management and Exmark's management and their respective legal advisors met in May 1997 to hold detailed discussions regarding the possible terms of a merger of the two companies, including the structure, valuation alternatives and documentation of such a transaction. On June 3, 1997, Toro, Exmark and Holiman entered into a letter of intent regarding Exmark's acquisition of Holiman and Toro's subsequent acquisition of Exmark, including Holiman. From June until October 1997, Toro's management and Exmark's management and their respective legal advisors negotiated the terms of the Merger Agreement. At various times during this period, officials of Toro, Exmark and Holiman and their respective legal advisors met to perform due diligence activities in anticipation of the proposed Merger.</w:t>
      </w:r>
    </w:p>
    <w:p>
      <w:pPr>
        <w:spacing w:after="0" w:line="33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Toro's Board of Directors discussed Exmark and Holiman as possible acquisition candidates at Toro's March 13, 1997 directors' meeting and reviewed certain information concerning Exmark and Holiman at that time. On July 16, 1997, Toro's Board of Directors held a meeting to consider the terms of Toro's offer and, after reviewing information about Exmark and Holiman with Toro's management and financial and legal advisors, unanimously authorized and approved Toro's officers to proceed with the acquisition of Exmark and Holiman. Exmark's Board of Directors held a meeting on October 1, 1997 to discuss the terms of the proposed Merger and to review a draft of the Merger Agreement. At this meeting, Exmark's senior management and Exmark's legal advisor made detailed presentations concerning material aspects of the proposed Merger, the draft of the Merger Agreement and related transactions. Afterwards, Exmark's Board of Directors discussed (1) the draft of the Merger Agreement, (2) the Merger, (3) the related transactions and agreements and (4) the interests of certain persons in the Merger, and then Exmark's Board of Directors unanimously authorized and approved the Merger Agreement and the Merger. On October 22, 1997, Toro's Board of Directors, pursuant to a written action, unanimously authorized and approved the Merger Agreement and the Merger. On October 23, 1997, Exmark and Holiman executed the Holiman Agreement and Toro, Exmark and Merger Subsidiary executed the definitive Merger Agreement.</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5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EXMARK'S REASONS FOR THE MERGER; RECOMMENDATION OF EXMARK'S BOARD OF DIRECTORS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By the unanimous vote of Exmark's entire Board of Directors at a special meeting held on October 1, 1997, the Exmark Board of Directors determined that the proposed Merger and the terms and conditions of the Merger Agreement were in the best interests of Exmark and its stockholders. The Merger, the Merger Agreement, the New Articles of Incorporation, the Signing Bonuses and the stock-for-stock exchange with Holiman pursuant to the Holiman Agreement were approved unanimously by the entire Board of Directors of Exmark, who also unanimously resolved to recommend that the stockholders of Exmark vote FOR approval of the Merger Agreement, the Merger, the New Articles of Incorporation, the Signing Bonuses. See "--Background of the Merger." In reaching its conclusion to enter into the Merger Agreement and to recommend that the stockholders of Exmark vote for the approval of Merger and the Merger Agreement, the Board of Directors of Exmark considered a number of factors, including, without limitation and without assigning relative weights thereto, the following:</w:t>
      </w:r>
    </w:p>
    <w:p>
      <w:pPr>
        <w:spacing w:after="0" w:line="32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FINANCIAL RESOURCES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ability to successfully meet its debt obligations and its present level of operations is directly connected to the success of Exmark's new products and its ability to maintain adequate levels of working capital. However, the absence of a public market for the Exmark stock makes raising capital very difficult and limits Exmark's marketing abilities and growth potential. Moreover, since there is no established public market for the stock, stockholders may have considerable difficulty in selling their shares, and there is no assurance that the shares can be sold at a fair value. After the Merger, Exmark will have access to Toro's capital and capital markets and Exmark stockholders will enjoy much greater liquidity.</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MARKET POSITION</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commercial lawn and turf maintenance equipment market is very competitive. It is served by a large number of manufacturers, including large companies such as Toro and companies the size of Exmark and smaller.</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larger companies have three major advantages when competing with smaller companies: (1) an ability to spend more on advertising and promotion resulting in greater brand name recognition; (2) an ability to spend more on research and development for new product innovation; and (3) greater financial strength which allows them to overcome mistakes and setbacks.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Competitors such as Toro and Deere &amp; Company ("John Deere") have achieved widespread brand recognition as a result of many years of advertising and promotional campaigns directed to consumer markets. Exmark has not been able to allocate nearly as much capital for advertising and promotion. After the Merger, Exmark will benefit from utilization of Toro's internal marketing resources and advertising discounts, thereby allowing expansion of Exmark's advertising and promotion programs.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ENGINEERING AND PRODUCT DEVELOPMENT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engineering has been responsible for quality assurance, production engineering, product maintenance and upgrades and at least one new product introduction each year. This has been done with limited testing facilities and equipment, thereby slowing the process while outside testing is completed. Exmark's continued growth is dependent upon the continued design and development of new products. Additional resources are required to accelerate new product development and the number of new products introduced to remain competitive in a rapidly growing and increasingly competitive environment. After the merger, Exmark will benefit from utilization of Toro's engineering group and facilities to assist in testing and increase the number of new product introductions through joint product development.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51" w:right="1440" w:bottom="1440" w:gutter="0" w:footer="0" w:header="0"/>
        </w:sectPr>
      </w:pPr>
    </w:p>
    <w:bookmarkStart w:id="55" w:name="page56"/>
    <w:bookmarkEnd w:id="55"/>
    <w:p>
      <w:pPr>
        <w:ind w:left="360"/>
        <w:spacing w:after="0"/>
        <w:rPr>
          <w:sz w:val="20"/>
          <w:szCs w:val="20"/>
          <w:color w:val="auto"/>
        </w:rPr>
      </w:pPr>
      <w:r>
        <w:rPr>
          <w:rFonts w:ascii="Courier New" w:cs="Courier New" w:eastAsia="Courier New" w:hAnsi="Courier New"/>
          <w:sz w:val="14"/>
          <w:szCs w:val="14"/>
          <w:color w:val="auto"/>
        </w:rPr>
        <w:t>MANUFACTURING AND FACILITIES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Exmark has expanded its manufacturing facilities to meet production requirements during recent years due to rapid growth. There is no additional space left for facilities expansion at Exmark's current location. After the merger Exmark would benefit from the potential utilization of Toro's resources to accommodate future increased product demand.</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WORKING RELATIONSHIP</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After the Merger, Exmark will be a wholly owned subsidiary of Toro. However, Exmark's current officers will remain as the officers of Exmark after the Merger and Exmark will be operated as a "stand alone" company with respect to its products, distributors and dealers. In addition, the parties have agreed to form a committee to act as an inter-company team and as a dispute resolution panel for a period following the Merger. The Synergies Counsel will consist of three representatives of Exmark and three representatives of Toro. In addition, Exmark expects to benefit from increased purchasing power, volume discounts, reduced insurance rates and higher levels of insurance coverage. Exmark will also benefit from having the expertise of Toro's legal, tax and accounting departments.</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FAIRNESS OF THE TRANSACTION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Board of Directors have been actively involved in the negotiation of the Merger Agreement and have unanimously approved the Merger. Not only does the Merger provide Exmark stockholders with a much greater degree of liquidity, Exmark has received an opinion from McCarthy &amp; Co. that the Merger Consideration is fair, from a financial point of view, to the stockholders of Exmark as of the date of this Proxy Statement/Prospectus. See "THE MERGER--Opinion of McCarthy as Exmark's Financial Advisor."</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FOR THE FOREGOING REASONS, THE BOARD OF DIRECTORS OF EXMARK RECOMMENDS THAT THE STOCKHOLDERS OF EXMARK VOTE FOR APPROVAL OF THE MERGER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TORO'S REASONS FOR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has made several strategic acquisitions over the last few years. A primary objective of these acquisitions has been to expand the scope of Toro's product offerings by acquiring companies with significant market positions and good growth opportunities. Toro believes that Exmark's current product offerings, its significant expertise in manufacturing and marketing turf care equipment, its product development skills and its customer focus will allow Toro to offer a more complete product line and will complement Toro's growth strategy. Toro also believes that Exmark has an outstanding management team.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MCCARTHY AS EXMARK'S FINANCIAL ADVISOR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Board of Directors of Exmark retained McCarthy to act as its financial advisor and to render an opinion to the Board of Directors of Exmark as to the fairness of the Merger Consideration, from a financial point of view, to the stockholders of Exmark. McCarthy is an investment banking firm based in Omaha, Nebraska. McCarthy was founded in 1986, and provides a variety of corporate finance services, including those relating to debt and equity placements, mergers and acquisitions, capital planning and business valuation. McCarthy has been involved in numerous mergers and acquisitions involving both privately- and publicly-owned companies. McCarthy has provided financial advisory services to Exmark in the past on various matters, including financial advisory services in connection with a potential acquiring company. McCarthy was selected based upon its prior experience with Exmark and the experience and qualifications described above. McCarthy did not recommend the amount of consideration to be received in connection with the Merger.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51" w:right="1440" w:bottom="1440" w:gutter="0" w:footer="0" w:header="0"/>
        </w:sectPr>
      </w:pPr>
    </w:p>
    <w:bookmarkStart w:id="56" w:name="page57"/>
    <w:bookmarkEnd w:id="56"/>
    <w:p>
      <w:pPr>
        <w:ind w:right="3519" w:firstLine="344"/>
        <w:spacing w:after="0" w:line="251" w:lineRule="auto"/>
        <w:rPr>
          <w:sz w:val="20"/>
          <w:szCs w:val="20"/>
          <w:color w:val="auto"/>
        </w:rPr>
      </w:pPr>
      <w:r>
        <w:rPr>
          <w:rFonts w:ascii="Courier New" w:cs="Courier New" w:eastAsia="Courier New" w:hAnsi="Courier New"/>
          <w:sz w:val="14"/>
          <w:szCs w:val="14"/>
          <w:color w:val="auto"/>
        </w:rPr>
        <w:t>On May 29, 1997, McCarthy rendered its written opinion to the Board of Directors of Exmark that, based upon the terms contained in the Letter of Intent, the consideration proposed to be paid was fair, from a financial point of view, to the stockholders of Exmark as of the date thereof. McCarthy subsequently issued its written opinion dated October 23, 1997 to the Board of Directors of Exmark that, based upon the Merger Agreement, the Merger Consideration was fair, from a financial point of view, to the stockholders of Exmark as of such date (the "McCarthy Opinion"). McCarthy updated this opinion as of the date of this Proxy Statement/Prospectus.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FULL TEXT OF THE MCCARTHY OPINION IS ATTACHED AS EXHIBIT C TO THIS PROXY STATEMENT/PROSPECTUS. EXMARK STOCKHOLDERS ARE URGED TO, AND SHOULD, READ THE MCCARTHY OPINION CAREFULLY IN ITS ENTIRETY IN CONJUNCTION WITH THIS PROXY STATEMENT/PROSPECTUS FOR ASSUMPTIONS MADE, MATTERS CONSIDERED AND LIMITS OF THE REVIEW BY MCCARTHY.</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McCarthy Opinion addresses only the fairness of the Merger Consideration, from a financial point of view, to the stockholders of Exmark and does not constitute a recommendation to any stockholder of Exmark as to how such stockholder should vote with respect to the approval of the Merger Agreement. The summary of the McCarthy Opinion set forth in this Proxy Statement/Prospectus is qualified in its entirety by reference to the full text of such opinion.</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Although McCarthy evaluated the financial terms of the Merger and participated in discussions concerning the consideration to be paid, McCarthy did not recommend the specific consideration to be paid in the Merger. The consideration to be received by Exmark's stockholders as a result of the Merger was determined by negotiations between Exmark and Toro after consultation by Exmark with its financial advisor. In connection with rendering its opinion, McCarthy, among other things: (1) reviewed the Merger Agreement; (2) reviewed Exmark's annual audited financial statements for the fiscal years ended August 31, 1993 through 1996, and its internal financial statements for the fiscal year ended August 31, 1997; (3) reviewed publicly available financial data and other information regarding Toro; (4) reviewed certain operating and financial information, including financial projections, provided to McCarthy by the management of Exmark relating to its businesses and prospects; (5) met with certain members of the senior management of Exmark to discuss Exmark's operations, historical financial statements and future prospects; (6) reviewed the historical prices and trading volume of the common stock of Toro; and (7) conducted such other studies, analyses, inquiries and investigations as McCarthy deemed appropriate.</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McCarthy relied upon and assumed without independent verification (1) the accuracy and completeness of all of the financial and other information reviewed by it for purposes of its opinion and (2) the reasonableness of the assumptions made by the management of Exmark with respect to its projected financial results. In addition, McCarthy did not make or seek to obtain appraisals of Exmark's or Toro's assets and liabilities in rendering its opinion. The McCarthy Opinion is also necessarily based upon the market, economic and other conditions as in effect on, and the information made available to it, as of the date thereof.</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McCarthy Opinion did not imply any conclusion as to the likely trading range for the Toro Common Stock following the consummation of the Merger, which may vary depending upon, among other factors, changes in interest rates, dividend rates, market conditions, general economic conditions and other factors that generally influence the price of securities. In rendering its opinion, McCarthy did not anticipate whether any Contingent Payments or any of the Holdback Amount will ultimately be paid to the Exmark stockholders. The forecast projections furnished to McCarthy for Exmark were prepared by the management of Exmark. These forecasts, projections and estimates were based on numerous variables and assumptions which are inherently uncertain and which may not be within the control of management, including, without limitation, factors related to the integration of Exmark with Toro and general economic, regulatory and competitive conditions. Accordingly, actual results could vary materially from those set forth in such forecasts, projections and estimates.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51" w:right="1440" w:bottom="1440" w:gutter="0" w:footer="0" w:header="0"/>
        </w:sectPr>
      </w:pPr>
    </w:p>
    <w:bookmarkStart w:id="57" w:name="page58"/>
    <w:bookmarkEnd w:id="57"/>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The following is a brief summary of certain of the financial analyses used by McCarthy in connection with providing its opinion to the board of directors of Exmark.</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DISCOUNTED CASH FLOW ANALYSIS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Using a discounted cash flow ("DCF") analysis, McCarthy calculated the present value of the estimated unleveraged cash flows of Exmark (on a stand-alone basis, without giving effect to any operating or other efficiencies arising from the Merger) based on forecasts developed by Exmark management. McCarthy determined certain equity market value reference ranges for Exmark based upon various discount rates and various terminal value multiples.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WEIGHTED AVERAGE OF HISTORICAL EARNINGS</w:t>
      </w:r>
    </w:p>
    <w:p>
      <w:pPr>
        <w:spacing w:after="0" w:line="17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McCarthy also performed an analysis based upon the weighted average of Exmark's historical earnings, and determined certain equity market value reference ranges for Exmark based upon various multipliers.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BOOK VALUE MULTIPLE ANALYSIS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McCarthy also performed an analysis of the historical and projected book value of Exmark and determined certain equity market value reference ranges for Exmark based upon various multipliers.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OTHER FACTORS AND ANALYSES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rendering its opinion, McCarthy also reviewed the historical financial results of Toro, the historical trading prices and volumes for the Toro common stock, and the performance of the Toro common stock.</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arriving at its opinion, McCarthy performed a variety of financial analyses, portions of which are summarized above. The summary set forth above does not purport to be a complete description of the analyses performed by McCarthy or of McCarthy's presentation to the Exmark board of directors. In addition, McCarthy's analyses must be considered as a whole. Selecting portions of such analyses and the factors considered by McCarthy, without considering all such analyses and factors, could create an incomplete view of the process underlying its analyses. The preparation of a fairness opinion is a complex process and is not necessarily susceptible to partial analysis or summary description.</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performing its analyses, McCarthy made numerous assumptions with respect to industry performance, general business, economic, market and financial conditions and other matters, many of which are beyond the control of Toro or Exmark. Any estimates contained in such analyses are not necessarily indicative of actual past or future results or values, which may be significantly more or less than such estimates. Actual values will depend upon several factors, including events affecting the general economic, market and interest rate conditions and other factors which generally influence the price of securities. The analyses were prepared solely for purposes of providing McCarthy's opinion to the stockholders of Exmark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McCarthy's opinion and presentation on June 3, 1997 to the board of directors of Exmark was one of many factors taken into consideration by the board of directors of Exmark in making its determination to approve the Merger Agreement. The foregoing summary does not purport to be a complete description of the analyses performed by McCarthy.</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Pursuant to a Letter Agreement dated as of May 13, 1997, Exmark agreed to pay McCarthy a total fee of $100,000, $50,000 payable upon the rendering of its fairness opinion relating to the Merger and the remaining $50,000 payable upon closing of the Merger. Exmark also agreed to reimburse McCarthy for its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51" w:right="1440" w:bottom="1440" w:gutter="0" w:footer="0" w:header="0"/>
        </w:sectPr>
      </w:pPr>
    </w:p>
    <w:bookmarkStart w:id="58" w:name="page59"/>
    <w:bookmarkEnd w:id="58"/>
    <w:p>
      <w:pPr>
        <w:ind w:right="3419"/>
        <w:spacing w:after="0" w:line="252" w:lineRule="auto"/>
        <w:rPr>
          <w:sz w:val="20"/>
          <w:szCs w:val="20"/>
          <w:color w:val="auto"/>
        </w:rPr>
      </w:pPr>
      <w:r>
        <w:rPr>
          <w:rFonts w:ascii="Courier New" w:cs="Courier New" w:eastAsia="Courier New" w:hAnsi="Courier New"/>
          <w:sz w:val="14"/>
          <w:szCs w:val="14"/>
          <w:color w:val="auto"/>
        </w:rPr>
        <w:t>reasonable out of pocket expenses and to indemnify McCarthy and certain related persons against certain liabilities in connection with the engagement of McCarthy.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Nebraska Business Corporation Act ("NBCA"), holders of Exmark capital stock on the date of the Demand (as defined below) who hold such shares continually through the Effective Time and follow the procedures set forth in Sections 21-20,137 to 21-20,150 of the NBCA (the "Dissenters' Rights Statute") will be entitled to receive payment in cash of the "fair value" of such Exmark capital stock. The value determined for such dissenters' rights could be more than, the same as, or less than the value of the consideration to be received under the Merger Agreement by Exmark stockholders who do not dissent from the Merger.</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Dissenters' Rights Statute is set forth in its entirety as Exhibit B to this Proxy Statement/ Prospectus. The following discussion is not a complete statement of the law relating to dissenters' rights and is qualified in its entirety by reference to Exhibit B. This discussion and Exhibit B should be reviewed carefully by any holder who wishes to exercise statutory dissenters' rights or wishes to preserve the right to do so, since failure to comply with the procedures set forth herein or therein may result in a loss of such dissenters' rights.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PROCEDURE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Dissenters' Rights Statute permits a stockholder to dissent from the consummation of a plan of merger to which the corporation is a party, provided that stockholder approval is required and that the particular stockholder is entitled to vote. Stockholders who properly exercise their right to dissent are entitled to obtain payment of the fair value of their shares of Exmark capital stock.</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Dissenters' Rights Statute, where a proposed merger for which dissenters' rights exist is submitted to a vote at a stockholders' meeting, the meeting notice must state that stockholders are or may be entitled to assert dissenters' rights, and a copy of the Dissenters' Rights Statute must accompany the notice. This Proxy Statement/Prospectus constitutes such notice to the holders of Exmark capital stock, and the Dissenters' Rights Statute is attached to this Proxy Statement/Prospectus as Exhibit B.</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Any holder of Exmark capital stock wishing to assert his or her dissenters' rights (1) must deliver to Exmark, before the vote is taken on the proposal to approve the Merger, a written notice of his or her intent to demand payment of his or her shares if the proposed action is effectuated (the "Demand") and (2) must not vote in favor of the Merger. Stockholders who do not satisfy these requirements will not be entitled to exercise their dissenters' right.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 holder of Exmark capital stock is entitled to assert dissenters' rights only for the Exmark capital stock registered in that holder's name. A beneficial stockholder may assert dissenters' rights as to shares held on his or her behalf only if (1) he or she submits to Exmark the record stockholder's written consent to dissent not later than the time the beneficial stockholder asserts dissenters' rights, and (2) he or she does so with respect to all shares of which he or she is the beneficial stockholder or over which he or she has power to vote.</w:t>
      </w:r>
    </w:p>
    <w:p>
      <w:pPr>
        <w:spacing w:after="0" w:line="33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Stockholders who elect to exercise dissenters' rights must mail or deliver their written demands to: Exmark Manufacturing Company Incorporated, 2101 Ashland Avenue, P.O. Box 808, Beatrice, Nebraska 68310, Attention: Secretary. The written demand for dissenters' rights should specify that the holder is thereby demanding dissenters' rights for his or her shares.</w:t>
      </w:r>
    </w:p>
    <w:p>
      <w:pPr>
        <w:spacing w:after="0" w:line="16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Within 10 days after the Effective Time, Exmark, as the surviving corporation in the Merger, must send a notice to each holder of Exmark capital stock who properly exercised their dissenters' rights.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51" w:right="1440" w:bottom="1440" w:gutter="0" w:footer="0" w:header="0"/>
        </w:sectPr>
      </w:pPr>
    </w:p>
    <w:bookmarkStart w:id="59" w:name="page60"/>
    <w:bookmarkEnd w:id="59"/>
    <w:p>
      <w:pPr>
        <w:ind w:right="3339"/>
        <w:spacing w:after="0" w:line="251" w:lineRule="auto"/>
        <w:rPr>
          <w:sz w:val="20"/>
          <w:szCs w:val="20"/>
          <w:color w:val="auto"/>
        </w:rPr>
      </w:pPr>
      <w:r>
        <w:rPr>
          <w:rFonts w:ascii="Courier New" w:cs="Courier New" w:eastAsia="Courier New" w:hAnsi="Courier New"/>
          <w:sz w:val="14"/>
          <w:szCs w:val="14"/>
          <w:color w:val="auto"/>
        </w:rPr>
        <w:t>notice must (1) state where the payment demand must be sent and where and when certificates must be deposited, (2) supply a form for demanding payment, (3) set a date by which Exmark must receive the payment demand, which may not be fewer than 30 nor more than 60 days after the date the notice is delivered, and (4) include a copy of the Dissenters' Rights Statute.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 stockholder who was sent such a dissenters' notice must, among other actions, demand payment and deposit his or her certificates in accordance with the terms of the notice. A stockholder who does not demand payment or does not deposit his or her share certificates where required, each by the date set in the dissenters' notice, will not be entitled to payment for his or her shares under the Dissenters' Rights Statute.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Upon receipt of a proper and timely demand for payment, Exmark will pay each dissenter who complied with the Dissenters' Rights Statute the amount estimated by Exmark to be the fair value of his or her shares, plus accrued interest. The payment will be accompanied by certain financial statements, information concerning Exmark's estimate of the fair value of the shares, an explanation of how the interest was calculated, a statement regarding the right to protest the calculated fair value and a copy of the Dissenters' Rights Statute.</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 dissenter may notify Exmark in writing of his or her own estimate of the fair value of his or her shares and the amount of interest due and demand payment of his or her estimate, less any amount already paid for such shares, if</w:t>
      </w:r>
    </w:p>
    <w:p>
      <w:pPr>
        <w:spacing w:after="0" w:line="1" w:lineRule="exact"/>
        <w:rPr>
          <w:sz w:val="20"/>
          <w:szCs w:val="20"/>
          <w:color w:val="auto"/>
        </w:rPr>
      </w:pPr>
    </w:p>
    <w:p>
      <w:pPr>
        <w:ind w:right="3339" w:firstLine="8"/>
        <w:spacing w:after="0" w:line="251" w:lineRule="auto"/>
        <w:tabs>
          <w:tab w:leader="none" w:pos="34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 believes that the amount paid is less than the fair value of his or her shares or that the interest due is incorrectly calculated, or (2) Exmark fails to make payment within 60 days after the date set for demanding payment. A dissenter waives his or her right to protest the payment unless he or she notifies Exmark of his or her demand in writing within 30 days after Exmark made or offered payment for his or her shares. If a demand for payment remains unsettled, Exmark shall commence a proceeding within 60 days after receiving the payment demand and petition the court to determine the fair value of the shares and accrued interest. If Exmark does not commence the proceeding within the sixty-day period, it shall pay each dissenter whose demand remains unsettled the amount demanded.</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If any holder of Exmark capital stock who demands dissenters' rights fails to perfect, or effectively withdraws or loses his or her right to dissent, then the shares of Exmark capital stock of such holder will be converted into and become the right to receive the Merger Consideration in accordance with the Merger Agreement.</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Cash received pursuant to the exercise of dissenters' rights may be subject to federal or state income tax. See "--Certain Federal Income Tax Consequences."</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foregoing summary of the applicable provisions of Sections 21-20,137 to 21-20,150 of the NBCA is not intended to be a complete statement of such provisions and is qualified in its entirety by reference to such Sections, the full text of which is attached as Exhibit B to this Proxy Statement/Prospectus.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Toro has agreed that the Toro Common Stock to be issued pursuant to the Merger will be approved for listing on the NYSE, subject to official notice of issuance. An application has been made for listing such Toro Common Stock on the NYSE promptly following the Effective Time.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45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Hart-Scott-Rodino Antitrust Improvements Act of 1976 (the "HSR Act") and the rules promulgated thereunder by the Federal Trade Commission (the "FTC"), certain acquisition transactions may not be consummated unless notice has been given and certain information has been furnished to the Antitrust Division of the United States Department of Justice (the "Antitrust Division") and the FTC and certain waiting period requirements have been satisfied. The Merger was subject to these requirements. The applicable waiting period expired on August 13, 1997.</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FTC and the Antitrust Division frequently scrutinize the legality of transactions such as the Merger under the antitrust laws. At any time before or after the Effective Time, the FTC or the Antitrust Division could take such action under the antitrust laws as it deems necessary or desirable in the public interest, including seeking to enjoin the Merger or seeking the divestiture of Exmark by Toro, in whole or in part, or the divestiture of substantial assets of Toro, Exmark or their respective subsidiaries. State Attorneys General and private parties may also bring legal actions under the federal or state antitrust laws under certain circumstances. Based upon an examination of information available to Toro and Exmark relating to the businesses in which Toro, Exmark and their respective subsidiaries are engaged, Toro and Exmark believe that the consummation of the Merger will not violate the antitrust laws. Nevertheless, there can be no assurance that a challenge to the proposed Merger on antitrust grounds will not be made or, if such a challenge is made, that Toro and Exmark will prevail.</w:t>
      </w:r>
    </w:p>
    <w:p>
      <w:pPr>
        <w:spacing w:after="0" w:line="32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Neither Toro nor Exmark is aware of any other material governmental approvals or actions that may be required for consummation of the Merger except as described above. Should any such approval or action be required, it is presently contemplated that such approval or action would be sought. There can be no assurance, however, that any such approval or action, if needed, could be obtained and would not be conditioned in a manner that would cause the parties to abandon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RESALES OF TORO COMMON STOCK ISSUED IN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 Common Stock to be issued to stockholders of Exmark in connection with the Merger has been registered under the Securities Act. Toro Common Stock received by stockholders of Exmark upon consummation of the Merger will be freely transferable under the Securities Act except for shares issued to any person who may be deemed to be an "Affiliate" (as defined below) of Exmark or Toro within the meaning of Rule 145 under the Securities Act. "Affiliate" is generally defined as a person who controls, is controlled by, or is under common control with Exmark or Toro at the time of the Special Meeting (generally, directors, certain executive officers and major stockholders). Affiliates of Exmark or Toro may not sell their shares of Toro Common Stock acquired in connection with the Merger, except pursuant to an effective registration statement under the Securities Act covering such shares or in compliance with Rule 145 or another applicable exemption from the registration requirements of the Securities Act. In general, under Rule 145, for one year following the Effective Time, an Affiliate (together with certain related persons) would be entitled to sell shares of Toro Common Stock acquired in connection with the Merger only through "unsolicited broker transactions" or in transactions directly with a "market maker," as such terms are defined in Rule 144 under the Securities Act. Additionally, the number of shares to be sold by an Affiliate (together with certain related persons and certain persons acting in concert) during such one-year period within any three-month period for purposes of Rule 145 may not exceed the greater of 1% of the outstanding shares of Toro Common Stock or the average weekly trading volume of such stock during the four calendar weeks preceding such sale. Rule 145 would remain available to Affiliates only if Toro remained current with its informational filings with the SEC under the Exchange Act. One year after the Effective Time, an Affiliate would be able to sell such Toro Common Stock without such manner of sale or volume limitations, provided that Toro was current with its Exchange Act informational filings and such Affiliate was not then an affiliate of Toro. Two years after the Effective Time, an Affiliate would be able to sell such shares of Toro Common Stock without any restrictions so long as such Affiliate had not been an affiliate of Toro for at least three months prior thereto. Certain Affiliates have entered</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451" w:right="1440" w:bottom="1440" w:gutter="0" w:footer="0" w:header="0"/>
        </w:sectPr>
      </w:pPr>
    </w:p>
    <w:bookmarkStart w:id="61" w:name="page62"/>
    <w:bookmarkEnd w:id="61"/>
    <w:p>
      <w:pPr>
        <w:ind w:right="3519"/>
        <w:spacing w:after="0" w:line="255" w:lineRule="auto"/>
        <w:rPr>
          <w:sz w:val="20"/>
          <w:szCs w:val="20"/>
          <w:color w:val="auto"/>
        </w:rPr>
      </w:pPr>
      <w:r>
        <w:rPr>
          <w:rFonts w:ascii="Courier New" w:cs="Courier New" w:eastAsia="Courier New" w:hAnsi="Courier New"/>
          <w:sz w:val="14"/>
          <w:szCs w:val="14"/>
          <w:color w:val="auto"/>
        </w:rPr>
        <w:t>into separate Affiliate Agreements concerning the resales of Toro Common Stock issue in the Merger. See "--Affiliate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connection with the execution of the Merger Agreement, certain persons deemed by Exmark as potential "Affiliates" of Exmark for purposes of the federal securities laws entered into Affiliate Agreements with Toro pursuant to which such Affiliates agreed (1) not to make any sale, transfer or other disposition of Toro Common Stock in violation of the Securities Act or Rule 145 thereunder and (2) not to sell, transfer or otherwise dispose of Toro Common Stock issued to such Affiliate upon payment of the Contingent Payment Rights unless such sale, transfer or other disposition is made in conformity with the requirements of Rule 145 under the Securities Act.</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THIS DESCRIPTION DOES NOT PURPORT TO BE COMPLETE AND IS QUALIFIED IN ITS ENTIRETY BY REFERENCE TO THE MERGER AGREEMENT INCLUDED AS EXHIBIT A TO THIS PROXY STATEMENT/PROSPECTUS AND INCORPORATED HEREIN BY REFERENCE. ALL STOCKHOLDERS ARE URGED TO READ THE MERGER AGREEMENT IN ITS ENTIRETY. SEE ALSO "THE MERGER."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Agreement provides that, upon the satisfaction or waiver of certain conditions, Merger Subsidiary will be merged with and into Exmark, Exmark will continue as the Surviving Corporation, and the separate existence of Merger Subsidiary will cease. Following the Merger, the Surviving Corporation will be a wholly owned subsidiary of Toro.</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Pursuant to the Merger Agreement, at the Effective Time and except for Dissenting Shares and Canceled Shares, (1) each issued and outstanding share of Exmark Common Stock will be converted into and become a right to receive (a) four times the Initial Per Share Payment Consideration and (b) one Common/Preferred Contingent Payment Right, (2) each issued and outstanding share of Exmark Preferred Stock shall be converted into and become a right to receive</w:t>
      </w:r>
    </w:p>
    <w:p>
      <w:pPr>
        <w:spacing w:after="0" w:line="3" w:lineRule="exact"/>
        <w:rPr>
          <w:sz w:val="20"/>
          <w:szCs w:val="20"/>
          <w:color w:val="auto"/>
        </w:rPr>
      </w:pPr>
    </w:p>
    <w:p>
      <w:pPr>
        <w:ind w:right="3339" w:firstLine="8"/>
        <w:spacing w:after="0" w:line="251" w:lineRule="auto"/>
        <w:tabs>
          <w:tab w:leader="none" w:pos="34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Per Share Payment Consideration and (b) four Common/Preferred Contingent Payment Rights, (3) each issued and outstanding share of Exmark Class B Stock shall be converted into and become a right to receive (a) the Class B Initial Per Share Payment Consideration and (b) one Class B Contingent Payment Right, and (4) each issued and outstanding share of Exmark Class C Stock shall be converted into and become a right to receive the Initial Per Share Payment Consideration. See "THE MERGER--Effects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jc w:val="both"/>
        <w:ind w:right="3779" w:firstLine="344"/>
        <w:spacing w:after="0" w:line="252" w:lineRule="auto"/>
        <w:rPr>
          <w:sz w:val="20"/>
          <w:szCs w:val="20"/>
          <w:color w:val="auto"/>
        </w:rPr>
      </w:pPr>
      <w:r>
        <w:rPr>
          <w:rFonts w:ascii="Courier New" w:cs="Courier New" w:eastAsia="Courier New" w:hAnsi="Courier New"/>
          <w:sz w:val="14"/>
          <w:szCs w:val="14"/>
          <w:color w:val="auto"/>
        </w:rPr>
        <w:t>The Merger Agreement contains various representations and warranties of Toro, Merger Subsidiary and Exmark. Such representations and warranties are subject, in certain cases, to specified exceptions.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Exmark has made certain representations and warranties to Toro relating to, among other things, the following matters (which representations and warranties are subject, in certain cases, to specified exceptions): (1) the due organization, authority, power and standing of Exmark, and the accuracy of the articles of incorporation and bylaws of Exmark; (2) the authorization, execution, delivery and performance by, and enforceability of, the Merger Agreement, the Articles of Merger and the Exmark Ancillary Agreements; (3) due authorization by Exmark's board of directors of the Merger Agreement, the Merger, the Articles of Merger, the Exmark Ancillary Agreements, the Signing Bonuses and other matters; (4) the absence of any breach or violation of other agreements, laws or orders; (5) except as set forth in the Merger Agreement, absence of any governmental or regulatory authorization, consent or approval required to consummate the Merger; (6) except as set forth in the Merger Agreement, the absence of subsidiaries; (7) capital stock; (8) financial statements; (9) the absence of undisclosed liabilities; (10) the absence of certain material</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451" w:right="1440" w:bottom="1440" w:gutter="0" w:footer="0" w:header="0"/>
        </w:sectPr>
      </w:pPr>
    </w:p>
    <w:bookmarkStart w:id="62" w:name="page63"/>
    <w:bookmarkEnd w:id="62"/>
    <w:p>
      <w:pPr>
        <w:ind w:right="3339"/>
        <w:spacing w:after="0" w:line="250" w:lineRule="auto"/>
        <w:rPr>
          <w:sz w:val="20"/>
          <w:szCs w:val="20"/>
          <w:color w:val="auto"/>
        </w:rPr>
      </w:pPr>
      <w:r>
        <w:rPr>
          <w:rFonts w:ascii="Courier New" w:cs="Courier New" w:eastAsia="Courier New" w:hAnsi="Courier New"/>
          <w:sz w:val="14"/>
          <w:szCs w:val="14"/>
          <w:color w:val="auto"/>
        </w:rPr>
        <w:t>adverse changes; (11) the absence of certain developments; (12) title to properties; (13) accounts receivable; (14) inventory; (15) tax matters; (16) Exmark's performance of material obligations in connection with disclosed contracts and commitments; (17) intellectual property rights; (18) the absence of material pending or threatened litigation; (19) warranties and products; (20) employees; (21) employee benefit plans; (22) insurance; (23) the absence of certain affiliate transactions; (24) customers and suppliers; (25) distributions; (26) officers and directors and the existence of bank accounts;</w:t>
      </w:r>
    </w:p>
    <w:p>
      <w:pPr>
        <w:spacing w:after="0" w:line="3" w:lineRule="exact"/>
        <w:rPr>
          <w:sz w:val="20"/>
          <w:szCs w:val="20"/>
          <w:color w:val="auto"/>
        </w:rPr>
      </w:pPr>
    </w:p>
    <w:p>
      <w:pPr>
        <w:ind w:right="3339" w:firstLine="8"/>
        <w:spacing w:after="0" w:line="252" w:lineRule="auto"/>
        <w:tabs>
          <w:tab w:leader="none" w:pos="43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 and the possession of all licenses, permits and certificates necessary to operate the business of Exmark; (28) environmental matters; (29) brokerage fees; (30) opinion of financial advisor; (31) stockholder agreements; (32) registration statement; and (33) disclosures.</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 and Merger Subsidiary, jointly and severally, have made certain representations and warranties to Exmark related to, among other things, the following matters (which representations and warranties are subject, in certain cases, to specified exceptions): (1) the due organization, authority, power and standing of Toro; (2) the authorization, execution, delivery and performance by, and enforceability of, the Merger Agreement and the Toro Ancillary Agreements;</w:t>
      </w:r>
    </w:p>
    <w:p>
      <w:pPr>
        <w:spacing w:after="0" w:line="3" w:lineRule="exact"/>
        <w:rPr>
          <w:sz w:val="20"/>
          <w:szCs w:val="20"/>
          <w:color w:val="auto"/>
        </w:rPr>
      </w:pPr>
    </w:p>
    <w:p>
      <w:pPr>
        <w:ind w:left="360" w:hanging="352"/>
        <w:spacing w:after="0"/>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breach or violation of other agreements, laws or orders;</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stock of the Merger Subsidiary; (5) except as set forth in the Merger Agreement, absence of any governmental or regulatory authorization, consent or approval required to consummate the Merger; (6) brokerage fees; (7) SEC documents; (8) capital stock of Toro; (9) absence of certain current plans or intentions relating to Exmark; and (10) the due authorization and validity of the stock issued in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Pursuant to the Merger Agreement, Exmark has agreed that, prior to the Effective Time, except as expressly permitted by the Merger Agreement or as otherwise consented to by Toro in writing, Exmark, among other things, (1) will conduct its business in the ordinary course of its business; (2) will not issue or sell any additional shares of its capital stock, or sell, pledge, dispose of or encumber any of its assets, except in the ordinary course of business; (3) will not grant any bonuses, salary increases, severance or termination pay to any officers, directors or consultants or certain employees; (4) will not adopt or amend any bonus, profit sharing, compensation, stock option, pension, retirement, deferred compensation, employment or other employee benefit plan, trust, fund or group arrangement for the benefit or welfare of any employees or of any director; (5) will use its best efforts to preserve intact its business organization and goodwill, keep available the services of its officers and employees as a group and maintain satisfactory relationships with suppliers, distributors, customers and others with which it has business relationships; and</w:t>
      </w:r>
    </w:p>
    <w:p>
      <w:pPr>
        <w:spacing w:after="0" w:line="7" w:lineRule="exact"/>
        <w:rPr>
          <w:sz w:val="20"/>
          <w:szCs w:val="20"/>
          <w:color w:val="auto"/>
        </w:rPr>
      </w:pPr>
    </w:p>
    <w:p>
      <w:pPr>
        <w:ind w:right="3599" w:firstLine="8"/>
        <w:spacing w:after="0" w:line="255"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perform any act referenced by (or omit to perform any act which omission is referenced by) the terms of Section 3.11 of the Merger Agreement.</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addition, pursuant to the Merger Agreement, prior to the Effective Time, and except as expressly permitted by the Merger Agreement, Exmark will, among other things, (1) provide to Toro full access at all reasonable times and upon reasonable notice access to Exmark's books and records; (2) cause to be duly called and held a meeting the Exmark stockholders; (3) furnish or cause to be furnished to Toro all information concerning Exmark required to be included in the Registration Statement and any other applicable documents, including the Proxy Statement/Prospectus; (4) prepare and deliver to Toro all quarterly and monthly financial statements for any periods ending at least 15 days prior to the Effective Time; (5) take all commercially reasonable actions necessary or desirable to cause the conditions set forth in the Merger Agreement to be satisfied and to consummate the transactions contemplated by the Merger Agreement and obtain all consents and waivers contemplated by the Merger Agreement; (6) refrain from soliciting, initiating and encouraging submission of any proposal or offer from any person or entity relating to any liquidation, dissolution, recapitalization, merger, consolidation or acquisition or purchase of all or a material portion of the assets of, or any equity interest in, Exmark or other similar transaction or business combination involving Exmark or participate in any negotiations regarding the foregoing; and (7) amend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451" w:right="1440" w:bottom="1440" w:gutter="0" w:footer="0" w:header="0"/>
        </w:sectPr>
      </w:pPr>
    </w:p>
    <w:bookmarkStart w:id="63" w:name="page64"/>
    <w:bookmarkEnd w:id="63"/>
    <w:p>
      <w:pPr>
        <w:ind w:right="3419"/>
        <w:spacing w:after="0" w:line="255" w:lineRule="auto"/>
        <w:rPr>
          <w:sz w:val="20"/>
          <w:szCs w:val="20"/>
          <w:color w:val="auto"/>
        </w:rPr>
      </w:pPr>
      <w:r>
        <w:rPr>
          <w:rFonts w:ascii="Courier New" w:cs="Courier New" w:eastAsia="Courier New" w:hAnsi="Courier New"/>
          <w:sz w:val="14"/>
          <w:szCs w:val="14"/>
          <w:color w:val="auto"/>
        </w:rPr>
        <w:t>and restate its articles of incorporation in order to authorize the issuance of Exmark Class B Stock and Exmark Class C Stock.</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Merger Agreement, Toro and Merger Subsidiary have agreed that Toro will, subject to certain exceptions, (1) promptly as practicable after the execution of the Merger Agreement, make or cause to be made all filings and submissions under the HSR Act and any other applicable laws or regulations; (2) take all commercially reasonable actions necessary to consummate the transactions contemplated by the Merger Agreement; (3) file the Registration Statement and any applicable documents, which will include the Proxy Statement/Prospectus with the SEC; (4) file all documents required to be filed to list the Toro Common Stock to be issued pursuant to the Merger Agreement on the NYSE; (5) take all corporate action necessary to ensure that any shares of Toro Common Stock issued by Toro to the Exmark stockholders pursuant to the Initial Payment and the Contingent Payment Rights will, upon such issuance and delivery, be duly authorized, validly issued, fully paid and nonassessable and free of any preemptive rights; and (6) file all documents required to obtain, prior to the Effective Time, all necessary approvals under state securities laws, if any.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LIMITATIONS ON NEGOTIATIONS BY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Except as set forth in the Merger Agreement, Exmark will not, directly or indirectly, through any officer, director, agent, affiliate, employee or otherwise, solicit, initiate or encourage submission of any proposal or offer from any person or entity relating to any liquidation, dissolution, recapitalization, merger, consolidation or acquisition of the capital stock or business of Exmark, or all or a material portion of the assets of Exmark, or other similar transaction or business combination involving Exmark, and shall not participate in any negotiations or discussions regarding, or furnish to any other person any information with respect to, or otherwise cooperate in any way with, or assist or participate in, facilitate or encourage, any effort or attempt by any other person or entity to do or seek any of the foregoing. Exmark will promptly notify Toro of any such inquiry and will keep Toro informed, on a current basis, of the status and terms of any such proposals, offers, discussions and negotiations.</w:t>
      </w:r>
    </w:p>
    <w:p>
      <w:pPr>
        <w:spacing w:after="0" w:line="32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Notwithstanding the foregoing, nothing contained in the Merger Agreement shall prevent Exmark or its board of directors from engaging in discussions or negotiations with, or providing any information to, a third party in response to an unsolicited bona fide acquisition proposal from such person, or from recommending an unsolicited bona fide acquisition proposal to the stockholders of Exmark, if and to the extent that the Board of Directors of Exmark: (1) concludes in good faith (after consultation with its financial and legal advisors) that such acquisition proposal is reasonably capable of being completed, taking into account all legal, financial, regulatory and other aspects of the proposal, including the identity of the person making the proposal, and would, if consummated, result in a transaction more favorable to Exmark's stockholders from a financial and strategic point of view than the Merger (such more favorable acquisition proposal being referred to herein as "Superior Proposal"); and (2) is advised by its legal counsel that such action is necessary in order for Exmark's Board of Directors to satisfy its fiduciary duties under Nebraska law; provided, however, that Exmark's legal counsel provide reasonably satisfactory written evidence of such advice to Toro prior to Exmark's Board of Directors taking any such action. Prior to providing information or data to any third party or entering into discussions or negotiations with any third party, Exmark shall receive from such third party an executed confidentiality agreement. Exmark shall notify Toro immediately of any inquiries, proposals or offers, including the name of such third party and the terms and conditions of any proposals or offers.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will occur only if the Merger Agreement is approved and adopted by the requisite vote of the stockholders of Exmark. Consummation of the Merger is also subject to the satisfaction of certain other conditions specified in the Merger Agreement, unless such conditions are waived (to the extent such waiver is permitted by law).</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451" w:right="1440" w:bottom="1440" w:gutter="0" w:footer="0" w:header="0"/>
        </w:sectPr>
      </w:pPr>
    </w:p>
    <w:bookmarkStart w:id="64" w:name="page65"/>
    <w:bookmarkEnd w:id="64"/>
    <w:p>
      <w:pPr>
        <w:ind w:right="3339" w:firstLine="344"/>
        <w:spacing w:after="0" w:line="250" w:lineRule="auto"/>
        <w:rPr>
          <w:sz w:val="20"/>
          <w:szCs w:val="20"/>
          <w:color w:val="auto"/>
        </w:rPr>
      </w:pPr>
      <w:r>
        <w:rPr>
          <w:rFonts w:ascii="Courier New" w:cs="Courier New" w:eastAsia="Courier New" w:hAnsi="Courier New"/>
          <w:sz w:val="14"/>
          <w:szCs w:val="14"/>
          <w:color w:val="auto"/>
        </w:rPr>
        <w:t>Each party's respective obligations to effect the Merger are subject to various conditions, including the following: (1) the applicable waiting periods under the HSR Act shall have expired or been terminated and all other material governmental filings, authorizations and approval that are required for the consummation transactions contemplated by the Merger Agreement or the Articles of Merger will have been duly made and obtained; (2) there shall not be threatened, instituted or pending any action or proceeding, before any court or governmental authority or agency, challenging or otherwise seeking to restrain consummation of the transactions contemplated in the Merger Agreement, seeking to invalidate or render unenforceable any material provision of the Merger Agreement, the Articles of Merger or any of the Exmark Ancillary Agreements or Toro Ancillary Agreements, or otherwise relating to and materially adversely affecting the transactions contemplated thereby; (3) there shall not be any action taken, nor any statute, rule, regulation, judgment, order or injunction enacted, entered, enforced, promulgated, issued or deemed applicable to the transactions contemplated by the Merger Agreement that would reasonably be expected to result in any of the consequences referred to in item (2) above; and</w:t>
      </w:r>
    </w:p>
    <w:p>
      <w:pPr>
        <w:spacing w:after="0" w:line="7" w:lineRule="exact"/>
        <w:rPr>
          <w:sz w:val="20"/>
          <w:szCs w:val="20"/>
          <w:color w:val="auto"/>
        </w:rPr>
      </w:pPr>
    </w:p>
    <w:p>
      <w:pPr>
        <w:ind w:right="3419" w:firstLine="8"/>
        <w:spacing w:after="0" w:line="251" w:lineRule="auto"/>
        <w:tabs>
          <w:tab w:leader="none" w:pos="34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become effective and shall not be subject to any stop order, and no action suit, proceeding or investigation by the SEC to suspend the effectiveness of the Registration Statement shall have been initiated and be continuing, or have been threatened or be unresolved, and Toro shall have received all necessary state securities law authorizations.</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obligations of Toro and Merger Subsidiary to consummate the Merger are subject to the satisfaction at or before the Effective Time of the following conditions: (1) the representations and warranties of Exmark set forth in the Merger Agreement shall be true and correct in all material respects at and as of the Effective Time of the Merger as though made on and as of such date; (2) Exmark shall have performed in all material respects all the covenants and agreements required to be performed by it under the Merger Agreement prior to the Effective Time; (3) Exmark shall have obtained all necessary consents and approvals; (4) the Merger Agreement, the Articles of Merger, the Merger, the Signing Bonuses and the New Articles of Incorporation shall have been duly and validly approved by Exmark's Board of Directors, and the Merger Agreement, the Merger, the Signing Bonuses and the New Articles of Incorporation shall have been duly and validly approved by the Stockholders of Exmark; (5) Toro shall not have discovered any fact or circumstances existing as of the Effective Time, which previously had not been disclosed to Toro regarding the business, assets, properties, condition, results of operations or prospects of Exmark, which is, individually or in the aggregate with other such facts and circumstances, materially adverse to Exmark or to the value of the shares of Exmark's capital stock; (6) there shall have been no damage, destruction or loss of or to any property or properties owned or used by Exmark, whether or not covered by insurance, which, in the aggregate, has, or would be reasonably likely to have, a material adverse effect on the business or result of Exmark; (7) Toro shall have received from Exmark's legal counsel a written opinion, dated the Effective Time, addressed to Toro and satisfactory to Toro's legal counsel; (8) not more than 8% of the outstanding shares of Exmark Common Stock and Exmark Preferred Stock shall be qualified to be Dissenting Shares as of the Effective Time; (9) Toro shall have received from Grant Thornton LLP, Exmark's accountant, a "comfort" letter, dated as of the effective date of the Registration Statement and updated through the Effective Time; (10) Exmark shall have delivered to Toro all of the following: (a) certificates executed by certain officers of Exmark concerning certain conditions precedent, (b) copies of third party and governmental consents and approvals and certain authorizations, (c) the minute books, stock transfer records, corporate seal and other materials related to the corporate administration of Exmark, (d) resignations from certain of Exmark's directors, (e) a copy of the certified Articles of Incorporation of Exmark and a Certificate of Good Standing of Exmark from the Nebraska Secretary of State, (f) a copy of each of (i) the text of resolutions adopted by Exmark's Board of Directors authorizing and approving the Merger and authorizing the execution, delivery and performance of the Merger Agreement, the Articles of Merger and the New Articles of Incorporation, the payments of the Signing Bonuses and the consummation of transactions contemplated by the Merger Agreement, and (ii) the current bylaws of Exmark certified by its corporate secretary, (g) incumbency certificates executed on behalf of Exmark by its corporate secretary certifying the signatures and offices of certain officers,</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451" w:right="1440" w:bottom="1440" w:gutter="0" w:footer="0" w:header="0"/>
        </w:sectPr>
      </w:pPr>
    </w:p>
    <w:bookmarkStart w:id="65" w:name="page66"/>
    <w:bookmarkEnd w:id="65"/>
    <w:p>
      <w:pPr>
        <w:ind w:right="333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Exmark Ancillary Agreements and (i) such other certificates, documents and instruments as Toro reasonably requests related to the transactions contemplated by the Merger Agreement; (11) H. John Smith, Ray Rickard, Roger Smith, Garry Busboom and Mike Hirschman shall have entered into Employment Agreements acceptable to Toro; and (12) all compensation plans and similar agreements between Exmark and each of H. John Smith, Ray Rickard, Holiman and Roger Smith shall have been terminated, except that Exmark may continue to pay, consistent with past practice, (a) bonuses to H. John Smith and Ray Rickard pursuant to Exmark's incentive bonus program for executives for services performed prior to October 31, 1997, and (b) commissions to Holiman's sales personnel; (13) Exmark shall have terminated its 1990 Stock Option Plan and its 1992 Restricted Stock Plan and all Outstanding Purchase Rights shall have been fully exercised or canceled; and (14) Exmark shall have acquired Holiman on terms acceptable to Toro pursuant to a purchase agreement and, at the Effective Time, Holiman's net worth shall equal or exceed $200,000.</w:t>
      </w:r>
    </w:p>
    <w:p>
      <w:pPr>
        <w:spacing w:after="0" w:line="17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obligation of Exmark to consummate the Merger is subject to the satisfaction at or before the Effective Date of the following conditions: (1) the representations and warranties of Toro set forth in the Merger Agreement shall be true and correct in all material respects at and as of the Effective Time as though made on and as of such date; (2) Toro and Merger Subsidiary shall have performed in all material respects all the covenants and agreements required to be performed by them under the Merger Agreement and the Articles of Merger prior to the Effective Time, and Merger Subsidiary shall have executed the Articles of Merger; (3) Toro and Merger Subsidiary shall have delivered to Exmark (a) a certificate executed by the appropriate officer(s) of Toro dated as of the Effective Date, stating that to the knowledge of such officer(s) certain conditions precedent set forth in the Merger Agreement have been satisfied, and</w:t>
      </w:r>
    </w:p>
    <w:p>
      <w:pPr>
        <w:spacing w:after="0" w:line="5" w:lineRule="exact"/>
        <w:rPr>
          <w:sz w:val="20"/>
          <w:szCs w:val="20"/>
          <w:color w:val="auto"/>
        </w:rPr>
      </w:pPr>
    </w:p>
    <w:p>
      <w:pPr>
        <w:ind w:right="3419" w:firstLine="8"/>
        <w:spacing w:after="0" w:line="250" w:lineRule="auto"/>
        <w:tabs>
          <w:tab w:leader="none" w:pos="34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Toro Ancillary Agreements; (4) the Signing Bonuses to H. John Smith and Ray Rickard, as appropriate, shall have been paid;</w:t>
      </w: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 Exmark shall have received an opinion dated as of the Effective Time in form and substance satisfactory to Exmark of Croker, Huck, Kasher, DeWitt, Anderson &amp; Gonderinger, P.C., to the effect that (a) the Merger will be treated for federal income tax purposes as a reorganization within the meaning of Section 368(a) of the Code, (b) Toro, Merger Subsidiary and Exmark will each be a party to that reorganization within the meaning of Section 368(b) of the Code, (c) no income, gain or loss will be recognized for federal income tax purposes by either Exmark or Toro as a result of the consummation of the Merger, and (d) no income, gain or loss will be recognized for federal income tax purposes by the stockholders of Exmark upon the exchange in the Merger of Shares solely for the Merger Consideration (other than the cash portion thereof and any cash received in lieu of fractional shares); (6) Exmark shall have received an updated opinion of McCarthy &amp; Co., addressed to the board of directors of Exmark and dated not more than two business days prior to the date the Prospectus-Proxy Statement is first mailed to Exmark's stockholders, to the effect that, as of the date of such opinion, the Merger is fair to Exmark's stockholders from a financial point of view; (7) Exmark shall have received the opinion of J. Lawrence McIntyre, Toro's General Counsel; and (8) the shares of Toro Common Stock to be issued as Merger Consideration shall have been approved for listing on the NYSE.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Agreement provides that all of Toro's and Merger Subsidiary's representations and warranties and all of Exmark's representations and warranties contained therein will survive the Closing of the Merger until the date on which the last payment of the Holdback Amount is made (the "Last Payment Date") and will have no further force or effect thereafter.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RIGHT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Merger Agreement, Toro will have the right to offset (the "Offset Right"), from time to time, any loss, liability, deficiency, damage, penalty, expense or cost (including reasonable legal expenses), whether or not actually incurred or paid, until the Last Payment Date (the "Offset Period") and after taking into effect the tax effects of such items and any use of the Offset Right thereunder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451" w:right="1440" w:bottom="1440" w:gutter="0" w:footer="0" w:header="0"/>
        </w:sectPr>
      </w:pPr>
    </w:p>
    <w:bookmarkStart w:id="66" w:name="page67"/>
    <w:bookmarkEnd w:id="66"/>
    <w:p>
      <w:pPr>
        <w:ind w:right="3339"/>
        <w:spacing w:after="0" w:line="250" w:lineRule="auto"/>
        <w:rPr>
          <w:sz w:val="20"/>
          <w:szCs w:val="20"/>
          <w:color w:val="auto"/>
        </w:rPr>
      </w:pPr>
      <w:r>
        <w:rPr>
          <w:rFonts w:ascii="Courier New" w:cs="Courier New" w:eastAsia="Courier New" w:hAnsi="Courier New"/>
          <w:sz w:val="14"/>
          <w:szCs w:val="14"/>
          <w:color w:val="auto"/>
        </w:rPr>
        <w:t>(collectively, "the Losses"), against both the Holdback Amount and the Contingent Payment Rights, which Toro or the Surviving Corporation or any of their respective affiliates, officers, directors, employees or agents (the "Protected Parties") may suffer or become subject to, as a result of: (1) any misrepresentation (a "Misrepresentation") in any of the representations and warranties of Exmark contained in the Merger Agreement or in any of the exhibits, schedules, certificates and other documents delivered or to be delivered by or on behalf of Exmark pursuant to the Merger Agreement or otherwise referenced or incorporated in the Merger Agreement (collectively, the "Related Documents"); (2) any breach (a "Breach") of, or failure to perform, any agreement or covenant of Exmark contained in the Merger Agreement or any of the Related Documents; (3) any and all Losses suffered by any of the Protected Parties and any and all Claims (as defined below) or threatened Claims against the Protected Parties arising out of actions or inactions of Exmark (regardless of whether there may also be a Misrepresentation arising out of such actions or inactions) prior to the Effective Time with respect to (a) any Release (as defined in the Merger Agreement) of any Hazardous Materials (as defined in the Merger Agreement) on, under or from the Real Property (as defined in the Merger Agreement); (b) any environmental contamination of the Real Property, including without limitation the presence of any Hazardous Materials that have come to be located on or under the Real Property from another location; (c) any injury to the environment, or to human health or safety associated with the environment, by reason of the condition of, or activities past or present on or under, the Real Property; or (d) any violation, or alleged violation, of any Environmental Law (as defined in the Merger Agreement) with respect to the Real Property or Exmark's operations at the Real Property, specifically including any and all costs and expenses required to cause Exmark to comply with any such Environmental Law (all such Losses, Claims and threatened Claims are collectively referred to as "Environmental Losses"); and (4) any amounts paid to Exmark's dissenting stockholders in excess of the aggregate amount of the value of the Merger Consideration that such stockholders otherwise would have received in the Merger.</w:t>
      </w:r>
    </w:p>
    <w:p>
      <w:pPr>
        <w:spacing w:after="0" w:line="34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Notwithstanding the foregoing, the amount of any Losses shall be offset by any insurance proceeds received by Exmark with respect to insurance policies paid for by Exmark.</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event Toro exercises its Offset Right, such offset will be applied first against any payment to be made from the Holdback Amount, and any remainder of such offset shall be applied against any payment due or to become due with respect to the 1998 Contingent Payment, and any remainder of such offset shall be applied against any payment or payments due or to become due with respect to the 1999 Contingent Payment.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event any of the Protected Parties becomes involved in any legal, governmental or administrative proceeding which may result in Losses subject to Toro's Offset Right thereunder, or if any such proceeding is threatened or asserted (any such third party action or proceeding being referred to therein as a "Claim"), Toro is required to promptly notify the Stockholders' Representatives in writing of the nature of any such Claim and Toro's estimate of the Losses arising therefrom.</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Stockholders' Representatives shall be entitled to contest and defend such Claim under the procedures and conditions set forth in the Merger Agreement. The Stockholders' Representatives must provide Toro with notice of the intention to contest and defend within 20 days after Toro provides notice of such Claim. Toro is entitled at any time, at its own cost and expense, to participate in such contest and defense and to be represented by its own attorneys. Neither Toro nor the Stockholders' Representatives may concede, settle or compromise any Claim without the consent of the other, which consent may not be unreasonably withheld. The Stockholders' Representatives may have the cost of defense, including reasonable legal expenses, paid or reimbursed by the Surviving Corporation.</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Merger Agreement provides, subject to certain exceptions for specified matters, that the right of Toro to exercise its Offset Right thereunder will be subject to the following limitations: (1) Toro will not be entitled to exercise its Offset Right with respect to any Losses, until the aggregate amount of all Losses thereunder exceeds the greater of $50,000 or an amount equal to 50% of the difference of the Actual Net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451" w:right="1440" w:bottom="1440" w:gutter="0" w:footer="0" w:header="0"/>
        </w:sectPr>
      </w:pPr>
    </w:p>
    <w:bookmarkStart w:id="67" w:name="page68"/>
    <w:bookmarkEnd w:id="67"/>
    <w:p>
      <w:pPr>
        <w:ind w:right="3339"/>
        <w:spacing w:after="0" w:line="250" w:lineRule="auto"/>
        <w:rPr>
          <w:sz w:val="20"/>
          <w:szCs w:val="20"/>
          <w:color w:val="auto"/>
        </w:rPr>
      </w:pPr>
      <w:r>
        <w:rPr>
          <w:rFonts w:ascii="Courier New" w:cs="Courier New" w:eastAsia="Courier New" w:hAnsi="Courier New"/>
          <w:sz w:val="14"/>
          <w:szCs w:val="14"/>
          <w:color w:val="auto"/>
        </w:rPr>
        <w:t>Worth and $8,243,000; (2) an individual Loss will not give rise to an Offset Right unless such Loss equals or exceeds $10,000 (however, this limitation does not apply to any Loss that relates to a claim or action that arises from the same or substantially the same facts as one or more other claims or actions and the aggregate amount of Losses so arising is at least $10,000); (3) Toro will not be entitled to exercise its Offset Right with respect to any Losses unless Toro delivers to the Stockholders' Representatives an Offset Notice or notice of a Claim prior to the end of the Offset Period; (4) Toro will not be entitled to exercise its Offset Right with respect to any Losses to the extent that such Losses result from or arise out of the gross negligence or willful misconduct of Toro, any director, officer or employee of Toro or any Toro subsidiary; (5) Toro will be entitled to exercise its Offset Right only for Losses in an aggregate amount not exceeding the Holdback Amount and the total amount of the Contingent Payment Rights and (6) the Offset Right will be Toro's sole and exclusive remedy with respect to any Losses that any Protected Party may suffer, sustain or become subject to pursuant to the terms of the Merger Agreement, and Toro has agreed that it will not, and waives all rights to, institute or maintain any suit, proceeding or action against the Holders or utilize or exercise any other legal or equitable remedy for the purpose of recovering damages or other relief with respect to any Losses (including, without limitation, an action seeking to recover any portion of the purchase price previously paid to Exmark's stockholders) except for suits, proceedings or actions necessary to enforce or implement the Offset Right; provided that, (a) nothing contained in the Merger Agreement shall prevent a party from bringing an action based upon allegations of fraud or other intentional misconduct with respect to another party hereto in connection with the Merger Agreement, and (b) nothing contained in the Merger Agreement shall limit in any manner any other legal rights or remedies which any Protected Party which is a party to an agreement identified under Article XII of the Merger Agreement has against another party to such agreement in accordance with the terms and conditions provided therein.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(1) by the mutual consent of Toro, Merger Subsidiary and Exmark; (2) by Toro or Exmark, if there has been a material misrepresentation, a material breach of warranty or a material breach of covenant on the part of the other in the representations, warranties and covenants set forth in the Merger Agreement;</w:t>
      </w:r>
    </w:p>
    <w:p>
      <w:pPr>
        <w:spacing w:after="0" w:line="2" w:lineRule="exact"/>
        <w:rPr>
          <w:sz w:val="20"/>
          <w:szCs w:val="20"/>
          <w:color w:val="auto"/>
        </w:rPr>
      </w:pPr>
    </w:p>
    <w:p>
      <w:pPr>
        <w:ind w:right="3339" w:firstLine="8"/>
        <w:spacing w:after="0" w:line="250" w:lineRule="auto"/>
        <w:tabs>
          <w:tab w:leader="none" w:pos="34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authority or agency, foreign or domestic, which would make the consummation of the Merger illegal and such action, statute, rule, regulation or order shall have become final and unappealable; (4) by Toro or Exmark, if there shall be any action taken, or any statute, rule, regulation or order enacted, promulgated or issued or deemed applicable to the Merger by any governmental authority or agency, which would (a) prohibit Exmark's or Toro's ownership or operation of all or a portion of Exmark's business, or (b) compel Toro or Exmark to dispose of or hold separate all or a portion of the business or assets of Exmark or Toro as a result of the Merger; (5) by Toro or Exmark, if the transactions contemplated herein have not been consummated on or before January 31, 1998; provided that, neither will be entitled to terminate the Merger Agreement if such party's willful breach of the Merger Agreement has prevented the consummation of the transactions contemplated by the Merger Agreement; (6) by Toro or Exmark, if certain conditions precedent to such party's obligations to consummate the Merger become impossible to satisfy; (7) by Toro or Exmark, if the board of directors of Exmark withdraws, modifies or changes its recommendation of the Merger Agreement or the Merger in a manner adverse to Toro or Merger Subsidiary or shall have resolved to do any of the foregoing or the board of directors of Exmark shall have recommended to the stockholders of Exmark any superior proposal or resolved to do so; (8) by Toro or Exmark, if the Stockholders' Meeting shall have been held and the stockholders of Exmark shall have failed to approve the Merger Agreement, the Merger, the New Articles of Incorporation and the Signing Bonuses at such meeting (including any adjournment or postponement thereof); (9) by Toro, if (a) Exmark receives an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451" w:right="1440" w:bottom="1440" w:gutter="0" w:footer="0" w:header="0"/>
        </w:sectPr>
      </w:pPr>
    </w:p>
    <w:bookmarkStart w:id="68" w:name="page69"/>
    <w:bookmarkEnd w:id="68"/>
    <w:p>
      <w:pPr>
        <w:ind w:right="3339"/>
        <w:spacing w:after="0" w:line="250" w:lineRule="auto"/>
        <w:rPr>
          <w:sz w:val="20"/>
          <w:szCs w:val="20"/>
          <w:color w:val="auto"/>
        </w:rPr>
      </w:pPr>
      <w:r>
        <w:rPr>
          <w:rFonts w:ascii="Courier New" w:cs="Courier New" w:eastAsia="Courier New" w:hAnsi="Courier New"/>
          <w:sz w:val="14"/>
          <w:szCs w:val="14"/>
          <w:color w:val="auto"/>
        </w:rPr>
        <w:t>unsolicited proposal that constitutes a superior proposal and the board of directors of Exmark, within 30 calendar days after such proposal is received by Exmark (which thirty-day period may be extended by Exmark for such additional period not exceeding 30 days as Exmark reasonably determines, based on consultations with independent counsel, to be required in order to satisfy its fiduciary obligations under law), either fails to terminate discussions with the maker of such proposal and its agents, or determines to accept, or takes no position with respect to, such proposal, (b) a tender offer or exchange offer for 20% or more of the outstanding shares of Exmark's capital stock is commenced, and the board of directors of Exmark, within 10 business days after such tender offer or exchange offer is so commenced, either fails to recommend against acceptance of such tender offer or exchange offer by its stockholders or takes no position with respect to the acceptance of such tender offer or exchange offer by its stockholders, or (c) any person (other than Toro or its affiliates) shall have acquired beneficial ownership or the right to acquire beneficial ownership of 20% or more of the then outstanding shares of Exmark's Capital Stock; (10) by Toro, if the number of Dissenting Shares (counting each such share of Exmark Preferred Stock as four shares of Exmark Common Stock) exceeds 8% of the total number of shares of Exmark Common Stock and Exmark Preferred Stock that are issued and outstanding as of the Record Date of the Stockholders' Meeting (counting each such share of Exmark Preferred Stock as four shares of Exmark Common Stock); (11) if after the date the Merger Agreement is signed there shall have been a material adverse change in the business, assets, properties, condition (financial or otherwise), results of operations or prospects of Exmark, or if an event (other than a general industry or economic downturn) shall have occurred which, so far as reasonably can be foreseen, would result in any such change; (12) by Toro, if the Initial Toro Share Price is less than $30 per share; or (13) by Exmark, if the Initial Toro Share Price exceeds $44 per share.</w:t>
      </w:r>
    </w:p>
    <w:p>
      <w:pPr>
        <w:spacing w:after="0" w:line="34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event of termination of the Merger Agreement by Toro, Merger Subsidiary or Exmark, all provisions of the Merger Agreement will terminate except such provisions set forth in the Merger Agreement relating to termination fees, press releases and announcements, expenses, governing law and confidentiality, all of which shall survive indefinitely.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Toro and Exmark have agreed that Exmark shall pay Toro a fee of $1,500,000</w:t>
      </w:r>
    </w:p>
    <w:p>
      <w:pPr>
        <w:spacing w:after="0" w:line="7" w:lineRule="exact"/>
        <w:rPr>
          <w:sz w:val="20"/>
          <w:szCs w:val="20"/>
          <w:color w:val="auto"/>
        </w:rPr>
      </w:pPr>
    </w:p>
    <w:p>
      <w:pPr>
        <w:ind w:right="3339" w:firstLine="8"/>
        <w:spacing w:after="0" w:line="251" w:lineRule="auto"/>
        <w:tabs>
          <w:tab w:leader="none" w:pos="34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Agreement is terminated pursuant to Item (7) above; (b) if the Merger Agreement is terminated pursuant to Item (9) above, and the transaction contemplated by such superior proposal ultimately is consummated (or any similar transaction is consummated with a party other than Toro or Merger Subsidiary), or (c) if the Merger Agreement is terminated pursuant to Item (8) above and a Superior Proposal exists on the date of the Stockholders'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AND EXPENSES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Except as otherwise expressly provided in the Merger Agreement, Exmark, the Stockholders' Representatives, Toro and Merger Subsidiary will each pay all of their own expenses (including attorneys', financial advisors' and accountants' fees) in connection with the negotiation of the Merger Agreement, the performance of their respective obligations under the Merger Agreement and the Articles of Merger and the consummation of the transactions contemplated hereby and thereby. Toro shall pay for any environmental audit that it may cause to be performed and real estate title insurance purchased in connection with the Merger. Exmark shall pay any loan prepayment and other related fees incurred by it or Toro in connection with the Merger. Exmark and Toro shall each pay one-half of the HSR Act filing fee applicable to the Merger.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450" w:right="1440" w:bottom="1440" w:gutter="0" w:footer="0" w:header="0"/>
        </w:sectPr>
      </w:pPr>
    </w:p>
    <w:bookmarkStart w:id="69" w:name="page70"/>
    <w:bookmarkEnd w:id="69"/>
    <w:p>
      <w:pPr>
        <w:ind w:left="1900"/>
        <w:spacing w:after="0"/>
        <w:rPr>
          <w:sz w:val="20"/>
          <w:szCs w:val="20"/>
          <w:color w:val="auto"/>
        </w:rPr>
      </w:pPr>
      <w:r>
        <w:rPr>
          <w:rFonts w:ascii="Courier New" w:cs="Courier New" w:eastAsia="Courier New" w:hAnsi="Courier New"/>
          <w:sz w:val="14"/>
          <w:szCs w:val="14"/>
          <w:color w:val="auto"/>
        </w:rPr>
        <w:t>CERTAIN INFORMATION CONCERNING TORO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Toro designs, manufactures and markets consumer and professional turf maintenance equipment, snow removal products and irrigation systems. Toro produced its first lawn mower for golf course fairways in 1922 and its first lawn mower for home use in 1939 and has continued to enhance its product lines ever since.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emphasizes quality and innovation in its products, manufacturing and marketing. Toro strives to provide well built, dependable products supported by an extensive service network. Innovation is emphasized through the introduction of new and enhanced products. Toro's substantial funding of research and development, as well as its acquisition strategy and its licensing and related agreements, all contribute to its new product development efforts. Through these efforts Toro also attempts to be responsive to trends which may affect its target markets, now and in the future. Toro believes that a significant portion of its revenues in recent years have been attributable to its new and enhanced products. Examples of recently introduced products include the Recycler-Registered Trademark- lawn mower which reduces the need for disposal of grass clippings, a high pressure water jet turf aerator for maintenance of golf course putting greens and an enhanced electronic controller for residential irrigation systems which features programmable timing and zone control functions.</w:t>
      </w:r>
    </w:p>
    <w:p>
      <w:pPr>
        <w:spacing w:after="0" w:line="328" w:lineRule="exact"/>
        <w:rPr>
          <w:sz w:val="20"/>
          <w:szCs w:val="20"/>
          <w:color w:val="auto"/>
        </w:rPr>
      </w:pPr>
    </w:p>
    <w:p>
      <w:pPr>
        <w:jc w:val="both"/>
        <w:ind w:right="3679" w:firstLine="344"/>
        <w:spacing w:after="0" w:line="250" w:lineRule="auto"/>
        <w:rPr>
          <w:sz w:val="20"/>
          <w:szCs w:val="20"/>
          <w:color w:val="auto"/>
        </w:rPr>
      </w:pPr>
      <w:r>
        <w:rPr>
          <w:rFonts w:ascii="Courier New" w:cs="Courier New" w:eastAsia="Courier New" w:hAnsi="Courier New"/>
          <w:sz w:val="14"/>
          <w:szCs w:val="14"/>
          <w:color w:val="auto"/>
        </w:rPr>
        <w:t>Toro was incorporated in Minnesota in 1935 as a successor to a business founded in 1914. It was reincorporated in Delaware in 1983. Toro's executive offices are located at 8111 Lyndale Avenue South, Bloomington, Minnesota</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55420-1196, telephone number (612) 888-8801. Toro finances a significant portion of its receivables through Toro Credit Company ("Toro Credit"), its wholly-owned finance subsidiary. For further information concerning Toro, see the Toro documents included herein as Exhibit 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No material changes to Toro's business have occurred since October 31, 1996, the end of Toro's latest fiscal year, that have not been described in a Quarterly Report on Form 10-Q filed by Toro under the Exchange Act.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451"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SELECTED SUMMARY CONSOLIDATED FINANCIAL DATA OF TORO</w:t>
      </w:r>
    </w:p>
    <w:p>
      <w:pPr>
        <w:spacing w:after="0" w:line="173" w:lineRule="exact"/>
        <w:rPr>
          <w:sz w:val="20"/>
          <w:szCs w:val="20"/>
          <w:color w:val="auto"/>
        </w:rPr>
      </w:pPr>
    </w:p>
    <w:p>
      <w:pPr>
        <w:ind w:right="3540" w:firstLine="344"/>
        <w:spacing w:after="0" w:line="250" w:lineRule="auto"/>
        <w:rPr>
          <w:sz w:val="20"/>
          <w:szCs w:val="20"/>
          <w:color w:val="auto"/>
        </w:rPr>
      </w:pPr>
      <w:r>
        <w:rPr>
          <w:rFonts w:ascii="Courier New" w:cs="Courier New" w:eastAsia="Courier New" w:hAnsi="Courier New"/>
          <w:sz w:val="14"/>
          <w:szCs w:val="14"/>
          <w:color w:val="auto"/>
        </w:rPr>
        <w:t>Set forth below is selected consolidated historical financial information of Toro derived from the unaudited consolidated financial statements of Toro for the nine months ended August 1, 1997 and August 2, 1996, the audited consolidated financial statements of Toro for the fiscal year ended October 31, 1996, the three months ended October 31, 1995 and the years ended July 31, 1995, 1994, 1993, and 1992. In November 1995, Toro changed its fiscal year ended July 31 to a fiscal year ended October 31. The information should be read in conjunction with the consolidated financial statements of Toro and related notes thereto, included in Exhibit D to this Proxy Statement/Prospectus or included elsewhere in this Proxy Statement/Prospectus. In the opinion of Toro's management, the operating results for the nine months ended August 1, 1997 and August 2, 1996 reflect all adjustments (consisting of normal recurring accruals) necessary to present fairly the information contained therein. Results for the nine months ended August 1, 1997 are not necessarily indicative of the results for the full year. See "CERTAIN INFORMATION CONCERNING TORO" and the documents included in Exhibit D to this Proxy Statement/Prospectus.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MONTHS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YEARS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ENDED</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w:t>
            </w:r>
          </w:p>
        </w:tc>
        <w:tc>
          <w:tcPr>
            <w:tcW w:w="960" w:type="dxa"/>
            <w:vAlign w:val="bottom"/>
            <w:gridSpan w:val="2"/>
          </w:tcPr>
          <w:p>
            <w:pPr>
              <w:ind w:left="40"/>
              <w:spacing w:after="0"/>
              <w:rPr>
                <w:sz w:val="20"/>
                <w:szCs w:val="20"/>
                <w:color w:val="auto"/>
              </w:rPr>
            </w:pPr>
            <w:r>
              <w:rPr>
                <w:rFonts w:ascii="Courier New" w:cs="Courier New" w:eastAsia="Courier New" w:hAnsi="Courier New"/>
                <w:sz w:val="5"/>
                <w:szCs w:val="5"/>
                <w:color w:val="auto"/>
                <w:w w:val="71"/>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8/1/97(1)</w:t>
            </w:r>
          </w:p>
        </w:tc>
        <w:tc>
          <w:tcPr>
            <w:tcW w:w="18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8/2/96</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10/31/96</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10/31/95</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7/31/95</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7/31/94</w:t>
            </w: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7/31/93</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7/31/92</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(IN THOUSANDS, EXCEPT PER SHARE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DATA)</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810,434</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$ 732,712</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$ 930,909</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$ 192,278</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$ 932,853</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$ 794,341</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$ 684,324</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$ 643,748</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517,695</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466,689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589,186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120,575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598,275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506,816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445,495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419,138</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292,739</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266,023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341,723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71,703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334,578</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287,525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238,829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224,610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administrative expense....</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231,255</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210,273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278,284</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65,048</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269,757</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244,943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203,377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223,166</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Restructuring expense.......</w:t>
            </w:r>
          </w:p>
        </w:tc>
        <w:tc>
          <w:tcPr>
            <w:tcW w:w="2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24,900</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Earnings (loss) from</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61,484</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55,750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63,439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6,655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64,821</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42,582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35,452</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(23,456)</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15,408</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10,858</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13,590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11,902</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13,562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17,150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18,726</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(7,642)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(10,331)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(8,193)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(8,030)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(7,279)</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Earnings (loss) before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income taxes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52,033</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52,534</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60,180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6,606</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61,112</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37,050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21,355</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(34,903)</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income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20,553</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20,751</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23,771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24,445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14,820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8,315</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(11,150)</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 before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31,480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31,783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36,409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22,230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13,040</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(23,753)</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net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$1,087....................</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(1,663)</w:t>
            </w:r>
          </w:p>
        </w:tc>
        <w:tc>
          <w:tcPr>
            <w:tcW w:w="18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29,817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31,783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3,997</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22,230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13,040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(23,753)</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 per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equivalent share before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Extraordinary loss, net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income tax benefit......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(0.13)</w:t>
            </w:r>
          </w:p>
        </w:tc>
        <w:tc>
          <w:tcPr>
            <w:tcW w:w="18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 per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equivalent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221,094</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$ 197,896</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$ 197,144</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$ 165,086</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$ 168,951</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$ 175,783</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$ 193,870</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$ 210,430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704,970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531,930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496,877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472,653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468,315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443,639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419,203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421,310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Short-term debt (including</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95,365</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83,973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41,375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56,909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38,625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20,300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15,000</w:t>
            </w:r>
          </w:p>
        </w:tc>
        <w:tc>
          <w:tcPr>
            <w:tcW w:w="1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Long-term debt (less current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portion)..................</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177,650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53,046</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53,015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53,365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64,935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81,025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122,970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164,100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233,667</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209,562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213,567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190,892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185,471</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168,652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144,601</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132,614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Dividends per common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jc w:val="both"/>
        <w:ind w:left="360" w:right="3620" w:hanging="343"/>
        <w:spacing w:after="0" w:line="252" w:lineRule="auto"/>
        <w:rPr>
          <w:sz w:val="20"/>
          <w:szCs w:val="20"/>
          <w:color w:val="auto"/>
        </w:rPr>
      </w:pPr>
      <w:r>
        <w:rPr>
          <w:rFonts w:ascii="Courier New" w:cs="Courier New" w:eastAsia="Courier New" w:hAnsi="Courier New"/>
          <w:sz w:val="14"/>
          <w:szCs w:val="14"/>
          <w:color w:val="auto"/>
        </w:rPr>
        <w:t>(1) Toro's consolidated financial statements include the results of operations of the James Hardie Irrigation Group from the date of acquisition, December 2, 1996.</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440"/>
          </w:cols>
          <w:pgMar w:left="220" w:top="450" w:right="1239" w:bottom="922" w:gutter="0" w:footer="0" w:header="0"/>
        </w:sectPr>
      </w:pPr>
    </w:p>
    <w:bookmarkStart w:id="71" w:name="page72"/>
    <w:bookmarkEnd w:id="71"/>
    <w:p>
      <w:pPr>
        <w:ind w:left="1820"/>
        <w:spacing w:after="0"/>
        <w:rPr>
          <w:sz w:val="20"/>
          <w:szCs w:val="20"/>
          <w:color w:val="auto"/>
        </w:rPr>
      </w:pPr>
      <w:r>
        <w:rPr>
          <w:rFonts w:ascii="Courier New" w:cs="Courier New" w:eastAsia="Courier New" w:hAnsi="Courier New"/>
          <w:sz w:val="14"/>
          <w:szCs w:val="14"/>
          <w:color w:val="auto"/>
        </w:rPr>
        <w:t>CERTAIN INFORMATION CONCERNING EXMARK</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Exmark is engaged in the manufacturing/assembly of outdoor power equipment products, principally mid-size walk behind and riding commercial lawn mowers. Its competitors include Toro, Deere &amp; Co.-TM-, Snapper-TM- (a business segment of Metromedia Communications), Ransomes and Jacobsen (a division of Textron).</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product line consists of mid-size commercial walk behind and riding mowers (E.G. 32", 36", 44", 48" and 60" cutting widths), and various accessories such as grass catchers and riding sulkies. Exmark has placed emphasis on new product generation because of the belief that in order to retain current dealers, attract new dealers and increase market share, new product offerings are critical. Examples of the most recent new product introductions are the Turf Tracer Hydro introduced in 1991, the Exmark Viking Hydro in 1992, Exmark Explorer Two in 1992, the Exmark Metro in 1993, the Exmark Lazer Z introduced in the Spring of 1995, the Turf Tracer HP introduced in the Fall of 1996 and the Metro HP introduced in the Fall of 1997.</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Exmark sells its products throughout the United States and Canada. Sales volume is generated primarily through Exmark's manufacturers' representative, Holiman. Less than 10% of the overall sales volume comes from direct sales or "in-house" accounts. Holiman, Exmark's manufacturers' representative, is responsible for seeking, establishing, developing, and servicing a network of wholesale distributors within their assigned territory. Holiman represents Exmark products exclusively. The distributor base upon which Exmark depends for its overall sales volume is comprised of 20 U.S. distributors and four Canadian distributors which in turn market Exmark products to approximately 1,007 dealers.</w:t>
      </w:r>
    </w:p>
    <w:p>
      <w:pPr>
        <w:spacing w:after="0" w:line="329"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Exmark's customers are mainly commercial lawn and turf maintenance companies. The commercial lawn and turf maintenance equipment market is very competitive. It is served by a large number of manufacturers, including large companies such as Toro and companies the size of Exmark and smaller.</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majority of various component parts required to construct Exmark products are acquired from outside vendors. These vendors include Briggs &amp; Stratton Co., Kawasaki Motor Co., Kohler Co., Sunstrand-Hydro Gear, and Peerless Division of Tecumseh Products Co. There are no contractual arrangements obligating Exmark to purchase component parts from any specific supplier.</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Patents have been granted or are pending for designs on several of the most recent product introductions. Exmark has a federal trademark registration for Exmark Explorer, Exmark Turf Ranger, Trivantage, Smart Step and Turf Tracer. In addition, Exmark has applied for and received federal trademark registration of the trademarks Exmark, Exmark Ranger, Exmark Parts Plus, and Advanta Lease.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outdoor power equipment industry is one which is highly subject to product liability suits due to the nature of injuries which could potentially arise. While Exmark has not experienced any uninsured or underinsured losses in this area, there can be no assurance that such actions will not occur in the future. In the event Exmark became subject to sizeable products liability claims, the ability of Exmark to continue operations could be threatened. Exmark has sought to protect itself by the use of insurance. To the extent insurance in this area should become unavailable or should dramatically rise in cost, or in the event of claim(s) in excess of policy limits, the operations of Exmark could be adversely affected. In some jurisdictions, injured claimants are permitted to seek punitive damages. Punitive damage awards are generally not covered by insurance. There have been a number of reported instances of enormous punitive damage awards. Punitive damage awards could potentially threaten Exmark's ability to continue operations.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451" w:right="1440" w:bottom="1440" w:gutter="0" w:footer="0" w:header="0"/>
        </w:sectPr>
      </w:pPr>
    </w:p>
    <w:bookmarkStart w:id="72" w:name="page73"/>
    <w:bookmarkEnd w:id="72"/>
    <w:p>
      <w:pPr>
        <w:jc w:val="center"/>
        <w:ind w:right="3419"/>
        <w:spacing w:after="0"/>
        <w:rPr>
          <w:sz w:val="20"/>
          <w:szCs w:val="20"/>
          <w:color w:val="auto"/>
        </w:rPr>
      </w:pPr>
      <w:r>
        <w:rPr>
          <w:rFonts w:ascii="Courier New" w:cs="Courier New" w:eastAsia="Courier New" w:hAnsi="Courier New"/>
          <w:sz w:val="14"/>
          <w:szCs w:val="14"/>
          <w:color w:val="auto"/>
        </w:rPr>
        <w:t>SELECTED FINANCIAL DATA OF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Set forth below is selected historical financial information of Exmark derived from the audited financial statements of Exmark for the fiscal years ended August 31, 1997, 1996, 1995, 1994 and 1993. The information should be read in conjunction with the Management's Discussion and Analysis of Exmark, the financial statements of Exmark and related notes thereto included elsewhere herein. See "FINANCIAL STATEMENTS OF EXMARK."</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YEARS ENDED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474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8/31/97</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8/31/96</w:t>
            </w:r>
          </w:p>
        </w:tc>
        <w:tc>
          <w:tcPr>
            <w:tcW w:w="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8/31/95</w:t>
            </w:r>
          </w:p>
        </w:tc>
        <w:tc>
          <w:tcPr>
            <w:tcW w:w="1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8/31/94</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78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38,372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25,265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14,680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35,687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25,217</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16,535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9,585</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17,733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13,155</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8,730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12,614</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9,819</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2,212</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1,057</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2,511</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Net earnings per common and common equivalent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10.61</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2,842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9,966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8,466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6,156</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Short-term debt (including current portion of long-term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(less current portion)....................</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5,742</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4,117</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3,071</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2,332</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497"/>
        </w:trPr>
        <w:tc>
          <w:tcPr>
            <w:tcW w:w="51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63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73" w:name="page74"/>
    <w:bookmarkEnd w:id="73"/>
    <w:p>
      <w:pPr>
        <w:ind w:left="1480"/>
        <w:spacing w:after="0"/>
        <w:rPr>
          <w:sz w:val="20"/>
          <w:szCs w:val="20"/>
          <w:color w:val="auto"/>
        </w:rPr>
      </w:pPr>
      <w:r>
        <w:rPr>
          <w:rFonts w:ascii="Courier New" w:cs="Courier New" w:eastAsia="Courier New" w:hAnsi="Courier New"/>
          <w:sz w:val="14"/>
          <w:szCs w:val="14"/>
          <w:color w:val="auto"/>
        </w:rPr>
        <w:t>MANAGEMENT'S DISCUSSION AND ANALYSIS OF EXMARK</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following is Exmark's management's discussion and analysis of the significant factors affecting Exmark's results of operations and financial condition. This should be read in conjunction with Exmark's audited financial statements and the accompanying footnotes and other selected financial data presented elsewhere herein.</w:t>
      </w:r>
    </w:p>
    <w:p>
      <w:pPr>
        <w:spacing w:after="0" w:line="165"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POSITION FOR THE FISCAL YEAR ENDED AUGUST 31, 1997 AND 1996.</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October 23, 1997, Exmark entered into an agreement to be purchased by The Toro Company, subject to approval by Exmark's stockholders. The Toro Company is headquartered in Bloomington, Minnesota and manufactured and markets consumer and commercial turf maintenance equipment, snow removal products and irrigation systems.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sales increased $15.0 million or 39.2% from fiscal 1996 to 1997,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$13.1 million or 51.9% from fiscal 1995 to 1996. Net earnings were $2.8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1997 and $1.7 million in fiscal 1996, an increase of 67.9% from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1997 and 56.5% from 1995 to 1996. The majority of the increase in sales over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two year period is attributable to sales growth in Exmark's zero-turn riding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mower, the Lazer Z, which was introduced in April 1995, and a new mid-sized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mower introduced in October 1994. In addition, the introduction of a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walk-behind mower in July 1996 contributed to the sales increase in fiscal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1996. Overall sales growth in Exmark's products has exceeded that of 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industry.</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Gross profit was 33.2%, 34.3% and 34.6% in fiscal 1997, 1996 and 1995, respectively. The decline in gross profit is primarily due to a change in product mix as well as higher production costs as a result of using of outside vendors to meet peak production demands for certain production processes. Material costs were relatively consistent from 1995 to 1997.</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Operating expenses, as a percent of sales, were 23.6%, 25.6% and 25.8% in fiscal 1997, 1996 and 1995, respectively. Operating expenses increased by $2.8 million from fiscal 1996 to 1997, but declined as a percent of sales as the result of efficiencies from higher production levels. Exmark completed an expansion of its existing facilities in fiscal 1997 to meet the higher anticipated production demand and, as a result, associated operating expenses are expected to increase. Exmark continues to make improvements and evaluate and use alternative resources in order to reduce operating expenses, improve quality and reduce the cost of existing products.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Interest expense increased by 9.3% from fiscal 1996 to 1997 and 36.2% from fiscal 1995 to 1996, primarily as a result of interest incurred for dealer and distributor financing programs, which increases with sales. As a percent of sales, interest related to financing programs was 2.0%, 2.2% and 2.4% in fiscal 1997, 1996, and 1995, respectively.</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Income tax expense, as a percent of net earning before income taxes, was approximately 34.0% in fiscal 1995 through 1997. Exmark earned tax credits which offset its state income tax liability for fiscal 1995 through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AT AUGUST 31, 1997</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Total assets increased by $5.7 million from $10.0 million to $15.7 million. This increase is the result of growth in both accounts receivable as a result of the higher sales level in fiscal 1997 and increases in inventory to meet the anticipated higher demand into fiscal 1998. In addition, property and equipment increased by $2.3 million as a result of the expansion of its facilities and replacement of certain equipment during fiscal 1997. Total current liabilities increased from $3.3 million to $6.1 million, as a result of an increase in accounts payable and accrued compensation and similar liabilities associated with the higher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51" w:right="1440" w:bottom="1440" w:gutter="0" w:footer="0" w:header="0"/>
        </w:sectPr>
      </w:pPr>
    </w:p>
    <w:bookmarkStart w:id="74" w:name="page75"/>
    <w:bookmarkEnd w:id="74"/>
    <w:p>
      <w:pPr>
        <w:ind w:right="3599"/>
        <w:spacing w:after="0" w:line="252" w:lineRule="auto"/>
        <w:rPr>
          <w:sz w:val="20"/>
          <w:szCs w:val="20"/>
          <w:color w:val="auto"/>
        </w:rPr>
      </w:pPr>
      <w:r>
        <w:rPr>
          <w:rFonts w:ascii="Courier New" w:cs="Courier New" w:eastAsia="Courier New" w:hAnsi="Courier New"/>
          <w:sz w:val="14"/>
          <w:szCs w:val="14"/>
          <w:color w:val="auto"/>
        </w:rPr>
        <w:t>production level in fiscal 1997 as compared to fiscal 1996. In addition, at August 31, 1997, Exmark had short-term borrowings of $1.4 million outstanding under its line of credit agreement.</w:t>
      </w:r>
    </w:p>
    <w:p>
      <w:pPr>
        <w:spacing w:after="0" w:line="16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Long-term debt, including the current portion, declined by $0.6 million to $0.7 million from fiscal 1996 to 1997, as Exmark made scheduled debt repayments under existing debt agreements.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Exmark's principal sources of cash in fiscal 1997 were cash generated from operations and proceeds from short-term borrowings. The primary uses of cash were increases in working capital associated with higher sales and production levels, and investment in property and equipment to support future growth through a plant expansion and investment in a new paint system. These capital projects were substantially complete at August 31, 1997.</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Exmark's seasonal working capital needs are provided by cash generated from operations and, to the extent necessary, short-term borrowings. At August 31, 1997, Exmark had $5.6 million available under an existing line of credit agreement with a bank, expiring in November 1997. Upon completion of the purchase of Exmark by Toro, Exmark's working capital needs will be funded through Toro.</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Exmark is subject to the effects of changing prices. Exmark has historically been able to pass along these inflationary increases through increases in the prices of its products.</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DESCRIPTION OF TORO CAPITAL STOCK</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following description of the capital stock of Toro does not purport to be complete and is subject, in all respects, to applicable Delaware law and to the provisions of the Toro's certificate of incorporation ("Toro's Certificate").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Toro's authorized capital stock consists of 35,000,000 shares of Toro Common Stock; 1,000,000 shares of Voting Preferred Stock, par value $1.00 per share; and 1,000,000 shares of Non-Voting Preferred Stock, par value $1.00 per share, of which 150,000 shares are designated as Series A $11.28 Cumulative Non-Voting Preferred Stock (the "Series A Preferred Stock"). Toro's Board of Directors has adopted a certificate of designation with respect to a series of 150,000 shares of Voting Preferred Stock, the Series B Junior Participating Voting Preferred Stock, $1.00 par value (the "Series B Preferred Stock"), in connection with Toro's Rights Agreement dated June 14, 1988 (the "Rights Agreement"). See "--Rights Plan."</w:t>
      </w:r>
    </w:p>
    <w:p>
      <w:pPr>
        <w:spacing w:after="0" w:line="329"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following summary does not purport to be complete and is subject in all respects to the applicable provisions of the Delaware General Corporation Law and Toro's Certificate of Incorporation, as amended.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At August 1, 1997, there were 11,990,873 shares of Toro Common Stock outstanding. All outstanding shares of Toro Common Stock are, and the shares offered hereby, when issued, will be fully paid and nonassessable. All holders of Toro Common Stock have voting rights and are entitled to one vote for each share held of record on all matters submitted to a vote of the stockholders. Holders of Toro Common Stock do not have the right to cumulate votes in the election of directors and do not have a right of redemption or any preferential right of subscription for any securities of Toro, except as described below under "Rights Plan."</w:t>
      </w:r>
    </w:p>
    <w:p>
      <w:pPr>
        <w:spacing w:after="0" w:line="164"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Subject to preferences that may be applicable to any shares of preferred stock outstanding at the time, holders of Toro Common Stock are entitled to dividends when and as declared by Toro's Board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450" w:right="1440" w:bottom="1440" w:gutter="0" w:footer="0" w:header="0"/>
        </w:sectPr>
      </w:pPr>
    </w:p>
    <w:bookmarkStart w:id="75" w:name="page76"/>
    <w:bookmarkEnd w:id="75"/>
    <w:p>
      <w:pPr>
        <w:ind w:right="3519"/>
        <w:spacing w:after="0" w:line="252" w:lineRule="auto"/>
        <w:rPr>
          <w:sz w:val="20"/>
          <w:szCs w:val="20"/>
          <w:color w:val="auto"/>
        </w:rPr>
      </w:pPr>
      <w:r>
        <w:rPr>
          <w:rFonts w:ascii="Courier New" w:cs="Courier New" w:eastAsia="Courier New" w:hAnsi="Courier New"/>
          <w:sz w:val="14"/>
          <w:szCs w:val="14"/>
          <w:color w:val="auto"/>
        </w:rPr>
        <w:t>Directors from funds legally available therefor and are entitled, in the event of liquidation, to share ratably in all assets remaining after payment of liabilities.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the date of this Proxy Statement/Prospectus, there were no shares of Series A Preferred Stock or Series B Preferred Stock outstanding. Previously outstanding shares of Series A Preferred Stock have been redeemed and may not be reissued as Series A Preferred Stock; however, Toro's Board of Directors is authorized to retire such series in which case the shares previously designated as such series shall assume the status of authorized but unissued shares of Preferred Stock. The Series B Preferred Stock is issuable in accordance with the terms of Toro's Rights Agreement. See "--Rights Plan."</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Toro's Board of Directors has the authority, in most instances without further stockholder action, to issue from time to time all or any part of the authorized Preferred Stock. Additional Preferred Stock is issuable in one or more series, and Toro's Board of Directors is authorized to determine the designation of and number of shares in each series and to fix the dividend, redemption, liquidation, retirement, conversion and voting rights, if any, of such series, and any other rights and preferences thereof. Any shares of Preferred Stock which may be issued may have disproportionately high voting rights or class voting rights may be convertible into shares of Toro Common Stock and may rank prior in right to shares of Toro Common Stock as to payment of dividends and upon liquidation. Although the issuance of additional Preferred Stock may have an adverse effect on the rights (including voting rights) of holders of Toro Common Stock, the consent of the holders of Toro Common Stock would not be required for any such issuance of Preferred Stock. In addition, the issuance of additional Preferred Stock may have the effect of delaying, deferring or preventing a change in control of Toro. Toro has no current plans to issue any Preferred Stock, except as provided for in the Rights Agreement. See "--Rights Plan."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June 14, 1988, Toro's Board of Directors declared a dividend of one preferred share purchase right (a "Right") for each outstanding share of Toro Common Stock to holders of record on June 24, 1988. Each Right entitles the registered holder to purchase from Toro, at a price of $85, one one-hundredth of a share of Series B Preferred Stock subject to adjustment as provided in the Rights Agreement. Pursuant to the Rights Agreement, one Right attaches to and trades together with each share of Toro Common Stock issued by Toro, including any shares of Toro Common Stock issued in connection with the Merger.</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Until the earlier to occur of (1) 10 days following a public announcement that a person or group of affiliated or associated persons (an "Acquiring Person") has acquired beneficial ownership of 20% or more of the outstanding Toro Common Stock or (2) 10 business days (or such later date as may be determined by action of Toro's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Toro Common Stock (the earlier of such dates being called the "Distribution Date"), the Rights will be attached to the Toro Common Stock and will be evidenced by the Toro Common Stock certificate.</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Until the Distribution Date, the Rights will be transferred with and only with the Toro Common Stock. As soon as practicable following the Distribution Date, separate certificates evidencing the Rights ("Right Certificates") will be mailed to holders of record of the Toro Common Stock as of the close of business on the Distribution Date. The Rights are not exercisable until the Distribution Date. The Rights will expire on June 14, 1998 (the "Final Expiration Date"), unless the Final Expiration Date is extended or unless the Rights are earlier redeemed by Toro.</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In the event that Toro is acquired in a merger or other business combination transaction or 50% or more of its consolidated assets or earning power are sold, each holder of a Right will thereafter have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451" w:right="1440" w:bottom="1440" w:gutter="0" w:footer="0" w:header="0"/>
        </w:sectPr>
      </w:pPr>
    </w:p>
    <w:bookmarkStart w:id="76" w:name="page77"/>
    <w:bookmarkEnd w:id="76"/>
    <w:p>
      <w:pPr>
        <w:ind w:right="3339"/>
        <w:spacing w:after="0" w:line="250" w:lineRule="auto"/>
        <w:rPr>
          <w:sz w:val="20"/>
          <w:szCs w:val="20"/>
          <w:color w:val="auto"/>
        </w:rPr>
      </w:pPr>
      <w:r>
        <w:rPr>
          <w:rFonts w:ascii="Courier New" w:cs="Courier New" w:eastAsia="Courier New" w:hAnsi="Courier New"/>
          <w:sz w:val="14"/>
          <w:szCs w:val="14"/>
          <w:color w:val="auto"/>
        </w:rPr>
        <w:t>right to receive, upon the exercise at the then current exercise price of the Right, shares of Toro Common Stock of the acquiring company which at the time of such transaction have a market value of two times the exercise price of the Right. In the event that (1) any person becomes an Acquiring Person (unless such person first acquires 20% or more of the outstanding Toro Common Stock by a purchase pursuant to a tender offer for all of the Toro Common Stock for cash, which purchase increases such person's beneficial ownership to 80% or more of the outstanding Toro Common Stock) or (2) during such time as there is an Acquiring Person, there shall be any reclassification of securities or recapitalization or reorganization of Toro which has the effect of increasing by more than 1% the proportionate share of the outstanding shares of any class of equity securities of Toro or any of its subsidiaries beneficially owned by the Acquiring Person, each holder of a Right, other than Rights beneficially owned by the Acquiring Person (which will thereafter be void), will thereafter have the right to receive upon exercise Toro Common Stock having a market value of two times the exercise price of the Right.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any time after the acquisition by a person or group of affiliated or associated persons of beneficial ownership of 20% or more of the outstanding Toro Common Stock and prior to the acquisition by such person or group of 50% or more of the outstanding Toro Common Stock, Toro's Board of Directors may exchange the Rights (other than Rights owned by such person or group which have become void), in whole or in part, at an exchange ratio of one share of Toro Common Stock, or one one-hundredth of a share of Series B Preferred Stock (or of a share of a class or series of Toro's Preferred Stock having equivalent rights, preferences and privileges), per Right.</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Toro Common Stock, Toro's Board of Directors of Toro may redeem the Rights in whole, but not in part, at a price of $.01 per Right (the "Redemption Price"). In addition, if a bidder who does not beneficially own more than 1% of the Toro Common Stock (and who has not within the past year owned in excess of 1% of the Toro Common Stock and, at a time he held such greater than 1% stake, disclosed, or caused the disclosure of, an intention which relates to or would result in the acquisition or influence of control of Toro) proposes to acquire all of the Toro Common Stock (and all other shares of capital stock of Toro entitled to vote with the Toro Common Stock in the election of directors or on mergers, consolidations, sales of all or substantially all of Toro's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Toro, upon the request of the bidder, will hold a special stockholders' meeting to vote on a resolution requesting Toro's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No redemption will be permitted or required after the acquisition by any person or group of affiliated or associated persons of beneficial ownership of 20% or more of the outstanding Toro Common Stock. Immediately upon redemption, the right to exercise the Rights will terminate and the only right of the holders of Rights will be to receive the Redemption Price. Until a Right is exercised, the holder thereof, as such, will have no rights as a stockholder of Toro, including without limitation, the right to vote or to receive dividends.</w:t>
      </w:r>
    </w:p>
    <w:p>
      <w:pPr>
        <w:spacing w:after="0" w:line="34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Rights have certain anti-takeover effects. The Rights will cause substantial dilution to a person or group that attempts to acquire Toro unless the offer is conditional on a substantial number of Rights being acquired. The Rights, however, should not affect any prospective offeror willing to make an offer at an equitable price and which is otherwise in the best interests of Toro and its stockholders, as determined by Toro's Board of Directors. The Rights should not interfere with any merger or other business combination approved by Toro's Board of Directors since Toro's Board of Directors may, at its option, redeem the Rights at any time until there is an Acquiring Person.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450" w:right="1440" w:bottom="1440" w:gutter="0" w:footer="0" w:header="0"/>
        </w:sectPr>
      </w:pPr>
    </w:p>
    <w:bookmarkStart w:id="77" w:name="page78"/>
    <w:bookmarkEnd w:id="77"/>
    <w:p>
      <w:pPr>
        <w:ind w:right="3599" w:firstLine="344"/>
        <w:spacing w:after="0" w:line="252" w:lineRule="auto"/>
        <w:rPr>
          <w:sz w:val="20"/>
          <w:szCs w:val="20"/>
          <w:color w:val="auto"/>
        </w:rPr>
      </w:pPr>
      <w:r>
        <w:rPr>
          <w:rFonts w:ascii="Courier New" w:cs="Courier New" w:eastAsia="Courier New" w:hAnsi="Courier New"/>
          <w:sz w:val="14"/>
          <w:szCs w:val="14"/>
          <w:color w:val="auto"/>
        </w:rPr>
        <w:t>The foregoing summary of certain terms of the Rights is qualified in its entirety by reference to the Rights Agreement, a copy of which is included in Exhibit D to this Proxy Statement/Prospectus.</w:t>
      </w:r>
    </w:p>
    <w:p>
      <w:pPr>
        <w:spacing w:after="0" w:line="16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DESCRIPTION OF EXMARK CAPITAL STOCK</w:t>
      </w:r>
    </w:p>
    <w:p>
      <w:pPr>
        <w:spacing w:after="0" w:line="17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The following description of capital stock of Exmark does not purport to be complete and is subject, in all respects, to applicable Nebraska law and to the provisions of Exmark's Articles of Incorporation ("Exmark Articles").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authorized capital stock of Exmark consists of (1) 24,000 shares of Exmark Common Stock, par value $10.00 per share, and (2) 21,000 shares of Exmark voting participating preferred stock, par value $40.00 per share ("Preferred Stock"). As of the date of this proxy statement/prospectus, 15,431 shares of Exmark Common Stock were issued and outstanding, and 7,416 shares of Exmark Preferred Stock were issued and outstanding. Presently, no shares are held in treasury.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Exmark Common Stock has the right to vote for the election of directors and for all other purposes, and each holder of Exmark Common Stock is entitled to one vote for each share held. Holders of Exmark Common Stock have the right to cumulate votes in the election of directors and do not have a right of redemption or any preferential right of subscription for any securities of Exmark.</w:t>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Holders of Exmark Common Stock are entitled to dividends when and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declared by Exmark's Board of Directors from funds legally available therefore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 amount per share equal to one-fourth of the dividends per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concurrently declared. In the event of liquidation, the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is subject to a liquidation preference of $40.00 per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Preferred Stock. After each outstanding share of Exmark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been allocated $40.00 of liquidation proceeds, each share of Exmark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is then entitled to receive an allocation of liquidation proceeds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per share. Thereafter, each share of Exmark Common Stock will participate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liquidation proceeds on a one-to-four ratio with each share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Exmark has one class of Preferred Stock authorized with 7,416 shares issued and outstanding as of the date hereof. The Exmark Preferred Stock has the right to vote for the election of directors and for all other purposes, and each holder of Exmark Preferred Stock is entitled to one vote for each share held. Holders of Exmark Preferred Stock have the right to cumulate votes in the election of directors and do not have a right of redemption or any preferential right of subscription for any securities of Exmark.</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Holders of Exmark Preferred Stock are entitled to dividends when and as declared by Exmark's Board of Directors from funds legally available therefor in an amount per share equal to four times the amount of dividends declared concurrently with respect to each share of Exmark Common Stock. The Exmark Preferred Stock has a liquidation preference in the amount of $40.00 per share in the event Exmark is the subject of a voluntary or involuntary liquidation. After holders of Exmark Preferred Stock have been allocated $40.00 per share of liquidation proceeds, holders of Exmark Common Stock are then entitled to allocation of liquidation proceeds of $10.00 per share of Exmark Common Stock. Thereafter, any remaining liquidation proceeds are allocable to Exmark Preferred Stock and Exmark Common Stock on a four-to-one ratio. That is, each share of Exmark Preferred Stock will be entitled to receive four times the amount of liquidation proceeds as the amount of liquidation proceeds allocable to each share of Exmark Common Stock.</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50"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EXMARK PREFERRED STOCK IF THE NEW ARTICLES OF INCORPORATION ARE APPROVED</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If the New Articles of Incorporation are approved by the requisite vote of Exmark's Stockholders, Exmark will have three classes of preferred stock: Exmark Preferred Stock, Exmark Class B Stock and Exmark Class C Stock.</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New Articles of Incorporation clarify the distribution preference of the Exmark Preferred Stock. Under Exmark's existing articles of incorporation, the Exmark Preferred Stock is entitled to the liquidation preference described above. In order to confirm that this preference applies to the Merger Consideration to be received by holders of Exmark Preferred Stock in connection with the Merger, the New Articles of Incorporation were drafted to explicitly state that such holders would receive the same liquidation preference (I.E., a distribution preference) in the event of the acquisition of all or substantially all of the shares of Exmark by merger, purchase or otherwise.</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New Articles of Incorporation also create two new classes of preferred stock. The Exmark Class B Stock and Exmark Class C Stock have the right to vote for the election of directors and for all other purposes, and each holder of Class B Stock and Exmark Class C Stock is entitled to one vote for each share held. Holders of Class B Stock and Exmark Class C Stock have the right to cumulate votes in the election of directors and do not have a right of redemption or any preferential right of subscription for any securities of Exmark.</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Holders of Exmark Class B Stock and Exmark Class C Stock are entitled to dividends when and as declared by Exmark's Board of Directors from funds legally available therefor and shall participate therein on a pro rata basis with each share of Exmark Common Stock. In the event of the liquidation of Exmark, each share of Exmark Class B Stock shall be entitled to a liquidation preference equal to the par value thereof ($.01), subject to the prior liquidation preference of Exmark Preferred Stock in the amount of the par value thereof. In the event of the liquidation of Exmark, each share of Exmark Class C Stock shall be entitled to a liquidation preference equal to the par value thereof ($.01), subject to the prior liquidation preference of the original Preferred Stock and the Class B Preferred Stock in the amount of the par values thereof.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50" w:right="1440" w:bottom="1440" w:gutter="0" w:footer="0" w:header="0"/>
        </w:sectPr>
      </w:pPr>
    </w:p>
    <w:bookmarkStart w:id="79" w:name="page80"/>
    <w:bookmarkEnd w:id="79"/>
    <w:p>
      <w:pPr>
        <w:ind w:left="2080"/>
        <w:spacing w:after="0"/>
        <w:rPr>
          <w:sz w:val="20"/>
          <w:szCs w:val="20"/>
          <w:color w:val="auto"/>
        </w:rPr>
      </w:pPr>
      <w:r>
        <w:rPr>
          <w:rFonts w:ascii="Courier New" w:cs="Courier New" w:eastAsia="Courier New" w:hAnsi="Courier New"/>
          <w:sz w:val="14"/>
          <w:szCs w:val="14"/>
          <w:color w:val="auto"/>
        </w:rPr>
        <w:t>COMPARISON OF STOCKHOLDER RIGHTS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rights of Toro stockholders are governed by the Delaware General Corporation Law (the "DGCL"), Toro's Certificate and Toro's Bylaws (the "Toro Bylaws"). The rights of Exmark stockholders are governed by the Nebraska Business Corporation Act (the "NBCA"), the Articles of Incorporation of Exmark, as amended ("Exmark Articles"), and the bylaws of Exmark ("Exmark Bylaws"). The following is a summary of certain material differences between the rights of stockholders of Toro and the rights of stockholders of Exmark, as contained in provisions of the DGCL and the NBCA, the Toro Certificate and Toro Bylaws, and the Exmark Articles and Exmark Bylaws. It does not purport to be a complete statement of the rights of Toro's stockholders as compared with the rights of Exmark stockholders, and the identification of certain specific differences is not meant to indicate that other equally or more significant differences do not exist.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DISSENTERS' RIGHTS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Under both the DGCL and the NBCA, stockholders may exercise a right to dissent from certain corporate actions and obtain payment of the fair value of their shares. This remedy is an exclusive remedy, except where the corporate action involves fraud or illegality.</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DGCL, dissenters' rights are limited. Appraisal rights are available only in connection with certain statutory mergers or consolidations, amendments to the certificate of incorporation (if so provided in the certificate of incorporation), any merger or consolidation in which the corporation is a constituent corporation, or sales of all or substantially all of the assets of a corporation. The Toro Certificate does not grant such rights.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NBCA, the categories of transactions subject to dissenters' rights are broader than those in the DGCL. A stockholder of a Nebraska corporation may exercise dissenter's rights in connection with an amendment to the articles of incorporation which materially and adversely affects the rights or preferences of shares held by the dissenting stockholder, a sale or exchange of all or substantially all of the corporation's property not in the usual course of business if the stockholder is entitled to vote on the sale or exchange, a plan of merger for which stockholder approval is required, a plan of exchange involving the acquisition of the corporation's shares if the stockholder is entitled to vote on the plan, and any corporate action taken pursuant to a stockholder vote to the extent the articles, bylaws or board resolutions provide for such rights. See "THE MERGER--Dissenters' Rights." Neither the Exmark Articles nor the Exmark Bylaws grant such rights.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provides that the board of directors of a Delaware corporation shall consist of one or more directors as fixed by the certificate of incorporation or bylaws. The Toro Articles and the Toro Bylaws presently require a board comprised of not less than eight nor more than eleven directors, with the exact number to be fixed by the board. Toro's board of directors is divided into three classes, as nearly equal in number as possible. Directors in each class serve for three years, and elections are staggered such that one class is elected each year.</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that the board of directors of a Nebraska corporation shall consist of one or more directors as fixed by the articles of incorporation or bylaws. The Exmark Bylaws provide that the board shall consist of seven directors. Exmark's board of directors is divided into two classes, consisting of three and four directors, respectively. Directors in each class serve for two years, and elections are staggered such that one class is elected each year.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450"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REMOVAL OF DIRECTORS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provides that a director or the entire board of directors may be removed, with or without cause, by the holders of at least a majority of the shares then entitled to vote at an election of directors, unless the certificate of incorporation provides in the case of a corporation whose board is classified, that directors may be removed only for cause, or unless the Corporation has cumulative voting, in which event if less than the entire board is to be removed, no director may be removed without cause if the votes cast against the director's removal would be sufficient to elect that director if voted cumulatively either at an election of the entire board of directors or for classes of the board. The Toro Certificate provides that, subject to the rights of the holders of any series of preferred stock then outstanding, any director may be removed from office at any time, but only for cause and only by the affirmative vote of the holders of at least 80% of the voting power of the then outstanding shares of the voting stock of Toro, voting together as a single class. Toro does not have cumulative voting.</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that stockholders may remove one or more directors with or without cause, unless the articles of incorporation provide that directors may be removed only for cause; provided, however, that if cumulative voting is authorized, a director may not be removed if the number of votes sufficient to elect that director under cumulative voting is voted against the director's removal. Neither the Exmark Bylaws nor the Exmark Articles contain provisions with respect to removal of directors. The Exmark Bylaws provide for cumulative voting.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BYLAWS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DGCL, the Toro Bylaws may be altered, amended, supplemented or repealed, or new bylaws adopted, by the stockholders entitled to vote or by any other manner as may be authorized by the Toro Certificate. The Toro Certificate provides that the Board of Directors is expressly authorized and empowered to adopt, amend or repeal the Toro Bylaws by a majority vote; provided, however, that the affirmative vote of the holders of at least 80% of the voting power of the then outstanding shares of voting stock, voting together as a single class, is required to alter, amend or repeal certain Bylaws, including those involving the board of directors, actions by stockholders and certain business combinations.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and the Exmark Articles provide that either the stockholder or the directors may adopt, amend or repeal bylaws. However, under the NBCA, directors may not amend or repeal any bylaw if the bylaw expressly prohibits such action. Similarly, while stockholders may, if authorized by the articles of incorporation, adopt bylaws providing for a supermajority quorum or voting, the board of directors may not. The Exmark Articles do not authorize adoption of supermajority quorum or voting requirement. The Exmark Bylaws provide that the bylaws may be altered, amended or repealed and new bylaws may be adopted, amended or repealed by the stockholders at any regular or special meeting or, except to the extent prohibited by law, by the board of directors at any regular or special meeting or, in certain circumstances, by informal 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CERTIFICATE OR ARTICLES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DGCL, a corporation's certificate of incorporation may be amended by resolution of the board of directors and the affirmative vote of the holders of a majority of the outstanding shares entitled to vote. In addition, if an amendment would increase or decrease the number of authorized shares in a particular class, increase or decrease the par value of the shares of such class or alter or change the powers, preferences or other special rights of such class so as to affect the class adversely, then a majority of shares of that class must approve the amendment. The DGCL permits a corporation to require a greater proportion of voting power to approve amendments to specified provisions. The Toro certificate provides that certain provisions of the certificate of incorporation, including those involving the board of directors, actions by stockholders and certain business combinations, cannot be altered, amended or repealed unless such modification complies with the supermajority voting provisions.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450" w:right="1440" w:bottom="1440" w:gutter="0" w:footer="0" w:header="0"/>
        </w:sectPr>
      </w:pPr>
    </w:p>
    <w:bookmarkStart w:id="81" w:name="page82"/>
    <w:bookmarkEnd w:id="81"/>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that a corporation's articles of incorporation may be amended by resolution of the board of directors and the affirmative vote of at least two-thirds of the shares entitled to vote, unless the articles of incorporation require a greater vote. Under the NBCA, holders of the outstanding shares of a class are entitled to vote as a separate voting group if, among other things, the amendment would alter the number of authorized shares of the class, effect an exchange or reclassification of all or part of the shares into another class, or otherwise change the rights, preferences or limitations of the shares in the class. The Exmark Articles do not alter these provisions.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contains provisions setting forth conditions under which a corporation may indemnify its directors, officers, employees or agents. The DGCL provides for indemnification if the person acted in good faith and in a manner the person reasonably believed to be in or not opposed to the best interests of the corporation and, with respect to any criminal action or proceeding, had no reasonable cause to believe the conduct was unlawful. Such indemnification is merely permissive, except that a corporation must indemnify a person who is successful on the merits or otherwise in the defense of certain specified actions, suits or proceedings for expenses and attorneys' fees actually and reasonably incurred in connection therewith. The DGCL allows a corporation, through its certificate of incorporation, bylaws, or other intracorporate agreements, to make indemnification mandatory.</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Toro Certificate provides that Toro shall indemnify its directors and officers to the fullest extent permitted by law. The Toro Certificate specifically requires indemnification of all expense, liability and loss reasonably incurred by such director or officer by reason of the fact that such person was or is a director or officer of Toro or was or is serving at the request of Toro any other legal entity in any capacity while a director or officer of Toro. The Toro Certificate permits the board of directors to indemnify employees and agents.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Nebraska law, a corporation is required to indemnify a director or officer of a corporation against expenses actually and reasonably incurred in connection with the successful defense of certain proceedings, provided that such person is wholly successful in the defense. The NBCA permits a corporation to indemnify employees and agents.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Exmark Articles provide for the indemnification of any person who was or is a party or is threatened to be made a party to any threatened, pending or completed action, suit or proceeding, whether civil or criminal, by reason of the fact that such person was or is a director, officer, employee or agent of the corporation or was or is serving at the request of Exmark any other legal entity in any capacity. Such indemnification applies to all expenses, including attorneys' fees, judgments, fines and amounts paid in settlement, actually and reasonably incurred in connection with such proceeding, provided the person acted in good faith and in a manner the person reasonably believed to be in or not opposed to the best interests of the corporation and, with respect to any criminal action or proceeding, had no reasonable cause to believe that his conduct was unlawful.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OF DIRECTORS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DGCL, a corporation's certificate of incorporation may contain a provision limiting or eliminating a director's personal liability to the corporation or its stockholders for monetary damages for a director's breach of fiduciary duty, subject to certain limitations. The Toro Certificate provides that a director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any transaction from which the director derived an improper personal benefit, or as provided in the DGCL for liability for an unlawful payment of dividend, stock purchase or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450" w:right="1440" w:bottom="1440" w:gutter="0" w:footer="0" w:header="0"/>
        </w:sectPr>
      </w:pPr>
    </w:p>
    <w:bookmarkStart w:id="82" w:name="page83"/>
    <w:bookmarkEnd w:id="82"/>
    <w:p>
      <w:pPr>
        <w:ind w:right="3519" w:firstLine="344"/>
        <w:spacing w:after="0" w:line="251" w:lineRule="auto"/>
        <w:rPr>
          <w:sz w:val="20"/>
          <w:szCs w:val="20"/>
          <w:color w:val="auto"/>
        </w:rPr>
      </w:pPr>
      <w:r>
        <w:rPr>
          <w:rFonts w:ascii="Courier New" w:cs="Courier New" w:eastAsia="Courier New" w:hAnsi="Courier New"/>
          <w:sz w:val="14"/>
          <w:szCs w:val="14"/>
          <w:color w:val="auto"/>
        </w:rPr>
        <w:t>The NBCA similarly permits the articles of incorporation to eliminate or limit the liability of a director to the corporation or its stockholders from monetary damages for any action taken as a director except liability for the amount of a financial benefit the director received to which the director was not entitled; an intentional infliction of harm on the corporation or the stockholders; an intentional authorization of unlawful distribution; or an intentional violation of criminal law. The present Exmark articles of incorporation do not provide for the limitation or elimination of directors' liability in any manner. However, prior to the Merger, the Exmark stockholders will be asked to approve the New Articles of Incorporation, which will provide for the elimination and limitation of the directors' liability to the fullest extent allowed by the NBCA.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MEETINGS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requires a corporation to hold an annual meeting of stockholders for the election of directors. In accordance with the DGCL and the Toro Certificate, special meetings of the stockholders of Toro may be called only by the board of directors pursuant to a resolution approved by a majority of the entire board. Under the DGCL and the Toro Bylaws, whenever stockholders are required or permitted to take action at a meeting, a written notice regarding the meeting, which in the case of a special meeting, must indicate the purpose or purposes for which the meeting is called, must be sent to all stockholders of record entitled to vote at the meeting not less than 10 nor more than 60 days before the meeting. Under the DGCL, notice of a meeting to consider an agreement of merger must be sent at least 20 days prior to the date of the meeting.</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for annual meetings of stockholders. Special meetings are held if called by the board of directors or others authorized by the articles of incorporation or bylaws or upon the demand for such a meeting by holders of at least 10% of the votes entitled to be cast on any issue proposed to be considered at the proposed special meeting. The Exmark Bylaws provide that the president or the board of directors may call a special meeting of stockholders and that, at the request of holders of not less than 10% of all the outstanding shares of the Exmark entitled to vote at the meeting, the President must call a special meeting. The Exmark Bylaws require written notice stating the place, time and date of the meeting and, in the case of a special meeting, the purpose or purposes for which the meeting is called, to be sent to all stockholders of record entitled to vote thereon not less than 10 nor more than 50 days before the meeting.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PREEMPTIVE RIGHTS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Delaware law, stockholders of a corporation have no preemptive rights unless such rights are expressly granted in the certificate of incorporation. The Toro Certificate expressly provides that stockholders do not have preemptive rights to subscribe for any shares of Toro capital stock. Under Nebraska law, preemptive rights are presumed unless denied in the articles of incorporation. The Exmark Bylaws deny preemptive rights to stockholders.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MERGERS, CONSOLIDATIONS AND OTHER BUSINESS COMBINATIONS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order to merge or consolidate under the DGCL, a corporation's board of directors must adopt a resolution approving an agreement of merger and, if stockholder approval is required, recommend it to the stockholders, who must adopt it by a majority vote. The DGCL allows a corporation, through its certificate of incorporation, to adopt super majority voting requirements.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bars a corporation which has securities traded on an exchange, designated on the Nasdaq National Market or held of record by more than 2,000 stockholders from engaging in certain business combinations, including a merger, sale of substantial assets, loan or substantial issuance of stock, with an interested stockholder, or an interested stockholder's affiliates and associates, for a three-year period beginning on the date the interested stockholder acquires 15% or more of the outstanding voting stock of the corporation. The restrictions on business combinations do not apply if (1) the board of directors gives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45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prior approval to the transaction in which the 15% ownership level is exceeded,</w:t>
      </w:r>
    </w:p>
    <w:p>
      <w:pPr>
        <w:spacing w:after="0" w:line="7" w:lineRule="exact"/>
        <w:rPr>
          <w:sz w:val="20"/>
          <w:szCs w:val="20"/>
          <w:color w:val="auto"/>
        </w:rPr>
      </w:pPr>
    </w:p>
    <w:p>
      <w:pPr>
        <w:ind w:right="3339" w:firstLine="8"/>
        <w:spacing w:after="0" w:line="251"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interested stockholder acquires at one time at least 85% of the corporation's stock (excluding those shares owned by persons who are directors and also officers as well as employee stock plans in which employees do not have a confidential right to vote), or (3) the business combination is approved by the board of directors and authorized at a meeting of stockholders by the holders of at least two-thirds of the outstanding voting stock, excluding shares owned by the interested stockholder.</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Toro Certificate contains provisions that provide for supermajority voting requirements in connection with certain "Business Combinations" (as defined) involving "Affiliates" (as defined) or an "Interested Shareholder" (as defined), unless specifically exempted pursuant to the Toro Certificate. The affirmative vote of at least 80% of the voting power of the then outstanding shares of voting stock, voting as a single class, is required to approve such transactions. The super majority voting requirement is mandatory and applies even if no vote would have otherwise been required.</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NBCA provides that a resolution containing a plan of merger or exchange must be approved by the affirmative vote of a majority of the directors present at a meeting and, if stockholder approval is required, submitted to the stockholders and approved by the affirmative vote of the holders of two-thirds of the voting power of all shares entitled to vote.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Neither the Exmark Articles nor the Exmark Bylaws contain a supermajority voting requirement for business combinations. The Nebraska Shareholders' Protection Act contains provisions governing the rights of stockholders in the case of certain share acquisitions and business combinations involving public corporations incorporated in (or having certain other significant ties to) Nebraska. Exmark is not a public corporation as defined in that act and, accordingly, is not governed by that act's provisions.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ANTI-TAKEOVER PROVISIONS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Certain provisions of Toro's Certificate of Incorporation may have the effect of preventing, discouraging or delaying any change in the control of Toro. The following provisions may have anti-takeover effects: (1) Toro's Board of Directors is classified into three classes, each of which serves for three years, with one class being elected each year; (2) directors may be removed only for cause and only with the approval of holders of at least 80% of the then outstanding shares of the capital stock entitled to vote generally in the election of directors ("Voting Stock"); (3) any vacancy on Toro's Board may be filled only by the remaining directors then in office; (4) stockholder action must be taken at a meeting of stockholders and stockholders may not act by written consent; (5) special meetings of stockholders of Toro may be called only by Toro's Board of Directors pursuant to a resolution adopted by a majority of Toro's entire Board; (6) a fair price" provision requires the approval by the holders of 80% of the then outstanding Voting Stock as a condition for mergers and certain other business combinations of Toro with any holder of more than 10% of such voting power (an "Interested Stockholder") unless either (a) the transaction is approved by a majority of the members of Toro's Board of Directors who are unaffiliated with the Interested Stockholder and were members of Toro's Board of Directors prior to the time the Interested Stockholder became an Interested Stockholder or (b) certain minimum price and procedural requirements are met; and (7) the stockholder vote required to alter, amend or repeal the foregoing provisions is 80% of the then outstanding Voting Stock.</w:t>
      </w:r>
    </w:p>
    <w:p>
      <w:pPr>
        <w:spacing w:after="0" w:line="17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These provisions, individually and collectively, will make difficult and may discourage a merger, tender offer or proxy fight, even if such transaction or occurrence may be favorable to the interests of the stockholders, and may delay or frustrate the assumption of control by a holder of a large block of Toro Common Stock and the removal of incumbent management. Furthermore, these provisions may deter or could be utilized to frustrate a future takeover attempt which is not approved by the incumbent Board of Directors of Toro, but which the holders of a majority of the shares may deem to be in their best interests or in which Toro's stockholders may receive a substantial premium for their stock over prevailing market prices of such stock. By discouraging takeover attempts, these provisions might have the incidental effect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450" w:right="1440" w:bottom="1440" w:gutter="0" w:footer="0" w:header="0"/>
        </w:sectPr>
      </w:pPr>
    </w:p>
    <w:bookmarkStart w:id="84" w:name="page85"/>
    <w:bookmarkEnd w:id="84"/>
    <w:p>
      <w:pPr>
        <w:ind w:right="3339"/>
        <w:spacing w:after="0" w:line="252" w:lineRule="auto"/>
        <w:rPr>
          <w:sz w:val="20"/>
          <w:szCs w:val="20"/>
          <w:color w:val="auto"/>
        </w:rPr>
      </w:pPr>
      <w:r>
        <w:rPr>
          <w:rFonts w:ascii="Courier New" w:cs="Courier New" w:eastAsia="Courier New" w:hAnsi="Courier New"/>
          <w:sz w:val="14"/>
          <w:szCs w:val="14"/>
          <w:color w:val="auto"/>
        </w:rPr>
        <w:t>of inhibiting certain changes in management (some or all of the members of which might be replaced in the course of a change of control) and also the temporary fluctuations in the market price of the stock which often result from actual or rumored takeover attempts.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validity of the Toro Common Stock to be issued in connection with the Merger will be passed upon for Toro by J. Lawrence McIntyre, General Counsel of Toro. An opinion concerning the tax consequence of the Merger and an opinion concerning Exmark will be given by Croker, Huck, Kasher, DeWitt, Anderson &amp; Gonderinger, P.C.</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consolidated financial statements of Toro appearing in Toro's Annual Report on Form 10-K for the year ended October 31, 1996, filed with the SEC on January 29, 1997, have been audited by KPMG Peat Marwick LLP, independent auditors, as set forth in their report thereon included therein. Such consolidated financial statements are included in Exhibit D herein in reliance upon such report given upon the authority of such firm as experts in accounting and auditing.</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combined financial statements of James Hardie Irrigation, Inc., James Hardie Irrigation Pty Limited and James Hardie Irrigation Europe S.p.A. as of December 1, 1996 and for the year then ended, have been audited by KPMG Peat Marwick LLP, independent auditors, as set forth in their report thereon. Such combined financial statements are included in Exhibit D herein in reliance upon such report given upon the authority of such firm as experts in accounting and auditing.</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financial statements of Exmark included herein have been audited by Grant Thornton LLP, independent certified public accountants, as set forth in their report appearing elsewhere herein. Such financial statements are included herein in reliance upon such report given upon the authority of such firm as experts in accounting and auditing.</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management of Exmark is not aware of any other business that may come before the Special Meeting. However, if additional matters properly come before the Special Meeting, proxies will be voted at the discretion of the proxy holders.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450" w:right="1440" w:bottom="1440" w:gutter="0" w:footer="0" w:header="0"/>
        </w:sectPr>
      </w:pPr>
    </w:p>
    <w:bookmarkStart w:id="85" w:name="page86"/>
    <w:bookmarkEnd w:id="85"/>
    <w:p>
      <w:pPr>
        <w:jc w:val="center"/>
        <w:ind w:right="3419"/>
        <w:spacing w:after="0"/>
        <w:rPr>
          <w:sz w:val="20"/>
          <w:szCs w:val="20"/>
          <w:color w:val="auto"/>
        </w:rPr>
      </w:pPr>
      <w:r>
        <w:rPr>
          <w:rFonts w:ascii="Courier New" w:cs="Courier New" w:eastAsia="Courier New" w:hAnsi="Courier New"/>
          <w:sz w:val="14"/>
          <w:szCs w:val="14"/>
          <w:color w:val="auto"/>
        </w:rPr>
        <w:t>FINANCIAL STATEMENTS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8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20" w:type="dxa"/>
            <w:vAlign w:val="bottom"/>
          </w:tcPr>
          <w:p>
            <w:pPr>
              <w:spacing w:after="0"/>
              <w:rPr>
                <w:sz w:val="20"/>
                <w:szCs w:val="20"/>
                <w:color w:val="auto"/>
              </w:rPr>
            </w:pPr>
            <w:r>
              <w:rPr>
                <w:rFonts w:ascii="Courier New" w:cs="Courier New" w:eastAsia="Courier New" w:hAnsi="Courier New"/>
                <w:sz w:val="14"/>
                <w:szCs w:val="14"/>
                <w:color w:val="auto"/>
              </w:rPr>
              <w:t>Audited Financial Statements as of August 31, 1997 and 1996 and for the years ended August 31,</w:t>
            </w:r>
          </w:p>
        </w:tc>
        <w:tc>
          <w:tcPr>
            <w:tcW w:w="1200" w:type="dxa"/>
            <w:vAlign w:val="bottom"/>
          </w:tcPr>
          <w:p>
            <w:pPr>
              <w:spacing w:after="0"/>
              <w:rPr>
                <w:sz w:val="24"/>
                <w:szCs w:val="24"/>
                <w:color w:val="auto"/>
              </w:rPr>
            </w:pPr>
          </w:p>
        </w:tc>
      </w:tr>
      <w:tr>
        <w:trPr>
          <w:trHeight w:val="166"/>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1997, 1996 and 1995:</w:t>
            </w:r>
          </w:p>
        </w:tc>
        <w:tc>
          <w:tcPr>
            <w:tcW w:w="1200" w:type="dxa"/>
            <w:vAlign w:val="bottom"/>
          </w:tcPr>
          <w:p>
            <w:pPr>
              <w:spacing w:after="0"/>
              <w:rPr>
                <w:sz w:val="14"/>
                <w:szCs w:val="14"/>
                <w:color w:val="auto"/>
              </w:rPr>
            </w:pP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Report of Independent Certified Public Accountants...............................................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Balance Sheets...................................................................................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Statements of Earnings...........................................................................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 of Stockholders' Equity................................................................</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Statements of Cash Flows.........................................................................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Notes to Financial Statements....................................................................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F-8 to F-14</w:t>
            </w:r>
          </w:p>
        </w:tc>
      </w:tr>
      <w:tr>
        <w:trPr>
          <w:trHeight w:val="497"/>
        </w:trPr>
        <w:tc>
          <w:tcPr>
            <w:tcW w:w="8620" w:type="dxa"/>
            <w:vAlign w:val="bottom"/>
          </w:tcPr>
          <w:p>
            <w:pPr>
              <w:ind w:left="3280"/>
              <w:spacing w:after="0"/>
              <w:rPr>
                <w:sz w:val="20"/>
                <w:szCs w:val="20"/>
                <w:color w:val="auto"/>
              </w:rPr>
            </w:pPr>
            <w:r>
              <w:rPr>
                <w:rFonts w:ascii="Courier New" w:cs="Courier New" w:eastAsia="Courier New" w:hAnsi="Courier New"/>
                <w:sz w:val="14"/>
                <w:szCs w:val="14"/>
                <w:color w:val="auto"/>
              </w:rPr>
              <w:t>F-1</w:t>
            </w:r>
          </w:p>
        </w:tc>
        <w:tc>
          <w:tcPr>
            <w:tcW w:w="120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86" w:name="page87"/>
    <w:bookmarkEnd w:id="86"/>
    <w:p>
      <w:pPr>
        <w:ind w:left="130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have audited the accompanying balance sheets of Exmark Manufacturing Company Incorporated as of August 31, 1997 and 1996, and the related statements of earnings, stockholders' equity, and cash flows for each of the three years in the period ended August 31, 1997.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Exmark Manufacturing Company Incorporated as of August 31, 1997 and 1996, and the results of its operations and its cash flows for each of the three years in the period ended August 31, 1997, in conformity with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Grant Thornton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Nebraska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450" w:right="1440" w:bottom="1440" w:gutter="0" w:footer="0" w:header="0"/>
        </w:sectPr>
      </w:pPr>
    </w:p>
    <w:bookmarkStart w:id="87" w:name="page88"/>
    <w:bookmarkEnd w:id="87"/>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BALANCE SHEETS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4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30,416</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32,064</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receivable................................................................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3,062,925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1,736,175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6,732,680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4,917,895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Prepaid expenses and deposits......................................................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212,192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205,132</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Refundable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284,183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3,229</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142,000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190,500</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10,464,396</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7,084,995</w:t>
            </w: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Property and equipment-at cost</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Land...............................................................................</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62,737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62,737</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Buildings and improvements.........................................................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3,625,987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2,404,356</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Office equipment...................................................................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1,002,811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784,702</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Plant equipment....................................................................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2,241,725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1,795,126</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Vehicles...........................................................................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84,344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84,331</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Construction in progress...........................................................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1,235,517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227,163</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8,253,121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5,358,415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Less accumulated depreciation......................................................</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3,063,379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2,497,117</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5,189,742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2,861,298</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12,655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19,339</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15,666,793</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9,965,632</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Short-term borrowings..............................................................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1,413,260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Current maturities of long-term obligations........................................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298,779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370,802</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1,225,720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595,203</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compensation...............................................................</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1,083,832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805,377</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warranty...................................................................</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490,000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365,000</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interest...................................................................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126,614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113,389</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accrued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1,446,193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1,040,337</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6,084,398</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3,290,108</w:t>
            </w:r>
          </w:p>
        </w:tc>
      </w:tr>
      <w:tr>
        <w:trPr>
          <w:trHeight w:val="331"/>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Long-term obligations, less current maturities.......................................</w:t>
            </w:r>
          </w:p>
        </w:tc>
        <w:tc>
          <w:tcPr>
            <w:tcW w:w="3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415,274</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928,905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Subordinated debentures..............................................................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ind w:left="180"/>
              <w:spacing w:after="0"/>
              <w:rPr>
                <w:sz w:val="20"/>
                <w:szCs w:val="20"/>
                <w:color w:val="auto"/>
              </w:rPr>
            </w:pPr>
            <w:r>
              <w:rPr>
                <w:rFonts w:ascii="Courier New" w:cs="Courier New" w:eastAsia="Courier New" w:hAnsi="Courier New"/>
                <w:sz w:val="14"/>
                <w:szCs w:val="14"/>
                <w:color w:val="auto"/>
              </w:rPr>
              <w:t>Voting and participating preferred stock--authorized 21,000 shares of $40 par</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 issued and outstanding 7,416 shares.......................................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296,640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296,640</w:t>
            </w:r>
          </w:p>
        </w:tc>
      </w:tr>
      <w:tr>
        <w:trPr>
          <w:trHeight w:val="166"/>
        </w:trPr>
        <w:tc>
          <w:tcPr>
            <w:tcW w:w="7420" w:type="dxa"/>
            <w:vAlign w:val="bottom"/>
          </w:tcPr>
          <w:p>
            <w:pPr>
              <w:ind w:left="180"/>
              <w:spacing w:after="0"/>
              <w:rPr>
                <w:sz w:val="20"/>
                <w:szCs w:val="20"/>
                <w:color w:val="auto"/>
              </w:rPr>
            </w:pPr>
            <w:r>
              <w:rPr>
                <w:rFonts w:ascii="Courier New" w:cs="Courier New" w:eastAsia="Courier New" w:hAnsi="Courier New"/>
                <w:sz w:val="14"/>
                <w:szCs w:val="14"/>
                <w:color w:val="auto"/>
              </w:rPr>
              <w:t>Common stock--authorized, 24,000 shares of $10 par value; issued and outstanding</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15,431 shares at August 31, 1997 and 10,587 shares at August 31, 1996............</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154,310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105,870</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941,140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202,025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Retained earnings..................................................................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7,872,676</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5,137,084</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Less stock subscriptions receivable................................................</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(97,645)</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9,167,121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5,741,619</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15,666,793</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9,965,632</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450" w:right="1440" w:bottom="1440" w:gutter="0" w:footer="0" w:header="0"/>
        </w:sectPr>
      </w:pPr>
    </w:p>
    <w:bookmarkStart w:id="88" w:name="page89"/>
    <w:bookmarkEnd w:id="88"/>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STATEMENTS OF EARNINGS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YEAR ENDED 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53,420,489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38,371,719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25,265,298</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35,687,200</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25,216,988</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16,534,938</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17,733,289</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13,154,731</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8,730,360</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expenses..................................................</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12,613,756</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9,819,437</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6,517,920</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profit..................................................</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5,119,533</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3,335,294</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2,212,440</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1,155,018</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1,057,013</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775,831</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(21,797)</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(16,510)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(20,736)</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(302,156)</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(215,958)</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(156,326)</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831,065</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824,545</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598,769</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Earnings before income taxes....................................</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4,288,468</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2,510,749</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1,613,671</w:t>
            </w:r>
          </w:p>
        </w:tc>
      </w:tr>
      <w:tr>
        <w:trPr>
          <w:trHeight w:val="331"/>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 expense..................................................</w:t>
            </w:r>
          </w:p>
        </w:tc>
        <w:tc>
          <w:tcPr>
            <w:tcW w:w="3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1,492,500</w:t>
            </w:r>
          </w:p>
        </w:tc>
        <w:tc>
          <w:tcPr>
            <w:tcW w:w="2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845,800</w:t>
            </w:r>
          </w:p>
        </w:tc>
        <w:tc>
          <w:tcPr>
            <w:tcW w:w="2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550,000</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2,795,968</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1,664,949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1,063,671</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equivalent........................................................</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24.47</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equivalent--assuming full dilution................................</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24.38</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450" w:right="1440" w:bottom="1440" w:gutter="0" w:footer="0" w:header="0"/>
        </w:sectPr>
      </w:pPr>
    </w:p>
    <w:bookmarkStart w:id="89" w:name="page90"/>
    <w:bookmarkEnd w:id="89"/>
    <w:p>
      <w:pPr>
        <w:jc w:val="center"/>
        <w:ind w:right="362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STATEMENT OF STOCKHOLDERS' EQUITY</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YEARS ENDED AUGUST 31, 1997, 1996 AND 1995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0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ADDITIONAL</w:t>
            </w:r>
          </w:p>
        </w:tc>
        <w:tc>
          <w:tcPr>
            <w:tcW w:w="11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 SUB-</w:t>
            </w:r>
          </w:p>
        </w:tc>
      </w:tr>
      <w:tr>
        <w:trPr>
          <w:trHeight w:val="166"/>
        </w:trPr>
        <w:tc>
          <w:tcPr>
            <w:tcW w:w="3200" w:type="dxa"/>
            <w:vAlign w:val="bottom"/>
          </w:tcPr>
          <w:p>
            <w:pPr>
              <w:spacing w:after="0"/>
              <w:rPr>
                <w:sz w:val="14"/>
                <w:szCs w:val="14"/>
                <w:color w:val="auto"/>
              </w:rPr>
            </w:pPr>
          </w:p>
        </w:tc>
        <w:tc>
          <w:tcPr>
            <w:tcW w:w="2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PAID-IN</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RETAINED</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SCRIPTIONS</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CAPITAL</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EARNINGS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RECEIVABLE</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September 1, 1994........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10,420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$ 104,200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$ 191,170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$ 2,478,778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Conversion of convertible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subordinated debentures into</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1,670</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10,855</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($0.75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(7,815)</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($3.00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(22,248)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1,063,671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10,587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202,025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3,512,386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(10,587)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($4.00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(29,664)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1,664,949</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10,587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202,025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5,137,084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($1.50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(15,880)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($6.00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(44,496)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option plan.................</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115,301</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(97,645)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bonus plan..................</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105,814</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relating to stock</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option and bonus transactions.....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518,000</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2,795,968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15,431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$ 154,310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$ 941,140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$ 7,872,676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(97,645)</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3200" w:type="dxa"/>
            <w:vAlign w:val="bottom"/>
          </w:tcPr>
          <w:p>
            <w:pPr>
              <w:spacing w:after="0"/>
              <w:rPr>
                <w:sz w:val="24"/>
                <w:szCs w:val="2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September 1, 1994........</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$ 3,070,788</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Conversion of convertible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subordinated debentures into</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12,525</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($0.75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(7,815)</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($3.00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(22,248)</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1,063,671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1995..........</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4,116,921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($4.00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1,664,949</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5,741,619</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($1.50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(15,880)</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($6.00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(44,496)</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option plan.................</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49,056</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bonus plan..................</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122,854</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relating to stock</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option and bonus transactions.....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518,000</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2,795,968</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1997..........</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$ 9,167,121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440"/>
          </w:cols>
          <w:pgMar w:left="220" w:top="450" w:right="1239" w:bottom="1440" w:gutter="0" w:footer="0" w:header="0"/>
        </w:sectPr>
      </w:pPr>
    </w:p>
    <w:bookmarkStart w:id="90" w:name="page91"/>
    <w:bookmarkEnd w:id="90"/>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YEAR ENDED AUGUST 31,</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24"/>
                <w:szCs w:val="2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24"/>
                <w:szCs w:val="2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2,795,968</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1,664,949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1,063,671</w:t>
            </w:r>
          </w:p>
        </w:tc>
      </w:tr>
      <w:tr>
        <w:trPr>
          <w:trHeight w:val="166"/>
        </w:trPr>
        <w:tc>
          <w:tcPr>
            <w:tcW w:w="6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Adjustments to reconcile net earnings to net cash provided by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ind w:left="360"/>
              <w:spacing w:after="0"/>
              <w:rPr>
                <w:sz w:val="20"/>
                <w:szCs w:val="20"/>
                <w:color w:val="auto"/>
              </w:rPr>
            </w:pPr>
            <w:r>
              <w:rPr>
                <w:rFonts w:ascii="Courier New" w:cs="Courier New" w:eastAsia="Courier New" w:hAnsi="Courier New"/>
                <w:sz w:val="14"/>
                <w:szCs w:val="14"/>
                <w:color w:val="auto"/>
              </w:rPr>
              <w:t>operating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621,987</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568,257</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364,716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disposal of property and equipment.......................</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14,900</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deferred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48,500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(138,200)</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benefit relating to stock option transactions................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518,000</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accounts receivable................................</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(1,326,750)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(586,364)</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(336,366)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inventories........................................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(1,814,785)</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(885,304)</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(972,219)</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(increase) in prepaid expenses and deposits...........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(7,060)</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7,997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(25,713)</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(increase) in refundable income taxes.................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(280,954)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30,095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(33,324)</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accounts payable........................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630,517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(94,013)</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261,134</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accrued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822,536</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934,879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239,552</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 income taxes payable...............................</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(224,306)</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2,007,959</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1,517,196</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324,445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maturity of marketable securities....................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493,740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maturity of certificate of deposit...................</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99,000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property and equipment.................................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(2,943,747)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(479,709)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(1,430,805)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(2,943,747)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(479,709)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(838,065)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on long-term obligations........................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(585,654)</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(365,455)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(358,939)</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subordinated debentures................................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convertible subordinated debentures....................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exercise of stock options............................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49,056</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stock....................................</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122,854</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(payments) on short-term borrowings...................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1,413,260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(600,806)</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600,806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dividends...............................................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(60,376)</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(40,251)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(30,063)</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934,140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(1,006,512)</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207,204</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cash....................................</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(1,648)</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30,975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(306,416)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beginning of year............................................</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32,064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307,505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end of year..................................................</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30,416</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32,064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1,089</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450" w:right="1440" w:bottom="1440" w:gutter="0" w:footer="0" w:header="0"/>
        </w:sectPr>
      </w:pPr>
    </w:p>
    <w:bookmarkStart w:id="91" w:name="page92"/>
    <w:bookmarkEnd w:id="91"/>
    <w:p>
      <w:pPr>
        <w:jc w:val="center"/>
        <w:ind w:right="42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STATEMENTS OF CASH FLOWS--CONTINUED</w:t>
      </w:r>
    </w:p>
    <w:p>
      <w:pPr>
        <w:spacing w:after="0" w:line="7"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YEAR ENDED AUGUST 31,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DISCLOSURES OF CASH FLOW INFORMATION</w:t>
      </w:r>
    </w:p>
    <w:p>
      <w:pPr>
        <w:spacing w:after="0" w:line="200" w:lineRule="exact"/>
        <w:rPr>
          <w:sz w:val="20"/>
          <w:szCs w:val="20"/>
          <w:color w:val="auto"/>
        </w:rPr>
      </w:pPr>
    </w:p>
    <w:p>
      <w:pPr>
        <w:spacing w:after="0" w:line="304"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paid during the year for:</w:t>
      </w:r>
    </w:p>
    <w:p>
      <w:pPr>
        <w:spacing w:after="0" w:line="7" w:lineRule="exact"/>
        <w:rPr>
          <w:sz w:val="20"/>
          <w:szCs w:val="20"/>
          <w:color w:val="auto"/>
        </w:rPr>
      </w:pPr>
    </w:p>
    <w:p>
      <w:pPr>
        <w:ind w:left="180"/>
        <w:spacing w:after="0"/>
        <w:tabs>
          <w:tab w:leader="none" w:pos="6100" w:val="left"/>
          <w:tab w:leader="none" w:pos="6440" w:val="left"/>
        </w:tabs>
        <w:rPr>
          <w:sz w:val="20"/>
          <w:szCs w:val="20"/>
          <w:color w:val="auto"/>
        </w:rPr>
      </w:pPr>
      <w:r>
        <w:rPr>
          <w:rFonts w:ascii="Courier New" w:cs="Courier New" w:eastAsia="Courier New" w:hAnsi="Courier New"/>
          <w:sz w:val="14"/>
          <w:szCs w:val="14"/>
          <w:color w:val="auto"/>
        </w:rPr>
        <w:t>Interest...........................................................</w:t>
        <w:tab/>
        <w:t>$</w:t>
        <w:tab/>
        <w:t>1,141,793</w:t>
      </w:r>
    </w:p>
    <w:p>
      <w:pPr>
        <w:spacing w:after="0" w:line="7" w:lineRule="exact"/>
        <w:rPr>
          <w:sz w:val="20"/>
          <w:szCs w:val="20"/>
          <w:color w:val="auto"/>
        </w:rPr>
      </w:pPr>
    </w:p>
    <w:p>
      <w:pPr>
        <w:ind w:left="180"/>
        <w:spacing w:after="0"/>
        <w:tabs>
          <w:tab w:leader="none" w:pos="6440" w:val="left"/>
        </w:tabs>
        <w:rPr>
          <w:sz w:val="20"/>
          <w:szCs w:val="20"/>
          <w:color w:val="auto"/>
        </w:rPr>
      </w:pPr>
      <w:r>
        <w:rPr>
          <w:rFonts w:ascii="Courier New" w:cs="Courier New" w:eastAsia="Courier New" w:hAnsi="Courier New"/>
          <w:sz w:val="14"/>
          <w:szCs w:val="14"/>
          <w:color w:val="auto"/>
        </w:rPr>
        <w:t>Income taxes.......................................................</w:t>
      </w:r>
      <w:r>
        <w:rPr>
          <w:sz w:val="20"/>
          <w:szCs w:val="20"/>
          <w:color w:val="auto"/>
        </w:rPr>
        <w:tab/>
      </w:r>
      <w:r>
        <w:rPr>
          <w:rFonts w:ascii="Courier New" w:cs="Courier New" w:eastAsia="Courier New" w:hAnsi="Courier New"/>
          <w:sz w:val="14"/>
          <w:szCs w:val="14"/>
          <w:color w:val="auto"/>
        </w:rPr>
        <w:t>1,206,954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SCHEDULE OF NONCASH FINANCING ACTIVITIES</w:t>
      </w:r>
    </w:p>
    <w:p>
      <w:pPr>
        <w:spacing w:after="0" w:line="173" w:lineRule="exact"/>
        <w:rPr>
          <w:sz w:val="20"/>
          <w:szCs w:val="20"/>
          <w:color w:val="auto"/>
        </w:rPr>
      </w:pPr>
    </w:p>
    <w:p>
      <w:pPr>
        <w:ind w:right="520" w:firstLine="344"/>
        <w:spacing w:after="0" w:line="255" w:lineRule="auto"/>
        <w:rPr>
          <w:sz w:val="20"/>
          <w:szCs w:val="20"/>
          <w:color w:val="auto"/>
        </w:rPr>
      </w:pPr>
      <w:r>
        <w:rPr>
          <w:rFonts w:ascii="Courier New" w:cs="Courier New" w:eastAsia="Courier New" w:hAnsi="Courier New"/>
          <w:sz w:val="14"/>
          <w:szCs w:val="14"/>
          <w:color w:val="auto"/>
        </w:rPr>
        <w:t>During 1997, notes receivable of $97,645 were received by the Company upon the exercise of stock options under the restricted stock bonus plan.</w:t>
      </w:r>
    </w:p>
    <w:p>
      <w:pPr>
        <w:spacing w:after="0" w:line="160" w:lineRule="exact"/>
        <w:rPr>
          <w:sz w:val="20"/>
          <w:szCs w:val="20"/>
          <w:color w:val="auto"/>
        </w:rPr>
      </w:pPr>
    </w:p>
    <w:p>
      <w:pPr>
        <w:ind w:right="420" w:firstLine="344"/>
        <w:spacing w:after="0" w:line="255" w:lineRule="auto"/>
        <w:rPr>
          <w:sz w:val="20"/>
          <w:szCs w:val="20"/>
          <w:color w:val="auto"/>
        </w:rPr>
      </w:pPr>
      <w:r>
        <w:rPr>
          <w:rFonts w:ascii="Courier New" w:cs="Courier New" w:eastAsia="Courier New" w:hAnsi="Courier New"/>
          <w:sz w:val="14"/>
          <w:szCs w:val="14"/>
          <w:color w:val="auto"/>
        </w:rPr>
        <w:t>During 1995, $12,000 of the convertible subordinated debentures and $525 of accrued interest were converted into 167 shares of common stock.</w:t>
      </w:r>
    </w:p>
    <w:p>
      <w:pPr>
        <w:spacing w:after="0" w:line="16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1,061,991</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705,692</w:t>
            </w:r>
          </w:p>
        </w:tc>
      </w:tr>
      <w:tr>
        <w:trPr>
          <w:trHeight w:val="166"/>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953,905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820,330</w:t>
            </w:r>
          </w:p>
        </w:tc>
      </w:tr>
    </w:tbl>
    <w:p>
      <w:pPr>
        <w:sectPr>
          <w:pgSz w:w="11900" w:h="16838" w:orient="portrait"/>
          <w:cols w:equalWidth="0" w:num="2">
            <w:col w:w="7240" w:space="180"/>
            <w:col w:w="2819"/>
          </w:cols>
          <w:pgMar w:left="220" w:top="450" w:right="1440" w:bottom="1440" w:gutter="0" w:footer="0" w:header="0"/>
        </w:sectPr>
      </w:pPr>
    </w:p>
    <w:bookmarkStart w:id="92" w:name="page93"/>
    <w:bookmarkEnd w:id="92"/>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A--SUMMARY OF ACCOUNTING POLICIES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 summary of the significant accounting policies consistently applied in the preparation of the accompanying financial statements follows.</w:t>
      </w:r>
    </w:p>
    <w:p>
      <w:pPr>
        <w:spacing w:after="0" w:line="160" w:lineRule="exact"/>
        <w:rPr>
          <w:sz w:val="20"/>
          <w:szCs w:val="20"/>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ACTIVITY</w:t>
      </w:r>
    </w:p>
    <w:p>
      <w:pPr>
        <w:spacing w:after="0" w:line="17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The Company's sales are derived principally from the manufacturing of various types of walk-behind and riding lawnmowers used for commercial and industrial purposes.</w:t>
      </w:r>
    </w:p>
    <w:p>
      <w:pPr>
        <w:spacing w:after="0" w:line="163" w:lineRule="exact"/>
        <w:rPr>
          <w:sz w:val="20"/>
          <w:szCs w:val="20"/>
          <w:color w:val="auto"/>
        </w:rPr>
      </w:pPr>
    </w:p>
    <w:p>
      <w:pPr>
        <w:ind w:left="360" w:hanging="352"/>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sells its products to distributors in the lawn and turf care industry and extends credit based on an evaluation of the customer's financial condition, generally without requiring collateral. Exposure to losses on receivables is principally dependent on each customer's financial condition. The Company monitors its exposure for credit losses.</w:t>
      </w:r>
    </w:p>
    <w:p>
      <w:pPr>
        <w:spacing w:after="0" w:line="165" w:lineRule="exact"/>
        <w:rPr>
          <w:sz w:val="20"/>
          <w:szCs w:val="20"/>
          <w:color w:val="auto"/>
        </w:rPr>
      </w:pPr>
    </w:p>
    <w:p>
      <w:pPr>
        <w:ind w:left="360" w:hanging="352"/>
        <w:spacing w:after="0"/>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Inventories are stated as lower of cost or market. Cost is determined by the first-in, first-out (FIFO) method.</w:t>
      </w:r>
    </w:p>
    <w:p>
      <w:pPr>
        <w:spacing w:after="0" w:line="160" w:lineRule="exact"/>
        <w:rPr>
          <w:sz w:val="20"/>
          <w:szCs w:val="20"/>
          <w:color w:val="auto"/>
        </w:rPr>
      </w:pPr>
    </w:p>
    <w:p>
      <w:pPr>
        <w:ind w:left="360" w:hanging="352"/>
        <w:spacing w:after="0"/>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Depreciation of property and equipment is provided for in amounts sufficient to relate the cost of depreciable assets to operations over their estimated service lives on straight-line and accelerated methods. Buildings are generally depreciated over 15 to 40 years, equipment including purchased computer software and tooling over 3 to 10 years, and vehicles over 3 to 5 years.</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Maintenance, repairs and renewals which neither materially add to the value of the property nor appreciably prolong its life are charged to expense as incurred. Gains or losses on dispositions of property and equipment are included in earnings.</w:t>
      </w:r>
    </w:p>
    <w:p>
      <w:pPr>
        <w:spacing w:after="0" w:line="162" w:lineRule="exact"/>
        <w:rPr>
          <w:sz w:val="20"/>
          <w:szCs w:val="20"/>
          <w:color w:val="auto"/>
        </w:rPr>
      </w:pPr>
    </w:p>
    <w:p>
      <w:pPr>
        <w:ind w:left="360" w:hanging="352"/>
        <w:spacing w:after="0"/>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The Company provides for estimated future warranty costs based upon the historical relationship of warranty costs to sales.</w:t>
      </w:r>
    </w:p>
    <w:p>
      <w:pPr>
        <w:spacing w:after="0" w:line="160" w:lineRule="exact"/>
        <w:rPr>
          <w:sz w:val="20"/>
          <w:szCs w:val="20"/>
          <w:color w:val="auto"/>
        </w:rPr>
      </w:pPr>
    </w:p>
    <w:p>
      <w:pPr>
        <w:ind w:left="360" w:hanging="352"/>
        <w:spacing w:after="0"/>
        <w:tabs>
          <w:tab w:leader="none" w:pos="3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Deferred income taxes result from the differences between the tax bases of assets and liabilities and their financial reporting amount.</w:t>
      </w:r>
    </w:p>
    <w:p>
      <w:pPr>
        <w:spacing w:after="0" w:line="160" w:lineRule="exact"/>
        <w:rPr>
          <w:sz w:val="20"/>
          <w:szCs w:val="20"/>
          <w:color w:val="auto"/>
        </w:rPr>
      </w:pPr>
    </w:p>
    <w:p>
      <w:pPr>
        <w:ind w:left="360" w:hanging="352"/>
        <w:spacing w:after="0"/>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 EQUIVALENT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earnings per share of common stock and common stock equivalent is computed by dividing net earnings by the weighted average number of common shares and common equivalent shares outstanding during the respective periods. Common stock equivalents include the potentially dilutive effect of participating preferred stock and stock options. Fully diluted net earnings per share also includes the potential dilutive effect of the subordinated debentures as if they had been converted to common stock at the beginning of the period.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451" w:right="1440" w:bottom="1440" w:gutter="0" w:footer="0" w:header="0"/>
        </w:sectPr>
      </w:pPr>
    </w:p>
    <w:bookmarkStart w:id="93" w:name="page94"/>
    <w:bookmarkEnd w:id="93"/>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A--SUMMARY OF ACCOUNTING POLICIES (CONTINUED)</w:t>
      </w:r>
    </w:p>
    <w:p>
      <w:pPr>
        <w:spacing w:after="0" w:line="7" w:lineRule="exact"/>
        <w:rPr>
          <w:sz w:val="20"/>
          <w:szCs w:val="20"/>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40" w:firstLine="344"/>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left="360" w:hanging="352"/>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80" w:firstLine="344"/>
        <w:spacing w:after="0" w:line="255" w:lineRule="auto"/>
        <w:rPr>
          <w:sz w:val="20"/>
          <w:szCs w:val="20"/>
          <w:color w:val="auto"/>
        </w:rPr>
      </w:pPr>
      <w:r>
        <w:rPr>
          <w:rFonts w:ascii="Courier New" w:cs="Courier New" w:eastAsia="Courier New" w:hAnsi="Courier New"/>
          <w:sz w:val="14"/>
          <w:szCs w:val="14"/>
          <w:color w:val="auto"/>
        </w:rPr>
        <w:t>Certain reclassifications have been made to prior period amounts to conform with the current year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B--INVENTORIES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Inventories consist of the following at August 31: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3"/>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4,811,592</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1,921,088</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6,732,680</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860" w:type="dxa"/>
            <w:vAlign w:val="bottom"/>
          </w:tcPr>
          <w:p>
            <w:pPr>
              <w:spacing w:after="0"/>
              <w:rPr>
                <w:sz w:val="20"/>
                <w:szCs w:val="20"/>
                <w:color w:val="auto"/>
              </w:rPr>
            </w:pPr>
            <w:r>
              <w:rPr>
                <w:rFonts w:ascii="Courier New" w:cs="Courier New" w:eastAsia="Courier New" w:hAnsi="Courier New"/>
                <w:sz w:val="14"/>
                <w:szCs w:val="14"/>
                <w:color w:val="auto"/>
              </w:rPr>
              <w:t>NOTE C--LONG-TERM OBLIGATIONS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63"/>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5% note payable to the City of Beatrice, due in monthly principal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interest installments of $7,067 through December, 2000.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note is collateralized by a second collateral position on accounts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receivable, inventories, and property and equipment...............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259,880</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Nebraska Industrial Development Revenue Bonds, due in semi-annual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installments of $90,817, plus interest at 87% of the national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prime rate (7.395% at August 31, 1997) to April 25, 1999.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prime rate is adjusted on the 25th day of January, April, July and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October. The bonds are collateralized by a deed of trust and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assignment of rents...............................................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363,266</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Nebraska Investment Finance Authority Industrial Development Revenue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Bond, due in monthly installments (currently $1,452) of principal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interest, to October 1, 2000. Interest is adjusted each</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October 1, provided that in no event will the Bond rate exceed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12.75% or be less than 8.25%. The current interest rate at August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31, 1997 is 8.25%. The bond is collateralized by a deed of trust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assignment of rents...........................................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47,490</w:t>
            </w:r>
          </w:p>
        </w:tc>
      </w:tr>
      <w:tr>
        <w:trPr>
          <w:trHeight w:val="497"/>
        </w:trPr>
        <w:tc>
          <w:tcPr>
            <w:tcW w:w="5860" w:type="dxa"/>
            <w:vAlign w:val="bottom"/>
          </w:tcPr>
          <w:p>
            <w:pPr>
              <w:ind w:left="3280"/>
              <w:spacing w:after="0"/>
              <w:rPr>
                <w:sz w:val="20"/>
                <w:szCs w:val="20"/>
                <w:color w:val="auto"/>
              </w:rPr>
            </w:pPr>
            <w:r>
              <w:rPr>
                <w:rFonts w:ascii="Courier New" w:cs="Courier New" w:eastAsia="Courier New" w:hAnsi="Courier New"/>
                <w:sz w:val="14"/>
                <w:szCs w:val="14"/>
                <w:color w:val="auto"/>
              </w:rPr>
              <w:t>F-9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130"/>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49" w:hanging="249"/>
        <w:spacing w:after="0"/>
        <w:tabs>
          <w:tab w:leader="none" w:pos="24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3,830,675</w:t>
      </w:r>
    </w:p>
    <w:p>
      <w:pPr>
        <w:spacing w:after="0" w:line="7"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4"/>
          <w:szCs w:val="14"/>
          <w:color w:val="auto"/>
        </w:rPr>
        <w:t>1,087,220</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9" w:hanging="249"/>
        <w:spacing w:after="0"/>
        <w:tabs>
          <w:tab w:leader="none" w:pos="24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4,917,895</w:t>
      </w:r>
    </w:p>
    <w:p>
      <w:pPr>
        <w:spacing w:after="0" w:line="7"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30"/>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9" w:hanging="429"/>
        <w:spacing w:after="0"/>
        <w:tabs>
          <w:tab w:leader="none" w:pos="42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329,782</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544,899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4"/>
          <w:szCs w:val="14"/>
          <w:color w:val="auto"/>
        </w:rPr>
        <w:t>60,432</w:t>
      </w:r>
    </w:p>
    <w:p>
      <w:pPr>
        <w:sectPr>
          <w:pgSz w:w="11900" w:h="16838" w:orient="portrait"/>
          <w:cols w:equalWidth="0" w:num="2">
            <w:col w:w="6900" w:space="171"/>
            <w:col w:w="3168"/>
          </w:cols>
          <w:pgMar w:left="220" w:top="450" w:right="1440" w:bottom="1440" w:gutter="0" w:footer="0" w:header="0"/>
        </w:sectPr>
      </w:pPr>
    </w:p>
    <w:bookmarkStart w:id="94" w:name="page95"/>
    <w:bookmarkEnd w:id="94"/>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NOTE C--LONG-TERM OBLIGATIONS (CONTINUED)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6300" w:type="dxa"/>
            <w:vAlign w:val="bottom"/>
          </w:tcPr>
          <w:p>
            <w:pPr>
              <w:spacing w:after="0"/>
              <w:rPr>
                <w:sz w:val="24"/>
                <w:szCs w:val="2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1997</w:t>
            </w:r>
          </w:p>
        </w:tc>
        <w:tc>
          <w:tcPr>
            <w:tcW w:w="26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Nebraska Development Finance Authority Bond, due in monthly</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installments (currently $1,568) of principal and interest, to June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 1999. Interest is adjusted each June 1 to equal 70% of the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preferred rate announced by First National Bank, Beatrice,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Nebraska, but in no event will the interest rate charged exceed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11.9% or be less than 7.7%. The current interest rate at August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31, 1997 is 7.7%. The bond is collateralized by a deed of trust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and assignment of rents...........................................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30,803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46,602</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Nebraska Development Finance Fund Revenue Bond, due in monthly</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installments (currently $1,743) of principal and interest, to June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 1998. Interest is adjusted each May 1 to equal 70% of the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preferred rate announced by First National Bank, Beatrice,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Nebraska, but in no event will the interest charged exceed 11.9%</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or be less than 7.7%. The current interest rate at August 31, 1997</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is 7.7%. The bond is collateralized by a deed of trust and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assignment of rents...............................................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12,614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31,764</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Note payable to a bank, due in monthly principal installments of</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$5,952 plus interest through October 2000. Interest was due at a</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variable rate based on the National Reference Rate. The note was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collateralized by accounts receivable, inventories, and property</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and equipment. The note was retired in September 1996.............</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286,228</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714,053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1,299,707</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Less current maturities.............................................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298,779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370,802</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ind w:left="60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415,274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928,905</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Annual maturities of long-term obligations for the years following August 31, 1997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20"/>
                <w:szCs w:val="20"/>
                <w:color w:val="auto"/>
              </w:rPr>
            </w:pPr>
            <w:r>
              <w:rPr>
                <w:rFonts w:ascii="Courier New" w:cs="Courier New" w:eastAsia="Courier New" w:hAnsi="Courier New"/>
                <w:sz w:val="14"/>
                <w:szCs w:val="14"/>
                <w:color w:val="auto"/>
              </w:rPr>
              <w:t>AUGUST 31</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72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298,779</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287,846</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97,733</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29,695</w:t>
            </w:r>
          </w:p>
        </w:tc>
      </w:tr>
    </w:tbl>
    <w:p>
      <w:pPr>
        <w:spacing w:after="0" w:line="33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estimated fair value of long-term debt is the same as its carrying value based on the borrowing rates currently available to the company for loans of similar terms and maturities.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450" w:right="1440" w:bottom="1440" w:gutter="0" w:footer="0" w:header="0"/>
        </w:sectPr>
      </w:pPr>
    </w:p>
    <w:bookmarkStart w:id="95" w:name="page96"/>
    <w:bookmarkEnd w:id="95"/>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D--EMPLOYEE BENEFIT PLANS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a profit sharing plan with a 401(k) cash or deferred arrangement covering substantially all employees. Employees can contribute up to 15% of their annual compensation. Effective November 1, 1996, the plan was changed to provide for Company matching contributions on a monthly basis not to exceed 6% of an employee's compensation. The Board of Directors approved a 50% match, up to 3% of employee compensation for the year ended August 31, 1997. The plan also permits additional discretionary contributions. To be eligible, participants must be 19 years of age, have completed one year of service and work a minimum of 1,000 hours. Matching and discretionary contributions charged to expense by the Company totaled $244,692, $210,228 and $135,331 in 1997, 1996 and 1995,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E--VOTING AND PARTICIPATING PREFERRED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Each share of preferred stock is entitled to one vote. Preferred stock shall participate in dividends on a prorata basis with the common stock, such that each share of preferred stock will be entitled to $4 of dividends for each $1 of dividends declared with respect to each share of common stock. Each share of preferred stock has a liquidation value of $40 per share and then after each share of common has received $10, any excess is apportioned in a 4 to 1 ratio, such that each share of preferred stock will be entitled to a liquidating distribution of $4 for each $1 liquidating distribution distributable to each share of common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F--RELATED PARTY TRANSACTIONS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During 1997, 1996 and 1995, the Company engaged in various transactions with certain stockholders or stockholder related enterprises. Amounts affecting the balance sheets are not significant. Sales to related parties were $5,844,066, $4,138,728 and $2,652,691 in 1997, 1996 and 1995,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G--SUBORDINATED DEBENTURES</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The subordinated debentures were due June 2, 1998 and were retired in June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H--SHORT-TERM BORROWINGS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a short-term revolving line of credit with a bank which renews each November 30. The loan agreement provides for an operating loan of up to $7,000,000. This arrangement provides for borrowing amounts for short-term use at the National Reference Rate (as defined) which was 8.50% at August 31, 1997. Available credit at August 31, 1997 was $5,586,740.</w:t>
      </w:r>
    </w:p>
    <w:p>
      <w:pPr>
        <w:spacing w:after="0" w:line="165"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Interest is payable quarterly and the principal is due on demand. A cash management agreement exists, but there are no commitment fee arrangements relating to this line. The loan agreement is collateralized by accounts receivable, inventories, and property and equipment.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450"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20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EXMARK MANUFACTURING COMPANY INCORPORATED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1"/>
        </w:trPr>
        <w:tc>
          <w:tcPr>
            <w:tcW w:w="700" w:type="dxa"/>
            <w:vAlign w:val="bottom"/>
          </w:tcPr>
          <w:p>
            <w:pPr>
              <w:spacing w:after="0"/>
              <w:rPr>
                <w:sz w:val="24"/>
                <w:szCs w:val="24"/>
                <w:color w:val="auto"/>
              </w:rPr>
            </w:pPr>
          </w:p>
        </w:tc>
        <w:tc>
          <w:tcPr>
            <w:tcW w:w="520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NOTES TO FINANCIAL STATEMENTS (CONTINUED)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 I--</w:t>
            </w:r>
          </w:p>
        </w:tc>
        <w:tc>
          <w:tcPr>
            <w:tcW w:w="396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INCOME TAXES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7120" w:type="dxa"/>
            <w:vAlign w:val="bottom"/>
            <w:gridSpan w:val="6"/>
          </w:tcPr>
          <w:p>
            <w:pPr>
              <w:jc w:val="right"/>
              <w:ind w:right="328"/>
              <w:spacing w:after="0"/>
              <w:rPr>
                <w:sz w:val="20"/>
                <w:szCs w:val="20"/>
                <w:color w:val="auto"/>
              </w:rPr>
            </w:pPr>
            <w:r>
              <w:rPr>
                <w:rFonts w:ascii="Courier New" w:cs="Courier New" w:eastAsia="Courier New" w:hAnsi="Courier New"/>
                <w:sz w:val="14"/>
                <w:szCs w:val="14"/>
                <w:color w:val="auto"/>
              </w:rPr>
              <w:t>The provision (benefit) for income taxes consists of the following for the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years ended August 31:</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3"/>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200" w:type="dxa"/>
            <w:vAlign w:val="bottom"/>
          </w:tcPr>
          <w:p>
            <w:pPr>
              <w:spacing w:after="0"/>
              <w:rPr>
                <w:sz w:val="24"/>
                <w:szCs w:val="2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Current taxes: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1,444,000</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984,000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562,700</w:t>
            </w: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193,000</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123,000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1,637,000</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1,204,000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685,700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Deferred taxes: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48,500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(138,200)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(12,700)</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84"/>
              </w:rPr>
              <w:t>State--</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benefit of utilizing compensation and</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investment tax credit carry forwards.............</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(193,000)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(220,000)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(123,000)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(144,500)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(358,200)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(135,700)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1,492,500</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845,800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550,000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 tax assets consist of the following at 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Employees' compensation for future absences..........................</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65,400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Reserve for dental claims............................................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bonus accruals..............................................</w:t>
            </w:r>
          </w:p>
        </w:tc>
        <w:tc>
          <w:tcPr>
            <w:tcW w:w="2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Reserve for warranty claims..........................................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State compensation and investment tax credit carryforwards...........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204,000</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561,000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394,500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Valuation allowance for deferred tax assets..........................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(419,000)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(204,000)</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142,000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190,500</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The valuation allowance increased (decreased) $215,000, ($113,000) and $317,000 at August 31, 1997, 1996 and 1995, respectively.</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1989, the Company entered into an agreement with the State of Nebraska entitled "Employment and Investment Growth Act Project Agreement." Under the terms of the Agreement the Company is required to meet certain investment and employment guidelines within Nebraska in order to qualify for certain financial incentives. The State determined that the Company had met all required guidelines as of August 31, 1995. Incentives that the Company qualified for include a refund of all sales and use tax paid on certain capital expenditures and leases and compensation and investment credits associated with increased employment levels and capital expenditures. At August 31, 1997, outstanding sales and use tax refunds receivable amounted to approximately $122,500. An estimated $406,000, $172,000 and $431,000 of compensation and investment credits were earned for the years ended August 31, 1997, 1996 and 1995, respectively. Approximately $193,000, $220,000 and $123,000 of the credits were used to offset Nebraska income taxes for the years ended August 31, 1997, 1996 and 1995, respectively. Tax credits earned and available to offset future state income taxes amounted to approximately $419,000 at August 31, 1997. The credits may be used to reduce the Nebraska income tax liabilities and to obtain a refund of Nebraska sales</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450" w:right="1440" w:bottom="1440" w:gutter="0" w:footer="0" w:header="0"/>
        </w:sectPr>
      </w:pPr>
    </w:p>
    <w:bookmarkStart w:id="97" w:name="page98"/>
    <w:bookmarkEnd w:id="97"/>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I--INCOME TAXES (CONTINUED)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and use tax on consumables which is not otherwise refundable through August 31, 2010. Consumables sales tax refunds totaled $37,851 and $16,557 in the years ended August 31, 1997 and 1996, respectively. The refunds on additional capital expenditures are available until August 31, 2002 assuming the Company continues to meet certain required minimum levels of employment and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J--COMMITMENTS AND CONTINGENCIES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an agreement with Dealers Credit Incorporated ("DCI") whereby DCI is to provide credit arrangements to the Company's dealers and distributors to enable them to finance the sale of products manufactured and/or sold by the Company. The Company has assumed limited responsibility in any loss incurred when an item is sold under special promotions with decreasing responsibilities based upon number of payments made. The Company does not believe, based upon information available at this time, that the contingent liabilities of the agreement will have a material adverse effect on its financial position.</w:t>
      </w:r>
    </w:p>
    <w:p>
      <w:pPr>
        <w:spacing w:after="0" w:line="329"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Company is engaged in various legal actions arising in the ordinary course of business. After taking into consideration legal counsel's evaluation of such actions, management is of the opinion that the ultimate outcomes will not have a material adverse effect on the Company's financial position.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K--STOCK OPTION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November 19, 1990, the board of directors of the Company approved a non-qualified stock option plan, pursuant to which 4,000 shares had been reserved for granting to key personnel. Options for 3,600 shares were granted on that date. The option price may not be less than the fair market value (as defined) of the common stock at the date of the grant or less than $46.72 per share. The options granted are exercisable on the first anniversary of the date of grant and may be purchased in installments of 25% on each anniversary date thereafter. The options were to expire five years after the date of grant. The options were extended an additional four years and were now to expire in November 1999 or three months after termination of employment. During 1997, the 3,140 outstanding options which remained were exercised. No options are outstanding at August 31,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L--RESTRICTED STOCK BONUS PLAN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Effective January 1, 1996, the Company adopted a restricted stock bonus plan for the fiscal year ending August 31, 1996 and subsequent years. Under the plan, certain employees can elect to have a portion (not to exceed 50%) of their profit-based bonus paid to them in the form of restricted common stock. The common stock is valued at fair value which is set forth in the plan. All shares issued pursuant to the plan will be subject to restrictions on transfer and will be subject to forfeiture for a period of five years following issuance of the stock in the event employment is terminated for any reason other than involuntary termination without cause, by reason of the employee's death, total disability, retirement upon or after attaining age 60 or a change of control of the Company (as defined). At August 31, 1996, $119,788 of bonuses were designated for stock to be issued at $71.60 per share (70% of net book value at August 31, 1995). During the year end August 31, 1997, the Board of Directors waived all restrictions on all stock issued under the restricted stock bonus plan. At August 31, 1997, no bonuses were designated for stock under the plan.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450" w:right="1440" w:bottom="1440" w:gutter="0" w:footer="0" w:header="0"/>
        </w:sectPr>
      </w:pPr>
    </w:p>
    <w:bookmarkStart w:id="98" w:name="page99"/>
    <w:bookmarkEnd w:id="98"/>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M--STOCK SUBSCRIPTIONS RECEIVABLE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subscriptions consist of 7% promissory notes due December 1,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N--ENGINEERING, RESEARCH AND DEVELOPMENT EXPENSES</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Engineering, research and development expenses were $594,000 in 1997,</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$571,000 in 1996 and $329,000 in 1995. The majority of expenses in 1997, 1996 and 1995 were related to new products and product enhancements. All research and development costs are charged to expense as incurred.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O--SIGNIFICANT CUSTOMERS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had sales to three customers which totaled 39%, 40% and 39% of total sales during the years ended August 31, 1997, 1996 and 1995, respectively. Sales to a related party represented 10.9%, 10.8% and 10.5% of sales during the years ended August 31, 1997, 1996 and 1995, respectively. (See also Note 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P--PROPOSED MERGER</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June 1997, the Company's board of directors approved a merger agreement with The Toro Company under which the Company will become a wholly-owned subsidiary of The Toro Company. Under the terms of the agreement, stockholders of the Company will receive Toro stock and cash in exchange for shares of Company stock. The merger is expected to be accounted for using the purchase method of accounting. The merger must be approved by the Company's stockholders and is expected to be completed during 1997. Prior to the closing, the Company must first acquire all of the outstanding stock of Holiman Co., Inc., the primary manufacturer's representative for the Company. Holiman is owned by a stockholder of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450" w:right="1440" w:bottom="1440" w:gutter="0" w:footer="0" w:header="0"/>
        </w:sectPr>
      </w:pPr>
    </w:p>
    <w:bookmarkStart w:id="99" w:name="page100"/>
    <w:bookmarkEnd w:id="99"/>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20. INDEMNIFICATION OF OFFICERS AND DIRECTORS.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145 of the DGCL provides, in summary, that the directors and officers of the registrant may, under certain circumstances, be indemnified by the registrant against all expenses incurred by or imposed upon them as a result of actions, suits or proceedings brought against them as such directors and officers, or as directors or officers of any other organization at the request of the registrant, if they act in good faith and in a manner they reasonably believe to be in or not opposed to the best interests of the registrant, and with respect to any criminal action or proceeding, have no reasonable cause to believe their conduct was unlawful, except that no indemnification shall be made against expenses in respect of any claim, issue or matters to which they shall have been adjudged to be liable to the registrant unless and only to the extent that the court in which such action or suit was brought shall determine upon application that, despite the adjudication of liability but in view of all the circumstances of the case, they are fairly and reasonably entitled to indemnity for such expenses which such court shall deem proper. Section 145 of the DGCL also provides that directors and officers of the registrant are entitled to such indemnification by the registrant to the extent that such persons are successful on the merits or otherwise in defending any such action, suit or proceeding.</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Article XI of Toro's Certificate of Incorporation provides that the liability of a director or officer to Toro or its stockholders for monetary damages for a breach of fiduciary duty as a director shall be indemnified to the fullest extent permitted under the DGCL, as amended from time to time.</w:t>
      </w:r>
    </w:p>
    <w:p>
      <w:pPr>
        <w:spacing w:after="0" w:line="162"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Toro maintains a standard policy of officers' and directors' liability insurance.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21. EXHIBITS AND FINANCIAL STATEMENT SCHEDULES.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82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Agreement and Plan of Merger, dated as of October 23, 1997 by and among Exmark, Merger</w:t>
            </w:r>
          </w:p>
        </w:tc>
      </w:tr>
      <w:tr>
        <w:trPr>
          <w:trHeight w:val="166"/>
        </w:trPr>
        <w:tc>
          <w:tcPr>
            <w:tcW w:w="1020" w:type="dxa"/>
            <w:vAlign w:val="bottom"/>
          </w:tcPr>
          <w:p>
            <w:pPr>
              <w:spacing w:after="0"/>
              <w:rPr>
                <w:sz w:val="14"/>
                <w:szCs w:val="14"/>
                <w:color w:val="auto"/>
              </w:rPr>
            </w:pPr>
          </w:p>
        </w:tc>
        <w:tc>
          <w:tcPr>
            <w:tcW w:w="8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Subsidiary and Toro, as amended (included as Exhibit A to the Proxy Statement/Prospectus that</w:t>
            </w:r>
          </w:p>
        </w:tc>
      </w:tr>
      <w:tr>
        <w:trPr>
          <w:trHeight w:val="166"/>
        </w:trPr>
        <w:tc>
          <w:tcPr>
            <w:tcW w:w="102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forms a part</w:t>
            </w:r>
          </w:p>
        </w:tc>
        <w:tc>
          <w:tcPr>
            <w:tcW w:w="6940" w:type="dxa"/>
            <w:vAlign w:val="bottom"/>
          </w:tcPr>
          <w:p>
            <w:pPr>
              <w:ind w:left="40"/>
              <w:spacing w:after="0"/>
              <w:rPr>
                <w:sz w:val="20"/>
                <w:szCs w:val="20"/>
                <w:color w:val="auto"/>
              </w:rPr>
            </w:pPr>
            <w:r>
              <w:rPr>
                <w:rFonts w:ascii="Courier New" w:cs="Courier New" w:eastAsia="Courier New" w:hAnsi="Courier New"/>
                <w:sz w:val="14"/>
                <w:szCs w:val="14"/>
                <w:color w:val="auto"/>
              </w:rPr>
              <w:t>of this Registration Statement on Form S-4 (certain exhibits and schedules</w:t>
            </w:r>
          </w:p>
        </w:tc>
      </w:tr>
      <w:tr>
        <w:trPr>
          <w:trHeight w:val="166"/>
        </w:trPr>
        <w:tc>
          <w:tcPr>
            <w:tcW w:w="102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omitted--the</w:t>
            </w:r>
          </w:p>
        </w:tc>
        <w:tc>
          <w:tcPr>
            <w:tcW w:w="6940" w:type="dxa"/>
            <w:vAlign w:val="bottom"/>
          </w:tcPr>
          <w:p>
            <w:pPr>
              <w:ind w:left="40"/>
              <w:spacing w:after="0"/>
              <w:rPr>
                <w:sz w:val="20"/>
                <w:szCs w:val="20"/>
                <w:color w:val="auto"/>
              </w:rPr>
            </w:pPr>
            <w:r>
              <w:rPr>
                <w:rFonts w:ascii="Courier New" w:cs="Courier New" w:eastAsia="Courier New" w:hAnsi="Courier New"/>
                <w:sz w:val="14"/>
                <w:szCs w:val="14"/>
                <w:color w:val="auto"/>
              </w:rPr>
              <w:t>Registrant agrees to furnish a copy of any exhibit or schedule to the Commission</w:t>
            </w:r>
          </w:p>
        </w:tc>
      </w:tr>
      <w:tr>
        <w:trPr>
          <w:trHeight w:val="166"/>
        </w:trPr>
        <w:tc>
          <w:tcPr>
            <w:tcW w:w="1020" w:type="dxa"/>
            <w:vAlign w:val="bottom"/>
          </w:tcPr>
          <w:p>
            <w:pPr>
              <w:spacing w:after="0"/>
              <w:rPr>
                <w:sz w:val="14"/>
                <w:szCs w:val="14"/>
                <w:color w:val="auto"/>
              </w:rPr>
            </w:pPr>
          </w:p>
        </w:tc>
        <w:tc>
          <w:tcPr>
            <w:tcW w:w="8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upon request)).</w:t>
            </w:r>
          </w:p>
        </w:tc>
      </w:tr>
      <w:tr>
        <w:trPr>
          <w:trHeight w:val="166"/>
        </w:trPr>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3.1 and 4.1</w:t>
            </w:r>
          </w:p>
        </w:tc>
        <w:tc>
          <w:tcPr>
            <w:tcW w:w="1340" w:type="dxa"/>
            <w:vAlign w:val="bottom"/>
          </w:tcPr>
          <w:p>
            <w:pPr>
              <w:ind w:left="100"/>
              <w:spacing w:after="0"/>
              <w:rPr>
                <w:sz w:val="20"/>
                <w:szCs w:val="20"/>
                <w:color w:val="auto"/>
              </w:rPr>
            </w:pPr>
            <w:r>
              <w:rPr>
                <w:rFonts w:ascii="Courier New" w:cs="Courier New" w:eastAsia="Courier New" w:hAnsi="Courier New"/>
                <w:sz w:val="14"/>
                <w:szCs w:val="14"/>
                <w:color w:val="auto"/>
              </w:rPr>
              <w:t>Certificate of</w:t>
            </w:r>
          </w:p>
        </w:tc>
        <w:tc>
          <w:tcPr>
            <w:tcW w:w="6940" w:type="dxa"/>
            <w:vAlign w:val="bottom"/>
          </w:tcPr>
          <w:p>
            <w:pPr>
              <w:ind w:left="40"/>
              <w:spacing w:after="0"/>
              <w:rPr>
                <w:sz w:val="20"/>
                <w:szCs w:val="20"/>
                <w:color w:val="auto"/>
              </w:rPr>
            </w:pPr>
            <w:r>
              <w:rPr>
                <w:rFonts w:ascii="Courier New" w:cs="Courier New" w:eastAsia="Courier New" w:hAnsi="Courier New"/>
                <w:sz w:val="14"/>
                <w:szCs w:val="14"/>
                <w:color w:val="auto"/>
              </w:rPr>
              <w:t>Incorporation of the Registrant as amended and corrected through May 18, 1987</w:t>
            </w:r>
          </w:p>
        </w:tc>
      </w:tr>
      <w:tr>
        <w:trPr>
          <w:trHeight w:val="166"/>
        </w:trPr>
        <w:tc>
          <w:tcPr>
            <w:tcW w:w="1020" w:type="dxa"/>
            <w:vAlign w:val="bottom"/>
          </w:tcPr>
          <w:p>
            <w:pPr>
              <w:spacing w:after="0"/>
              <w:rPr>
                <w:sz w:val="14"/>
                <w:szCs w:val="14"/>
                <w:color w:val="auto"/>
              </w:rPr>
            </w:pPr>
          </w:p>
        </w:tc>
        <w:tc>
          <w:tcPr>
            <w:tcW w:w="8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(incorporated by reference to Exhibit 4.2 to the Registrant's Registration Statement on Form</w:t>
            </w:r>
          </w:p>
        </w:tc>
      </w:tr>
      <w:tr>
        <w:trPr>
          <w:trHeight w:val="166"/>
        </w:trPr>
        <w:tc>
          <w:tcPr>
            <w:tcW w:w="1020" w:type="dxa"/>
            <w:vAlign w:val="bottom"/>
          </w:tcPr>
          <w:p>
            <w:pPr>
              <w:spacing w:after="0"/>
              <w:rPr>
                <w:sz w:val="14"/>
                <w:szCs w:val="14"/>
                <w:color w:val="auto"/>
              </w:rPr>
            </w:pPr>
          </w:p>
        </w:tc>
        <w:tc>
          <w:tcPr>
            <w:tcW w:w="8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S-3, Registration No. 33-16125).</w:t>
            </w:r>
          </w:p>
        </w:tc>
      </w:tr>
      <w:tr>
        <w:trPr>
          <w:trHeight w:val="166"/>
        </w:trPr>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3.2 and 4.2</w:t>
            </w:r>
          </w:p>
        </w:tc>
        <w:tc>
          <w:tcPr>
            <w:tcW w:w="1340" w:type="dxa"/>
            <w:vAlign w:val="bottom"/>
          </w:tcPr>
          <w:p>
            <w:pPr>
              <w:ind w:left="100"/>
              <w:spacing w:after="0"/>
              <w:rPr>
                <w:sz w:val="20"/>
                <w:szCs w:val="20"/>
                <w:color w:val="auto"/>
              </w:rPr>
            </w:pPr>
            <w:r>
              <w:rPr>
                <w:rFonts w:ascii="Courier New" w:cs="Courier New" w:eastAsia="Courier New" w:hAnsi="Courier New"/>
                <w:sz w:val="14"/>
                <w:szCs w:val="14"/>
                <w:color w:val="auto"/>
              </w:rPr>
              <w:t>Certificate of</w:t>
            </w:r>
          </w:p>
        </w:tc>
        <w:tc>
          <w:tcPr>
            <w:tcW w:w="6940" w:type="dxa"/>
            <w:vAlign w:val="bottom"/>
          </w:tcPr>
          <w:p>
            <w:pPr>
              <w:ind w:left="40"/>
              <w:spacing w:after="0"/>
              <w:rPr>
                <w:sz w:val="20"/>
                <w:szCs w:val="20"/>
                <w:color w:val="auto"/>
              </w:rPr>
            </w:pPr>
            <w:r>
              <w:rPr>
                <w:rFonts w:ascii="Courier New" w:cs="Courier New" w:eastAsia="Courier New" w:hAnsi="Courier New"/>
                <w:sz w:val="14"/>
                <w:szCs w:val="14"/>
                <w:color w:val="auto"/>
              </w:rPr>
              <w:t>Amendment to Certificate of Incorporation of the Registrant dated December 8,</w:t>
            </w:r>
          </w:p>
        </w:tc>
      </w:tr>
      <w:tr>
        <w:trPr>
          <w:trHeight w:val="166"/>
        </w:trPr>
        <w:tc>
          <w:tcPr>
            <w:tcW w:w="1020" w:type="dxa"/>
            <w:vAlign w:val="bottom"/>
          </w:tcPr>
          <w:p>
            <w:pPr>
              <w:spacing w:after="0"/>
              <w:rPr>
                <w:sz w:val="14"/>
                <w:szCs w:val="14"/>
                <w:color w:val="auto"/>
              </w:rPr>
            </w:pPr>
          </w:p>
        </w:tc>
        <w:tc>
          <w:tcPr>
            <w:tcW w:w="8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1987 (incorporated by reference to Exhibit 3 to the Registrant's Quarterly Report on Form</w:t>
            </w:r>
          </w:p>
        </w:tc>
      </w:tr>
      <w:tr>
        <w:trPr>
          <w:trHeight w:val="166"/>
        </w:trPr>
        <w:tc>
          <w:tcPr>
            <w:tcW w:w="102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10-Q for the</w:t>
            </w:r>
          </w:p>
        </w:tc>
        <w:tc>
          <w:tcPr>
            <w:tcW w:w="6940" w:type="dxa"/>
            <w:vAlign w:val="bottom"/>
          </w:tcPr>
          <w:p>
            <w:pPr>
              <w:ind w:left="40"/>
              <w:spacing w:after="0"/>
              <w:rPr>
                <w:sz w:val="20"/>
                <w:szCs w:val="20"/>
                <w:color w:val="auto"/>
              </w:rPr>
            </w:pPr>
            <w:r>
              <w:rPr>
                <w:rFonts w:ascii="Courier New" w:cs="Courier New" w:eastAsia="Courier New" w:hAnsi="Courier New"/>
                <w:sz w:val="14"/>
                <w:szCs w:val="14"/>
                <w:color w:val="auto"/>
              </w:rPr>
              <w:t>quarter ended January 29, 1988, Commission File No. 1-8649).</w:t>
            </w:r>
          </w:p>
        </w:tc>
      </w:tr>
      <w:tr>
        <w:trPr>
          <w:trHeight w:val="166"/>
        </w:trPr>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3.3 and 4.3</w:t>
            </w:r>
          </w:p>
        </w:tc>
        <w:tc>
          <w:tcPr>
            <w:tcW w:w="82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Bylaws of the Registrant (incorporated by reference to Exhibit 3.3 to the Registrant's Annual</w:t>
            </w:r>
          </w:p>
        </w:tc>
      </w:tr>
      <w:tr>
        <w:trPr>
          <w:trHeight w:val="166"/>
        </w:trPr>
        <w:tc>
          <w:tcPr>
            <w:tcW w:w="1020" w:type="dxa"/>
            <w:vAlign w:val="bottom"/>
          </w:tcPr>
          <w:p>
            <w:pPr>
              <w:spacing w:after="0"/>
              <w:rPr>
                <w:sz w:val="14"/>
                <w:szCs w:val="14"/>
                <w:color w:val="auto"/>
              </w:rPr>
            </w:pPr>
          </w:p>
        </w:tc>
        <w:tc>
          <w:tcPr>
            <w:tcW w:w="8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Report on Form 10-K for the year ended July 31, 1991, Commission File No. 1-8649).</w:t>
            </w:r>
          </w:p>
        </w:tc>
      </w:tr>
      <w:tr>
        <w:trPr>
          <w:trHeight w:val="166"/>
        </w:trPr>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82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Specimen form of Common Stock certificate (incorporated by reference to Exhibit 4(c) to the</w:t>
            </w:r>
          </w:p>
        </w:tc>
      </w:tr>
      <w:tr>
        <w:trPr>
          <w:trHeight w:val="166"/>
        </w:trPr>
        <w:tc>
          <w:tcPr>
            <w:tcW w:w="102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Registrant's</w:t>
            </w:r>
          </w:p>
        </w:tc>
        <w:tc>
          <w:tcPr>
            <w:tcW w:w="6940" w:type="dxa"/>
            <w:vAlign w:val="bottom"/>
          </w:tcPr>
          <w:p>
            <w:pPr>
              <w:ind w:left="40"/>
              <w:spacing w:after="0"/>
              <w:rPr>
                <w:sz w:val="20"/>
                <w:szCs w:val="20"/>
                <w:color w:val="auto"/>
              </w:rPr>
            </w:pPr>
            <w:r>
              <w:rPr>
                <w:rFonts w:ascii="Courier New" w:cs="Courier New" w:eastAsia="Courier New" w:hAnsi="Courier New"/>
                <w:sz w:val="14"/>
                <w:szCs w:val="14"/>
                <w:color w:val="auto"/>
              </w:rPr>
              <w:t>Registration Statement on Form S-8, Registration No. 2-94417).</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450" w:right="1440" w:bottom="1440" w:gutter="0" w:footer="0" w:header="0"/>
        </w:sectPr>
      </w:pPr>
    </w:p>
    <w:bookmarkStart w:id="100" w:name="page101"/>
    <w:bookmarkEnd w:id="100"/>
    <w:p>
      <w:pPr>
        <w:ind w:left="867" w:right="919" w:hanging="602"/>
        <w:spacing w:after="0" w:line="252" w:lineRule="auto"/>
        <w:tabs>
          <w:tab w:leader="none" w:pos="847" w:val="left"/>
        </w:tabs>
        <w:rPr>
          <w:sz w:val="20"/>
          <w:szCs w:val="20"/>
          <w:color w:val="auto"/>
        </w:rPr>
      </w:pPr>
      <w:r>
        <w:rPr>
          <w:rFonts w:ascii="Courier New" w:cs="Courier New" w:eastAsia="Courier New" w:hAnsi="Courier New"/>
          <w:sz w:val="14"/>
          <w:szCs w:val="14"/>
          <w:color w:val="auto"/>
        </w:rPr>
        <w:t>4.5</w:t>
        <w:tab/>
        <w:t>Rights Agreement dated as of June 14, 1988, between the Registrant and Norwest Bank Minnesota, National Association relating to rights to purchase Series B Junior Participating Voting Preferred Stock, as amended (incorporated by reference to Exhibit 1 to Registrant's Registration Statement on Form 8-A dated June 17, 1988, Commission File No. 1-8649, as amended).</w:t>
      </w:r>
    </w:p>
    <w:p>
      <w:pPr>
        <w:spacing w:after="0" w:line="162" w:lineRule="exact"/>
        <w:rPr>
          <w:sz w:val="20"/>
          <w:szCs w:val="20"/>
          <w:color w:val="auto"/>
        </w:rPr>
      </w:pPr>
    </w:p>
    <w:p>
      <w:pPr>
        <w:ind w:left="867" w:right="1019" w:hanging="602"/>
        <w:spacing w:after="0" w:line="250" w:lineRule="auto"/>
        <w:tabs>
          <w:tab w:leader="none" w:pos="847" w:val="left"/>
        </w:tabs>
        <w:rPr>
          <w:sz w:val="20"/>
          <w:szCs w:val="20"/>
          <w:color w:val="auto"/>
        </w:rPr>
      </w:pPr>
      <w:r>
        <w:rPr>
          <w:rFonts w:ascii="Courier New" w:cs="Courier New" w:eastAsia="Courier New" w:hAnsi="Courier New"/>
          <w:sz w:val="14"/>
          <w:szCs w:val="14"/>
          <w:color w:val="auto"/>
        </w:rPr>
        <w:t>4.6</w:t>
        <w:tab/>
        <w:t>Amendment to Rights Agreement dated as of August 14, 1990, between the Registrant and Norwest Bank Minnesota National Association (incorporated by reference to Exhibit 1 to the Registrant's Report on Form 8-A dated August 14, 1990, Commission File No. 1-8649).</w:t>
      </w:r>
    </w:p>
    <w:p>
      <w:pPr>
        <w:spacing w:after="0" w:line="1" w:lineRule="exact"/>
        <w:rPr>
          <w:sz w:val="20"/>
          <w:szCs w:val="20"/>
          <w:color w:val="auto"/>
        </w:rPr>
      </w:pPr>
    </w:p>
    <w:p>
      <w:pPr>
        <w:ind w:left="867" w:right="839" w:hanging="602"/>
        <w:spacing w:after="0" w:line="250" w:lineRule="auto"/>
        <w:tabs>
          <w:tab w:leader="none" w:pos="847" w:val="left"/>
        </w:tabs>
        <w:rPr>
          <w:sz w:val="20"/>
          <w:szCs w:val="20"/>
          <w:color w:val="auto"/>
        </w:rPr>
      </w:pPr>
      <w:r>
        <w:rPr>
          <w:rFonts w:ascii="Courier New" w:cs="Courier New" w:eastAsia="Courier New" w:hAnsi="Courier New"/>
          <w:sz w:val="14"/>
          <w:szCs w:val="14"/>
          <w:color w:val="auto"/>
        </w:rPr>
        <w:t>4.7</w:t>
        <w:tab/>
        <w:t>Indenture dated as of July 15, 1987, between the Registrant and Manufacturers Hanover Trust Company, Trustee, relating to the Registrant's 11% Sinking Fund Debentures Due August 1, 2017 (incorporated by reference to Exhibit 4 to the Registrant's Registration Statement on Form S-3, Registration No. 33-15385).</w:t>
      </w:r>
    </w:p>
    <w:p>
      <w:pPr>
        <w:spacing w:after="0" w:line="2" w:lineRule="exact"/>
        <w:rPr>
          <w:sz w:val="20"/>
          <w:szCs w:val="20"/>
          <w:color w:val="auto"/>
        </w:rPr>
      </w:pPr>
    </w:p>
    <w:p>
      <w:pPr>
        <w:ind w:left="427"/>
        <w:spacing w:after="0"/>
        <w:tabs>
          <w:tab w:leader="none" w:pos="847" w:val="left"/>
        </w:tabs>
        <w:rPr>
          <w:sz w:val="20"/>
          <w:szCs w:val="20"/>
          <w:color w:val="auto"/>
        </w:rPr>
      </w:pPr>
      <w:r>
        <w:rPr>
          <w:rFonts w:ascii="Courier New" w:cs="Courier New" w:eastAsia="Courier New" w:hAnsi="Courier New"/>
          <w:sz w:val="14"/>
          <w:szCs w:val="14"/>
          <w:color w:val="auto"/>
        </w:rPr>
        <w:t>4.8</w:t>
        <w:tab/>
        <w:t>Debt Securities (included on Exhibit 4.7).</w:t>
      </w:r>
    </w:p>
    <w:p>
      <w:pPr>
        <w:spacing w:after="0" w:line="7" w:lineRule="exact"/>
        <w:rPr>
          <w:sz w:val="20"/>
          <w:szCs w:val="20"/>
          <w:color w:val="auto"/>
        </w:rPr>
      </w:pPr>
    </w:p>
    <w:p>
      <w:pPr>
        <w:ind w:left="427"/>
        <w:spacing w:after="0"/>
        <w:tabs>
          <w:tab w:leader="none" w:pos="847" w:val="left"/>
        </w:tabs>
        <w:rPr>
          <w:sz w:val="20"/>
          <w:szCs w:val="20"/>
          <w:color w:val="auto"/>
        </w:rPr>
      </w:pPr>
      <w:r>
        <w:rPr>
          <w:rFonts w:ascii="Courier New" w:cs="Courier New" w:eastAsia="Courier New" w:hAnsi="Courier New"/>
          <w:sz w:val="14"/>
          <w:szCs w:val="14"/>
          <w:color w:val="auto"/>
        </w:rPr>
        <w:t>5.1</w:t>
        <w:tab/>
        <w:t>Opinion of J. Lawrence McIntyre, General Counsel of Toro, regarding validity of securities.</w:t>
      </w:r>
    </w:p>
    <w:p>
      <w:pPr>
        <w:spacing w:after="0" w:line="7" w:lineRule="exact"/>
        <w:rPr>
          <w:sz w:val="20"/>
          <w:szCs w:val="20"/>
          <w:color w:val="auto"/>
        </w:rPr>
      </w:pPr>
    </w:p>
    <w:p>
      <w:pPr>
        <w:ind w:left="427"/>
        <w:spacing w:after="0"/>
        <w:tabs>
          <w:tab w:leader="none" w:pos="847" w:val="left"/>
        </w:tabs>
        <w:rPr>
          <w:sz w:val="20"/>
          <w:szCs w:val="20"/>
          <w:color w:val="auto"/>
        </w:rPr>
      </w:pPr>
      <w:r>
        <w:rPr>
          <w:rFonts w:ascii="Courier New" w:cs="Courier New" w:eastAsia="Courier New" w:hAnsi="Courier New"/>
          <w:sz w:val="14"/>
          <w:szCs w:val="14"/>
          <w:color w:val="auto"/>
        </w:rPr>
        <w:t>8.1</w:t>
        <w:tab/>
        <w:t>Opinion of Croker, Huck, Kasher, DeWitt, Anderson &amp; Gonderinger, P.C. regarding tax treatment.</w:t>
      </w:r>
    </w:p>
    <w:p>
      <w:pPr>
        <w:spacing w:after="0" w:line="7" w:lineRule="exact"/>
        <w:rPr>
          <w:sz w:val="20"/>
          <w:szCs w:val="20"/>
          <w:color w:val="auto"/>
        </w:rPr>
      </w:pPr>
    </w:p>
    <w:p>
      <w:pPr>
        <w:ind w:left="867" w:right="1439" w:hanging="688"/>
        <w:spacing w:after="0" w:line="250" w:lineRule="auto"/>
        <w:tabs>
          <w:tab w:leader="none" w:pos="847" w:val="left"/>
        </w:tabs>
        <w:rPr>
          <w:sz w:val="20"/>
          <w:szCs w:val="20"/>
          <w:color w:val="auto"/>
        </w:rPr>
      </w:pPr>
      <w:r>
        <w:rPr>
          <w:rFonts w:ascii="Courier New" w:cs="Courier New" w:eastAsia="Courier New" w:hAnsi="Courier New"/>
          <w:sz w:val="14"/>
          <w:szCs w:val="14"/>
          <w:color w:val="auto"/>
        </w:rPr>
        <w:t>10.1</w:t>
        <w:tab/>
        <w:t>Form of Stockholder Agreements, dated as of October 23, 1997 by and among Exmark, Merger Subsidiary, Toro and certain stockholders of Exmark.</w:t>
      </w:r>
    </w:p>
    <w:p>
      <w:pPr>
        <w:spacing w:after="0" w:line="1" w:lineRule="exact"/>
        <w:rPr>
          <w:sz w:val="20"/>
          <w:szCs w:val="20"/>
          <w:color w:val="auto"/>
        </w:rPr>
      </w:pPr>
    </w:p>
    <w:p>
      <w:pPr>
        <w:ind w:left="867" w:right="1439" w:hanging="688"/>
        <w:spacing w:after="0" w:line="250" w:lineRule="auto"/>
        <w:tabs>
          <w:tab w:leader="none" w:pos="847" w:val="left"/>
        </w:tabs>
        <w:rPr>
          <w:sz w:val="20"/>
          <w:szCs w:val="20"/>
          <w:color w:val="auto"/>
        </w:rPr>
      </w:pPr>
      <w:r>
        <w:rPr>
          <w:rFonts w:ascii="Courier New" w:cs="Courier New" w:eastAsia="Courier New" w:hAnsi="Courier New"/>
          <w:sz w:val="14"/>
          <w:szCs w:val="14"/>
          <w:color w:val="auto"/>
        </w:rPr>
        <w:t>10.2</w:t>
        <w:tab/>
        <w:t>Form of Affiliate Agreements, dated as of October 23, 1997 by and among Toro and certain stockholders of Exmark.</w:t>
      </w:r>
    </w:p>
    <w:p>
      <w:pPr>
        <w:spacing w:after="0" w:line="1" w:lineRule="exact"/>
        <w:rPr>
          <w:sz w:val="20"/>
          <w:szCs w:val="20"/>
          <w:color w:val="auto"/>
        </w:rPr>
      </w:pPr>
    </w:p>
    <w:p>
      <w:pPr>
        <w:ind w:left="867" w:right="1019" w:hanging="688"/>
        <w:spacing w:after="0" w:line="250" w:lineRule="auto"/>
        <w:tabs>
          <w:tab w:leader="none" w:pos="847" w:val="left"/>
        </w:tabs>
        <w:rPr>
          <w:sz w:val="20"/>
          <w:szCs w:val="20"/>
          <w:color w:val="auto"/>
        </w:rPr>
      </w:pPr>
      <w:r>
        <w:rPr>
          <w:rFonts w:ascii="Courier New" w:cs="Courier New" w:eastAsia="Courier New" w:hAnsi="Courier New"/>
          <w:sz w:val="14"/>
          <w:szCs w:val="14"/>
          <w:color w:val="auto"/>
        </w:rPr>
        <w:t>10.3</w:t>
        <w:tab/>
        <w:t>Form of Employment Agreement and Covenant Not to Compete, dated as of October 23, 1997 by and among Toro, Exmark and certain employees of Exmark.</w:t>
      </w:r>
    </w:p>
    <w:p>
      <w:pPr>
        <w:spacing w:after="0" w:line="1" w:lineRule="exact"/>
        <w:rPr>
          <w:sz w:val="20"/>
          <w:szCs w:val="20"/>
          <w:color w:val="auto"/>
        </w:rPr>
      </w:pPr>
    </w:p>
    <w:p>
      <w:pPr>
        <w:ind w:left="867" w:right="839" w:hanging="688"/>
        <w:spacing w:after="0" w:line="250" w:lineRule="auto"/>
        <w:tabs>
          <w:tab w:leader="none" w:pos="847" w:val="left"/>
        </w:tabs>
        <w:rPr>
          <w:sz w:val="20"/>
          <w:szCs w:val="20"/>
          <w:color w:val="auto"/>
        </w:rPr>
      </w:pPr>
      <w:r>
        <w:rPr>
          <w:rFonts w:ascii="Courier New" w:cs="Courier New" w:eastAsia="Courier New" w:hAnsi="Courier New"/>
          <w:sz w:val="14"/>
          <w:szCs w:val="14"/>
          <w:color w:val="auto"/>
        </w:rPr>
        <w:t>10.4</w:t>
        <w:tab/>
        <w:t>Form of Employee Agreements, dated as of October 23, 1997 by and among Toro, Exmark and certain employees of Exmark.</w:t>
      </w:r>
    </w:p>
    <w:p>
      <w:pPr>
        <w:spacing w:after="0" w:line="1" w:lineRule="exact"/>
        <w:rPr>
          <w:sz w:val="20"/>
          <w:szCs w:val="20"/>
          <w:color w:val="auto"/>
        </w:rPr>
      </w:pPr>
    </w:p>
    <w:p>
      <w:pPr>
        <w:ind w:left="867" w:right="1019" w:hanging="688"/>
        <w:spacing w:after="0" w:line="250" w:lineRule="auto"/>
        <w:tabs>
          <w:tab w:leader="none" w:pos="847" w:val="left"/>
        </w:tabs>
        <w:rPr>
          <w:sz w:val="20"/>
          <w:szCs w:val="20"/>
          <w:color w:val="auto"/>
        </w:rPr>
      </w:pPr>
      <w:r>
        <w:rPr>
          <w:rFonts w:ascii="Courier New" w:cs="Courier New" w:eastAsia="Courier New" w:hAnsi="Courier New"/>
          <w:sz w:val="14"/>
          <w:szCs w:val="14"/>
          <w:color w:val="auto"/>
        </w:rPr>
        <w:t>10.5</w:t>
        <w:tab/>
        <w:t>Stock for Stock Exchange Agreement, dated October 23, 1997, by and among Exmark Manufacturing Company Incorporated, The Holiman Co., Inc. and Roger Smith</w:t>
      </w:r>
    </w:p>
    <w:p>
      <w:pPr>
        <w:spacing w:after="0" w:line="1" w:lineRule="exact"/>
        <w:rPr>
          <w:sz w:val="20"/>
          <w:szCs w:val="20"/>
          <w:color w:val="auto"/>
        </w:rPr>
      </w:pPr>
    </w:p>
    <w:p>
      <w:pPr>
        <w:ind w:left="867" w:right="919" w:hanging="688"/>
        <w:spacing w:after="0" w:line="250" w:lineRule="auto"/>
        <w:tabs>
          <w:tab w:leader="none" w:pos="847" w:val="left"/>
        </w:tabs>
        <w:rPr>
          <w:sz w:val="20"/>
          <w:szCs w:val="20"/>
          <w:color w:val="auto"/>
        </w:rPr>
      </w:pPr>
      <w:r>
        <w:rPr>
          <w:rFonts w:ascii="Courier New" w:cs="Courier New" w:eastAsia="Courier New" w:hAnsi="Courier New"/>
          <w:sz w:val="14"/>
          <w:szCs w:val="14"/>
          <w:color w:val="auto"/>
        </w:rPr>
        <w:t>23.1</w:t>
        <w:tab/>
        <w:t>Consent of KPMG Peat Marwick LLP with respect to consolidated financial statements of Toro and the combined financial statements of James Hardie Irrigation, Inc., James Hardie Irrigation Pty Limited and James Hardie Irrigation Europe S.p.A.</w:t>
      </w:r>
    </w:p>
    <w:p>
      <w:pPr>
        <w:spacing w:after="0" w:line="1" w:lineRule="exact"/>
        <w:rPr>
          <w:sz w:val="20"/>
          <w:szCs w:val="20"/>
          <w:color w:val="auto"/>
        </w:rPr>
      </w:pPr>
    </w:p>
    <w:p>
      <w:pPr>
        <w:ind w:left="347"/>
        <w:spacing w:after="0"/>
        <w:tabs>
          <w:tab w:leader="none" w:pos="847" w:val="left"/>
        </w:tabs>
        <w:rPr>
          <w:sz w:val="20"/>
          <w:szCs w:val="20"/>
          <w:color w:val="auto"/>
        </w:rPr>
      </w:pPr>
      <w:r>
        <w:rPr>
          <w:rFonts w:ascii="Courier New" w:cs="Courier New" w:eastAsia="Courier New" w:hAnsi="Courier New"/>
          <w:sz w:val="14"/>
          <w:szCs w:val="14"/>
          <w:color w:val="auto"/>
        </w:rPr>
        <w:t>23.2</w:t>
        <w:tab/>
        <w:t>Consent of Grant Thornton LLP with respect to financial statements of Exmark.</w:t>
      </w:r>
    </w:p>
    <w:p>
      <w:pPr>
        <w:spacing w:after="0" w:line="7" w:lineRule="exact"/>
        <w:rPr>
          <w:sz w:val="20"/>
          <w:szCs w:val="20"/>
          <w:color w:val="auto"/>
        </w:rPr>
      </w:pPr>
    </w:p>
    <w:p>
      <w:pPr>
        <w:ind w:left="347"/>
        <w:spacing w:after="0"/>
        <w:tabs>
          <w:tab w:leader="none" w:pos="847" w:val="left"/>
        </w:tabs>
        <w:rPr>
          <w:sz w:val="20"/>
          <w:szCs w:val="20"/>
          <w:color w:val="auto"/>
        </w:rPr>
      </w:pPr>
      <w:r>
        <w:rPr>
          <w:rFonts w:ascii="Courier New" w:cs="Courier New" w:eastAsia="Courier New" w:hAnsi="Courier New"/>
          <w:sz w:val="14"/>
          <w:szCs w:val="14"/>
          <w:color w:val="auto"/>
        </w:rPr>
        <w:t>23.3</w:t>
        <w:tab/>
        <w:t>Consent of J. Lawrence McIntyre, General Counsel of Toro (included on Exhibit 5).</w:t>
      </w:r>
    </w:p>
    <w:p>
      <w:pPr>
        <w:spacing w:after="0" w:line="7" w:lineRule="exact"/>
        <w:rPr>
          <w:sz w:val="20"/>
          <w:szCs w:val="20"/>
          <w:color w:val="auto"/>
        </w:rPr>
      </w:pPr>
    </w:p>
    <w:p>
      <w:pPr>
        <w:ind w:left="347"/>
        <w:spacing w:after="0"/>
        <w:tabs>
          <w:tab w:leader="none" w:pos="847" w:val="left"/>
        </w:tabs>
        <w:rPr>
          <w:sz w:val="20"/>
          <w:szCs w:val="20"/>
          <w:color w:val="auto"/>
        </w:rPr>
      </w:pPr>
      <w:r>
        <w:rPr>
          <w:rFonts w:ascii="Courier New" w:cs="Courier New" w:eastAsia="Courier New" w:hAnsi="Courier New"/>
          <w:sz w:val="14"/>
          <w:szCs w:val="14"/>
          <w:color w:val="auto"/>
        </w:rPr>
        <w:t>23.4</w:t>
        <w:tab/>
        <w:t>Consent of McCarthy &amp; Co. with respect to the fairness of the Merger.</w:t>
      </w:r>
    </w:p>
    <w:p>
      <w:pPr>
        <w:spacing w:after="0" w:line="7" w:lineRule="exact"/>
        <w:rPr>
          <w:sz w:val="20"/>
          <w:szCs w:val="20"/>
          <w:color w:val="auto"/>
        </w:rPr>
      </w:pPr>
    </w:p>
    <w:p>
      <w:pPr>
        <w:ind w:left="347"/>
        <w:spacing w:after="0"/>
        <w:tabs>
          <w:tab w:leader="none" w:pos="847" w:val="left"/>
        </w:tabs>
        <w:rPr>
          <w:sz w:val="20"/>
          <w:szCs w:val="20"/>
          <w:color w:val="auto"/>
        </w:rPr>
      </w:pPr>
      <w:r>
        <w:rPr>
          <w:rFonts w:ascii="Courier New" w:cs="Courier New" w:eastAsia="Courier New" w:hAnsi="Courier New"/>
          <w:sz w:val="14"/>
          <w:szCs w:val="14"/>
          <w:color w:val="auto"/>
        </w:rPr>
        <w:t>24.1</w:t>
        <w:tab/>
        <w:t>Power of Attorney.</w:t>
      </w:r>
    </w:p>
    <w:p>
      <w:pPr>
        <w:spacing w:after="0" w:line="7" w:lineRule="exact"/>
        <w:rPr>
          <w:sz w:val="20"/>
          <w:szCs w:val="20"/>
          <w:color w:val="auto"/>
        </w:rPr>
      </w:pPr>
    </w:p>
    <w:p>
      <w:pPr>
        <w:jc w:val="both"/>
        <w:ind w:left="867" w:right="839" w:hanging="688"/>
        <w:spacing w:after="0" w:line="250" w:lineRule="auto"/>
        <w:tabs>
          <w:tab w:leader="none" w:pos="847" w:val="left"/>
        </w:tabs>
        <w:rPr>
          <w:sz w:val="20"/>
          <w:szCs w:val="20"/>
          <w:color w:val="auto"/>
        </w:rPr>
      </w:pPr>
      <w:r>
        <w:rPr>
          <w:rFonts w:ascii="Courier New" w:cs="Courier New" w:eastAsia="Courier New" w:hAnsi="Courier New"/>
          <w:sz w:val="14"/>
          <w:szCs w:val="14"/>
          <w:color w:val="auto"/>
        </w:rPr>
        <w:t>25.1</w:t>
        <w:tab/>
        <w:t>Form T-1 Statement of Eligibility under the Trust Indenture Act of 1939 of First Trust National Association as Trustee (incorporated by reference to the Registrant's Registration Statement on Form S-3, Registration No. 33-15385).</w:t>
      </w:r>
    </w:p>
    <w:p>
      <w:pPr>
        <w:spacing w:after="0" w:line="1" w:lineRule="exact"/>
        <w:rPr>
          <w:sz w:val="20"/>
          <w:szCs w:val="20"/>
          <w:color w:val="auto"/>
        </w:rPr>
      </w:pPr>
    </w:p>
    <w:p>
      <w:pPr>
        <w:ind w:left="347"/>
        <w:spacing w:after="0"/>
        <w:tabs>
          <w:tab w:leader="none" w:pos="847" w:val="left"/>
        </w:tabs>
        <w:rPr>
          <w:sz w:val="20"/>
          <w:szCs w:val="20"/>
          <w:color w:val="auto"/>
        </w:rPr>
      </w:pPr>
      <w:r>
        <w:rPr>
          <w:rFonts w:ascii="Courier New" w:cs="Courier New" w:eastAsia="Courier New" w:hAnsi="Courier New"/>
          <w:sz w:val="14"/>
          <w:szCs w:val="14"/>
          <w:color w:val="auto"/>
        </w:rPr>
        <w:t>99.1</w:t>
        <w:tab/>
        <w:t>Form of Proxy Card for the Special Meeting.</w:t>
      </w:r>
    </w:p>
    <w:p>
      <w:pPr>
        <w:spacing w:after="0" w:line="7" w:lineRule="exact"/>
        <w:rPr>
          <w:sz w:val="20"/>
          <w:szCs w:val="20"/>
          <w:color w:val="auto"/>
        </w:rPr>
      </w:pPr>
    </w:p>
    <w:p>
      <w:pPr>
        <w:ind w:left="347"/>
        <w:spacing w:after="0"/>
        <w:tabs>
          <w:tab w:leader="none" w:pos="847" w:val="left"/>
        </w:tabs>
        <w:rPr>
          <w:sz w:val="20"/>
          <w:szCs w:val="20"/>
          <w:color w:val="auto"/>
        </w:rPr>
      </w:pPr>
      <w:r>
        <w:rPr>
          <w:rFonts w:ascii="Courier New" w:cs="Courier New" w:eastAsia="Courier New" w:hAnsi="Courier New"/>
          <w:sz w:val="14"/>
          <w:szCs w:val="14"/>
          <w:color w:val="auto"/>
        </w:rPr>
        <w:t>99.2</w:t>
        <w:tab/>
        <w:t>Cash Election Form.</w:t>
      </w:r>
    </w:p>
    <w:p>
      <w:pPr>
        <w:spacing w:after="0" w:line="338" w:lineRule="exact"/>
        <w:rPr>
          <w:sz w:val="20"/>
          <w:szCs w:val="20"/>
          <w:color w:val="auto"/>
        </w:rPr>
      </w:pPr>
    </w:p>
    <w:p>
      <w:pPr>
        <w:ind w:left="687" w:right="6959" w:hanging="687"/>
        <w:spacing w:after="0" w:line="255" w:lineRule="auto"/>
        <w:tabs>
          <w:tab w:leader="none" w:pos="34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Not Applicable.</w:t>
      </w:r>
    </w:p>
    <w:p>
      <w:pPr>
        <w:spacing w:after="0" w:line="159" w:lineRule="exact"/>
        <w:rPr>
          <w:rFonts w:ascii="Courier New" w:cs="Courier New" w:eastAsia="Courier New" w:hAnsi="Courier New"/>
          <w:sz w:val="14"/>
          <w:szCs w:val="14"/>
          <w:color w:val="auto"/>
        </w:rPr>
      </w:pPr>
    </w:p>
    <w:p>
      <w:pPr>
        <w:ind w:left="347" w:hanging="347"/>
        <w:spacing w:after="0"/>
        <w:tabs>
          <w:tab w:leader="none" w:pos="34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Opinions or Appraisals.</w:t>
      </w:r>
    </w:p>
    <w:p>
      <w:pPr>
        <w:spacing w:after="0" w:line="7" w:lineRule="exact"/>
        <w:rPr>
          <w:sz w:val="20"/>
          <w:szCs w:val="20"/>
          <w:color w:val="auto"/>
        </w:rPr>
      </w:pPr>
    </w:p>
    <w:p>
      <w:pPr>
        <w:ind w:left="687"/>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2927"/>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9886"/>
          </w:cols>
          <w:pgMar w:left="573" w:top="782"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ITEM 22. UNDERTAKINGS.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(a)(1) To file, during any period in which offers or sales are being made, a post-effective amendment to this Registration Statement:</w:t>
      </w:r>
    </w:p>
    <w:p>
      <w:pPr>
        <w:spacing w:after="0" w:line="160" w:lineRule="exact"/>
        <w:rPr>
          <w:sz w:val="20"/>
          <w:szCs w:val="20"/>
          <w:color w:val="auto"/>
        </w:rPr>
      </w:pPr>
    </w:p>
    <w:p>
      <w:pPr>
        <w:ind w:left="360" w:right="3939" w:firstLine="337"/>
        <w:spacing w:after="0" w:line="255" w:lineRule="auto"/>
        <w:tabs>
          <w:tab w:leader="none" w:pos="1049"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360" w:right="3419" w:firstLine="337"/>
        <w:spacing w:after="0" w:line="251" w:lineRule="auto"/>
        <w:tabs>
          <w:tab w:leader="none" w:pos="1135"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2" w:lineRule="exact"/>
        <w:rPr>
          <w:rFonts w:ascii="Courier New" w:cs="Courier New" w:eastAsia="Courier New" w:hAnsi="Courier New"/>
          <w:sz w:val="14"/>
          <w:szCs w:val="14"/>
          <w:color w:val="auto"/>
        </w:rPr>
      </w:pPr>
    </w:p>
    <w:p>
      <w:pPr>
        <w:ind w:left="360" w:right="3519" w:firstLine="251"/>
        <w:spacing w:after="0" w:line="252" w:lineRule="auto"/>
        <w:tabs>
          <w:tab w:leader="none" w:pos="1135"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rFonts w:ascii="Courier New" w:cs="Courier New" w:eastAsia="Courier New" w:hAnsi="Courier New"/>
          <w:sz w:val="14"/>
          <w:szCs w:val="14"/>
          <w:color w:val="auto"/>
        </w:rPr>
      </w:pPr>
    </w:p>
    <w:p>
      <w:pPr>
        <w:ind w:right="3419" w:firstLine="353"/>
        <w:spacing w:after="0" w:line="251" w:lineRule="auto"/>
        <w:tabs>
          <w:tab w:leader="none" w:pos="68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right="3339" w:firstLine="353"/>
        <w:spacing w:after="0" w:line="252" w:lineRule="auto"/>
        <w:tabs>
          <w:tab w:leader="none" w:pos="68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right="3339" w:firstLine="353"/>
        <w:spacing w:after="0" w:line="250" w:lineRule="auto"/>
        <w:tabs>
          <w:tab w:leader="none" w:pos="68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Courier New" w:cs="Courier New" w:eastAsia="Courier New" w:hAnsi="Courier New"/>
          <w:sz w:val="14"/>
          <w:szCs w:val="14"/>
          <w:color w:val="auto"/>
        </w:rPr>
      </w:pPr>
    </w:p>
    <w:p>
      <w:pPr>
        <w:ind w:right="3419" w:firstLine="353"/>
        <w:spacing w:after="0" w:line="251" w:lineRule="auto"/>
        <w:tabs>
          <w:tab w:leader="none" w:pos="68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prior to any public reoffering of the securities registered hereunder through the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right="3519" w:firstLine="353"/>
        <w:spacing w:after="0" w:line="251" w:lineRule="auto"/>
        <w:tabs>
          <w:tab w:leader="none" w:pos="68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(c)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450" w:right="1440" w:bottom="1440" w:gutter="0" w:footer="0" w:header="0"/>
        </w:sectPr>
      </w:pPr>
    </w:p>
    <w:bookmarkStart w:id="102" w:name="page103"/>
    <w:bookmarkEnd w:id="102"/>
    <w:p>
      <w:pPr>
        <w:jc w:val="both"/>
        <w:ind w:right="3679"/>
        <w:spacing w:after="0" w:line="252" w:lineRule="auto"/>
        <w:rPr>
          <w:sz w:val="20"/>
          <w:szCs w:val="20"/>
          <w:color w:val="auto"/>
        </w:rPr>
      </w:pPr>
      <w:r>
        <w:rPr>
          <w:rFonts w:ascii="Courier New" w:cs="Courier New" w:eastAsia="Courier New" w:hAnsi="Courier New"/>
          <w:sz w:val="14"/>
          <w:szCs w:val="14"/>
          <w:color w:val="auto"/>
        </w:rPr>
        <w:t>amendment shall be deemed to be a new Registration Statement relating to the securities offered therein, and the offering of such securities at that time shall be deemed to be the initial bona fide offering thereof.</w:t>
      </w:r>
    </w:p>
    <w:p>
      <w:pPr>
        <w:spacing w:after="0" w:line="163" w:lineRule="exact"/>
        <w:rPr>
          <w:sz w:val="20"/>
          <w:szCs w:val="20"/>
          <w:color w:val="auto"/>
        </w:rPr>
      </w:pPr>
    </w:p>
    <w:p>
      <w:pPr>
        <w:ind w:right="3339" w:firstLine="353"/>
        <w:spacing w:after="0" w:line="251" w:lineRule="auto"/>
        <w:tabs>
          <w:tab w:leader="none" w:pos="68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4" w:lineRule="exact"/>
        <w:rPr>
          <w:rFonts w:ascii="Courier New" w:cs="Courier New" w:eastAsia="Courier New" w:hAnsi="Courier New"/>
          <w:sz w:val="14"/>
          <w:szCs w:val="14"/>
          <w:color w:val="auto"/>
        </w:rPr>
      </w:pPr>
    </w:p>
    <w:p>
      <w:pPr>
        <w:ind w:right="3339" w:firstLine="353"/>
        <w:spacing w:after="0" w:line="252" w:lineRule="auto"/>
        <w:tabs>
          <w:tab w:leader="none" w:pos="68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450" w:right="1440" w:bottom="1440" w:gutter="0" w:footer="0" w:header="0"/>
        </w:sectPr>
      </w:pPr>
    </w:p>
    <w:bookmarkStart w:id="103" w:name="page104"/>
    <w:bookmarkEnd w:id="103"/>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thereunto duly authorized, in the City of Minneapolis, State of Minnesota, on November 7, 1997.</w:t>
      </w:r>
    </w:p>
    <w:p>
      <w:pPr>
        <w:spacing w:after="0" w:line="200" w:lineRule="exact"/>
        <w:rPr>
          <w:sz w:val="20"/>
          <w:szCs w:val="20"/>
          <w:color w:val="auto"/>
        </w:rPr>
      </w:pPr>
    </w:p>
    <w:p>
      <w:pPr>
        <w:spacing w:after="0" w:line="29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CHAIRMAN OF THE BOARD AND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ectPr>
          <w:pgSz w:w="11900" w:h="16838" w:orient="portrait"/>
          <w:cols w:equalWidth="0" w:num="2">
            <w:col w:w="2940" w:space="260"/>
            <w:col w:w="7039"/>
          </w:cols>
          <w:pgMar w:left="220" w:top="450" w:right="1440" w:bottom="1440" w:gutter="0" w:footer="0" w:header="0"/>
          <w:type w:val="continuous"/>
        </w:sectPr>
      </w:pPr>
    </w:p>
    <w:p>
      <w:pPr>
        <w:spacing w:after="0" w:line="138" w:lineRule="exact"/>
        <w:rPr>
          <w:sz w:val="20"/>
          <w:szCs w:val="20"/>
          <w:color w:val="auto"/>
        </w:rPr>
      </w:pPr>
    </w:p>
    <w:p>
      <w:pPr>
        <w:ind w:right="419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indicated on November 7, 1997.</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NAME</w:t>
            </w:r>
          </w:p>
        </w:tc>
        <w:tc>
          <w:tcPr>
            <w:tcW w:w="2420" w:type="dxa"/>
            <w:vAlign w:val="bottom"/>
          </w:tcPr>
          <w:p>
            <w:pPr>
              <w:ind w:left="860"/>
              <w:spacing w:after="0"/>
              <w:rPr>
                <w:sz w:val="20"/>
                <w:szCs w:val="20"/>
                <w:color w:val="auto"/>
              </w:rPr>
            </w:pPr>
            <w:r>
              <w:rPr>
                <w:rFonts w:ascii="Courier New" w:cs="Courier New" w:eastAsia="Courier New" w:hAnsi="Courier New"/>
                <w:sz w:val="14"/>
                <w:szCs w:val="14"/>
                <w:color w:val="auto"/>
              </w:rPr>
              <w:t>TITLE</w:t>
            </w: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497"/>
        </w:trPr>
        <w:tc>
          <w:tcPr>
            <w:tcW w:w="276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Chairman, Chief Executive</w:t>
            </w:r>
          </w:p>
        </w:tc>
      </w:tr>
      <w:tr>
        <w:trPr>
          <w:trHeight w:val="166"/>
        </w:trPr>
        <w:tc>
          <w:tcPr>
            <w:tcW w:w="27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KENDRICK B. MELROSE</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Officer and Director</w:t>
            </w: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(principal executive</w:t>
            </w:r>
          </w:p>
        </w:tc>
      </w:tr>
      <w:tr>
        <w:trPr>
          <w:trHeight w:val="166"/>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Kendrick B. Melrose</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r>
      <w:tr>
        <w:trPr>
          <w:trHeight w:val="331"/>
        </w:trPr>
        <w:tc>
          <w:tcPr>
            <w:tcW w:w="276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Vice President and Chief</w:t>
            </w:r>
          </w:p>
        </w:tc>
      </w:tr>
      <w:tr>
        <w:trPr>
          <w:trHeight w:val="166"/>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STEPHEN P. WOLFE</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Financial Officer</w:t>
            </w: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(principal financial</w:t>
            </w:r>
          </w:p>
        </w:tc>
      </w:tr>
      <w:tr>
        <w:trPr>
          <w:trHeight w:val="166"/>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Stephen P. Wolfe</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r>
      <w:tr>
        <w:trPr>
          <w:trHeight w:val="331"/>
        </w:trPr>
        <w:tc>
          <w:tcPr>
            <w:tcW w:w="276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Vice President and</w:t>
            </w:r>
          </w:p>
        </w:tc>
      </w:tr>
      <w:tr>
        <w:trPr>
          <w:trHeight w:val="166"/>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RANDY B. JAMES</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Controller</w:t>
            </w: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(principal accounting</w:t>
            </w:r>
          </w:p>
        </w:tc>
      </w:tr>
      <w:tr>
        <w:trPr>
          <w:trHeight w:val="166"/>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Randy B. James</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r>
      <w:tr>
        <w:trPr>
          <w:trHeight w:val="331"/>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w w:val="94"/>
              </w:rPr>
              <w:t>*</w:t>
            </w:r>
          </w:p>
        </w:tc>
        <w:tc>
          <w:tcPr>
            <w:tcW w:w="2420" w:type="dxa"/>
            <w:vAlign w:val="bottom"/>
          </w:tcPr>
          <w:p>
            <w:pPr>
              <w:spacing w:after="0"/>
              <w:rPr>
                <w:sz w:val="24"/>
                <w:szCs w:val="24"/>
                <w:color w:val="auto"/>
              </w:rPr>
            </w:pP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Ronald O. Baukol</w:t>
            </w:r>
          </w:p>
        </w:tc>
        <w:tc>
          <w:tcPr>
            <w:tcW w:w="2420" w:type="dxa"/>
            <w:vAlign w:val="bottom"/>
          </w:tcPr>
          <w:p>
            <w:pPr>
              <w:spacing w:after="0"/>
              <w:rPr>
                <w:sz w:val="14"/>
                <w:szCs w:val="14"/>
                <w:color w:val="auto"/>
              </w:rPr>
            </w:pPr>
          </w:p>
        </w:tc>
      </w:tr>
      <w:tr>
        <w:trPr>
          <w:trHeight w:val="331"/>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w w:val="94"/>
              </w:rPr>
              <w:t>*</w:t>
            </w:r>
          </w:p>
        </w:tc>
        <w:tc>
          <w:tcPr>
            <w:tcW w:w="2420" w:type="dxa"/>
            <w:vAlign w:val="bottom"/>
          </w:tcPr>
          <w:p>
            <w:pPr>
              <w:spacing w:after="0"/>
              <w:rPr>
                <w:sz w:val="24"/>
                <w:szCs w:val="24"/>
                <w:color w:val="auto"/>
              </w:rPr>
            </w:pP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Robert C. Buhrmaster</w:t>
            </w:r>
          </w:p>
        </w:tc>
        <w:tc>
          <w:tcPr>
            <w:tcW w:w="2420" w:type="dxa"/>
            <w:vAlign w:val="bottom"/>
          </w:tcPr>
          <w:p>
            <w:pPr>
              <w:spacing w:after="0"/>
              <w:rPr>
                <w:sz w:val="14"/>
                <w:szCs w:val="14"/>
                <w:color w:val="auto"/>
              </w:rPr>
            </w:pPr>
          </w:p>
        </w:tc>
      </w:tr>
      <w:tr>
        <w:trPr>
          <w:trHeight w:val="331"/>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w w:val="94"/>
              </w:rPr>
              <w:t>*</w:t>
            </w:r>
          </w:p>
        </w:tc>
        <w:tc>
          <w:tcPr>
            <w:tcW w:w="2420" w:type="dxa"/>
            <w:vAlign w:val="bottom"/>
          </w:tcPr>
          <w:p>
            <w:pPr>
              <w:spacing w:after="0"/>
              <w:rPr>
                <w:sz w:val="24"/>
                <w:szCs w:val="24"/>
                <w:color w:val="auto"/>
              </w:rPr>
            </w:pP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Janet K. Cooper</w:t>
            </w:r>
          </w:p>
        </w:tc>
        <w:tc>
          <w:tcPr>
            <w:tcW w:w="2420" w:type="dxa"/>
            <w:vAlign w:val="bottom"/>
          </w:tcPr>
          <w:p>
            <w:pPr>
              <w:spacing w:after="0"/>
              <w:rPr>
                <w:sz w:val="14"/>
                <w:szCs w:val="14"/>
                <w:color w:val="auto"/>
              </w:rPr>
            </w:pPr>
          </w:p>
        </w:tc>
      </w:tr>
      <w:tr>
        <w:trPr>
          <w:trHeight w:val="331"/>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w w:val="94"/>
              </w:rPr>
              <w:t>*</w:t>
            </w:r>
          </w:p>
        </w:tc>
        <w:tc>
          <w:tcPr>
            <w:tcW w:w="2420" w:type="dxa"/>
            <w:vAlign w:val="bottom"/>
          </w:tcPr>
          <w:p>
            <w:pPr>
              <w:spacing w:after="0"/>
              <w:rPr>
                <w:sz w:val="24"/>
                <w:szCs w:val="24"/>
                <w:color w:val="auto"/>
              </w:rPr>
            </w:pP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Alex A. Meyer</w:t>
            </w:r>
          </w:p>
        </w:tc>
        <w:tc>
          <w:tcPr>
            <w:tcW w:w="2420" w:type="dxa"/>
            <w:vAlign w:val="bottom"/>
          </w:tcPr>
          <w:p>
            <w:pPr>
              <w:spacing w:after="0"/>
              <w:rPr>
                <w:sz w:val="14"/>
                <w:szCs w:val="14"/>
                <w:color w:val="auto"/>
              </w:rPr>
            </w:pPr>
          </w:p>
        </w:tc>
      </w:tr>
      <w:tr>
        <w:trPr>
          <w:trHeight w:val="331"/>
        </w:trPr>
        <w:tc>
          <w:tcPr>
            <w:tcW w:w="2760" w:type="dxa"/>
            <w:vAlign w:val="bottom"/>
          </w:tcPr>
          <w:p>
            <w:pPr>
              <w:jc w:val="center"/>
              <w:ind w:right="168"/>
              <w:spacing w:after="0"/>
              <w:rPr>
                <w:sz w:val="20"/>
                <w:szCs w:val="20"/>
                <w:color w:val="auto"/>
              </w:rPr>
            </w:pPr>
            <w:r>
              <w:rPr>
                <w:rFonts w:ascii="Courier New" w:cs="Courier New" w:eastAsia="Courier New" w:hAnsi="Courier New"/>
                <w:sz w:val="14"/>
                <w:szCs w:val="14"/>
                <w:color w:val="auto"/>
                <w:w w:val="94"/>
              </w:rPr>
              <w:t>*</w:t>
            </w:r>
          </w:p>
        </w:tc>
        <w:tc>
          <w:tcPr>
            <w:tcW w:w="2420" w:type="dxa"/>
            <w:vAlign w:val="bottom"/>
          </w:tcPr>
          <w:p>
            <w:pPr>
              <w:spacing w:after="0"/>
              <w:rPr>
                <w:sz w:val="24"/>
                <w:szCs w:val="24"/>
                <w:color w:val="auto"/>
              </w:rPr>
            </w:pPr>
          </w:p>
        </w:tc>
      </w:tr>
      <w:tr>
        <w:trPr>
          <w:trHeight w:val="166"/>
        </w:trPr>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Robert H. Nassau</w:t>
            </w:r>
          </w:p>
        </w:tc>
        <w:tc>
          <w:tcPr>
            <w:tcW w:w="2420" w:type="dxa"/>
            <w:vAlign w:val="bottom"/>
          </w:tcPr>
          <w:p>
            <w:pPr>
              <w:spacing w:after="0"/>
              <w:rPr>
                <w:sz w:val="14"/>
                <w:szCs w:val="14"/>
                <w:color w:val="auto"/>
              </w:rPr>
            </w:pPr>
          </w:p>
        </w:tc>
      </w:tr>
      <w:tr>
        <w:trPr>
          <w:trHeight w:val="497"/>
        </w:trPr>
        <w:tc>
          <w:tcPr>
            <w:tcW w:w="2760" w:type="dxa"/>
            <w:vAlign w:val="bottom"/>
          </w:tcPr>
          <w:p>
            <w:pPr>
              <w:spacing w:after="0"/>
              <w:rPr>
                <w:sz w:val="24"/>
                <w:szCs w:val="24"/>
                <w:color w:val="auto"/>
              </w:rPr>
            </w:pP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II-5</w:t>
            </w:r>
          </w:p>
        </w:tc>
      </w:tr>
    </w:tbl>
    <w:p>
      <w:pPr>
        <w:sectPr>
          <w:pgSz w:w="11900" w:h="16838" w:orient="portrait"/>
          <w:cols w:equalWidth="0" w:num="1">
            <w:col w:w="10239"/>
          </w:cols>
          <w:pgMar w:left="220" w:top="450" w:right="1440" w:bottom="1440" w:gutter="0" w:footer="0" w:header="0"/>
          <w:type w:val="continuous"/>
        </w:sectPr>
      </w:pPr>
    </w:p>
    <w:bookmarkStart w:id="104" w:name="page105"/>
    <w:bookmarkEnd w:id="104"/>
    <w:p>
      <w:pPr>
        <w:ind w:left="1120"/>
        <w:spacing w:after="0"/>
        <w:tabs>
          <w:tab w:leader="none" w:pos="36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 ------------------------------</w:t>
        <w:tab/>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 ------------------------------</w:t>
        <w:tab/>
        <w:t>Director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Dale R. Olseth</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 ------------------------------</w:t>
        <w:tab/>
        <w:t>Director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Edwin H. Wingate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Kendrick B. Melrose</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ATTORNEY-IN-FACT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782" w:right="1440" w:bottom="1440" w:gutter="0" w:footer="0" w:header="0"/>
        </w:sectPr>
      </w:pPr>
    </w:p>
    <w:bookmarkStart w:id="105" w:name="page106"/>
    <w:bookmarkEnd w:id="105"/>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480" w:space="160"/>
            <w:col w:w="8599"/>
          </w:cols>
          <w:pgMar w:left="220" w:top="450" w:right="1440" w:bottom="1440" w:gutter="0" w:footer="0" w:header="0"/>
          <w:type w:val="continuous"/>
        </w:sectPr>
      </w:pPr>
    </w:p>
    <w:p>
      <w:pPr>
        <w:ind w:left="1480" w:right="1619" w:hanging="688"/>
        <w:spacing w:after="0" w:line="251" w:lineRule="auto"/>
        <w:tabs>
          <w:tab w:leader="none" w:pos="14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Agreement and Plan of Merger, dated as of October 23, 1997 by and among Exmark, Merger Subsidiary and Toro, as amended (included as Exhibit A to the Proxy Statement/Prospectus that forms a part of this Registration Statement on Form S-4 (certain exhibits and schedules omitted--the Registrant agrees to furnish a copy of any exhibit or schedule to the Commission upon request)).</w:t>
      </w:r>
    </w:p>
    <w:p>
      <w:pPr>
        <w:sectPr>
          <w:pgSz w:w="11900" w:h="16838" w:orient="portrait"/>
          <w:cols w:equalWidth="0" w:num="1">
            <w:col w:w="10239"/>
          </w:cols>
          <w:pgMar w:left="220" w:top="450" w:right="1440" w:bottom="1440" w:gutter="0" w:footer="0" w:header="0"/>
          <w:type w:val="continuous"/>
        </w:sectPr>
      </w:pPr>
    </w:p>
    <w:p>
      <w:pPr>
        <w:spacing w:after="0" w:line="165" w:lineRule="exact"/>
        <w:rPr>
          <w:sz w:val="20"/>
          <w:szCs w:val="20"/>
          <w:color w:val="auto"/>
        </w:rPr>
      </w:pPr>
    </w:p>
    <w:p>
      <w:pPr>
        <w:ind w:left="1480" w:right="1619" w:hanging="1377"/>
        <w:spacing w:after="0" w:line="252" w:lineRule="auto"/>
        <w:tabs>
          <w:tab w:leader="none" w:pos="1460" w:val="left"/>
        </w:tabs>
        <w:rPr>
          <w:sz w:val="20"/>
          <w:szCs w:val="20"/>
          <w:color w:val="auto"/>
        </w:rPr>
      </w:pPr>
      <w:r>
        <w:rPr>
          <w:rFonts w:ascii="Courier New" w:cs="Courier New" w:eastAsia="Courier New" w:hAnsi="Courier New"/>
          <w:sz w:val="14"/>
          <w:szCs w:val="14"/>
          <w:color w:val="auto"/>
        </w:rPr>
        <w:t>3.1 and 4.1</w:t>
      </w:r>
      <w:r>
        <w:rPr>
          <w:sz w:val="20"/>
          <w:szCs w:val="20"/>
          <w:color w:val="auto"/>
        </w:rPr>
        <w:tab/>
      </w:r>
      <w:r>
        <w:rPr>
          <w:rFonts w:ascii="Courier New" w:cs="Courier New" w:eastAsia="Courier New" w:hAnsi="Courier New"/>
          <w:sz w:val="14"/>
          <w:szCs w:val="14"/>
          <w:color w:val="auto"/>
        </w:rPr>
        <w:t>Certificate of Incorporation of the Registrant as amended and corrected through May 18, 1987 (incorporated by reference to Exhibit 4.2 to the Registrant's Registration Statement on Form S-3, Registration No. 33-16125).</w:t>
      </w:r>
    </w:p>
    <w:p>
      <w:pPr>
        <w:spacing w:after="0" w:line="163" w:lineRule="exact"/>
        <w:rPr>
          <w:sz w:val="20"/>
          <w:szCs w:val="20"/>
          <w:color w:val="auto"/>
        </w:rPr>
      </w:pPr>
    </w:p>
    <w:p>
      <w:pPr>
        <w:ind w:left="1480" w:right="1699" w:hanging="1377"/>
        <w:spacing w:after="0" w:line="252" w:lineRule="auto"/>
        <w:tabs>
          <w:tab w:leader="none" w:pos="1460" w:val="left"/>
        </w:tabs>
        <w:rPr>
          <w:sz w:val="20"/>
          <w:szCs w:val="20"/>
          <w:color w:val="auto"/>
        </w:rPr>
      </w:pPr>
      <w:r>
        <w:rPr>
          <w:rFonts w:ascii="Courier New" w:cs="Courier New" w:eastAsia="Courier New" w:hAnsi="Courier New"/>
          <w:sz w:val="14"/>
          <w:szCs w:val="14"/>
          <w:color w:val="auto"/>
        </w:rPr>
        <w:t>3.2 and 4.2</w:t>
      </w:r>
      <w:r>
        <w:rPr>
          <w:sz w:val="20"/>
          <w:szCs w:val="20"/>
          <w:color w:val="auto"/>
        </w:rPr>
        <w:tab/>
      </w:r>
      <w:r>
        <w:rPr>
          <w:rFonts w:ascii="Courier New" w:cs="Courier New" w:eastAsia="Courier New" w:hAnsi="Courier New"/>
          <w:sz w:val="14"/>
          <w:szCs w:val="14"/>
          <w:color w:val="auto"/>
        </w:rPr>
        <w:t>Certificate of Amendment to Certificate of Incorporation of the Registrant dated December 8, 1987 (incorporated by reference to Exhibit 3 to the Registrant's Quarterly Report on Form 10-Q for the quarter ended January 29, 1988, Commission File No. 1-8649).</w:t>
      </w:r>
    </w:p>
    <w:p>
      <w:pPr>
        <w:spacing w:after="0" w:line="162" w:lineRule="exact"/>
        <w:rPr>
          <w:sz w:val="20"/>
          <w:szCs w:val="20"/>
          <w:color w:val="auto"/>
        </w:rPr>
      </w:pPr>
    </w:p>
    <w:p>
      <w:pPr>
        <w:ind w:left="1480" w:right="2299" w:hanging="1377"/>
        <w:spacing w:after="0" w:line="252" w:lineRule="auto"/>
        <w:tabs>
          <w:tab w:leader="none" w:pos="1460" w:val="left"/>
        </w:tabs>
        <w:rPr>
          <w:sz w:val="20"/>
          <w:szCs w:val="20"/>
          <w:color w:val="auto"/>
        </w:rPr>
      </w:pPr>
      <w:r>
        <w:rPr>
          <w:rFonts w:ascii="Courier New" w:cs="Courier New" w:eastAsia="Courier New" w:hAnsi="Courier New"/>
          <w:sz w:val="14"/>
          <w:szCs w:val="14"/>
          <w:color w:val="auto"/>
        </w:rPr>
        <w:t>3.3 and 4.3</w:t>
      </w:r>
      <w:r>
        <w:rPr>
          <w:sz w:val="20"/>
          <w:szCs w:val="20"/>
          <w:color w:val="auto"/>
        </w:rPr>
        <w:tab/>
      </w:r>
      <w:r>
        <w:rPr>
          <w:rFonts w:ascii="Courier New" w:cs="Courier New" w:eastAsia="Courier New" w:hAnsi="Courier New"/>
          <w:sz w:val="14"/>
          <w:szCs w:val="14"/>
          <w:color w:val="auto"/>
        </w:rPr>
        <w:t>Bylaws of the Registrant (incorporated by reference to Exhibit 3.3 to the Registrant's Annual Report on Form 10-K for the year ended July 31, 1991, Commission File No. 1-8649).</w:t>
      </w:r>
    </w:p>
    <w:p>
      <w:pPr>
        <w:spacing w:after="0" w:line="163" w:lineRule="exact"/>
        <w:rPr>
          <w:sz w:val="20"/>
          <w:szCs w:val="20"/>
          <w:color w:val="auto"/>
        </w:rPr>
      </w:pPr>
    </w:p>
    <w:p>
      <w:pPr>
        <w:jc w:val="right"/>
        <w:ind w:left="960" w:right="1539"/>
        <w:spacing w:after="0" w:line="255" w:lineRule="auto"/>
        <w:rPr>
          <w:sz w:val="20"/>
          <w:szCs w:val="20"/>
          <w:color w:val="auto"/>
        </w:rPr>
      </w:pPr>
      <w:r>
        <w:rPr>
          <w:rFonts w:ascii="Courier New" w:cs="Courier New" w:eastAsia="Courier New" w:hAnsi="Courier New"/>
          <w:sz w:val="14"/>
          <w:szCs w:val="14"/>
          <w:color w:val="auto"/>
        </w:rPr>
        <w:t>4.4   Specimen form of Common Stock certificate (incorporated by reference to Exhibit 4(c) to the Registrant's Registration Statement on Form S-8, Registration No. 2-94417).</w:t>
      </w:r>
    </w:p>
    <w:p>
      <w:pPr>
        <w:spacing w:after="0" w:line="160" w:lineRule="exact"/>
        <w:rPr>
          <w:sz w:val="20"/>
          <w:szCs w:val="20"/>
          <w:color w:val="auto"/>
        </w:rPr>
      </w:pPr>
    </w:p>
    <w:p>
      <w:pPr>
        <w:ind w:left="1480" w:right="1619" w:hanging="688"/>
        <w:spacing w:after="0" w:line="251" w:lineRule="auto"/>
        <w:tabs>
          <w:tab w:leader="none" w:pos="146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Rights Agreement dated as of June 14, 1988, between the Registrant and Norwest Bank Minnesota, National Association relating to rights to purchase Series B Junior Participating Voting Preferred Stock, as amended (incorporated by reference to Exhibit 1 to Registrant's Registration Statement on Form 8-A dated June 17, 1988, Commission File No. 1-8649, as amended).</w:t>
      </w:r>
    </w:p>
    <w:p>
      <w:pPr>
        <w:spacing w:after="0" w:line="165" w:lineRule="exact"/>
        <w:rPr>
          <w:sz w:val="20"/>
          <w:szCs w:val="20"/>
          <w:color w:val="auto"/>
        </w:rPr>
      </w:pPr>
    </w:p>
    <w:p>
      <w:pPr>
        <w:ind w:left="1480" w:right="1539" w:hanging="688"/>
        <w:spacing w:after="0" w:line="252" w:lineRule="auto"/>
        <w:tabs>
          <w:tab w:leader="none" w:pos="146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Amendment to Rights Agreement dated as of August 14, 1990, between the Registrant and Norwest Bank Minnesota National Association (incorporated by reference to Exhibit 1 to the Registrant's Report on Form 8-A dated August 14, 1990, Commission File No. 1-8649).</w:t>
      </w:r>
    </w:p>
    <w:p>
      <w:pPr>
        <w:spacing w:after="0" w:line="162" w:lineRule="exact"/>
        <w:rPr>
          <w:sz w:val="20"/>
          <w:szCs w:val="20"/>
          <w:color w:val="auto"/>
        </w:rPr>
      </w:pPr>
    </w:p>
    <w:p>
      <w:pPr>
        <w:ind w:left="1480" w:right="1959" w:hanging="688"/>
        <w:spacing w:after="0" w:line="252" w:lineRule="auto"/>
        <w:tabs>
          <w:tab w:leader="none" w:pos="146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as of July 15, 1987, between the Registrant and Manufacturers Hanover Trust Company, Trustee, relating to the Registrant's 11% Sinking Fund Debentures Due August 1, 2017 (incorporated by reference to Exhibit 4 to the Registrant's Registration Statement on Form S-3, Registration No. 33-15385).</w:t>
      </w:r>
    </w:p>
    <w:p>
      <w:pPr>
        <w:spacing w:after="0" w:line="162"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Debt Securities (included on Exhibit 4.7).</w:t>
      </w:r>
    </w:p>
    <w:p>
      <w:pPr>
        <w:spacing w:after="0" w:line="173" w:lineRule="exact"/>
        <w:rPr>
          <w:sz w:val="20"/>
          <w:szCs w:val="20"/>
          <w:color w:val="auto"/>
        </w:rPr>
      </w:pPr>
    </w:p>
    <w:p>
      <w:pPr>
        <w:ind w:left="1480" w:right="1959" w:hanging="688"/>
        <w:spacing w:after="0" w:line="255" w:lineRule="auto"/>
        <w:tabs>
          <w:tab w:leader="none" w:pos="14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J. Lawrence McIntyre, General Counsel of Toro, regarding validity of securities.</w:t>
      </w:r>
    </w:p>
    <w:p>
      <w:pPr>
        <w:spacing w:after="0" w:line="160" w:lineRule="exact"/>
        <w:rPr>
          <w:sz w:val="20"/>
          <w:szCs w:val="20"/>
          <w:color w:val="auto"/>
        </w:rPr>
      </w:pPr>
    </w:p>
    <w:p>
      <w:pPr>
        <w:ind w:left="1480" w:right="1619" w:hanging="688"/>
        <w:spacing w:after="0" w:line="255" w:lineRule="auto"/>
        <w:tabs>
          <w:tab w:leader="none" w:pos="14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Opinion of Croker, Huck, Kasher, DeWitt, Anderson &amp; Gonderinger, P.C. regarding tax treatment.</w:t>
      </w:r>
    </w:p>
    <w:p>
      <w:pPr>
        <w:spacing w:after="0" w:line="160" w:lineRule="exact"/>
        <w:rPr>
          <w:sz w:val="20"/>
          <w:szCs w:val="20"/>
          <w:color w:val="auto"/>
        </w:rPr>
      </w:pPr>
    </w:p>
    <w:p>
      <w:pPr>
        <w:ind w:left="1480" w:right="1799" w:hanging="774"/>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Form of Stockholder Agreements, dated as of October 23, 1997 by and among Exmark, Merger Subsidiary, Toro and certain stockholders of Exmark.</w:t>
      </w:r>
    </w:p>
    <w:p>
      <w:pPr>
        <w:spacing w:after="0" w:line="160" w:lineRule="exact"/>
        <w:rPr>
          <w:sz w:val="20"/>
          <w:szCs w:val="20"/>
          <w:color w:val="auto"/>
        </w:rPr>
      </w:pPr>
    </w:p>
    <w:p>
      <w:pPr>
        <w:ind w:left="1480" w:right="1879" w:hanging="774"/>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Form of Affiliate Agreements, dated as of October 23, 1997 by and among Toro and certain stockholders of Exmark.</w:t>
      </w:r>
    </w:p>
    <w:p>
      <w:pPr>
        <w:sectPr>
          <w:pgSz w:w="11900" w:h="16838" w:orient="portrait"/>
          <w:cols w:equalWidth="0" w:num="1">
            <w:col w:w="10239"/>
          </w:cols>
          <w:pgMar w:left="220" w:top="450" w:right="1440"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2"/>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EXHIBIT NUMBER</w:t>
            </w:r>
          </w:p>
        </w:tc>
        <w:tc>
          <w:tcPr>
            <w:tcW w:w="7400" w:type="dxa"/>
            <w:vAlign w:val="bottom"/>
          </w:tcPr>
          <w:p>
            <w:pPr>
              <w:ind w:left="310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Form of Employment Agreement and Covenant Not to Compete, dated as of October 23,</w:t>
            </w:r>
          </w:p>
        </w:tc>
      </w:tr>
      <w:tr>
        <w:trPr>
          <w:trHeight w:val="166"/>
        </w:trPr>
        <w:tc>
          <w:tcPr>
            <w:tcW w:w="1480" w:type="dxa"/>
            <w:vAlign w:val="bottom"/>
          </w:tcPr>
          <w:p>
            <w:pPr>
              <w:spacing w:after="0"/>
              <w:rPr>
                <w:sz w:val="14"/>
                <w:szCs w:val="14"/>
                <w:color w:val="auto"/>
              </w:rPr>
            </w:pP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1997 by and among Toro, Exmark and certain employees of Exmark.</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Form of Employee Agreements, dated as of October 23, 1997 by and among Toro, Exmark</w:t>
            </w:r>
          </w:p>
        </w:tc>
      </w:tr>
      <w:tr>
        <w:trPr>
          <w:trHeight w:val="166"/>
        </w:trPr>
        <w:tc>
          <w:tcPr>
            <w:tcW w:w="1480" w:type="dxa"/>
            <w:vAlign w:val="bottom"/>
          </w:tcPr>
          <w:p>
            <w:pPr>
              <w:spacing w:after="0"/>
              <w:rPr>
                <w:sz w:val="14"/>
                <w:szCs w:val="14"/>
                <w:color w:val="auto"/>
              </w:rPr>
            </w:pP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and certain employees of Exmark.</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Stock for Stock Exchange Agreement, dated October 23, 1997, by and among Exmark</w:t>
            </w:r>
          </w:p>
        </w:tc>
      </w:tr>
      <w:tr>
        <w:trPr>
          <w:trHeight w:val="166"/>
        </w:trPr>
        <w:tc>
          <w:tcPr>
            <w:tcW w:w="1480" w:type="dxa"/>
            <w:vAlign w:val="bottom"/>
          </w:tcPr>
          <w:p>
            <w:pPr>
              <w:spacing w:after="0"/>
              <w:rPr>
                <w:sz w:val="14"/>
                <w:szCs w:val="14"/>
                <w:color w:val="auto"/>
              </w:rPr>
            </w:pP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Manufacturing Company Incorporated, The Holiman Co., Inc. and Roger Smith</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Consent of KPMG Peat Marwick LLP with respect to consolidated financial statements</w:t>
            </w:r>
          </w:p>
        </w:tc>
      </w:tr>
      <w:tr>
        <w:trPr>
          <w:trHeight w:val="166"/>
        </w:trPr>
        <w:tc>
          <w:tcPr>
            <w:tcW w:w="1480" w:type="dxa"/>
            <w:vAlign w:val="bottom"/>
          </w:tcPr>
          <w:p>
            <w:pPr>
              <w:spacing w:after="0"/>
              <w:rPr>
                <w:sz w:val="14"/>
                <w:szCs w:val="14"/>
                <w:color w:val="auto"/>
              </w:rPr>
            </w:pP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of Toro and the combined financial statements of James Hardie Irrigation, Inc.,</w:t>
            </w:r>
          </w:p>
        </w:tc>
      </w:tr>
      <w:tr>
        <w:trPr>
          <w:trHeight w:val="166"/>
        </w:trPr>
        <w:tc>
          <w:tcPr>
            <w:tcW w:w="1480" w:type="dxa"/>
            <w:vAlign w:val="bottom"/>
          </w:tcPr>
          <w:p>
            <w:pPr>
              <w:spacing w:after="0"/>
              <w:rPr>
                <w:sz w:val="14"/>
                <w:szCs w:val="14"/>
                <w:color w:val="auto"/>
              </w:rPr>
            </w:pP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James Hardie Irrigation Pty Limited and James Hardie Irrigation Europe S.p.A.</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Consent of Grant Thornton LLP with respect to financial statements of Exmark.</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Consent of J. Lawrence McIntyre, General Counsel of Toro (included on Exhibit 5).</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Consent of McCarthy &amp; Co. with respect to the fairness of the Merger.</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Power of Attorney.</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Form T-1 Statement of Eligibility under the Trust Indenture Act of 1939 of First</w:t>
            </w:r>
          </w:p>
        </w:tc>
      </w:tr>
      <w:tr>
        <w:trPr>
          <w:trHeight w:val="166"/>
        </w:trPr>
        <w:tc>
          <w:tcPr>
            <w:tcW w:w="1480" w:type="dxa"/>
            <w:vAlign w:val="bottom"/>
          </w:tcPr>
          <w:p>
            <w:pPr>
              <w:spacing w:after="0"/>
              <w:rPr>
                <w:sz w:val="14"/>
                <w:szCs w:val="14"/>
                <w:color w:val="auto"/>
              </w:rPr>
            </w:pP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Trust National Association as Trustee (incorporated by reference to the</w:t>
            </w:r>
          </w:p>
        </w:tc>
      </w:tr>
      <w:tr>
        <w:trPr>
          <w:trHeight w:val="166"/>
        </w:trPr>
        <w:tc>
          <w:tcPr>
            <w:tcW w:w="1480" w:type="dxa"/>
            <w:vAlign w:val="bottom"/>
          </w:tcPr>
          <w:p>
            <w:pPr>
              <w:spacing w:after="0"/>
              <w:rPr>
                <w:sz w:val="14"/>
                <w:szCs w:val="14"/>
                <w:color w:val="auto"/>
              </w:rPr>
            </w:pPr>
          </w:p>
        </w:tc>
        <w:tc>
          <w:tcPr>
            <w:tcW w:w="7400" w:type="dxa"/>
            <w:vAlign w:val="bottom"/>
          </w:tcPr>
          <w:p>
            <w:pPr>
              <w:ind w:left="160"/>
              <w:spacing w:after="0"/>
              <w:rPr>
                <w:sz w:val="20"/>
                <w:szCs w:val="20"/>
                <w:color w:val="auto"/>
              </w:rPr>
            </w:pPr>
            <w:r>
              <w:rPr>
                <w:rFonts w:ascii="Courier New" w:cs="Courier New" w:eastAsia="Courier New" w:hAnsi="Courier New"/>
                <w:sz w:val="14"/>
                <w:szCs w:val="14"/>
                <w:color w:val="auto"/>
              </w:rPr>
              <w:t>Registrant's Registration Statement on Form S-3, Registration No. 33-15385).</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99.1</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Form of Proxy Card for the Special Meeting.</w:t>
            </w:r>
          </w:p>
        </w:tc>
      </w:tr>
      <w:tr>
        <w:trPr>
          <w:trHeight w:val="331"/>
        </w:trPr>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99.2</w:t>
            </w:r>
          </w:p>
        </w:tc>
        <w:tc>
          <w:tcPr>
            <w:tcW w:w="7400" w:type="dxa"/>
            <w:vAlign w:val="bottom"/>
          </w:tcPr>
          <w:p>
            <w:pPr>
              <w:spacing w:after="0"/>
              <w:rPr>
                <w:sz w:val="20"/>
                <w:szCs w:val="20"/>
                <w:color w:val="auto"/>
              </w:rPr>
            </w:pPr>
            <w:r>
              <w:rPr>
                <w:rFonts w:ascii="Courier New" w:cs="Courier New" w:eastAsia="Courier New" w:hAnsi="Courier New"/>
                <w:sz w:val="14"/>
                <w:szCs w:val="14"/>
                <w:color w:val="auto"/>
              </w:rPr>
              <w:t>Cash Election Form.</w:t>
            </w:r>
          </w:p>
        </w:tc>
      </w:tr>
    </w:tbl>
    <w:p>
      <w:pPr>
        <w:sectPr>
          <w:pgSz w:w="11900" w:h="16838" w:orient="portrait"/>
          <w:cols w:equalWidth="0" w:num="1">
            <w:col w:w="10239"/>
          </w:cols>
          <w:pgMar w:left="220" w:top="782" w:right="1440" w:bottom="1440" w:gutter="0" w:footer="0" w:header="0"/>
        </w:sectPr>
      </w:pPr>
    </w:p>
    <w:bookmarkStart w:id="107" w:name="page108"/>
    <w:bookmarkEnd w:id="107"/>
    <w:p>
      <w:pPr>
        <w:ind w:left="5772"/>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ind w:left="172" w:hanging="172"/>
        <w:spacing w:after="0"/>
        <w:tabs>
          <w:tab w:leader="none" w:pos="17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AGREEMENT AND PLAN OF MERGER</w:t>
      </w:r>
    </w:p>
    <w:p>
      <w:pPr>
        <w:spacing w:after="0" w:line="200" w:lineRule="exact"/>
        <w:rPr>
          <w:sz w:val="20"/>
          <w:szCs w:val="20"/>
          <w:color w:val="auto"/>
        </w:rPr>
      </w:pPr>
    </w:p>
    <w:p>
      <w:pPr>
        <w:spacing w:after="0" w:line="304"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by and among</w:t>
      </w:r>
    </w:p>
    <w:p>
      <w:pPr>
        <w:spacing w:after="0" w:line="200" w:lineRule="exact"/>
        <w:rPr>
          <w:sz w:val="20"/>
          <w:szCs w:val="20"/>
          <w:color w:val="auto"/>
        </w:rPr>
      </w:pPr>
    </w:p>
    <w:p>
      <w:pPr>
        <w:spacing w:after="0" w:line="304"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752"/>
        <w:spacing w:after="0"/>
        <w:rPr>
          <w:sz w:val="20"/>
          <w:szCs w:val="20"/>
          <w:color w:val="auto"/>
        </w:rPr>
      </w:pPr>
      <w:r>
        <w:rPr>
          <w:rFonts w:ascii="Courier New" w:cs="Courier New" w:eastAsia="Courier New" w:hAnsi="Courier New"/>
          <w:sz w:val="14"/>
          <w:szCs w:val="14"/>
          <w:color w:val="auto"/>
        </w:rPr>
        <w:t>EMCI ACQUISITION CORP.</w:t>
      </w:r>
    </w:p>
    <w:p>
      <w:pPr>
        <w:spacing w:after="0" w:line="17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892"/>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October 23, 1997</w:t>
      </w:r>
    </w:p>
    <w:p>
      <w:pPr>
        <w:spacing w:after="0" w:line="338" w:lineRule="exact"/>
        <w:rPr>
          <w:sz w:val="20"/>
          <w:szCs w:val="20"/>
          <w:color w:val="auto"/>
        </w:rPr>
      </w:pPr>
    </w:p>
    <w:p>
      <w:pPr>
        <w:ind w:left="172" w:hanging="172"/>
        <w:spacing w:after="0"/>
        <w:tabs>
          <w:tab w:leader="none" w:pos="17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616" w:right="1440" w:bottom="1440" w:gutter="0" w:footer="0" w:header="0"/>
        </w:sectPr>
      </w:pPr>
    </w:p>
    <w:bookmarkStart w:id="108" w:name="page109"/>
    <w:bookmarkEnd w:id="108"/>
    <w:p>
      <w:pPr>
        <w:ind w:left="25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spacing w:after="0"/>
        <w:tabs>
          <w:tab w:leader="dot" w:pos="634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Effect of Merger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Effective Time</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Directors and Officers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Articles of Incorporation; Bylaws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Taking of Necessary Action; Further Action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The Closing</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spacing w:after="0"/>
        <w:tabs>
          <w:tab w:leader="dot" w:pos="6340" w:val="left"/>
        </w:tabs>
        <w:rPr>
          <w:sz w:val="20"/>
          <w:szCs w:val="20"/>
          <w:color w:val="auto"/>
        </w:rPr>
      </w:pPr>
      <w:r>
        <w:rPr>
          <w:rFonts w:ascii="Courier New" w:cs="Courier New" w:eastAsia="Courier New" w:hAnsi="Courier New"/>
          <w:sz w:val="14"/>
          <w:szCs w:val="14"/>
          <w:color w:val="auto"/>
        </w:rPr>
        <w:t>MERGER CONSIDERATION/EFFECT ON CAPITAL STOCK</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Effect on Exmark Capital Stock</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Determination of Merger Consideration</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Determination of Initial Payment Fund, Class B Initial Payment</w:t>
      </w:r>
    </w:p>
    <w:p>
      <w:pPr>
        <w:spacing w:after="0" w:line="7" w:lineRule="exact"/>
        <w:rPr>
          <w:sz w:val="20"/>
          <w:szCs w:val="20"/>
          <w:color w:val="auto"/>
        </w:rPr>
      </w:pPr>
    </w:p>
    <w:p>
      <w:pPr>
        <w:jc w:val="right"/>
        <w:ind w:right="3419"/>
        <w:spacing w:after="0"/>
        <w:tabs>
          <w:tab w:leader="dot" w:pos="80" w:val="left"/>
        </w:tabs>
        <w:rPr>
          <w:sz w:val="20"/>
          <w:szCs w:val="20"/>
          <w:color w:val="auto"/>
        </w:rPr>
      </w:pPr>
      <w:r>
        <w:rPr>
          <w:rFonts w:ascii="Courier New" w:cs="Courier New" w:eastAsia="Courier New" w:hAnsi="Courier New"/>
          <w:sz w:val="14"/>
          <w:szCs w:val="14"/>
          <w:color w:val="auto"/>
        </w:rPr>
        <w:t>Fund and Contingent Payment Funds; Deposit Procedures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Exchange/Payment Procedures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Dissenting Shares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No Fractional Shares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2.07</w:t>
      </w:r>
      <w:r>
        <w:rPr>
          <w:sz w:val="20"/>
          <w:szCs w:val="20"/>
          <w:color w:val="auto"/>
        </w:rPr>
        <w:tab/>
      </w:r>
      <w:r>
        <w:rPr>
          <w:rFonts w:ascii="Courier New" w:cs="Courier New" w:eastAsia="Courier New" w:hAnsi="Courier New"/>
          <w:sz w:val="14"/>
          <w:szCs w:val="14"/>
          <w:color w:val="auto"/>
        </w:rPr>
        <w:t>Other Exchange Matters</w:t>
      </w:r>
      <w:r>
        <w:rPr>
          <w:sz w:val="20"/>
          <w:szCs w:val="20"/>
          <w:color w:val="auto"/>
        </w:rPr>
        <w:tab/>
      </w:r>
      <w:r>
        <w:rPr>
          <w:rFonts w:ascii="Courier New" w:cs="Courier New" w:eastAsia="Courier New" w:hAnsi="Courier New"/>
          <w:sz w:val="14"/>
          <w:szCs w:val="14"/>
          <w:color w:val="auto"/>
        </w:rPr>
        <w:t>15</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879"/>
          </w:cols>
          <w:pgMar w:left="580" w:top="616"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REPRESENTATIONS AND WARRANTIES OF EXMARK</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Incorporation and Corporate Power</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3.02</w:t>
      </w:r>
      <w:r>
        <w:rPr>
          <w:sz w:val="20"/>
          <w:szCs w:val="20"/>
          <w:color w:val="auto"/>
        </w:rPr>
        <w:tab/>
      </w:r>
      <w:r>
        <w:rPr>
          <w:rFonts w:ascii="Courier New" w:cs="Courier New" w:eastAsia="Courier New" w:hAnsi="Courier New"/>
          <w:sz w:val="14"/>
          <w:szCs w:val="14"/>
          <w:color w:val="auto"/>
        </w:rPr>
        <w:t>Execution, Delivery and Performance; Valid and</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Binding Agreement</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3.03</w:t>
      </w:r>
      <w:r>
        <w:rPr>
          <w:sz w:val="20"/>
          <w:szCs w:val="20"/>
          <w:color w:val="auto"/>
        </w:rPr>
        <w:tab/>
      </w:r>
      <w:r>
        <w:rPr>
          <w:rFonts w:ascii="Courier New" w:cs="Courier New" w:eastAsia="Courier New" w:hAnsi="Courier New"/>
          <w:sz w:val="14"/>
          <w:szCs w:val="14"/>
          <w:color w:val="auto"/>
        </w:rPr>
        <w:t>Approval of Agreement; Stockholders' Meeting</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3.04</w:t>
      </w:r>
      <w:r>
        <w:rPr>
          <w:sz w:val="20"/>
          <w:szCs w:val="20"/>
          <w:color w:val="auto"/>
        </w:rPr>
        <w:tab/>
      </w:r>
      <w:r>
        <w:rPr>
          <w:rFonts w:ascii="Courier New" w:cs="Courier New" w:eastAsia="Courier New" w:hAnsi="Courier New"/>
          <w:sz w:val="14"/>
          <w:szCs w:val="14"/>
          <w:color w:val="auto"/>
        </w:rPr>
        <w:t>No Breach</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3.05</w:t>
      </w:r>
      <w:r>
        <w:rPr>
          <w:sz w:val="20"/>
          <w:szCs w:val="20"/>
          <w:color w:val="auto"/>
        </w:rPr>
        <w:tab/>
      </w:r>
      <w:r>
        <w:rPr>
          <w:rFonts w:ascii="Courier New" w:cs="Courier New" w:eastAsia="Courier New" w:hAnsi="Courier New"/>
          <w:sz w:val="14"/>
          <w:szCs w:val="14"/>
          <w:color w:val="auto"/>
        </w:rPr>
        <w:t>Governmental Authorities; Consents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Subsidiaries; Predecessors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Capital Stock</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3.09</w:t>
      </w:r>
      <w:r>
        <w:rPr>
          <w:sz w:val="20"/>
          <w:szCs w:val="20"/>
          <w:color w:val="auto"/>
        </w:rPr>
        <w:tab/>
      </w:r>
      <w:r>
        <w:rPr>
          <w:rFonts w:ascii="Courier New" w:cs="Courier New" w:eastAsia="Courier New" w:hAnsi="Courier New"/>
          <w:sz w:val="14"/>
          <w:szCs w:val="14"/>
          <w:color w:val="auto"/>
        </w:rPr>
        <w:t>Absence of Undisclosed Liabilities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No Material Adverse Changes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Absence of Certain Developments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Title to Properties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Accounts Receivable</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Inventory</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Tax Matters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Contracts and Commitments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Intellectual Property Rights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Warranties; Products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33</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9879"/>
          </w:cols>
          <w:pgMar w:left="580" w:top="782" w:right="1440" w:bottom="1440" w:gutter="0" w:footer="0" w:header="0"/>
        </w:sectPr>
      </w:pPr>
    </w:p>
    <w:bookmarkStart w:id="110" w:name="page111"/>
    <w:bookmarkEnd w:id="110"/>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Employee Benefit Plans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Affiliate Transactions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Customers and Suppliers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Distributors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3.26</w:t>
      </w:r>
      <w:r>
        <w:rPr>
          <w:sz w:val="20"/>
          <w:szCs w:val="20"/>
          <w:color w:val="auto"/>
        </w:rPr>
        <w:tab/>
      </w:r>
      <w:r>
        <w:rPr>
          <w:rFonts w:ascii="Courier New" w:cs="Courier New" w:eastAsia="Courier New" w:hAnsi="Courier New"/>
          <w:sz w:val="14"/>
          <w:szCs w:val="14"/>
          <w:color w:val="auto"/>
        </w:rPr>
        <w:t>Officers and Directors; Bank Accounts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Compliance with Laws; Permits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3.30</w:t>
      </w:r>
      <w:r>
        <w:rPr>
          <w:sz w:val="20"/>
          <w:szCs w:val="20"/>
          <w:color w:val="auto"/>
        </w:rPr>
        <w:tab/>
      </w:r>
      <w:r>
        <w:rPr>
          <w:rFonts w:ascii="Courier New" w:cs="Courier New" w:eastAsia="Courier New" w:hAnsi="Courier New"/>
          <w:sz w:val="14"/>
          <w:szCs w:val="14"/>
          <w:color w:val="auto"/>
        </w:rPr>
        <w:t>Opinion of Financial Advisor</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3.31</w:t>
      </w:r>
      <w:r>
        <w:rPr>
          <w:sz w:val="20"/>
          <w:szCs w:val="20"/>
          <w:color w:val="auto"/>
        </w:rPr>
        <w:tab/>
      </w:r>
      <w:r>
        <w:rPr>
          <w:rFonts w:ascii="Courier New" w:cs="Courier New" w:eastAsia="Courier New" w:hAnsi="Courier New"/>
          <w:sz w:val="14"/>
          <w:szCs w:val="14"/>
          <w:color w:val="auto"/>
        </w:rPr>
        <w:t>Stockholder Agreements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3.32</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Disclosure</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TORO</w:t>
      </w:r>
    </w:p>
    <w:p>
      <w:pPr>
        <w:spacing w:after="0" w:line="7"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AND MERGER SUBSIDIARY</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4.01</w:t>
      </w:r>
      <w:r>
        <w:rPr>
          <w:sz w:val="20"/>
          <w:szCs w:val="20"/>
          <w:color w:val="auto"/>
        </w:rPr>
        <w:tab/>
      </w:r>
      <w:r>
        <w:rPr>
          <w:rFonts w:ascii="Courier New" w:cs="Courier New" w:eastAsia="Courier New" w:hAnsi="Courier New"/>
          <w:sz w:val="14"/>
          <w:szCs w:val="14"/>
          <w:color w:val="auto"/>
        </w:rPr>
        <w:t>Incorporation and Corporate Power</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4.02</w:t>
      </w:r>
      <w:r>
        <w:rPr>
          <w:sz w:val="20"/>
          <w:szCs w:val="20"/>
          <w:color w:val="auto"/>
        </w:rPr>
        <w:tab/>
      </w:r>
      <w:r>
        <w:rPr>
          <w:rFonts w:ascii="Courier New" w:cs="Courier New" w:eastAsia="Courier New" w:hAnsi="Courier New"/>
          <w:sz w:val="14"/>
          <w:szCs w:val="14"/>
          <w:color w:val="auto"/>
        </w:rPr>
        <w:t>Execution, Delivery and Performance; Valid and</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Binding Agreement</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4.03</w:t>
      </w:r>
      <w:r>
        <w:rPr>
          <w:sz w:val="20"/>
          <w:szCs w:val="20"/>
          <w:color w:val="auto"/>
        </w:rPr>
        <w:tab/>
      </w:r>
      <w:r>
        <w:rPr>
          <w:rFonts w:ascii="Courier New" w:cs="Courier New" w:eastAsia="Courier New" w:hAnsi="Courier New"/>
          <w:sz w:val="14"/>
          <w:szCs w:val="14"/>
          <w:color w:val="auto"/>
        </w:rPr>
        <w:t>No Breach</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4.04</w:t>
      </w:r>
      <w:r>
        <w:rPr>
          <w:sz w:val="20"/>
          <w:szCs w:val="20"/>
          <w:color w:val="auto"/>
        </w:rPr>
        <w:tab/>
      </w:r>
      <w:r>
        <w:rPr>
          <w:rFonts w:ascii="Courier New" w:cs="Courier New" w:eastAsia="Courier New" w:hAnsi="Courier New"/>
          <w:sz w:val="14"/>
          <w:szCs w:val="14"/>
          <w:color w:val="auto"/>
        </w:rPr>
        <w:t>Merger Subsidiary</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4.05</w:t>
      </w:r>
      <w:r>
        <w:rPr>
          <w:sz w:val="20"/>
          <w:szCs w:val="20"/>
          <w:color w:val="auto"/>
        </w:rPr>
        <w:tab/>
      </w:r>
      <w:r>
        <w:rPr>
          <w:rFonts w:ascii="Courier New" w:cs="Courier New" w:eastAsia="Courier New" w:hAnsi="Courier New"/>
          <w:sz w:val="14"/>
          <w:szCs w:val="14"/>
          <w:color w:val="auto"/>
        </w:rPr>
        <w:t>Governmental Authorities; Consents</w:t>
      </w:r>
      <w:r>
        <w:rPr>
          <w:sz w:val="20"/>
          <w:szCs w:val="20"/>
          <w:color w:val="auto"/>
        </w:rPr>
        <w:tab/>
      </w:r>
      <w:r>
        <w:rPr>
          <w:rFonts w:ascii="Courier New" w:cs="Courier New" w:eastAsia="Courier New" w:hAnsi="Courier New"/>
          <w:sz w:val="14"/>
          <w:szCs w:val="14"/>
          <w:color w:val="auto"/>
        </w:rPr>
        <w:t>44</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879"/>
          </w:cols>
          <w:pgMar w:left="580" w:top="782" w:right="1440" w:bottom="1440" w:gutter="0" w:footer="0" w:header="0"/>
        </w:sectPr>
      </w:pPr>
    </w:p>
    <w:bookmarkStart w:id="111" w:name="page112"/>
    <w:bookmarkEnd w:id="111"/>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4.06</w:t>
      </w:r>
      <w:r>
        <w:rPr>
          <w:sz w:val="20"/>
          <w:szCs w:val="20"/>
          <w:color w:val="auto"/>
        </w:rPr>
        <w:tab/>
      </w: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4.07</w:t>
      </w:r>
      <w:r>
        <w:rPr>
          <w:sz w:val="20"/>
          <w:szCs w:val="20"/>
          <w:color w:val="auto"/>
        </w:rPr>
        <w:tab/>
      </w:r>
      <w:r>
        <w:rPr>
          <w:rFonts w:ascii="Courier New" w:cs="Courier New" w:eastAsia="Courier New" w:hAnsi="Courier New"/>
          <w:sz w:val="14"/>
          <w:szCs w:val="14"/>
          <w:color w:val="auto"/>
        </w:rPr>
        <w:t>SEC Documents</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4.08</w:t>
      </w:r>
      <w:r>
        <w:rPr>
          <w:sz w:val="20"/>
          <w:szCs w:val="20"/>
          <w:color w:val="auto"/>
        </w:rPr>
        <w:tab/>
      </w:r>
      <w:r>
        <w:rPr>
          <w:rFonts w:ascii="Courier New" w:cs="Courier New" w:eastAsia="Courier New" w:hAnsi="Courier New"/>
          <w:sz w:val="14"/>
          <w:szCs w:val="14"/>
          <w:color w:val="auto"/>
        </w:rPr>
        <w:t>Capital Stock</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Current Plans or Intentions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Due Authorization of Stock Issued in Merger</w:t>
      </w:r>
      <w:r>
        <w:rPr>
          <w:sz w:val="20"/>
          <w:szCs w:val="20"/>
          <w:color w:val="auto"/>
        </w:rPr>
        <w:tab/>
      </w:r>
      <w:r>
        <w:rPr>
          <w:rFonts w:ascii="Courier New" w:cs="Courier New" w:eastAsia="Courier New" w:hAnsi="Courier New"/>
          <w:sz w:val="14"/>
          <w:szCs w:val="14"/>
          <w:color w:val="auto"/>
        </w:rPr>
        <w:t>46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COVENANTS OF EXMARK</w:t>
      </w:r>
      <w:r>
        <w:rPr>
          <w:sz w:val="20"/>
          <w:szCs w:val="20"/>
          <w:color w:val="auto"/>
        </w:rPr>
        <w:tab/>
      </w:r>
      <w:r>
        <w:rPr>
          <w:rFonts w:ascii="Courier New" w:cs="Courier New" w:eastAsia="Courier New" w:hAnsi="Courier New"/>
          <w:sz w:val="14"/>
          <w:szCs w:val="14"/>
          <w:color w:val="auto"/>
        </w:rPr>
        <w:t>47</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5.01</w:t>
      </w:r>
      <w:r>
        <w:rPr>
          <w:sz w:val="20"/>
          <w:szCs w:val="20"/>
          <w:color w:val="auto"/>
        </w:rPr>
        <w:tab/>
      </w:r>
      <w:r>
        <w:rPr>
          <w:rFonts w:ascii="Courier New" w:cs="Courier New" w:eastAsia="Courier New" w:hAnsi="Courier New"/>
          <w:sz w:val="14"/>
          <w:szCs w:val="14"/>
          <w:color w:val="auto"/>
        </w:rPr>
        <w:t>Conduct of the Business</w:t>
      </w:r>
      <w:r>
        <w:rPr>
          <w:sz w:val="20"/>
          <w:szCs w:val="20"/>
          <w:color w:val="auto"/>
        </w:rPr>
        <w:tab/>
      </w:r>
      <w:r>
        <w:rPr>
          <w:rFonts w:ascii="Courier New" w:cs="Courier New" w:eastAsia="Courier New" w:hAnsi="Courier New"/>
          <w:sz w:val="14"/>
          <w:szCs w:val="14"/>
          <w:color w:val="auto"/>
        </w:rPr>
        <w:t>47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5.02</w:t>
      </w:r>
      <w:r>
        <w:rPr>
          <w:sz w:val="20"/>
          <w:szCs w:val="20"/>
          <w:color w:val="auto"/>
        </w:rPr>
        <w:tab/>
      </w:r>
      <w:r>
        <w:rPr>
          <w:rFonts w:ascii="Courier New" w:cs="Courier New" w:eastAsia="Courier New" w:hAnsi="Courier New"/>
          <w:sz w:val="14"/>
          <w:szCs w:val="14"/>
          <w:color w:val="auto"/>
        </w:rPr>
        <w:t>Access to Books and Records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5.03</w:t>
      </w:r>
      <w:r>
        <w:rPr>
          <w:sz w:val="20"/>
          <w:szCs w:val="20"/>
          <w:color w:val="auto"/>
        </w:rPr>
        <w:tab/>
      </w:r>
      <w:r>
        <w:rPr>
          <w:rFonts w:ascii="Courier New" w:cs="Courier New" w:eastAsia="Courier New" w:hAnsi="Courier New"/>
          <w:sz w:val="14"/>
          <w:szCs w:val="14"/>
          <w:color w:val="auto"/>
        </w:rPr>
        <w:t>Stockholders' Meeting</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5.04</w:t>
      </w:r>
      <w:r>
        <w:rPr>
          <w:sz w:val="20"/>
          <w:szCs w:val="20"/>
          <w:color w:val="auto"/>
        </w:rPr>
        <w:tab/>
      </w:r>
      <w:r>
        <w:rPr>
          <w:rFonts w:ascii="Courier New" w:cs="Courier New" w:eastAsia="Courier New" w:hAnsi="Courier New"/>
          <w:sz w:val="14"/>
          <w:szCs w:val="14"/>
          <w:color w:val="auto"/>
        </w:rPr>
        <w:t>Regulatory Filings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5.05</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5.06</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5.07</w:t>
      </w:r>
      <w:r>
        <w:rPr>
          <w:sz w:val="20"/>
          <w:szCs w:val="20"/>
          <w:color w:val="auto"/>
        </w:rPr>
        <w:tab/>
      </w:r>
      <w:r>
        <w:rPr>
          <w:rFonts w:ascii="Courier New" w:cs="Courier New" w:eastAsia="Courier New" w:hAnsi="Courier New"/>
          <w:sz w:val="14"/>
          <w:szCs w:val="14"/>
          <w:color w:val="auto"/>
        </w:rPr>
        <w:t>Conditions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5.08</w:t>
      </w:r>
      <w:r>
        <w:rPr>
          <w:sz w:val="20"/>
          <w:szCs w:val="20"/>
          <w:color w:val="auto"/>
        </w:rPr>
        <w:tab/>
      </w:r>
      <w:r>
        <w:rPr>
          <w:rFonts w:ascii="Courier New" w:cs="Courier New" w:eastAsia="Courier New" w:hAnsi="Courier New"/>
          <w:sz w:val="14"/>
          <w:szCs w:val="14"/>
          <w:color w:val="auto"/>
        </w:rPr>
        <w:t>No Negotiations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5.09</w:t>
      </w:r>
      <w:r>
        <w:rPr>
          <w:sz w:val="20"/>
          <w:szCs w:val="20"/>
          <w:color w:val="auto"/>
        </w:rPr>
        <w:tab/>
      </w:r>
      <w:r>
        <w:rPr>
          <w:rFonts w:ascii="Courier New" w:cs="Courier New" w:eastAsia="Courier New" w:hAnsi="Courier New"/>
          <w:sz w:val="14"/>
          <w:szCs w:val="14"/>
          <w:color w:val="auto"/>
        </w:rPr>
        <w:t>Exercise or Cancellation of Outstanding Purchase Rights</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Exmark Class B and Class C Stock</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Notification; Amendment to Disclosure Schedule</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5.12</w:t>
      </w:r>
      <w:r>
        <w:rPr>
          <w:sz w:val="20"/>
          <w:szCs w:val="20"/>
          <w:color w:val="auto"/>
        </w:rPr>
        <w:tab/>
      </w:r>
      <w:r>
        <w:rPr>
          <w:rFonts w:ascii="Courier New" w:cs="Courier New" w:eastAsia="Courier New" w:hAnsi="Courier New"/>
          <w:sz w:val="14"/>
          <w:szCs w:val="14"/>
          <w:color w:val="auto"/>
        </w:rPr>
        <w:t>Employee Agreements</w:t>
      </w:r>
      <w:r>
        <w:rPr>
          <w:sz w:val="20"/>
          <w:szCs w:val="20"/>
          <w:color w:val="auto"/>
        </w:rPr>
        <w:tab/>
      </w:r>
      <w:r>
        <w:rPr>
          <w:rFonts w:ascii="Courier New" w:cs="Courier New" w:eastAsia="Courier New" w:hAnsi="Courier New"/>
          <w:sz w:val="14"/>
          <w:szCs w:val="14"/>
          <w:color w:val="auto"/>
        </w:rPr>
        <w:t>53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COVENANTS OF TORO AND MERGER SUBSIDIARY</w:t>
      </w:r>
      <w:r>
        <w:rPr>
          <w:sz w:val="20"/>
          <w:szCs w:val="20"/>
          <w:color w:val="auto"/>
        </w:rPr>
        <w:tab/>
      </w:r>
      <w:r>
        <w:rPr>
          <w:rFonts w:ascii="Courier New" w:cs="Courier New" w:eastAsia="Courier New" w:hAnsi="Courier New"/>
          <w:sz w:val="14"/>
          <w:szCs w:val="14"/>
          <w:color w:val="auto"/>
        </w:rPr>
        <w:t>53</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879"/>
          </w:cols>
          <w:pgMar w:left="580" w:top="782" w:right="1440" w:bottom="1440" w:gutter="0" w:footer="0" w:header="0"/>
        </w:sectPr>
      </w:pPr>
    </w:p>
    <w:bookmarkStart w:id="112" w:name="page113"/>
    <w:bookmarkEnd w:id="112"/>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6.01</w:t>
      </w:r>
      <w:r>
        <w:rPr>
          <w:sz w:val="20"/>
          <w:szCs w:val="20"/>
          <w:color w:val="auto"/>
        </w:rPr>
        <w:tab/>
      </w:r>
      <w:r>
        <w:rPr>
          <w:rFonts w:ascii="Courier New" w:cs="Courier New" w:eastAsia="Courier New" w:hAnsi="Courier New"/>
          <w:sz w:val="14"/>
          <w:szCs w:val="14"/>
          <w:color w:val="auto"/>
        </w:rPr>
        <w:t>Regulatory Filings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6.02</w:t>
      </w:r>
      <w:r>
        <w:rPr>
          <w:sz w:val="20"/>
          <w:szCs w:val="20"/>
          <w:color w:val="auto"/>
        </w:rPr>
        <w:tab/>
      </w:r>
      <w:r>
        <w:rPr>
          <w:rFonts w:ascii="Courier New" w:cs="Courier New" w:eastAsia="Courier New" w:hAnsi="Courier New"/>
          <w:sz w:val="14"/>
          <w:szCs w:val="14"/>
          <w:color w:val="auto"/>
        </w:rPr>
        <w:t>Conditions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6.03</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6.04</w:t>
      </w:r>
      <w:r>
        <w:rPr>
          <w:sz w:val="20"/>
          <w:szCs w:val="20"/>
          <w:color w:val="auto"/>
        </w:rPr>
        <w:tab/>
      </w:r>
      <w:r>
        <w:rPr>
          <w:rFonts w:ascii="Courier New" w:cs="Courier New" w:eastAsia="Courier New" w:hAnsi="Courier New"/>
          <w:sz w:val="14"/>
          <w:szCs w:val="14"/>
          <w:color w:val="auto"/>
        </w:rPr>
        <w:t>Stock Exchange Listings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6.05</w:t>
      </w:r>
      <w:r>
        <w:rPr>
          <w:sz w:val="20"/>
          <w:szCs w:val="20"/>
          <w:color w:val="auto"/>
        </w:rPr>
        <w:tab/>
      </w:r>
      <w:r>
        <w:rPr>
          <w:rFonts w:ascii="Courier New" w:cs="Courier New" w:eastAsia="Courier New" w:hAnsi="Courier New"/>
          <w:sz w:val="14"/>
          <w:szCs w:val="14"/>
          <w:color w:val="auto"/>
        </w:rPr>
        <w:t>Due Authorization of Stock Issued in Merger</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6.06</w:t>
      </w:r>
      <w:r>
        <w:rPr>
          <w:sz w:val="20"/>
          <w:szCs w:val="20"/>
          <w:color w:val="auto"/>
        </w:rPr>
        <w:tab/>
      </w:r>
      <w:r>
        <w:rPr>
          <w:rFonts w:ascii="Courier New" w:cs="Courier New" w:eastAsia="Courier New" w:hAnsi="Courier New"/>
          <w:sz w:val="14"/>
          <w:szCs w:val="14"/>
          <w:color w:val="auto"/>
        </w:rPr>
        <w:t>Blue Sky Approvals</w:t>
      </w:r>
      <w:r>
        <w:rPr>
          <w:sz w:val="20"/>
          <w:szCs w:val="20"/>
          <w:color w:val="auto"/>
        </w:rPr>
        <w:tab/>
      </w:r>
      <w:r>
        <w:rPr>
          <w:rFonts w:ascii="Courier New" w:cs="Courier New" w:eastAsia="Courier New" w:hAnsi="Courier New"/>
          <w:sz w:val="14"/>
          <w:szCs w:val="14"/>
          <w:color w:val="auto"/>
        </w:rPr>
        <w:t>54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CONDUCT OF EXMARK AFTER THE ACQUISITION</w:t>
      </w:r>
      <w:r>
        <w:rPr>
          <w:sz w:val="20"/>
          <w:szCs w:val="20"/>
          <w:color w:val="auto"/>
        </w:rPr>
        <w:tab/>
      </w:r>
      <w:r>
        <w:rPr>
          <w:rFonts w:ascii="Courier New" w:cs="Courier New" w:eastAsia="Courier New" w:hAnsi="Courier New"/>
          <w:sz w:val="14"/>
          <w:szCs w:val="14"/>
          <w:color w:val="auto"/>
        </w:rPr>
        <w:t>55</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7.01</w:t>
      </w:r>
      <w:r>
        <w:rPr>
          <w:sz w:val="20"/>
          <w:szCs w:val="20"/>
          <w:color w:val="auto"/>
        </w:rPr>
        <w:tab/>
      </w:r>
      <w:r>
        <w:rPr>
          <w:rFonts w:ascii="Courier New" w:cs="Courier New" w:eastAsia="Courier New" w:hAnsi="Courier New"/>
          <w:sz w:val="14"/>
          <w:szCs w:val="14"/>
          <w:color w:val="auto"/>
        </w:rPr>
        <w:t>Stand-alone Status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Synergies Council</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7.03</w:t>
      </w:r>
      <w:r>
        <w:rPr>
          <w:sz w:val="20"/>
          <w:szCs w:val="20"/>
          <w:color w:val="auto"/>
        </w:rPr>
        <w:tab/>
      </w:r>
      <w:r>
        <w:rPr>
          <w:rFonts w:ascii="Courier New" w:cs="Courier New" w:eastAsia="Courier New" w:hAnsi="Courier New"/>
          <w:sz w:val="14"/>
          <w:szCs w:val="14"/>
          <w:color w:val="auto"/>
        </w:rPr>
        <w:t>REBIT Thresholds; Toro Control</w:t>
      </w:r>
      <w:r>
        <w:rPr>
          <w:sz w:val="20"/>
          <w:szCs w:val="20"/>
          <w:color w:val="auto"/>
        </w:rPr>
        <w:tab/>
      </w:r>
      <w:r>
        <w:rPr>
          <w:rFonts w:ascii="Courier New" w:cs="Courier New" w:eastAsia="Courier New" w:hAnsi="Courier New"/>
          <w:sz w:val="14"/>
          <w:szCs w:val="14"/>
          <w:color w:val="auto"/>
        </w:rPr>
        <w:t>58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CONDITIONS TO CLOSING</w:t>
      </w:r>
      <w:r>
        <w:rPr>
          <w:sz w:val="20"/>
          <w:szCs w:val="20"/>
          <w:color w:val="auto"/>
        </w:rPr>
        <w:tab/>
      </w:r>
      <w:r>
        <w:rPr>
          <w:rFonts w:ascii="Courier New" w:cs="Courier New" w:eastAsia="Courier New" w:hAnsi="Courier New"/>
          <w:sz w:val="14"/>
          <w:szCs w:val="14"/>
          <w:color w:val="auto"/>
        </w:rPr>
        <w:t>58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8.01</w:t>
      </w:r>
      <w:r>
        <w:rPr>
          <w:sz w:val="20"/>
          <w:szCs w:val="20"/>
          <w:color w:val="auto"/>
        </w:rPr>
        <w:tab/>
      </w:r>
      <w:r>
        <w:rPr>
          <w:rFonts w:ascii="Courier New" w:cs="Courier New" w:eastAsia="Courier New" w:hAnsi="Courier New"/>
          <w:sz w:val="14"/>
          <w:szCs w:val="14"/>
          <w:color w:val="auto"/>
        </w:rPr>
        <w:t>Conditions to Toro's and Merger Subsidiary's Obligations</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8.02</w:t>
      </w:r>
      <w:r>
        <w:rPr>
          <w:sz w:val="20"/>
          <w:szCs w:val="20"/>
          <w:color w:val="auto"/>
        </w:rPr>
        <w:tab/>
      </w:r>
      <w:r>
        <w:rPr>
          <w:rFonts w:ascii="Courier New" w:cs="Courier New" w:eastAsia="Courier New" w:hAnsi="Courier New"/>
          <w:sz w:val="14"/>
          <w:szCs w:val="14"/>
          <w:color w:val="auto"/>
        </w:rPr>
        <w:t>Conditions to Exmark's Obligations</w:t>
      </w:r>
      <w:r>
        <w:rPr>
          <w:sz w:val="20"/>
          <w:szCs w:val="20"/>
          <w:color w:val="auto"/>
        </w:rPr>
        <w:tab/>
      </w:r>
      <w:r>
        <w:rPr>
          <w:rFonts w:ascii="Courier New" w:cs="Courier New" w:eastAsia="Courier New" w:hAnsi="Courier New"/>
          <w:sz w:val="14"/>
          <w:szCs w:val="14"/>
          <w:color w:val="auto"/>
        </w:rPr>
        <w:t>62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64</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9.01</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9.02</w:t>
      </w:r>
      <w:r>
        <w:rPr>
          <w:sz w:val="20"/>
          <w:szCs w:val="20"/>
          <w:color w:val="auto"/>
        </w:rPr>
        <w:tab/>
      </w:r>
      <w:r>
        <w:rPr>
          <w:rFonts w:ascii="Courier New" w:cs="Courier New" w:eastAsia="Courier New" w:hAnsi="Courier New"/>
          <w:sz w:val="14"/>
          <w:szCs w:val="14"/>
          <w:color w:val="auto"/>
        </w:rPr>
        <w:t>Effect of Termination</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9.03</w:t>
      </w:r>
      <w:r>
        <w:rPr>
          <w:sz w:val="20"/>
          <w:szCs w:val="20"/>
          <w:color w:val="auto"/>
        </w:rPr>
        <w:tab/>
      </w:r>
      <w:r>
        <w:rPr>
          <w:rFonts w:ascii="Courier New" w:cs="Courier New" w:eastAsia="Courier New" w:hAnsi="Courier New"/>
          <w:sz w:val="14"/>
          <w:szCs w:val="14"/>
          <w:color w:val="auto"/>
        </w:rPr>
        <w:t>Termination Fee</w:t>
      </w:r>
      <w:r>
        <w:rPr>
          <w:sz w:val="20"/>
          <w:szCs w:val="20"/>
          <w:color w:val="auto"/>
        </w:rPr>
        <w:tab/>
      </w:r>
      <w:r>
        <w:rPr>
          <w:rFonts w:ascii="Courier New" w:cs="Courier New" w:eastAsia="Courier New" w:hAnsi="Courier New"/>
          <w:sz w:val="14"/>
          <w:szCs w:val="14"/>
          <w:color w:val="auto"/>
        </w:rPr>
        <w:t>66</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9879"/>
          </w:cols>
          <w:pgMar w:left="580" w:top="782"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THE STOCKHOLDERS' REPRESENTATIVE</w:t>
      </w:r>
      <w:r>
        <w:rPr>
          <w:sz w:val="20"/>
          <w:szCs w:val="20"/>
          <w:color w:val="auto"/>
        </w:rPr>
        <w:tab/>
      </w:r>
      <w:r>
        <w:rPr>
          <w:rFonts w:ascii="Courier New" w:cs="Courier New" w:eastAsia="Courier New" w:hAnsi="Courier New"/>
          <w:sz w:val="14"/>
          <w:szCs w:val="14"/>
          <w:color w:val="auto"/>
        </w:rPr>
        <w:t>67</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10.01</w:t>
      </w:r>
      <w:r>
        <w:rPr>
          <w:sz w:val="20"/>
          <w:szCs w:val="20"/>
          <w:color w:val="auto"/>
        </w:rPr>
        <w:tab/>
      </w:r>
      <w:r>
        <w:rPr>
          <w:rFonts w:ascii="Courier New" w:cs="Courier New" w:eastAsia="Courier New" w:hAnsi="Courier New"/>
          <w:sz w:val="14"/>
          <w:szCs w:val="14"/>
          <w:color w:val="auto"/>
        </w:rPr>
        <w:t>Appointment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10.02</w:t>
      </w:r>
      <w:r>
        <w:rPr>
          <w:sz w:val="20"/>
          <w:szCs w:val="20"/>
          <w:color w:val="auto"/>
        </w:rPr>
        <w:tab/>
      </w:r>
      <w:r>
        <w:rPr>
          <w:rFonts w:ascii="Courier New" w:cs="Courier New" w:eastAsia="Courier New" w:hAnsi="Courier New"/>
          <w:sz w:val="14"/>
          <w:szCs w:val="14"/>
          <w:color w:val="auto"/>
        </w:rPr>
        <w:t>Election and Replacement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10.03</w:t>
      </w:r>
      <w:r>
        <w:rPr>
          <w:sz w:val="20"/>
          <w:szCs w:val="20"/>
          <w:color w:val="auto"/>
        </w:rPr>
        <w:tab/>
      </w:r>
      <w:r>
        <w:rPr>
          <w:rFonts w:ascii="Courier New" w:cs="Courier New" w:eastAsia="Courier New" w:hAnsi="Courier New"/>
          <w:sz w:val="14"/>
          <w:szCs w:val="14"/>
          <w:color w:val="auto"/>
        </w:rPr>
        <w:t>Authority</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10.04</w:t>
      </w:r>
      <w:r>
        <w:rPr>
          <w:sz w:val="20"/>
          <w:szCs w:val="20"/>
          <w:color w:val="auto"/>
        </w:rPr>
        <w:tab/>
      </w:r>
      <w:r>
        <w:rPr>
          <w:rFonts w:ascii="Courier New" w:cs="Courier New" w:eastAsia="Courier New" w:hAnsi="Courier New"/>
          <w:sz w:val="14"/>
          <w:szCs w:val="14"/>
          <w:color w:val="auto"/>
        </w:rPr>
        <w:t>No Liability of Toro</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SURVIVAL AND OFFSET</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11.01</w:t>
      </w:r>
      <w:r>
        <w:rPr>
          <w:sz w:val="20"/>
          <w:szCs w:val="20"/>
          <w:color w:val="auto"/>
        </w:rPr>
        <w:tab/>
      </w:r>
      <w:r>
        <w:rPr>
          <w:rFonts w:ascii="Courier New" w:cs="Courier New" w:eastAsia="Courier New" w:hAnsi="Courier New"/>
          <w:sz w:val="14"/>
          <w:szCs w:val="14"/>
          <w:color w:val="auto"/>
        </w:rPr>
        <w:t>Survival of Representations and Warranties</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11.02</w:t>
      </w:r>
      <w:r>
        <w:rPr>
          <w:sz w:val="20"/>
          <w:szCs w:val="20"/>
          <w:color w:val="auto"/>
        </w:rPr>
        <w:tab/>
      </w:r>
      <w:r>
        <w:rPr>
          <w:rFonts w:ascii="Courier New" w:cs="Courier New" w:eastAsia="Courier New" w:hAnsi="Courier New"/>
          <w:sz w:val="14"/>
          <w:szCs w:val="14"/>
          <w:color w:val="auto"/>
        </w:rPr>
        <w:t>Right of Offset</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ANCILLARY AGREEMENTS</w:t>
      </w:r>
      <w:r>
        <w:rPr>
          <w:sz w:val="20"/>
          <w:szCs w:val="20"/>
          <w:color w:val="auto"/>
        </w:rPr>
        <w:tab/>
      </w: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12.01</w:t>
      </w:r>
      <w:r>
        <w:rPr>
          <w:sz w:val="20"/>
          <w:szCs w:val="20"/>
          <w:color w:val="auto"/>
        </w:rPr>
        <w:tab/>
      </w:r>
      <w:r>
        <w:rPr>
          <w:rFonts w:ascii="Courier New" w:cs="Courier New" w:eastAsia="Courier New" w:hAnsi="Courier New"/>
          <w:sz w:val="14"/>
          <w:szCs w:val="14"/>
          <w:color w:val="auto"/>
        </w:rPr>
        <w:t>Stockholder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12.02</w:t>
      </w:r>
      <w:r>
        <w:rPr>
          <w:sz w:val="20"/>
          <w:szCs w:val="20"/>
          <w:color w:val="auto"/>
        </w:rPr>
        <w:tab/>
      </w:r>
      <w:r>
        <w:rPr>
          <w:rFonts w:ascii="Courier New" w:cs="Courier New" w:eastAsia="Courier New" w:hAnsi="Courier New"/>
          <w:sz w:val="14"/>
          <w:szCs w:val="14"/>
          <w:color w:val="auto"/>
        </w:rPr>
        <w:t>Affiliate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12.03</w:t>
      </w:r>
      <w:r>
        <w:rPr>
          <w:sz w:val="20"/>
          <w:szCs w:val="20"/>
          <w:color w:val="auto"/>
        </w:rPr>
        <w:tab/>
      </w:r>
      <w:r>
        <w:rPr>
          <w:rFonts w:ascii="Courier New" w:cs="Courier New" w:eastAsia="Courier New" w:hAnsi="Courier New"/>
          <w:sz w:val="14"/>
          <w:szCs w:val="14"/>
          <w:color w:val="auto"/>
        </w:rPr>
        <w:t>Employment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12.04</w:t>
      </w:r>
      <w:r>
        <w:rPr>
          <w:sz w:val="20"/>
          <w:szCs w:val="20"/>
          <w:color w:val="auto"/>
        </w:rPr>
        <w:tab/>
      </w:r>
      <w:r>
        <w:rPr>
          <w:rFonts w:ascii="Courier New" w:cs="Courier New" w:eastAsia="Courier New" w:hAnsi="Courier New"/>
          <w:sz w:val="14"/>
          <w:szCs w:val="14"/>
          <w:color w:val="auto"/>
        </w:rPr>
        <w:t>Escrow Agreement</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12.05</w:t>
      </w:r>
      <w:r>
        <w:rPr>
          <w:sz w:val="20"/>
          <w:szCs w:val="20"/>
          <w:color w:val="auto"/>
        </w:rPr>
        <w:tab/>
      </w:r>
      <w:r>
        <w:rPr>
          <w:rFonts w:ascii="Courier New" w:cs="Courier New" w:eastAsia="Courier New" w:hAnsi="Courier New"/>
          <w:sz w:val="14"/>
          <w:szCs w:val="14"/>
          <w:color w:val="auto"/>
        </w:rPr>
        <w:t>Paying Agent Agreement</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12.06</w:t>
      </w:r>
      <w:r>
        <w:rPr>
          <w:sz w:val="20"/>
          <w:szCs w:val="20"/>
          <w:color w:val="auto"/>
        </w:rPr>
        <w:tab/>
      </w:r>
      <w:r>
        <w:rPr>
          <w:rFonts w:ascii="Courier New" w:cs="Courier New" w:eastAsia="Courier New" w:hAnsi="Courier New"/>
          <w:sz w:val="14"/>
          <w:szCs w:val="14"/>
          <w:color w:val="auto"/>
        </w:rPr>
        <w:t>Stock for Stock Exchange Agreement.</w:t>
      </w:r>
      <w:r>
        <w:rPr>
          <w:sz w:val="20"/>
          <w:szCs w:val="20"/>
          <w:color w:val="auto"/>
        </w:rPr>
        <w:tab/>
      </w:r>
      <w:r>
        <w:rPr>
          <w:rFonts w:ascii="Courier New" w:cs="Courier New" w:eastAsia="Courier New" w:hAnsi="Courier New"/>
          <w:sz w:val="14"/>
          <w:szCs w:val="14"/>
          <w:color w:val="auto"/>
        </w:rPr>
        <w:t>74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74</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9879"/>
          </w:cols>
          <w:pgMar w:left="580" w:top="782" w:right="1440" w:bottom="1440" w:gutter="0" w:footer="0" w:header="0"/>
        </w:sectPr>
      </w:pPr>
    </w:p>
    <w:bookmarkStart w:id="114" w:name="page115"/>
    <w:bookmarkEnd w:id="114"/>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13.01</w:t>
      </w:r>
      <w:r>
        <w:rPr>
          <w:sz w:val="20"/>
          <w:szCs w:val="20"/>
          <w:color w:val="auto"/>
        </w:rPr>
        <w:tab/>
      </w:r>
      <w:r>
        <w:rPr>
          <w:rFonts w:ascii="Courier New" w:cs="Courier New" w:eastAsia="Courier New" w:hAnsi="Courier New"/>
          <w:sz w:val="14"/>
          <w:szCs w:val="14"/>
          <w:color w:val="auto"/>
        </w:rPr>
        <w:t>Press Releases and Announcements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13.02</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13.03</w:t>
      </w:r>
      <w:r>
        <w:rPr>
          <w:sz w:val="20"/>
          <w:szCs w:val="20"/>
          <w:color w:val="auto"/>
        </w:rPr>
        <w:tab/>
      </w:r>
      <w:r>
        <w:rPr>
          <w:rFonts w:ascii="Courier New" w:cs="Courier New" w:eastAsia="Courier New" w:hAnsi="Courier New"/>
          <w:sz w:val="14"/>
          <w:szCs w:val="14"/>
          <w:color w:val="auto"/>
        </w:rPr>
        <w:t>Amendment and Waiver</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13.04</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13.05</w:t>
      </w:r>
      <w:r>
        <w:rPr>
          <w:sz w:val="20"/>
          <w:szCs w:val="20"/>
          <w:color w:val="auto"/>
        </w:rPr>
        <w:tab/>
      </w:r>
      <w:r>
        <w:rPr>
          <w:rFonts w:ascii="Courier New" w:cs="Courier New" w:eastAsia="Courier New" w:hAnsi="Courier New"/>
          <w:sz w:val="14"/>
          <w:szCs w:val="14"/>
          <w:color w:val="auto"/>
        </w:rPr>
        <w:t>Arbitration</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13.06</w:t>
      </w:r>
      <w:r>
        <w:rPr>
          <w:sz w:val="20"/>
          <w:szCs w:val="20"/>
          <w:color w:val="auto"/>
        </w:rPr>
        <w:tab/>
      </w:r>
      <w:r>
        <w:rPr>
          <w:rFonts w:ascii="Courier New" w:cs="Courier New" w:eastAsia="Courier New" w:hAnsi="Courier New"/>
          <w:sz w:val="14"/>
          <w:szCs w:val="14"/>
          <w:color w:val="auto"/>
        </w:rPr>
        <w:t>Assignment</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13.07</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13.08</w:t>
      </w:r>
      <w:r>
        <w:rPr>
          <w:sz w:val="20"/>
          <w:szCs w:val="20"/>
          <w:color w:val="auto"/>
        </w:rPr>
        <w:tab/>
      </w:r>
      <w:r>
        <w:rPr>
          <w:rFonts w:ascii="Courier New" w:cs="Courier New" w:eastAsia="Courier New" w:hAnsi="Courier New"/>
          <w:sz w:val="14"/>
          <w:szCs w:val="14"/>
          <w:color w:val="auto"/>
        </w:rPr>
        <w:t>Complete Agreement</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13.09</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13.10</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13.11</w:t>
      </w:r>
      <w:r>
        <w:rPr>
          <w:sz w:val="20"/>
          <w:szCs w:val="20"/>
          <w:color w:val="auto"/>
        </w:rPr>
        <w:tab/>
      </w:r>
      <w:r>
        <w:rPr>
          <w:rFonts w:ascii="Courier New" w:cs="Courier New" w:eastAsia="Courier New" w:hAnsi="Courier New"/>
          <w:sz w:val="14"/>
          <w:szCs w:val="14"/>
          <w:color w:val="auto"/>
        </w:rPr>
        <w:t>Exmark Stockholders as Third Party Beneficiaries</w:t>
      </w:r>
      <w:r>
        <w:rPr>
          <w:sz w:val="20"/>
          <w:szCs w:val="20"/>
          <w:color w:val="auto"/>
        </w:rPr>
        <w:tab/>
      </w:r>
      <w:r>
        <w:rPr>
          <w:rFonts w:ascii="Courier New" w:cs="Courier New" w:eastAsia="Courier New" w:hAnsi="Courier New"/>
          <w:sz w:val="14"/>
          <w:szCs w:val="14"/>
          <w:color w:val="auto"/>
        </w:rPr>
        <w:t>77</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9879"/>
          </w:cols>
          <w:pgMar w:left="580" w:top="782"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9879"/>
          </w:cols>
          <w:pgMar w:left="580" w:top="78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2.01(a)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5.10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7.02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8.01(j)</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8.02(k)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12.03(a) -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Contingent Payment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Articles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Synergies Council Charter and Bylaws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for Stock Exchange Agreement</w:t>
      </w:r>
    </w:p>
    <w:p>
      <w:pPr>
        <w:spacing w:after="0" w:line="200" w:lineRule="exact"/>
        <w:rPr>
          <w:sz w:val="20"/>
          <w:szCs w:val="20"/>
          <w:color w:val="auto"/>
        </w:rPr>
      </w:pPr>
    </w:p>
    <w:p>
      <w:pPr>
        <w:sectPr>
          <w:pgSz w:w="11900" w:h="16838" w:orient="portrait"/>
          <w:cols w:equalWidth="0" w:num="2">
            <w:col w:w="1880" w:space="700"/>
            <w:col w:w="7299"/>
          </w:cols>
          <w:pgMar w:left="580" w:top="782" w:right="1440" w:bottom="1440" w:gutter="0" w:footer="0" w:header="0"/>
          <w:type w:val="continuous"/>
        </w:sectPr>
      </w:pPr>
    </w:p>
    <w:p>
      <w:pPr>
        <w:spacing w:after="0" w:line="1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9879"/>
          </w:cols>
          <w:pgMar w:left="580" w:top="782" w:right="1440" w:bottom="1440" w:gutter="0" w:footer="0" w:header="0"/>
          <w:type w:val="continuous"/>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INDEX</w:t>
      </w:r>
    </w:p>
    <w:p>
      <w:pPr>
        <w:sectPr>
          <w:pgSz w:w="11900" w:h="16838" w:orient="portrait"/>
          <w:cols w:equalWidth="0" w:num="1">
            <w:col w:w="9879"/>
          </w:cols>
          <w:pgMar w:left="58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380" w:space="720"/>
            <w:col w:w="3779"/>
          </w:cols>
          <w:pgMar w:left="580" w:top="782" w:right="1440" w:bottom="1440" w:gutter="0" w:footer="0" w:header="0"/>
          <w:type w:val="continuous"/>
        </w:sectPr>
      </w:pPr>
    </w:p>
    <w:p>
      <w:pPr>
        <w:spacing w:after="0"/>
        <w:tabs>
          <w:tab w:leader="none" w:pos="2120" w:val="left"/>
          <w:tab w:leader="none" w:pos="6340" w:val="left"/>
        </w:tabs>
        <w:rPr>
          <w:sz w:val="20"/>
          <w:szCs w:val="20"/>
          <w:color w:val="auto"/>
        </w:rPr>
      </w:pPr>
      <w:r>
        <w:rPr>
          <w:rFonts w:ascii="Courier New" w:cs="Courier New" w:eastAsia="Courier New" w:hAnsi="Courier New"/>
          <w:sz w:val="14"/>
          <w:szCs w:val="14"/>
          <w:color w:val="auto"/>
        </w:rPr>
        <w:t>1998 Contingent Payment</w:t>
        <w:tab/>
        <w:t>. . . . . . . . . . . . . . . . . . . . . . .</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1998 Contingent Payment Amount . . . . .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1998 Contingent Payment Fund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3160" w:val="left"/>
          <w:tab w:leader="none" w:pos="6260" w:val="left"/>
        </w:tabs>
        <w:rPr>
          <w:sz w:val="20"/>
          <w:szCs w:val="20"/>
          <w:color w:val="auto"/>
        </w:rPr>
      </w:pPr>
      <w:r>
        <w:rPr>
          <w:rFonts w:ascii="Courier New" w:cs="Courier New" w:eastAsia="Courier New" w:hAnsi="Courier New"/>
          <w:sz w:val="14"/>
          <w:szCs w:val="14"/>
          <w:color w:val="auto"/>
        </w:rPr>
        <w:t>1998 Contingent Payment Fund Amount</w:t>
        <w:tab/>
        <w:t>. . . . .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600" w:val="left"/>
          <w:tab w:leader="none" w:pos="6260" w:val="left"/>
        </w:tabs>
        <w:rPr>
          <w:sz w:val="20"/>
          <w:szCs w:val="20"/>
          <w:color w:val="auto"/>
        </w:rPr>
      </w:pPr>
      <w:r>
        <w:rPr>
          <w:rFonts w:ascii="Courier New" w:cs="Courier New" w:eastAsia="Courier New" w:hAnsi="Courier New"/>
          <w:sz w:val="14"/>
          <w:szCs w:val="14"/>
          <w:color w:val="auto"/>
        </w:rPr>
        <w:t>1998 Funding Date</w:t>
        <w:tab/>
        <w:t>. . . . . . . . . . . . . .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1998 Toro Share Price</w:t>
        <w:tab/>
        <w:t>.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2120" w:val="left"/>
          <w:tab w:leader="none" w:pos="6340" w:val="left"/>
        </w:tabs>
        <w:rPr>
          <w:sz w:val="20"/>
          <w:szCs w:val="20"/>
          <w:color w:val="auto"/>
        </w:rPr>
      </w:pPr>
      <w:r>
        <w:rPr>
          <w:rFonts w:ascii="Courier New" w:cs="Courier New" w:eastAsia="Courier New" w:hAnsi="Courier New"/>
          <w:sz w:val="14"/>
          <w:szCs w:val="14"/>
          <w:color w:val="auto"/>
        </w:rPr>
        <w:t>1999 Contingent Payment</w:t>
        <w:tab/>
        <w:t>. . . . . . . . . . . . . . . . . . . . . . .</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1999 Contingent Payment Amount . . . . .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1999 Contingent Payment Fund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3160" w:val="left"/>
          <w:tab w:leader="none" w:pos="6260" w:val="left"/>
        </w:tabs>
        <w:rPr>
          <w:sz w:val="20"/>
          <w:szCs w:val="20"/>
          <w:color w:val="auto"/>
        </w:rPr>
      </w:pPr>
      <w:r>
        <w:rPr>
          <w:rFonts w:ascii="Courier New" w:cs="Courier New" w:eastAsia="Courier New" w:hAnsi="Courier New"/>
          <w:sz w:val="14"/>
          <w:szCs w:val="14"/>
          <w:color w:val="auto"/>
        </w:rPr>
        <w:t>1999 Contingent Payment Fund Amount</w:t>
        <w:tab/>
        <w:t>.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600" w:val="left"/>
          <w:tab w:leader="none" w:pos="6260" w:val="left"/>
        </w:tabs>
        <w:rPr>
          <w:sz w:val="20"/>
          <w:szCs w:val="20"/>
          <w:color w:val="auto"/>
        </w:rPr>
      </w:pPr>
      <w:r>
        <w:rPr>
          <w:rFonts w:ascii="Courier New" w:cs="Courier New" w:eastAsia="Courier New" w:hAnsi="Courier New"/>
          <w:sz w:val="14"/>
          <w:szCs w:val="14"/>
          <w:color w:val="auto"/>
        </w:rPr>
        <w:t>1999 Funding Date</w:t>
        <w:tab/>
        <w:t>. . . . .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1999 Toro Share Price</w:t>
        <w:tab/>
        <w:t>.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Actual Net Worth . . . . . . . . . . . . . . . . . . . . . . . . . . .</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Actual Net Worth Adjustment . . . . . . . . . . . . . . . . . . . . . 9 Adjusted Revenue . . . . . . . . . . . . . . . . . . . . . . . Ex 2.01(a)-4 Affiliate Agreements . . . . . . . . . . . . . . . . . . . . . . . . . 73</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Agreement . . . . . . . . . . . . . . . . . . . . . . . . . . . . . . 1 Annual Financial Statements . . . . . . . . . . . . . . . . . . . . . 21</w:t>
      </w:r>
    </w:p>
    <w:p>
      <w:pPr>
        <w:spacing w:after="0" w:line="1"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Articles of Merger . . . . . . . . . . . . . . . . . . . . . . . . . . 2 Average Working Capital . . . . . . . . . . . . . . . . . . . Ex 2.01(a)-5</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-ix-</w:t>
      </w:r>
    </w:p>
    <w:p>
      <w:pPr>
        <w:sectPr>
          <w:pgSz w:w="11900" w:h="16838" w:orient="portrait"/>
          <w:cols w:equalWidth="0" w:num="1">
            <w:col w:w="9879"/>
          </w:cols>
          <w:pgMar w:left="580" w:top="782" w:right="1440" w:bottom="1440" w:gutter="0" w:footer="0" w:header="0"/>
          <w:type w:val="continuous"/>
        </w:sectPr>
      </w:pPr>
    </w:p>
    <w:bookmarkStart w:id="117" w:name="page118"/>
    <w:bookmarkEnd w:id="117"/>
    <w:p>
      <w:pPr>
        <w:jc w:val="both"/>
        <w:ind w:right="3419"/>
        <w:spacing w:after="0" w:line="250" w:lineRule="auto"/>
        <w:rPr>
          <w:sz w:val="20"/>
          <w:szCs w:val="20"/>
          <w:color w:val="auto"/>
        </w:rPr>
      </w:pPr>
      <w:r>
        <w:rPr>
          <w:rFonts w:ascii="Courier New" w:cs="Courier New" w:eastAsia="Courier New" w:hAnsi="Courier New"/>
          <w:sz w:val="14"/>
          <w:szCs w:val="14"/>
          <w:color w:val="auto"/>
        </w:rPr>
        <w:t>Balance Sheet Date . . . . . . . . . . . . . . . . . . . . . . . . . . 22 Base Year Revenue . . . . . . . . . . . . . . . . . . . . . . Ex 2.01(a)-1 Breach . . . . . . . . . . . . . . . . . . . . . . . . . . . . . . . . 69 CAGR . . . . . . . . . . . . . . . . . . . . . . . . . . . . . Ex 2.01(a)-1</w:t>
      </w:r>
    </w:p>
    <w:p>
      <w:pPr>
        <w:spacing w:after="0" w:line="2" w:lineRule="exact"/>
        <w:rPr>
          <w:sz w:val="20"/>
          <w:szCs w:val="20"/>
          <w:color w:val="auto"/>
        </w:rPr>
      </w:pPr>
    </w:p>
    <w:p>
      <w:pPr>
        <w:spacing w:after="0"/>
        <w:tabs>
          <w:tab w:leader="none" w:pos="1440" w:val="left"/>
          <w:tab w:leader="none" w:pos="6340" w:val="left"/>
        </w:tabs>
        <w:rPr>
          <w:sz w:val="20"/>
          <w:szCs w:val="20"/>
          <w:color w:val="auto"/>
        </w:rPr>
      </w:pPr>
      <w:r>
        <w:rPr>
          <w:rFonts w:ascii="Courier New" w:cs="Courier New" w:eastAsia="Courier New" w:hAnsi="Courier New"/>
          <w:sz w:val="14"/>
          <w:szCs w:val="14"/>
          <w:color w:val="auto"/>
        </w:rPr>
        <w:t>Canceled Shares</w:t>
        <w:tab/>
        <w:t>. .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Cash Election . . . . . . . . . . . . . . . . . . . . . . . . . . . . 6 CERCLA . . . . . . . . . . . . . . . . . . . . . . . . . . . . . . . . 42 Certificates . . . . . . . . . . . . . . . . . . . . . . . . . . . . . 11 Claim . . . . . . . . . . . . . . . . . . . . . . . . . . . . . . . . 70</w:t>
      </w:r>
    </w:p>
    <w:p>
      <w:pPr>
        <w:spacing w:after="0" w:line="2" w:lineRule="exact"/>
        <w:rPr>
          <w:sz w:val="20"/>
          <w:szCs w:val="20"/>
          <w:color w:val="auto"/>
        </w:rPr>
      </w:pPr>
    </w:p>
    <w:p>
      <w:pPr>
        <w:spacing w:after="0"/>
        <w:tabs>
          <w:tab w:leader="none" w:pos="3340" w:val="left"/>
          <w:tab w:leader="none" w:pos="6340" w:val="left"/>
        </w:tabs>
        <w:rPr>
          <w:sz w:val="20"/>
          <w:szCs w:val="20"/>
          <w:color w:val="auto"/>
        </w:rPr>
      </w:pPr>
      <w:r>
        <w:rPr>
          <w:rFonts w:ascii="Courier New" w:cs="Courier New" w:eastAsia="Courier New" w:hAnsi="Courier New"/>
          <w:sz w:val="14"/>
          <w:szCs w:val="14"/>
          <w:color w:val="auto"/>
        </w:rPr>
        <w:t>Class B 1998 Contingent Consideration</w:t>
        <w:tab/>
        <w:t>.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3340" w:val="left"/>
          <w:tab w:leader="none" w:pos="6340" w:val="left"/>
        </w:tabs>
        <w:rPr>
          <w:sz w:val="20"/>
          <w:szCs w:val="20"/>
          <w:color w:val="auto"/>
        </w:rPr>
      </w:pPr>
      <w:r>
        <w:rPr>
          <w:rFonts w:ascii="Courier New" w:cs="Courier New" w:eastAsia="Courier New" w:hAnsi="Courier New"/>
          <w:sz w:val="14"/>
          <w:szCs w:val="14"/>
          <w:color w:val="auto"/>
        </w:rPr>
        <w:t>Class B 1999 Contingent Consideration</w:t>
        <w:tab/>
        <w:t>.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Class B Contingent Payment Right . . . . . . . . . . . . . . . . . . . 4 Class B Initial Payment Fund . . . . . . . . . . . . . . . . . . . . . 10</w:t>
      </w:r>
    </w:p>
    <w:p>
      <w:pPr>
        <w:spacing w:after="0" w:line="1" w:lineRule="exact"/>
        <w:rPr>
          <w:sz w:val="20"/>
          <w:szCs w:val="20"/>
          <w:color w:val="auto"/>
        </w:rPr>
      </w:pPr>
    </w:p>
    <w:p>
      <w:pPr>
        <w:spacing w:after="0"/>
        <w:tabs>
          <w:tab w:leader="none" w:pos="4200" w:val="left"/>
          <w:tab w:leader="none" w:pos="6340" w:val="left"/>
        </w:tabs>
        <w:rPr>
          <w:sz w:val="20"/>
          <w:szCs w:val="20"/>
          <w:color w:val="auto"/>
        </w:rPr>
      </w:pPr>
      <w:r>
        <w:rPr>
          <w:rFonts w:ascii="Courier New" w:cs="Courier New" w:eastAsia="Courier New" w:hAnsi="Courier New"/>
          <w:sz w:val="14"/>
          <w:szCs w:val="14"/>
          <w:color w:val="auto"/>
        </w:rPr>
        <w:t>Class B Initial Per Share Payment Consideration</w:t>
        <w:tab/>
        <w:t>.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740" w:val="left"/>
          <w:tab w:leader="none" w:pos="6340" w:val="left"/>
        </w:tabs>
        <w:rPr>
          <w:sz w:val="20"/>
          <w:szCs w:val="20"/>
          <w:color w:val="auto"/>
        </w:rPr>
      </w:pPr>
      <w:r>
        <w:rPr>
          <w:rFonts w:ascii="Courier New" w:cs="Courier New" w:eastAsia="Courier New" w:hAnsi="Courier New"/>
          <w:sz w:val="14"/>
          <w:szCs w:val="14"/>
          <w:color w:val="auto"/>
        </w:rPr>
        <w:t>Closing</w:t>
        <w:tab/>
        <w:t>. . . . . . . . . . . . . . . . . . . . . . . . . . . . . . .</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Code . . . .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Common/Preferred 1998 Contingent Consideration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Common/Preferred 1999 Contingent Consideration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Common/Preferred Contingent Payment Right . . . . . . . . . . . . . . 3 Confidentiality Agreement . . . . . . . . . . . . . . . . . . . . . . 76</w:t>
      </w:r>
    </w:p>
    <w:p>
      <w:pPr>
        <w:spacing w:after="0" w:line="1"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Constituent Corporations . . . . . . . . . . . . . . . . . . . . . . . 1 Contingent Class B Options . . . . . . . . . . . . . . . . . . . . . . 52</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w:t>
      </w:r>
    </w:p>
    <w:p>
      <w:pPr>
        <w:sectPr>
          <w:pgSz w:w="11900" w:h="16838" w:orient="portrait"/>
          <w:cols w:equalWidth="0" w:num="1">
            <w:col w:w="9879"/>
          </w:cols>
          <w:pgMar w:left="580" w:top="782" w:right="1440" w:bottom="1440" w:gutter="0" w:footer="0" w:header="0"/>
        </w:sectPr>
      </w:pPr>
    </w:p>
    <w:bookmarkStart w:id="118" w:name="page119"/>
    <w:bookmarkEnd w:id="118"/>
    <w:p>
      <w:pPr>
        <w:jc w:val="both"/>
        <w:ind w:right="3419"/>
        <w:spacing w:after="0" w:line="250" w:lineRule="auto"/>
        <w:rPr>
          <w:sz w:val="20"/>
          <w:szCs w:val="20"/>
          <w:color w:val="auto"/>
        </w:rPr>
      </w:pPr>
      <w:r>
        <w:rPr>
          <w:rFonts w:ascii="Courier New" w:cs="Courier New" w:eastAsia="Courier New" w:hAnsi="Courier New"/>
          <w:sz w:val="14"/>
          <w:szCs w:val="14"/>
          <w:color w:val="auto"/>
        </w:rPr>
        <w:t>Contingent Class B Rights . . . . . . . . . . . . . . . . . . . . . . 52 Contingent Payment Period . . . . . . . . . . . . . . . . . . . . . . 55</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Contingent Payment Rights . . . . . . . . . . . . . . . . . . . . . . 4 Contingent Payment Statement . . . . . . . . . . . . . . . . . Ex 2.01(a)-5</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Contingent Payments . . . . . . . . . . . . . . . . . . . . . . . . . 6 Contingent Payments Dissenters' Fraction . . . . . . . . . . . . . . . 10 Cross-Branding REBIT Factor . . . . . . . . . . . . . . . . . Ex 2.01(a)-5 Cross-Branding Revenue Factor . . . . . . . . . . . . . . . . Ex 2.01(a)-4 Disclosure Schedule . . . . . . . . . . . . . . . . . . . . . . . . . 18 Dissenting Shares . . . . . . . . . . . . . . . . . . . . . . . . . . 14 EBIT . . . . . . . . . . . . . . . . . . . . . . . . . . . . . Ex 2.01(a)-2</w:t>
      </w:r>
    </w:p>
    <w:p>
      <w:pPr>
        <w:spacing w:after="0" w:line="3"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Effective Date . . . . . . . . . . . . . . . . . . . . . . . . . . . .</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Effective Time . . . . . . . . . . . . . . . . . . . . . . . . . . . . 2 Employment Agreements . . . . . . . . . . . . . . . . . . . . . . . . 73 Environmental Laws . . . . . . . . . . . . . . . . . . . . . . . . . . 40 Environmental Permits . . . . . . . . . . . . . . . . . . . . . . . . 40 ERISA . . . . . . . . . . . . . . . . . . . . . . . . . . . . . . . . 33</w:t>
      </w:r>
    </w:p>
    <w:p>
      <w:pPr>
        <w:spacing w:after="0" w:line="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Escrow Agent . . . . . . . . . . . . . . . . . . . . . . . . . . . . . 9 Escrow Agreement . . . . . . . . . . . . . . . . . . . . . . . . . . . 73</w:t>
      </w:r>
    </w:p>
    <w:p>
      <w:pPr>
        <w:spacing w:after="0" w:line="1" w:lineRule="exact"/>
        <w:rPr>
          <w:sz w:val="20"/>
          <w:szCs w:val="20"/>
          <w:color w:val="auto"/>
        </w:rPr>
      </w:pPr>
    </w:p>
    <w:p>
      <w:pPr>
        <w:spacing w:after="0"/>
        <w:tabs>
          <w:tab w:leader="none" w:pos="1780" w:val="left"/>
          <w:tab w:leader="none" w:pos="6340" w:val="left"/>
        </w:tabs>
        <w:rPr>
          <w:sz w:val="20"/>
          <w:szCs w:val="20"/>
          <w:color w:val="auto"/>
        </w:rPr>
      </w:pPr>
      <w:r>
        <w:rPr>
          <w:rFonts w:ascii="Courier New" w:cs="Courier New" w:eastAsia="Courier New" w:hAnsi="Courier New"/>
          <w:sz w:val="14"/>
          <w:szCs w:val="14"/>
          <w:color w:val="auto"/>
        </w:rPr>
        <w:t>Estimated Net Worth</w:t>
        <w:tab/>
        <w:t>. . . . . . . . . . . . . . . . . . . . . . . . .</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Estimated Net Worth Adjustment . . . . . . . . . . . . . . . . . . . . 8 Exchange Act . . . . . . . . . . . . . . . . . . . . . . . . . . . . . 42 Exchange Fund . . . . . . . . . . . . . . . . . . . . . . . . . . . . 11</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-xi-</w:t>
      </w:r>
    </w:p>
    <w:p>
      <w:pPr>
        <w:sectPr>
          <w:pgSz w:w="11900" w:h="16838" w:orient="portrait"/>
          <w:cols w:equalWidth="0" w:num="1">
            <w:col w:w="9879"/>
          </w:cols>
          <w:pgMar w:left="580" w:top="782" w:right="1440" w:bottom="1440" w:gutter="0" w:footer="0" w:header="0"/>
        </w:sectPr>
      </w:pPr>
    </w:p>
    <w:bookmarkStart w:id="119" w:name="page120"/>
    <w:bookmarkEnd w:id="119"/>
    <w:p>
      <w:pPr>
        <w:jc w:val="both"/>
        <w:ind w:right="3419"/>
        <w:spacing w:after="0" w:line="250" w:lineRule="auto"/>
        <w:rPr>
          <w:sz w:val="20"/>
          <w:szCs w:val="20"/>
          <w:color w:val="auto"/>
        </w:rPr>
      </w:pPr>
      <w:r>
        <w:rPr>
          <w:rFonts w:ascii="Courier New" w:cs="Courier New" w:eastAsia="Courier New" w:hAnsi="Courier New"/>
          <w:sz w:val="14"/>
          <w:szCs w:val="14"/>
          <w:color w:val="auto"/>
        </w:rPr>
        <w:t>Exmark . . . . . . . . . . . . . . . . . . . . . . . . . . . . . . . . 1 Exmark Ancillary Agreements . . . . . . . . . . . . . . . . . . . . . 18</w:t>
      </w:r>
    </w:p>
    <w:p>
      <w:pPr>
        <w:spacing w:after="0" w:line="1"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Exmark Class B Stock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Exmark Class C Stock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Exmark Common Stock . . . . . . . . . . . . . . . . . . . . . . . . . 3 Exmark Cross-Branded Products . . . . . . . . . . . . . . . . Ex 2.01(a)-2</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Exmark Preferred Stock . . . . . . . . . . . . . . . . . . . . . . . . 3 Exmark's Accountant . . . . . . . . . . . . . . . . . . . . . . . . . 49</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GAAP . . . . . . . . . . . . . . . . . . . . . . . . . . . . . . . . . 8 Hazardous Materials . . . . . . . . . . . . . . . . . . . . . . . . . 39</w:t>
      </w:r>
    </w:p>
    <w:p>
      <w:pPr>
        <w:spacing w:after="0" w:line="1" w:lineRule="exact"/>
        <w:rPr>
          <w:sz w:val="20"/>
          <w:szCs w:val="20"/>
          <w:color w:val="auto"/>
        </w:rPr>
      </w:pPr>
    </w:p>
    <w:p>
      <w:pPr>
        <w:spacing w:after="0"/>
        <w:tabs>
          <w:tab w:leader="none" w:pos="1440" w:val="left"/>
          <w:tab w:leader="none" w:pos="6340" w:val="left"/>
        </w:tabs>
        <w:rPr>
          <w:sz w:val="20"/>
          <w:szCs w:val="20"/>
          <w:color w:val="auto"/>
        </w:rPr>
      </w:pPr>
      <w:r>
        <w:rPr>
          <w:rFonts w:ascii="Courier New" w:cs="Courier New" w:eastAsia="Courier New" w:hAnsi="Courier New"/>
          <w:sz w:val="14"/>
          <w:szCs w:val="14"/>
          <w:color w:val="auto"/>
        </w:rPr>
        <w:t>Holdback Amount</w:t>
        <w:tab/>
        <w:t>. . . .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740" w:val="left"/>
          <w:tab w:leader="none" w:pos="6340" w:val="left"/>
        </w:tabs>
        <w:rPr>
          <w:sz w:val="20"/>
          <w:szCs w:val="20"/>
          <w:color w:val="auto"/>
        </w:rPr>
      </w:pPr>
      <w:r>
        <w:rPr>
          <w:rFonts w:ascii="Courier New" w:cs="Courier New" w:eastAsia="Courier New" w:hAnsi="Courier New"/>
          <w:sz w:val="14"/>
          <w:szCs w:val="14"/>
          <w:color w:val="auto"/>
        </w:rPr>
        <w:t>Holders</w:t>
        <w:tab/>
        <w:t>. . . . . .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Holder's Merger Consideration . . . . . . . . . . . . . . . . . . . . 6 Holiman . . . . . . . . . . . . . . . . . . . . . . . . . . . . . . . 47 HSR Act . . . . . . . . . . . . . . . . . . . . . . . . . . . . . . . 19</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Initial Payment . . . . . . . . . . . . . . . . . . . . . . . . . . . 5 Initial Payment Fund . . . . . . . . . . . . . . . . . . . . . . . . . 10</w:t>
      </w:r>
    </w:p>
    <w:p>
      <w:pPr>
        <w:spacing w:after="0" w:line="1" w:lineRule="exact"/>
        <w:rPr>
          <w:sz w:val="20"/>
          <w:szCs w:val="20"/>
          <w:color w:val="auto"/>
        </w:rPr>
      </w:pPr>
    </w:p>
    <w:p>
      <w:pPr>
        <w:spacing w:after="0"/>
        <w:tabs>
          <w:tab w:leader="none" w:pos="2480" w:val="left"/>
          <w:tab w:leader="none" w:pos="6340" w:val="left"/>
        </w:tabs>
        <w:rPr>
          <w:sz w:val="20"/>
          <w:szCs w:val="20"/>
          <w:color w:val="auto"/>
        </w:rPr>
      </w:pPr>
      <w:r>
        <w:rPr>
          <w:rFonts w:ascii="Courier New" w:cs="Courier New" w:eastAsia="Courier New" w:hAnsi="Courier New"/>
          <w:sz w:val="14"/>
          <w:szCs w:val="14"/>
          <w:color w:val="auto"/>
        </w:rPr>
        <w:t>Initial Payment Fund Amount</w:t>
        <w:tab/>
        <w:t>. . . . . . . . . . . . . . . . . . . . .</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3500" w:val="left"/>
          <w:tab w:leader="none" w:pos="6340" w:val="left"/>
        </w:tabs>
        <w:rPr>
          <w:sz w:val="20"/>
          <w:szCs w:val="20"/>
          <w:color w:val="auto"/>
        </w:rPr>
      </w:pPr>
      <w:r>
        <w:rPr>
          <w:rFonts w:ascii="Courier New" w:cs="Courier New" w:eastAsia="Courier New" w:hAnsi="Courier New"/>
          <w:sz w:val="14"/>
          <w:szCs w:val="14"/>
          <w:color w:val="auto"/>
        </w:rPr>
        <w:t>Initial Per Share Payment Consideration</w:t>
        <w:tab/>
        <w:t>. . . . . . . . . . . . . . .</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Initial Toro Share Price . . . . . . . . . . . . . . . . . . . . . . . 7 Insiders . . . . . . . . . . . . . . . . . . . . . . . . . . . . . . . 38 Instrument . . . . . . . . . . . . . . . . . . . . . . . . . . . . . . 67</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-xii-</w:t>
      </w:r>
    </w:p>
    <w:p>
      <w:pPr>
        <w:sectPr>
          <w:pgSz w:w="11900" w:h="16838" w:orient="portrait"/>
          <w:cols w:equalWidth="0" w:num="1">
            <w:col w:w="9879"/>
          </w:cols>
          <w:pgMar w:left="580" w:top="782" w:right="1440" w:bottom="1440" w:gutter="0" w:footer="0" w:header="0"/>
        </w:sectPr>
      </w:pPr>
    </w:p>
    <w:bookmarkStart w:id="120" w:name="page121"/>
    <w:bookmarkEnd w:id="120"/>
    <w:p>
      <w:pPr>
        <w:jc w:val="both"/>
        <w:ind w:right="3419"/>
        <w:spacing w:after="0" w:line="250" w:lineRule="auto"/>
        <w:rPr>
          <w:sz w:val="20"/>
          <w:szCs w:val="20"/>
          <w:color w:val="auto"/>
        </w:rPr>
      </w:pPr>
      <w:r>
        <w:rPr>
          <w:rFonts w:ascii="Courier New" w:cs="Courier New" w:eastAsia="Courier New" w:hAnsi="Courier New"/>
          <w:sz w:val="14"/>
          <w:szCs w:val="14"/>
          <w:color w:val="auto"/>
        </w:rPr>
        <w:t>Inventory Statement . . . . . . . . . . . . . . . . . . . . . . . . . 8 Last Payment Date . . . . . . . . . . . . . . . . . . . . . . . . . . 17 Latest Balance Sheet . . . . . . . . . . . . . . . . . . . . . . . . . 21 Latest Financial Statements . . . . . . . . . . . . . . . . . . . . . 21 Leased Property . . . . . . . . . . . . . . . . . . . . . . . . . . . 24 Leases . . . . . . . . . . . . . . . . . . . . . . . . . . . . . . . . 25 Licensed-In Intellectual Property Rights . . . . . . . . . . . . . . . 31 Losses . . . . . . . . . . . . . . . . . . . . . . . . . . . . . . . . 68 Majority . . . . . . . . . . . . . . . . . . . . . . . . . . . . . . . 67 Management Fee . . . . . . . . . . . . . . . . . . . . . . . . Ex 2.01(a)-2 Material Adverse Effect . . . . . . . . . . . . . . . . . . . . . . . 60</w:t>
      </w:r>
    </w:p>
    <w:p>
      <w:pPr>
        <w:spacing w:after="0" w:line="5"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Merger . . .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Merger Consideration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1600" w:val="left"/>
          <w:tab w:leader="none" w:pos="6340" w:val="left"/>
        </w:tabs>
        <w:rPr>
          <w:sz w:val="20"/>
          <w:szCs w:val="20"/>
          <w:color w:val="auto"/>
        </w:rPr>
      </w:pPr>
      <w:r>
        <w:rPr>
          <w:rFonts w:ascii="Courier New" w:cs="Courier New" w:eastAsia="Courier New" w:hAnsi="Courier New"/>
          <w:sz w:val="14"/>
          <w:szCs w:val="14"/>
          <w:color w:val="auto"/>
        </w:rPr>
        <w:t>Merger Subsidiary</w:t>
        <w:tab/>
        <w:t>.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Merger Subsidiary Stock . . . . . . . . . . . . . . . . . . . . . . . 4 Misrepresentation . . . . . . . . . . . . . . . . . . . . . . . . . . 69 National Priorities List . . . . . . . . . . . . . . . . . . . . . . . 41</w:t>
      </w:r>
    </w:p>
    <w:p>
      <w:pPr>
        <w:spacing w:after="0" w:line="1"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Nebraska Act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Net Worth Statement . . . . . . . . . . . . . . . . . . . . . . . . . 9 New Articles of Incorporation . . . . . . . . . . . . . . . . . . . . 52 Offset Notice . . . . . . . . . . . . . . . . . . . . . . . . . . . . 71 Offset Period . . . . . . . . . . . . . . . . . . . . . . . . . . . . 68 Offset Right . . . . . . . . . . . . . . . . . . . . . . . . . . . . . 68</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-xiii-</w:t>
      </w:r>
    </w:p>
    <w:p>
      <w:pPr>
        <w:sectPr>
          <w:pgSz w:w="11900" w:h="16838" w:orient="portrait"/>
          <w:cols w:equalWidth="0" w:num="1">
            <w:col w:w="9879"/>
          </w:cols>
          <w:pgMar w:left="580" w:top="782" w:right="1440" w:bottom="1440" w:gutter="0" w:footer="0" w:header="0"/>
        </w:sectPr>
      </w:pPr>
    </w:p>
    <w:bookmarkStart w:id="121" w:name="page122"/>
    <w:bookmarkEnd w:id="121"/>
    <w:p>
      <w:pPr>
        <w:jc w:val="both"/>
        <w:ind w:right="3419"/>
        <w:spacing w:after="0" w:line="250" w:lineRule="auto"/>
        <w:rPr>
          <w:sz w:val="20"/>
          <w:szCs w:val="20"/>
          <w:color w:val="auto"/>
        </w:rPr>
      </w:pPr>
      <w:r>
        <w:rPr>
          <w:rFonts w:ascii="Courier New" w:cs="Courier New" w:eastAsia="Courier New" w:hAnsi="Courier New"/>
          <w:sz w:val="14"/>
          <w:szCs w:val="14"/>
          <w:color w:val="auto"/>
        </w:rPr>
        <w:t>Outstanding Class B Shares . . . . . . . . . . . . . . . . . . . . . . 5 Outstanding Purchase Rights . . . . . . . . . . . . . . . . . . . . . 20 Owned Intellectual Property Rights . . . . . . . . . . . . . . . . . . 30 Owned Property . . . . . . . . . . . . . . . . . . . . . . . . . . . . 24 Paying Agent . . . . . . . . . . . . . . . . . . . . . . . . . . . . . 11 Paying Agent Agreement . . . . . . . . . . . . . . . . . . . . . . . . 74 PCB . . . . . . . . . . . . . . . . . . . . . . . . . . . . . . . . . 40 Permits . . . . . . . . . . . . . . . . . . . . . . . . . . . . . . . 39 Person . . . . . . . . . . . . . . . . . . . . . . . . . . . . . . . . 19 Plan . . . . . . . . . . . . . . . . . . . . . . . . . . . . . . . . . 34 Prospectus-Proxy Statement . . . . . . . . . . . . . . . . . . . . . . 54 Protected Parties . . . . . . . . . . . . . . . . . . . . . . . . . . 68 Real Property . . . . . . . . . . . . . . . . . . . . . . . . . . . 24, 42 REBIT . . . . . . . . . . . . . . . . . . . . . . . . . . . . Ex 2.01(a)-1 Registration Statement . . . . . . . . . . . . . . . . . . . . . . . . 54 Related Documents . . . . . . . . . . . . . . . . . . . . . . . . . . 69 Release . . . . . . . . . . . . . . . . . . . . . . . . . . . . . . . 40 Returns . . . . . . . . . . . . . . . . . . . . . . . . . . . . . . . 27 SEC . . . . . . . . . . . . . . . . . . . . . . . . . . . . . . . . . 21 Securities Act . . . . . . . . . . . . . . . . . . . . . . . . . . . . 21</w:t>
      </w:r>
    </w:p>
    <w:p>
      <w:pPr>
        <w:spacing w:after="0" w:line="9"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Shares . . . . . . . . . . . . . . . . . . . . . . . . . . . . . . . . 4 Signing Bonuses . . . . . . . . . . . . . . . . . . . . . . . . . . . 73</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-xiv-</w:t>
      </w:r>
    </w:p>
    <w:p>
      <w:pPr>
        <w:sectPr>
          <w:pgSz w:w="11900" w:h="16838" w:orient="portrait"/>
          <w:cols w:equalWidth="0" w:num="1">
            <w:col w:w="9879"/>
          </w:cols>
          <w:pgMar w:left="580" w:top="782" w:right="1440" w:bottom="1440" w:gutter="0" w:footer="0" w:header="0"/>
        </w:sectPr>
      </w:pPr>
    </w:p>
    <w:bookmarkStart w:id="122" w:name="page123"/>
    <w:bookmarkEnd w:id="122"/>
    <w:p>
      <w:pPr>
        <w:jc w:val="both"/>
        <w:ind w:right="3419"/>
        <w:spacing w:after="0" w:line="250" w:lineRule="auto"/>
        <w:rPr>
          <w:sz w:val="20"/>
          <w:szCs w:val="20"/>
          <w:color w:val="auto"/>
        </w:rPr>
      </w:pPr>
      <w:r>
        <w:rPr>
          <w:rFonts w:ascii="Courier New" w:cs="Courier New" w:eastAsia="Courier New" w:hAnsi="Courier New"/>
          <w:sz w:val="14"/>
          <w:szCs w:val="14"/>
          <w:color w:val="auto"/>
        </w:rPr>
        <w:t>Stockholder Agreements . . . . . . . . . . . . . . . . . . . . . . . . 73 Stockholders' Meeting . . . . . . . . . . . . . . . . . . . . . . . . 50 Stockholders' Representatives . . . . . . . . . . . . . . . . . . . . 67</w:t>
      </w:r>
    </w:p>
    <w:p>
      <w:pPr>
        <w:spacing w:after="0" w:line="1"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Stockholders' Representatives Expense Fund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Surviving Corporation</w:t>
        <w:tab/>
        <w:t>.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Surviving Corporation Stock . . . . . . . . . . . . . . . . . . . . . 4 Synergies Council . . . . . . . . . . . . . . . . . . . . . . . . . . 57 Tax Affiliate . . . . . . . . . . . . . . . . . . . . . . . . . . . . 27 Taxes . . . . . . . . . . . . . . . . . . . . . . . . . . . . . . . . 28</w:t>
      </w:r>
    </w:p>
    <w:p>
      <w:pPr>
        <w:spacing w:after="0" w:line="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Toro . . . . . . . . . . . . . . . . . . . . . . . . . . . . . . . . . 1 Toro Ancillary Agreements . . . . . . . . . . . . . . . . . . . . . . 43</w:t>
      </w:r>
    </w:p>
    <w:p>
      <w:pPr>
        <w:spacing w:after="0" w:line="1"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Toro Common Stock . . . . . . . . . . . . . . . . . . . . . . . . . . 3 Toro Control Date . . . . . . . . . . . . . . . . . . . . . . . . . . 58 Toro SEC Documents . . . . . . . . . . . . . . . . . . . . . . . . . . 45 Toro Securities . . . . . . . . . . . . . . . . . . . . . . . . . . . 46 Toro Supplied Products . . . . . . . . . . . . . . . . . . . . Ex 2.01(a)-2 Toro's Representatives . . . . . . . . . . . . . . . . . . . . . . . . 57 Valuation Formula . . . . . . . . . . . . . . . . . . . . . . Ex 2.01(a)-1 Working Capital Adjustment . . . . . . . . . . . . . . . . . . Ex 2.01(a)-5</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-xv-</w:t>
      </w:r>
    </w:p>
    <w:p>
      <w:pPr>
        <w:sectPr>
          <w:pgSz w:w="11900" w:h="16838" w:orient="portrait"/>
          <w:cols w:equalWidth="0" w:num="1">
            <w:col w:w="9879"/>
          </w:cols>
          <w:pgMar w:left="580" w:top="782"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4"/>
          <w:szCs w:val="14"/>
          <w:color w:val="auto"/>
        </w:rPr>
        <w:t>AGREEMENT AND PLAN OF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and Plan of Merger (this "AGREEMENT"), dated as of</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October 23, 1997, is made and entered into by and among The Toro Company, a Delaware corporation ("TORO"), EMCI Acquisition Corp., a Nebraska corporation and wholly owned subsidiary of Toro ("MERGER SUBSIDIARY"), and Exmark Manufacturing Company Incorporated, a Nebraska corporation ("EXMARK"). Merger Subsidiary and Exmark are hereinafter sometimes collectively referred to as the "CONSTITUENT CORPORATIONS."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WHEREAS, the respective Boards of Directors of Toro, Merger Subsidiary and Exmark have determined that it is advisable and in the best interests of the respective corporations and their stockholders that Merger Subsidiary be merged with and into Exmark in accordance with the Nebraska Business Corporation Act (the "NEBRASKA ACT") and the terms of this Agreement, pursuant to which Exmark will be the surviving corporation as a wholly owned subsidiary of Toro (the "MERGER");</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WHEREAS, for federal income tax purposes, it is intended that the Merger qualify as a reorganization under the provisions of Section 368(a) of the Internal Revenue Code of 1986, as amended (the "CODE"); and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WHEREAS, Toro, Merger Subsidiary and Exmark desire to make certain representations, warranties, covenants, indemnities and agreements in connection with, and establish various conditions precedent to, the Merger.</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representations, warranties, covenants, indemnities and agreements set forth in this Agreement, and other good and valuable consideration, the adequacy and receipt of which is hereby acknowledged, the parties hereby agree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1.01 THE MERGER. At the Effective Time (as defined in SECTION 1.03 hereof), and subject to the terms and conditions of this Agreement and the Articles of Merger (as defined in SECTION 1.03 hereof), Merger Subsidiary shall be merged with and into Exmark,</w:t>
      </w:r>
    </w:p>
    <w:p>
      <w:pPr>
        <w:sectPr>
          <w:pgSz w:w="11900" w:h="16838" w:orient="portrait"/>
          <w:cols w:equalWidth="0" w:num="1">
            <w:col w:w="10239"/>
          </w:cols>
          <w:pgMar w:left="220" w:top="616" w:right="1440" w:bottom="1440" w:gutter="0" w:footer="0" w:header="0"/>
        </w:sectPr>
      </w:pPr>
    </w:p>
    <w:bookmarkStart w:id="124" w:name="page125"/>
    <w:bookmarkEnd w:id="124"/>
    <w:p>
      <w:pPr>
        <w:ind w:right="3939"/>
        <w:spacing w:after="0" w:line="251" w:lineRule="auto"/>
        <w:rPr>
          <w:sz w:val="20"/>
          <w:szCs w:val="20"/>
          <w:color w:val="auto"/>
        </w:rPr>
      </w:pPr>
      <w:r>
        <w:rPr>
          <w:rFonts w:ascii="Courier New" w:cs="Courier New" w:eastAsia="Courier New" w:hAnsi="Courier New"/>
          <w:sz w:val="14"/>
          <w:szCs w:val="14"/>
          <w:color w:val="auto"/>
        </w:rPr>
        <w:t>the separate existence of Merger Subsidiary shall cease, and Exmark shall continue as the surviving corporation under the corporate name of Exmark Manufacturing Company Incorporated. In its capacity as the corporation surviving the Merger, Exmark is hereinafter sometimes referred to as the "SURVIVING CORPORATION."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1.02 EFFECT OF MERGER. The effect of the Merger shall be as set forth in Section 21-20,133 of the Nebraska Act, and the Surviving Corporation shall succeed to and possess all the properties, rights, privileges, immunities, powers, franchises and purposes, and be subject to all the duties, liabilities, debts, obligations, restrictions and disabilities, of the Constituent Corporations, all without further act or deed.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1.03 EFFECTIVE TIME. The consummation of the Merger shall be effected as promptly as practicable, but in no event more than three business days, after the satisfaction or waiver of the conditions set forth in ARTICLE VIII of this Agreement, and the parties hereto will cause articles of merger with respect to the Merger (the "ARTICLES OF MERGER") to be executed, delivered and filed with the Secretary of State of the State of Nebraska in accordance with the Nebraska Act and will make all other filings or recordings required by Nebraska law in connection with the Merger and the transactions contemplated by this Agreement. The Merger shall become effective at the time and date of the filing of the Articles of Merger with the Secretary of State of the State of Nebraska, subject to SECTION 1.07 with respect to Toro's financial reporting for the Merger. The time at which the Merger shall become effective is referred to herein as the "EFFECTIVE TIME." The day during which the Effective Time shall occur is referred to herein as the "EFFECTIVE DATE."</w:t>
      </w:r>
    </w:p>
    <w:p>
      <w:pPr>
        <w:spacing w:after="0" w:line="162"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1.04 DIRECTORS AND OFFICERS. From and after the Effective Time, the directors of the Surviving Corporation shall be the persons who were the directors of Merger Subsidiary immediately prior to the Effective Time. After the Effective Time, the Stockholders' Representatives (as defined in</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10.01 hereof) shall have the right to designate one Stockholders' Representative to serve as a representative on the board of directors of the Surviving Corporation until expiration of the Contingent Payment Period (as defined in SECTION 7.01 hereof). From and after the Effective Time, the officers of the Surviving Corporation shall be the persons who were the officers of the Surviving Corporation immediately prior to the Effective Time. Such directors and officers of the Surviving Corporation shall hold office for the term specified in, and subject to the provisions contained in, the articles of incorporation and bylaws of the Surviving Corporation and applicable law. If, at or after the Effective Time, a vacancy shall exist on the board of directors or in any of the offices of the Surviving Corporation, such vacancy shall be filled in the manner provided in the articles of incorporation and bylaws of the Surviving Corporation.</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125" w:name="page126"/>
    <w:bookmarkEnd w:id="125"/>
    <w:p>
      <w:pPr>
        <w:ind w:right="3419"/>
        <w:spacing w:after="0" w:line="251" w:lineRule="auto"/>
        <w:rPr>
          <w:sz w:val="20"/>
          <w:szCs w:val="20"/>
          <w:color w:val="auto"/>
        </w:rPr>
      </w:pPr>
      <w:r>
        <w:rPr>
          <w:rFonts w:ascii="Courier New" w:cs="Courier New" w:eastAsia="Courier New" w:hAnsi="Courier New"/>
          <w:sz w:val="14"/>
          <w:szCs w:val="14"/>
          <w:color w:val="auto"/>
        </w:rPr>
        <w:t>1.05 ARTICLES OF INCORPORATION; BYLAWS. At and after the Effective Time and until further amended in accordance with applicable law, the articles of incorporation and bylaws of Merger Subsidiary as in effect immediately prior to the Effective Time shall be the articles of incorporation and bylaws of the Surviving Corporation.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1.06 TAKING OF NECESSARY ACTION; FURTHER ACTION. Toro, Merger Subsidiary and Exmark, respectively, shall each use its reasonable best efforts to take all such action as may be necessary or appropriate to effectuate the Merger under the Nebraska Act at the time specified in SECTION 1.03. If, at any time after the Effective Time, any further action is necessary or desirable to carry out the purposes of this Agreement and to vest the Surviving Corporation with full right, title and possession to all properties, rights, privileges, immunities, powers and franchises of either of the Constituent Corporations, the officers of the Surviving Corporation are fully authorized in the name of each Constituent Corporation or otherwise to take, and shall take, all such lawful and necessary action.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1.07 THE CLOSING. The closing of the transactions contemplated by this Agreement (the "CLOSING") will take place at the offices of Dorsey &amp; Whitney LLP, 220 South Sixth Street, Minneapolis, Minnesota, 55402 on a date to be specified by the parties, which shall be no later than the third business day after satisfaction or waiver of the conditions set forth in ARTICLE VIII hereof. Solely for Toro's financial reporting purposes, the parties hereto covenant and agree that the Closing will be deemed to be effective as of November 1, 1997.</w:t>
      </w:r>
    </w:p>
    <w:p>
      <w:pPr>
        <w:spacing w:after="0" w:line="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At the Closing, the parties shall deliver to each other the documents required to be delivered pursuant to ARTICLE VIII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CONSIDERATION/EFFECT ON CAPITAL STOCK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EFFECT ON EXMARK CAPITAL STOCK.</w:t>
      </w:r>
    </w:p>
    <w:p>
      <w:pPr>
        <w:spacing w:after="0" w:line="173" w:lineRule="exact"/>
        <w:rPr>
          <w:sz w:val="20"/>
          <w:szCs w:val="20"/>
          <w:color w:val="auto"/>
        </w:rPr>
      </w:pPr>
    </w:p>
    <w:p>
      <w:pPr>
        <w:ind w:right="3519" w:firstLine="8"/>
        <w:spacing w:after="0" w:line="252" w:lineRule="auto"/>
        <w:tabs>
          <w:tab w:leader="none" w:pos="7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EXMARK CAPITAL STOCK. At the Effective Time, by virtue of the Merger and without any action on the part of Toro, Merger Subsidiary, Exmark, the Surviving Corporation or the holder of any of the following shares of Exmark capital stock:</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26" w:name="page127"/>
    <w:bookmarkEnd w:id="126"/>
    <w:p>
      <w:pPr>
        <w:ind w:right="3339" w:firstLine="8"/>
        <w:spacing w:after="0" w:line="250"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$10.00 per share, of Exmark ("EXMARK COMMON STOCK"), issued and outstanding immediately prior to the Effective Time, other than Dissenting Shares (as defined in SECTION 2.05 hereof) and Canceled Shares (as defined in SECTION 2.01(a)(VI) hereof), shall be converted into and become a right to receive (a) cash and shares of Common Stock, par value $1.00 per share, of Toro (together with the preferred stock purchase rights associated with each such share of common stock, "TORO COMMON STOCK") representing the initial payment consideration, determined in accordance with SECTION 2.02 (the "INITIAL PER SHARE PAYMENT CONSIDERATION"), and (B) one common/preferred contingent payment right, as described in SECTION 2.02 (a</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"COMMON/PREFERRED CONTINGENT PAYMENT RIGHT");</w:t>
      </w:r>
    </w:p>
    <w:p>
      <w:pPr>
        <w:spacing w:after="0" w:line="172" w:lineRule="exact"/>
        <w:rPr>
          <w:rFonts w:ascii="Courier New" w:cs="Courier New" w:eastAsia="Courier New" w:hAnsi="Courier New"/>
          <w:sz w:val="14"/>
          <w:szCs w:val="14"/>
          <w:color w:val="auto"/>
        </w:rPr>
      </w:pPr>
    </w:p>
    <w:p>
      <w:pPr>
        <w:ind w:right="3599" w:firstLine="8"/>
        <w:spacing w:after="0" w:line="250"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Preferred Stock, par value $40.00 per share, of Exmark ("EXMARK PREFERRED STOCK"), issued and outstanding immediately prior to the Effective Time, other than Dissenting Shares and Canceled Shares, shall be converted into and become the right to receive (A) four times the Initial Per Share Payment Consideration, determined in accordance with SECTION 2.02, and</w:t>
      </w:r>
    </w:p>
    <w:p>
      <w:pPr>
        <w:spacing w:after="0" w:line="2" w:lineRule="exact"/>
        <w:rPr>
          <w:rFonts w:ascii="Courier New" w:cs="Courier New" w:eastAsia="Courier New" w:hAnsi="Courier New"/>
          <w:sz w:val="14"/>
          <w:szCs w:val="14"/>
          <w:color w:val="auto"/>
        </w:rPr>
      </w:pPr>
    </w:p>
    <w:p>
      <w:pPr>
        <w:ind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four Common/Preferred Contingent Payment Rights, as described in SECTION 2.02;</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Preferred Stock, par value $.01 per share, of Exmark ("EXMARK CLASS B STOCK"), issued and outstanding immediately prior to the Effective Time, other than Dissenting Shares and Canceled Shares, shall be converted into and become a right to receive (A) one-tenth of a share of Toro Common Stock (the "CLASS B INITIAL PER SHARE PAYMENT CONSIDERATION") and (B) one Class B contingent payment right, as described in SECTION 2.02 (a "CLASS B CONTINGENT PAYMENT RIGHT");</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C Preferred Stock, par value $.01 per share, of Exmark ("EXMARK CLASS C STOCK"), issued and outstanding immediately prior to the Effective Time, other than Dissenting Shares and Canceled Shares, shall be converted into and become a right to receive the Initial Per Share Payment Consideration, determined in accordance with SECTION 2.02;</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$0.01 per share, of Merger Subsidiary ("MERGER SUBSIDIARY STOCK"), issued and outstanding immediately prior to the Effective Time shall be converted into and become a right to receive one share of Common Stock, par value $0.01 per share, of the Surviving Corporation ("SURVIVING CORPORATION STOCK"); and</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Exmark's capital stock issued and outstanding</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immediately prior to the Effective Time and owned by Toro, Merger Subsidiary or Exmark ("CANCELED SHARES")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27" w:name="page128"/>
    <w:bookmarkEnd w:id="127"/>
    <w:p>
      <w:pPr>
        <w:ind w:right="3339"/>
        <w:spacing w:after="0" w:line="255" w:lineRule="auto"/>
        <w:rPr>
          <w:sz w:val="20"/>
          <w:szCs w:val="20"/>
          <w:color w:val="auto"/>
        </w:rPr>
      </w:pPr>
      <w:r>
        <w:rPr>
          <w:rFonts w:ascii="Courier New" w:cs="Courier New" w:eastAsia="Courier New" w:hAnsi="Courier New"/>
          <w:sz w:val="14"/>
          <w:szCs w:val="14"/>
          <w:color w:val="auto"/>
        </w:rPr>
        <w:t>shall be canceled and extinguished without any conversion thereof and no payment shall be made with respect thereto.</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Common/Preferred Contingent Payment Rights and the Class B Contingent Payment Rights are collectively referred to herein as the "CONTINGENT PAYMENT RIGHTS." The aggregate amount of the cash and shares of Toro Common Stock to be paid by Toro with respect to the Contingent Payment Rights, the Class B Initial Per Share Payment Consideration and the Initial Per Share Payment Consideration is referred to herein as the "MERGER CONSIDERATION." The shares of Exmark Common Stock, Exmark Preferred Stock, Exmark Class B Stock and Exmark Class C Stock that are issued and outstanding immediately prior to the Effective Time, other than Dissenting Shares and Canceled Shares, are collectively referred to herein as the "SHARES," and the holders thereof are referred to herein as the "HOLDERS."</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DETERMINATION OF MERGER CONSIDERATION.</w:t>
      </w:r>
    </w:p>
    <w:p>
      <w:pPr>
        <w:spacing w:after="0" w:line="173" w:lineRule="exact"/>
        <w:rPr>
          <w:sz w:val="20"/>
          <w:szCs w:val="20"/>
          <w:color w:val="auto"/>
        </w:rPr>
      </w:pPr>
    </w:p>
    <w:p>
      <w:pPr>
        <w:ind w:right="3339" w:firstLine="8"/>
        <w:spacing w:after="0" w:line="251" w:lineRule="auto"/>
        <w:tabs>
          <w:tab w:leader="none" w:pos="7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PAYMENT. For purposes of apportioning the Initial Payment (as defined in this Section 2.02(a)) among the Holders of Exmark Common Stock, Exmark Preferred Stock and Exmark Class C Stock, each share of Exmark Preferred Stock shall receive four times the amount of each such payment as does each share of Exmark Common Stock. The "Initial Per Share Payment Consideration" shall be cash and Toro Common Stock in an amount equal to a quotient, the numerator of which is $28,100,000 and the denominator of which is the sum of (i) the number of shares of Exmark Common Stock, (ii) the number of shares of Exmark Class C Stock and (iii) four times the number of shares of Exmark Preferred Stock, which in all cases are issued and outstanding immediately prior to the Effective Time, other than Canceled Shares. For purposes of calculating the number of shares of Toro Common Stock included in the Initial Payment Consideration, the value per share of Toro Common Stock shall be the Initial Toro Share Price (as defined in SECTION 2.02(c) hereof). In the aggregate, the total Initial Per Share Payment Consideration paid to the Holders of Shares is referred to herein as the "INITIAL PAYMENT."</w:t>
      </w:r>
    </w:p>
    <w:p>
      <w:pPr>
        <w:spacing w:after="0" w:line="32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PAYMENTS.  A "Common/Preferred Contingent Payment Right,"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referred to herein, shall mean the right to receive cash and Toro Common Stock in an amount equal to a quotient, the numerator of which is one-half of the 1998 Contingent Payment Amount (as defined in this SECTION 2.02(b) hereof) and the denominator of which is the sum of (i) the number of shares of Exmark Common Stock and (ii) four times the number of shares of Exmark Preferred Stock, which in all cases are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28" w:name="page129"/>
    <w:bookmarkEnd w:id="128"/>
    <w:p>
      <w:pPr>
        <w:ind w:right="3339"/>
        <w:spacing w:after="0" w:line="250" w:lineRule="auto"/>
        <w:rPr>
          <w:sz w:val="20"/>
          <w:szCs w:val="20"/>
          <w:color w:val="auto"/>
        </w:rPr>
      </w:pPr>
      <w:r>
        <w:rPr>
          <w:rFonts w:ascii="Courier New" w:cs="Courier New" w:eastAsia="Courier New" w:hAnsi="Courier New"/>
          <w:sz w:val="14"/>
          <w:szCs w:val="14"/>
          <w:color w:val="auto"/>
        </w:rPr>
        <w:t>issued and outstanding immediately prior to the Effective Time, other than Canceled Shares (the "COMMON/PREFERRED 1998 CONTINGENT CONSIDERATION"), plus an amount equal to a quotient, the numerator of which is one-half of the 1999 Contingent Payment Amount and the denominator of which is the sum (i) of the number of shares of Exmark Common Stock and (ii) four times the number of shares of Exmark Preferred Stock, which in all cases are issued and outstanding immediately prior to the Effective Time, other than Canceled Shares (the "COMMON/PREFERRED 1999 CONTINGENT CONSIDERATION"). A "Class B Contingent Payment Right," as referred to herein, shall mean the right to receive cash and Toro Common Stock in an amount equal to a quotient, the numerator of which is one-half of the 1998 Contingent Payment Amount and the denominator of which is the number of shares of Exmark Class B Stock issued and outstanding immediately prior to the Effective Time, other than Canceled Shares (such Class B shares are referred to as the "OUTSTANDING CLASS B SHARES" and such consideration is referred to as the "CLASS B 1998 CONTINGENT CONSIDERATION"), plus an amount equal to a quotient, the numerator of which is one-half of the 1999 Contingent Payment Amount and the denominator of which is the number of Outstanding Class B Shares (the "CLASS B 1999 CONTINGENT CONSIDERATION"). The "1998 CONTINGENT PAYMENT AMOUNT" shall mean a dollar amount determined in accordance with the calculations set forth in EXHIBIT 2.01(a). The "1999 CONTINGENT PAYMENT AMOUNT" shall mean a dollar amount determined in accordance with the calculations set forth in EXHIBIT 2.01(a). For purposes of calculating the number of shares of Toro Common Stock included in the Common/Preferred 1998 Contingent Consideration and the Class B 1998 Contingent Consideration, the value per share of Toro Common Stock shall be the 1998 Toro Share Price (as defined in SECTION 2.02(c) hereof). For purposes of calculating the number of shares of Toro Common Stock included in the Common/Preferred 1999 Contingent Consideration and the Class B 1999 Contingent Consideration, the value per share of Toro Common Stock shall be the 1999 Toro Share Price (as defined in SECTION 2.02(c) hereof). In the aggregate, the total Common/Preferred 1998 Contingent Consideration plus the total Class B 1998 Contingent Consideration to be paid to the Holders of Shares is referred to as the "1998 CONTINGENT PAYMENT." In the aggregate, the total Common/Preferred 1999 Contingent Consideration plus the total Class B 1999 Consideration to be paid to the Holders of Shares is referred to as the "1999 CONTINGENT PAYMENT." The 1998 Contingent Payment and the 1999 Contingent Payment are collectively referred to as the "CONTINGENT PAYMENTS." Exmark Class C Stock will not receive any of the Contingent Payments.</w:t>
      </w:r>
    </w:p>
    <w:p>
      <w:pPr>
        <w:spacing w:after="0" w:line="347" w:lineRule="exact"/>
        <w:rPr>
          <w:sz w:val="20"/>
          <w:szCs w:val="20"/>
          <w:color w:val="auto"/>
        </w:rPr>
      </w:pPr>
    </w:p>
    <w:p>
      <w:pPr>
        <w:ind w:right="3339" w:firstLine="8"/>
        <w:spacing w:after="0" w:line="250" w:lineRule="auto"/>
        <w:tabs>
          <w:tab w:leader="none" w:pos="77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MERGER CONSIDERATION AND HOLDBACK AMOUNT. The cash portion of the Initial Payment, the 1998 Contingent Payment and the 1999 Contingent Payment will be 12% of the aggregate amount of each such payment as calculated pursuant to this SECTION 2.02, subject only to SECTION 2.06. Each Holder, however, will be allowed to elect to receive more or less cash consideration in exchange for such Holder's Shares up to, but not to exceed, such Holder's portion of the Merger Consideration. Prior to the Stockholders' Meeting (as defined in SECTION 5.03), each record holder of Exmark's capital stock will receive a form to be used to indicate if such record holder desires to receive more or less than 12% of such holder's proportionate part of the Merger Consideration in cash (each Holder's proportionate part of the Merger Consideration is referred to herein as the "HOLDER'S MERGER CONSIDERATION"). Any Holder who wants to receive more or less than 12% of such Holder's Merger Consideration in the form of cash must properly complete the form, sign it and return it to the Escrow Agent (as defined in SECTION 2.03(a) hereof) prior to the date of the Stockholders' Meeting. Any Holder that does not return such form,</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29" w:name="page130"/>
    <w:bookmarkEnd w:id="129"/>
    <w:p>
      <w:pPr>
        <w:ind w:right="3339"/>
        <w:spacing w:after="0" w:line="250" w:lineRule="auto"/>
        <w:rPr>
          <w:sz w:val="20"/>
          <w:szCs w:val="20"/>
          <w:color w:val="auto"/>
        </w:rPr>
      </w:pPr>
      <w:r>
        <w:rPr>
          <w:rFonts w:ascii="Courier New" w:cs="Courier New" w:eastAsia="Courier New" w:hAnsi="Courier New"/>
          <w:sz w:val="14"/>
          <w:szCs w:val="14"/>
          <w:color w:val="auto"/>
        </w:rPr>
        <w:t>properly completed and signed, to the Escrow Agent prior to the Stockholders' Meeting, will be deemed to have elected to receive 12% of such Holder's Merger Consideration in the form of cash. The percentage of the Holder's Merger Consideration each Holder elects, or is deemed to have elected, to receive in cash shall be referred to herein as the "CASH ELECTION." In the event that the weighted average of all of the Cash Elections does not equal 12%, the portion of the Holder's Merger Consideration that each Holder will be entitled to receive in cash will be proportionately adjusted (either increased or decreased), so that the aggregate cash consideration to be paid, other than for fractional shares, will be 12% of the Merger Consideration. In the event that the aggregate effect of all of the Cash Elections would result in the cash portion of the Initial Payment or the Contingent Payments, as applicable, being greater than 12% of any such payment, each Cash Election with respect to such payment shall be multiplied by a quotient, the numerator of which is 12% and the denominator of which is the aggregate effect of all of the Cash Elections (expressed as a percentage of the aggregate consideration to be paid to the Holders with respect to the Initial Payment or the Contingent Payments, as applicable) prior to being adjusted. In the event that the aggregate effect of all of the Cash Elections would result in the cash portion of the Initial Payment or the Contingent Payments, as applicable, being less than 12% of any such payment, each Cash Election with respect to such payment (including Cash Elections of 0%) shall be increased by adding an equal percentage amount to each Cash Election (but not beyond 100%) until the weighted average of the Cash Elections, as so adjusted, equals 12% (E.G., each Cash Election would be increased by adding 1% (or some other percentage amount) to each Cash Election so that initial Cash Elections of 0% and 30% would become 1% and 31%, but an initial Cash Election of 100% would remain 100%). The remaining portion of each Holder's Merger Consideration will be in the form of shares of Toro Common Stock as described below. Based on the Cash Elections of record Holders of Exmark Class B Stock and Exmark Class C Stock, the cash that record Holders of Exmark Common Stock and Exmark Preferred Stock receive in connection with the Initial Payment, expressed as a percentage of such payment, may be different than the cash that such Holders receive in connection with the Contingent Payments, expressed as a percentage of each such payment.</w:t>
      </w:r>
    </w:p>
    <w:p>
      <w:pPr>
        <w:spacing w:after="0" w:line="346"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Toro Common Stock portion of the Initial Payment and each of the Contingent Payments will be 88% of the aggregate amount of such payment as calculated pursuant to SECTION 2.03, subject only to SECTION 2.06. The "INITIAL TORO SHARE PRICE" shall mean the average closing sale price per share of the Toro Common Stock as reported on the consolidated tape of the New York Stock Exchange during the 30 trading days ending on October 31, 1997; provided that the Effective Date is on or prior to November 30, 1997. In the event that the Effective Date is after November 30, 1997, the "Initial Toro Share Price shall mean the average closing sales price per share of Toro Common Stock reported on the consolidated tape of the New York Stock Exchange during the 30 trading days ending on the third trading day immediately preceding the Effective Date. The "1998 TORO SHARE PRICE" shall mean the average closing sales price per share of Toro Common Stock reported on the consolidated tape of the New York Stock Exchange during the 30 trading days ending on the third trading day immediately preceding December 31, 1998. The "1999 TORO</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30" w:name="page131"/>
    <w:bookmarkEnd w:id="130"/>
    <w:p>
      <w:pPr>
        <w:ind w:right="3339"/>
        <w:spacing w:after="0" w:line="251" w:lineRule="auto"/>
        <w:rPr>
          <w:sz w:val="20"/>
          <w:szCs w:val="20"/>
          <w:color w:val="auto"/>
        </w:rPr>
      </w:pPr>
      <w:r>
        <w:rPr>
          <w:rFonts w:ascii="Courier New" w:cs="Courier New" w:eastAsia="Courier New" w:hAnsi="Courier New"/>
          <w:sz w:val="14"/>
          <w:szCs w:val="14"/>
          <w:color w:val="auto"/>
        </w:rPr>
        <w:t>SHARE PRICE" shall mean the average closing sales price per share of Toro Common Stock reported on the consolidated tape of the New York Stock Exchange during the 30 trading days ending on the third trading day immediately preceding December 31, 1999. Each of the Initial Toro Share Price, the 1998 Toro Share Price and the 1999 Toro Share Price shall be appropriately and proportionately adjusted in the event that, at any time during such applicable thirty trading day period, shares of Toro Common Stock shall be changed into a different number of shares or a different class of shares by reason of any reclassification, recapitalization, split-up, combination, exchange of shares or readjustment or stock dividend.</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the foregoing, 15% of that part of the Initial Payment Fund (as defined in SECTION 2.03(a)) that would otherwise be payable to the Holders of Exmark Common Stock and Exmark Preferred Stock (the "HOLDBACK AMOUNT") shall be subject to Toro's Offset Right (as defined in SECTION 11.02 hereof) and, as such shall be held in escrow by the Escrow Agent in accordance with this</w:t>
      </w:r>
    </w:p>
    <w:p>
      <w:pPr>
        <w:spacing w:after="0" w:line="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 2.02(c) and EXHIBIT 12.04 and subject to SECTION 11.02. In addition, $100,000 of the Initial Payment Fund will be held in escrow by the Escrow Agent to Fund the expenses of the Stockholders' Representatives as provided in SECTION 10.03 (the "STOCKHOLDERS' REPRESENTATIVES EXPENSE FUND"). The Stockholders' Representatives Expense Fund shall not be subject to Toro's Offset Rights. In the event there is an Estimated Net Worth Adjustment (as defined in SECTION 2.02(d) hereof), cash in an amount equal to 12% of the Estimated Net Worth Adjustment and that number of shares of Toro Common Stock equal to a quotient, the numerator of which is 88% of the Estimated Net Worth Adjustment and the denominator of which is the Initial Toro Share Price, shall also be (i) held in escrow, (ii) included as part of the Holdback Amount and (iii) subject to Toro's Offset Right. Subject to the provisions of SECTION 11.02, as it relates to any claims by Toro under its Offset Right, two-thirds of the cash and two-thirds of the shares of Toro Common Stock included in the Holdback Amount that otherwise would have been payable to the Holders of Exmark Common Stock and Exmark Preferred Stock shall be delivered by the Paying Agent (as defined in SECTION 2.04) to such Holders concurrently with the payment of the 1999 Contingent Payment and the remainder will be delivered by the Paying Agent to such Holders on or before December 31, 2000 in each case in an amount based on the amount of cash and Toro Common Stock that such Holder would have received if such cash and Toro Common Stock had not originally been held in escrow pursuant to this SECTION 2.02(c). None of the Initial Payment Fund that is payable in exchange for the Exmark Class C Preferred Stock shall be held in escrow and included in the Holdback Amount pursuant to this SECTION 2.02(c). Toro's Offset Right shall be applied first against that portion of the Holdback Amount to be paid concurrently with the 1999 Contingent Payment, then against that portion of the Holdback Amount to be paid on or before December 31, 2000, then against the 1998 Contingent Payment, and any remainder shall be applied against the 1999 Contingent Payment.</w:t>
      </w:r>
    </w:p>
    <w:p>
      <w:pPr>
        <w:spacing w:after="0" w:line="343" w:lineRule="exact"/>
        <w:rPr>
          <w:sz w:val="20"/>
          <w:szCs w:val="20"/>
          <w:color w:val="auto"/>
        </w:rPr>
      </w:pPr>
    </w:p>
    <w:p>
      <w:pPr>
        <w:ind w:right="3519" w:firstLine="8"/>
        <w:spacing w:after="0" w:line="252"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ADJUSTMENT TO INITIAL PAYMENT. Within five business days prior to the Effective Time, the parties shall mutually agree upon an estimate of the book value,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31" w:name="page132"/>
    <w:bookmarkEnd w:id="131"/>
    <w:p>
      <w:pPr>
        <w:ind w:right="3339"/>
        <w:spacing w:after="0" w:line="251" w:lineRule="auto"/>
        <w:rPr>
          <w:sz w:val="20"/>
          <w:szCs w:val="20"/>
          <w:color w:val="auto"/>
        </w:rPr>
      </w:pPr>
      <w:r>
        <w:rPr>
          <w:rFonts w:ascii="Courier New" w:cs="Courier New" w:eastAsia="Courier New" w:hAnsi="Courier New"/>
          <w:sz w:val="14"/>
          <w:szCs w:val="14"/>
          <w:color w:val="auto"/>
        </w:rPr>
        <w:t>determined in accordance with GAAP (as defined below in this SECTION 2.02(d)), of (i) Exmark's total assets as of the Effective Time, minus (ii) Exmark's total liabilities as of the Effective Time (the "ESTIMATED NET WORTH"). The amount, determined on a dollar-for-dollar basis, by which the Estimated Net Worth is less than $8,243,000 shall be the "ESTIMATED NET WORTH ADJUSTMENT." If the Estimated Net Worth is greater than $8,243,000, then the Estimated Net Worth Adjustment shall be zero. "GAAP," as referred to herein, shall mean generally accepted accounting principles. The parties intend that the application of GAAP be on a basis consistent with the method used by Exmark in preparing the audited financial statements of Exmark for the three-year period from September 1, 1994 to August 31, 1997, which financial statements are presented in accordance with GAAP.</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Effective Time and at Toro's option, Toro and Exmark shall jointly perform a physical inventory of all inventory of Exmark. As soon thereafter as is practical, Exmark shall prepare a statement (the "INVENTORY STATEMENT"), which shall list the number and value of each inventory item (by product category or as is otherwise customary) of Exmark as of the Effective Time. The value of each such item shall be determined in accordance with GAAP and shall be used in the Net Worth Statement (as defined below in this SECTION 2.02(d)).</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Within 90 days after the Effective Time, the parties shall prepare and deliver to the Synergies Council (as defined in SECTION 7.02 hereof) a statement (the "NET WORTH STATEMENT") that sets forth the book value, determined in accordance with GAAP, of (i) Exmark's total assets as of the Effective Time, minus</w:t>
      </w:r>
    </w:p>
    <w:p>
      <w:pPr>
        <w:spacing w:after="0" w:line="2" w:lineRule="exact"/>
        <w:rPr>
          <w:sz w:val="20"/>
          <w:szCs w:val="20"/>
          <w:color w:val="auto"/>
        </w:rPr>
      </w:pPr>
    </w:p>
    <w:p>
      <w:pPr>
        <w:ind w:right="3339" w:firstLine="8"/>
        <w:spacing w:after="0" w:line="250" w:lineRule="auto"/>
        <w:tabs>
          <w:tab w:leader="none" w:pos="43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total liabilities as of the Effective Time. Representatives of Toro and of Exmark on the Synergies Council shall review the Net Worth Statement and shall agree upon adjustments, if any, to be made thereto within 30 days of the date of delivery of the Net Worth Statement. In the event there is a dispute regarding any such adjustment, such dispute shall be resolved in accordance with the dispute resolution procedures for the Synergies Council set forth in SECTION 7.02. The net worth of Exmark as set forth in the Net Worth Statement after any such adjustment (the "ACTUAL NET WORTH") shall be used to determine the Actual Net Worth Adjustment (as defined below in this</w:t>
      </w:r>
    </w:p>
    <w:p>
      <w:pPr>
        <w:spacing w:after="0" w:line="3"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2.02(d)). The "ACTUAL NET WORTH ADJUSTMENT," as referred to herein, shall mean the amount, determined on a dollar-for-dollar basis, by which the Actual Net Worth is less than $8,243,000. If the Actual Net Worth is equal to or greater than $8,243,000, then the Actual Net Worth Adjustment shall be zero. Upon the determination of the Actual Net Worth Adjustment, Toro shall promptly notify the Escrow Agent and the Paying Agent of the amount of the Actual Net Worth Adjustment and that the Actual Net Worth has been approved by a majority of the Synergies Council. Not later than 10 business days following receipt of such notice from Toro, the Escrow Agent shall deduct the amount of the Actual Net Worth Adjustment from the Holdback Amount and transfer to the Paying Agent cash in an amount equal to 12% of the Actual Net Worth Adjustment and a number of shares of Toro Common Stock equal</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32" w:name="page133"/>
    <w:bookmarkEnd w:id="132"/>
    <w:p>
      <w:pPr>
        <w:ind w:right="3419"/>
        <w:spacing w:after="0" w:line="251" w:lineRule="auto"/>
        <w:rPr>
          <w:sz w:val="20"/>
          <w:szCs w:val="20"/>
          <w:color w:val="auto"/>
        </w:rPr>
      </w:pPr>
      <w:r>
        <w:rPr>
          <w:rFonts w:ascii="Courier New" w:cs="Courier New" w:eastAsia="Courier New" w:hAnsi="Courier New"/>
          <w:sz w:val="14"/>
          <w:szCs w:val="14"/>
          <w:color w:val="auto"/>
        </w:rPr>
        <w:t>to a quotient, the numerator of which is 88% of the Actual Net Worth Adjustment and the denominator of which is the Initial Toro Share Price, plus all interest earned with respect to such cash and any and all dividends paid with respect to such shares of Toro Common Stock since the date on which Toro deposited such cash and Toro Common Stock with the Escrow Agent. The Paying Agent promptly shall pay such cash and shares to Toro. The shares of Toro Common Stock returned to Toro shall be canceled and cease to be outstanding. The Estimated Net Worth, the Net Worth Statement and the Actual Net Worth shall in each case be determined without giving effect to the Merger, the acquisition of Holiman (as defined in SECTION 5.01(b) hereof) by Exmark or the Signing Bonuses (as defined in SECTION 12.03 hereof).</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2.03 DETERMINATION OF INITIAL PAYMENT FUND, CLASS B INITIAL PAYMENT FUND AND CONTINGENT PAYMENT FUNDS; DEPOSIT PROCEDURES.</w:t>
      </w:r>
    </w:p>
    <w:p>
      <w:pPr>
        <w:spacing w:after="0" w:line="160" w:lineRule="exact"/>
        <w:rPr>
          <w:sz w:val="20"/>
          <w:szCs w:val="20"/>
          <w:color w:val="auto"/>
        </w:rPr>
      </w:pPr>
    </w:p>
    <w:p>
      <w:pPr>
        <w:ind w:right="3339" w:firstLine="8"/>
        <w:spacing w:after="0" w:line="250" w:lineRule="auto"/>
        <w:tabs>
          <w:tab w:leader="none" w:pos="7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deposit, or shall cause to be deposited, the Initial Payment Fund (as defined in this SECTION 2.03(a)) with Norwest Bank Minnesota, National Association, or such other bank or trust company designated by Toro and acceptable to Exmark's management (the "ESCROW AGENT"), for the benefit of the Holders and as part of the Merger Consideration in exchange for the Shares. The "INITIAL PAYMENT FUND AMOUNT" shall be a dollar amount equal to the product of the Initial Per Share Payment Consideration and the sum of (i) the number of shares of Exmark Common Stock, (ii) the number of shares of Exmark Class C Stock and (iii) four times the number of shares of Exmark Preferred Stock, which in all cases are issued and outstanding immediately prior to the Effective Time, other than Dissenting Shares and Canceled Shares. The amount of cash that Toro shall deposit with the Escrow Agent as part of the Initial Payment Fund shall be an amount equal to 12% of the Initial Payment Fund Amount. The number of shares of Toro Common Stock that Toro shall deposit with the Escrow Agent as part of the Initial Payment Fund, shall be equal to a quotient, the numerator of which shall be equal to 88% of the Initial Payment Fund Amount and the denominator of which shall be equal to the Initial Toro Share Price. The total cash and Toro Common Stock deposited with the Escrow Agent pursuant to this SECTION 2.03(a) is referred to herein as the "INITIAL PAYMENT FUND."</w:t>
      </w:r>
    </w:p>
    <w:p>
      <w:pPr>
        <w:spacing w:after="0" w:line="339" w:lineRule="exact"/>
        <w:rPr>
          <w:rFonts w:ascii="Courier New" w:cs="Courier New" w:eastAsia="Courier New" w:hAnsi="Courier New"/>
          <w:sz w:val="14"/>
          <w:szCs w:val="14"/>
          <w:color w:val="auto"/>
        </w:rPr>
      </w:pPr>
    </w:p>
    <w:p>
      <w:pPr>
        <w:ind w:right="3339" w:firstLine="8"/>
        <w:spacing w:after="0" w:line="251" w:lineRule="auto"/>
        <w:tabs>
          <w:tab w:leader="none" w:pos="68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deposit, or shall cause to be deposited, such number of shares of Toro Common Stock as is equal to the product of (i) the Class B Initial Per Share Payment Consideration and (ii) the number of shares of Exmark Class B Stock, which are issued and outstanding immediately prior to the Effective Time, other than Dissenting Shares and Canceled Shares (the "CLASS B INITIAL PAYMENT FUND"), with the Escrow Agent for the benefit of the Holders of Exmark Class B Stock and as part of the Merger Consideration in exchange for such Shares.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33" w:name="page134"/>
    <w:bookmarkEnd w:id="133"/>
    <w:p>
      <w:pPr>
        <w:ind w:left="-8" w:right="3339" w:firstLine="8"/>
        <w:spacing w:after="0" w:line="250" w:lineRule="auto"/>
        <w:tabs>
          <w:tab w:leader="none" w:pos="76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later to occur of (i) December 31, 1998, or (ii) 10 days after the 1998 Contingent Payment Amount has become final in accordance with the procedures set forth in EXHIBIT 2.01(a) hereto (the "1998 FUNDING DATE"), Toro shall deposit, or shall cause to be deposited, the 1998 Contingent Payment Fund (as defined in this SECTION 2.03(c)) with the Escrow Agent for the benefit of the Holders and as part of the Merger Consideration in exchange for the Shares. The "1998 CONTINGENT PAYMENT FUND AMOUNT" shall be a dollar amount equal to the 1998 Contingent Payment Amount multiplied by a quotient, the numerator of which is the sum of the number of shares of Exmark Common Stock, Exmark Class B Stock and (iii) four times the number of shares of Exmark Preferred Stock, which in all cases are issued and outstanding immediately prior to the Effective Time, other than Dissenting Shares and Canceled Shares, and the denominator of which is the sum of (i) the number of shares of Exmark Common Stock, Exmark Class B Stock and four times the number of shares of Exmark Preferred Stock, which in all cases are issued and outstanding immediately prior to the Effective Time, other than Canceled Shares (the "CONTINGENT PAYMENTS DISSENTERS' FRACTION"). The amount of cash that Toro shall deposit with the Escrow Agent as part of the 1998 Contingent Payment Fund shall be an amount equal to 12% of the 1998 Contingent Payment Fund Amount. The number of shares of Toro Common Stock that Toro shall deposit with the Escrow Agent as part of the 1998 Contingent Payment Fund, shall be equal to a quotient, the numerator of which shall be equal to 88% of the 1998 Contingent Payment Fund Amount and the denominator of which shall be equal to the 1998 Toro Share Price. The total cash and Toro Common Stock deposited with the Escrow Agent pursuant to this SECTION 2.03(c) is referred to herein as the "1998 CONTINGENT PAYMENT FUND."</w:t>
      </w:r>
    </w:p>
    <w:p>
      <w:pPr>
        <w:spacing w:after="0" w:line="176" w:lineRule="exact"/>
        <w:rPr>
          <w:rFonts w:ascii="Courier New" w:cs="Courier New" w:eastAsia="Courier New" w:hAnsi="Courier New"/>
          <w:sz w:val="14"/>
          <w:szCs w:val="14"/>
          <w:color w:val="auto"/>
        </w:rPr>
      </w:pPr>
    </w:p>
    <w:p>
      <w:pPr>
        <w:ind w:left="-8" w:right="3339" w:firstLine="8"/>
        <w:spacing w:after="0" w:line="250" w:lineRule="auto"/>
        <w:tabs>
          <w:tab w:leader="none" w:pos="76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later to occur of (i) December 31, 1999 or (ii) 10 days after the 1999 Contingent Payment Amount shall become final in accordance with the procedures set forth in EXHIBIT 2.01(a) hereto (the "1999 FUNDING DATE"), Toro shall deposit, or shall cause to be deposited, the 1999 Contingent Payment Fund (as defined in this SECTION 2.03(d)) with the Escrow Agent for the benefit of the Holders and as part of the Merger Consideration in exchange for the Shares. The "1999 CONTINGENT PAYMENT FUND AMOUNT" shall be a dollar amount equal to the 1999 Contingent Payment Amount multiplied by the Contingent Payments Dissenters' Fraction. The amount of cash that Toro shall deposit with the Escrow Agent as part of the 1999 Contingent Payment Fund shall be an amount equal to 12% of the 1999 Contingent Payment Fund Amount. The number of shares of Toro Common Stock that Toro shall deposit with the Escrow Agent as part of the 1999 Contingent Payment Fund, shall be equal to a quotient, the numerator of which shall be equal to 88% of the 1999 Contingent Payment Fund Amount and the denominator of which shall be equal to the 1999 Toro Share Price. The total cash and Toro Common Stock deposited with the Escrow Agent pursuant to this SECTION 2.03(d) is referred to herein as the "1999 CONTINGENT PAYMENT FUND."</w:t>
      </w:r>
    </w:p>
    <w:p>
      <w:pPr>
        <w:spacing w:after="0" w:line="17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1"/>
          </w:cols>
          <w:pgMar w:left="228" w:top="616" w:right="1440" w:bottom="1440" w:gutter="0" w:footer="0" w:header="0"/>
        </w:sectPr>
      </w:pPr>
    </w:p>
    <w:bookmarkStart w:id="134" w:name="page135"/>
    <w:bookmarkEnd w:id="134"/>
    <w:p>
      <w:pPr>
        <w:spacing w:after="0"/>
        <w:tabs>
          <w:tab w:leader="none" w:pos="76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EXCHANGE/PAYMENT PROCEDURES.</w:t>
      </w:r>
    </w:p>
    <w:p>
      <w:pPr>
        <w:spacing w:after="0" w:line="173" w:lineRule="exact"/>
        <w:rPr>
          <w:sz w:val="20"/>
          <w:szCs w:val="20"/>
          <w:color w:val="auto"/>
        </w:rPr>
      </w:pPr>
    </w:p>
    <w:p>
      <w:pPr>
        <w:ind w:right="3519" w:firstLine="8"/>
        <w:spacing w:after="0" w:line="250"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shall hold the Initial Payment Fund, the 1998 Contingent Payment Fund and the 1999 Contingent Payment Fund, including any interest earned thereon and any dividends or distributions paid in respect thereof (collectively, the "EXCHANGE FUND"), for the benefit of the Holders of Shares, subject to the escrow of the Holdback Amount pursuant to SECTION</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2.02(c), and shall hold the Class B Initial Payment Fund, including any interest earned thereon and any dividends paid in respect thereof, for the benefit of the Holders of Exmark Class B Stock. The Escrow Agent shall also act as the "PAYING AGENT"and shall distribute the Exchange Fund and the Class B Initial Payment Fund in exchange for Shares pursuant to the terms of this Agreement. Except as contemplated by SECTION 2.02(c), this SECTION 2.04, SECTION 2.07(d) and SECTION 11.02, the Exchange Fund and the Class B Initial Payment Fund shall not be used for any other purpose. Toro shall make available to the Escrow Agent from time to time as needed, cash sufficient to pay cash in lieu of fractional shares as described in this SECTION 2.04 and in SECTION 2.06.</w:t>
      </w:r>
    </w:p>
    <w:p>
      <w:pPr>
        <w:spacing w:after="0" w:line="163"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Time, the Paying Agent shall mail to each record holder of a certificate or certificates that immediately prior to the Effective Time represented Shares (the "CERTIFICATES"),</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of transmittal (which shall be in customary form) and</w:t>
      </w:r>
    </w:p>
    <w:p>
      <w:pPr>
        <w:spacing w:after="0" w:line="7"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 for use in effecting the surrender of the Certificates in exchange for such Holder's Merger Consideration. The letter of transmittal shall specify that delivery of Certificates shall be effected, and risk of loss and title to the Certificates shall pass, only upon delivery of the Certificates to the Paying Agent. Upon surrender of a Certificate that immediately prior to the Effective Time represented outstanding shares of Exmark Common Stock, Exmark Preferred Stock or Exmark Class C Stock, for cancellation to the Paying Agent, together with such letter of transmittal, duly executed, and such other documents as may be required pursuant to such instructions, the Paying Agent shall distribute in exchange therefor, subject in the case of Certificates evidencing Exmark Common Stock and Exmark Preferred Stock to escrow of the Holdback Amount, (i) a certificate or certificates representing the number of whole shares of Toro Common Stock issuable to such Holder pursuant to SECTION 2.01 and SECTION 2.02 and based on such Holder's Cash Election, (ii) cash representing the amount payable to such Holder pursuant to SECTION 2.01 and SECTION 2.02 and based on such Holder's Cash Election, (iii) cash in lieu of any fractional share thereof in accordance with SECTION 2.06, (iv) any interest earned or dividends paid with respect to such Holder's Merger Consideration and (v) except for holders of Exmark Class C Stock, the right to receive such Holders' portion (based on the number of shares evidenced by such Certificate) of the Contingent Payments, which right shall be uncertificated, and the Certificate so surrendered shall forthwith be canceled. Upon surrender of a Certificate that immediately prior to the Effective Time represented outstanding shares of Exmark Class B Stock, for cancellation to the Paying Agent, together with such letter of transmittal, duly executed, and such other documents as may be required pursuant to such instructions, the Paying Agent shall distribute in exchange therefor (i) a certificate or certificates representing the number of whole shares</w:t>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35" w:name="page136"/>
    <w:bookmarkEnd w:id="135"/>
    <w:p>
      <w:pPr>
        <w:ind w:right="3599"/>
        <w:spacing w:after="0" w:line="250" w:lineRule="auto"/>
        <w:rPr>
          <w:sz w:val="20"/>
          <w:szCs w:val="20"/>
          <w:color w:val="auto"/>
        </w:rPr>
      </w:pPr>
      <w:r>
        <w:rPr>
          <w:rFonts w:ascii="Courier New" w:cs="Courier New" w:eastAsia="Courier New" w:hAnsi="Courier New"/>
          <w:sz w:val="14"/>
          <w:szCs w:val="14"/>
          <w:color w:val="auto"/>
        </w:rPr>
        <w:t>of Toro Common Stock issuable to such Holder pursuant to SECTION 2.01, (ii) cash in lieu of any fractional share thereof in accordance with SECTION 2.06,</w:t>
      </w:r>
    </w:p>
    <w:p>
      <w:pPr>
        <w:spacing w:after="0" w:line="1" w:lineRule="exact"/>
        <w:rPr>
          <w:sz w:val="20"/>
          <w:szCs w:val="20"/>
          <w:color w:val="auto"/>
        </w:rPr>
      </w:pPr>
    </w:p>
    <w:p>
      <w:pPr>
        <w:ind w:right="3599" w:firstLine="8"/>
        <w:spacing w:after="0" w:line="251" w:lineRule="auto"/>
        <w:tabs>
          <w:tab w:leader="none" w:pos="51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earned or dividends paid with respect to such Holder's Merger Consideration and (iv) the right to receive such Holders portion (based on the number of shares evidenced by such Certificate) of the Contingent Payments, which right shall be uncertificated, and the Certificate so surrendered shall forthwith be canceled. Until surrendered as contemplated by this SECTION 2.04, each Certificate shall be deemed at any time after the Effective Time to represent solely the right to receive that portion of the Merger Consideration to be issued in exchange for such Certificate in connection with the Merger.</w:t>
      </w:r>
    </w:p>
    <w:p>
      <w:pPr>
        <w:spacing w:after="0" w:line="164" w:lineRule="exact"/>
        <w:rPr>
          <w:sz w:val="20"/>
          <w:szCs w:val="20"/>
          <w:color w:val="auto"/>
        </w:rPr>
      </w:pPr>
    </w:p>
    <w:p>
      <w:pPr>
        <w:ind w:right="3339" w:firstLine="8"/>
        <w:spacing w:after="0" w:line="251" w:lineRule="auto"/>
        <w:tabs>
          <w:tab w:leader="none" w:pos="7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transfer of Share ownership that is not registered in the transfer records of Exmark, that portion of the Merger Consideration to be issued in exchange for any such transferred Shares in connection with the Merger may be issued to a person other than the person in whose name such Shares are registered, if, upon presentation to the Paying Agent, the Certificate representing such Shares shall be properly endorsed or otherwise be in proper form for transfer and the person requesting such payment shall pay any transfer or other Taxes (as defined in SECTION 3.15(k) hereof) required by reason of the issuance of such portion of the Merger Consideration to a person other than the registered holder of such Certificate or establish to the reasonable satisfaction of Toro that such tax has been paid or is not applicable.</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Toro's Offset Right and the procedures described in this SECTION 2.04 and in SECTION 11.02, as promptly as practicable following the deposit by Toro of each of the 1998 Contingent Payment Fund and the 1999 Contingent Payment Fund, after taking such action as is necessary to assure that all applicable federal or state payroll, income withholding and any other Taxes are withheld, the Paying Agent shall distribute to the Holders from the applicable fund (i) a certificate or certificates representing the number of whole shares of Toro Common Stock issuable to each such Holder pursuant to SECTION 2.01 and SECTION 2.02, based on such Holder's Cash Election, (ii) cash representing the amount payable to each such Holder pursuant to SECTION 2.01 and SECTION 2.02, based on such Holder's Cash Election, and (iii) cash in lieu of any fractional share thereof in accordance with SECTION 2.06.</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Toro exercises its Offset Right against all or a portion of the Holdback Amount, the Paying Agent promptly shall distribute to Toro from the Holdback Amount cash and Toro Common Stock equal in value to such offset amount and the value of each share of Toro Common Stock so distributed shall be deemed to be the Initial Toro Share Price. In the event Toro exercises its Offset Right against all or a portion of the 1998 Contingent Payment and Toro has delivered the 1998 Contingent Payment Fund to the Escrow Agent and such Fund has not been distributed to the Holders by the Paying Agent, then the Paying Agent promptly shall distribute to Toro from the 1998 Contingent Payment Fund cash and Toro Common Stock equal in value to such offset amount and the value of</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36" w:name="page137"/>
    <w:bookmarkEnd w:id="136"/>
    <w:p>
      <w:pPr>
        <w:ind w:right="3339"/>
        <w:spacing w:after="0" w:line="250" w:lineRule="auto"/>
        <w:rPr>
          <w:sz w:val="20"/>
          <w:szCs w:val="20"/>
          <w:color w:val="auto"/>
        </w:rPr>
      </w:pPr>
      <w:r>
        <w:rPr>
          <w:rFonts w:ascii="Courier New" w:cs="Courier New" w:eastAsia="Courier New" w:hAnsi="Courier New"/>
          <w:sz w:val="14"/>
          <w:szCs w:val="14"/>
          <w:color w:val="auto"/>
        </w:rPr>
        <w:t>each share of Toro Common Stock so distributed shall be deemed to be the 1998 Toro Share Price. In the event Toro exercises its Offset Right against all or a portion of the 1998 Contingent Payment and Toro has not delivered the 1998 Contingent Payment Fund to the Escrow Agent, then the 1998 Contingent Payment Amount automatically shall be reduced by such amount. In the event Toro exercises its Offset Right against all or a portion of the 1999 Contingent Payment and Toro has delivered the 1999 Contingent Payment Fund to the Escrow Agent and such Fund has not been distributed to the Holders by the Paying Agent, then the Paying Agent promptly shall distribute to Toro from the 1999 Contingent Payment Fund cash and Toro Common Stock equal in value to such offset amount and the value of each share of Toro Common Stock so distributed shall be deemed to be the 1999 Toro Share Price. In the event Toro exercises its Offset Right against all or a portion of the 1999 Contingent Payment and Toro has not delivered the 1999 Contingent Payment Fund to the Escrow Agent, then the 1999 Contingent Payment Amount automatically shall be reduced by such amount. The Toro Common Stock portion of the offset amounts distributed by the Paying Agent to Toro pursuant to this SECTION 2.04(e) will be 88% of the aggregate amount of each such distribution, determined based on the value attributed thereto pursuant to this SECTION 2.04(e), subject only to SECTION 2.06. Cash and Toro Common Stock delivered to Toro to fund Offset Rights shall constitute a post-closing reduction of the Merger Consideration rather than a payment of a liability by Holders of Shares.</w:t>
      </w:r>
    </w:p>
    <w:p>
      <w:pPr>
        <w:spacing w:after="0" w:line="34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DISSENTING SHARES.</w:t>
      </w:r>
    </w:p>
    <w:p>
      <w:pPr>
        <w:spacing w:after="0" w:line="173" w:lineRule="exact"/>
        <w:rPr>
          <w:sz w:val="20"/>
          <w:szCs w:val="20"/>
          <w:color w:val="auto"/>
        </w:rPr>
      </w:pPr>
    </w:p>
    <w:p>
      <w:pPr>
        <w:ind w:right="3339" w:firstLine="8"/>
        <w:spacing w:after="0" w:line="250" w:lineRule="auto"/>
        <w:tabs>
          <w:tab w:leader="none" w:pos="77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if Sections 21-20,137 to 21-20,150 of the Nebraska Act are applicable to the Merger, shares of Exmark's capital stock that are issued and outstanding as of the Record Date for the Stockholders' Meeting and which are held by stockholders who have not voted such shares in favor of the Merger, who shall have delivered, prior to any vote on the Merger, a written demand for the fair value of such shares in the manner provided in Section 21-20,143 of the Nebraska Act and who, as of the Effective Time, shall not have effectively withdrawn or lost such right to appraisal rights ("DISSENTING SHARES"), shall not be converted into or represent a right to receive any of the Merger Consideration that would otherwise be paid therefor pursuant to SECTION 2.01 hereof, but the holders thereof shall be entitled only to such rights as are granted by Sections</w:t>
      </w:r>
    </w:p>
    <w:p>
      <w:pPr>
        <w:spacing w:after="0" w:line="5"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21-20,145 to 21-20,150 of the Nebraska Act. Each holder of Dissenting Shares who becomes entitled to payment for such shares pursuant to Sections 21-20,145 to 21-20,150 of the Nebraska Act shall receive payment therefor from the Surviving Corporation in accordance with the Nebraska Act; provided, however, that if, prior to the Effective Time, any such holder of Dissenting Shares shall have effectively withdrawn such holder's demand for appraisal of such shares or lost such holder's right to appraisal of such shares under Sections 21-20,141 and 21-20,143 of the Nebraska Act, such holder or holders (as the case may be) shall forfeit the right to appraisal of such shares and each such share shall thereupon be deemed to have been canceled, extinguished and converted, as of the Effective Time, into and represent the right to receive payment of that portion of the</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37" w:name="page138"/>
    <w:bookmarkEnd w:id="137"/>
    <w:p>
      <w:pPr>
        <w:ind w:right="3779"/>
        <w:spacing w:after="0" w:line="255" w:lineRule="auto"/>
        <w:rPr>
          <w:sz w:val="20"/>
          <w:szCs w:val="20"/>
          <w:color w:val="auto"/>
        </w:rPr>
      </w:pPr>
      <w:r>
        <w:rPr>
          <w:rFonts w:ascii="Courier New" w:cs="Courier New" w:eastAsia="Courier New" w:hAnsi="Courier New"/>
          <w:sz w:val="14"/>
          <w:szCs w:val="14"/>
          <w:color w:val="auto"/>
        </w:rPr>
        <w:t>Merger Consideration to be paid therefor pursuant to SECTION 2.01 and SECTION 2.02 and such shares shall not be deemed to be "Dissenting Shares."</w:t>
      </w:r>
    </w:p>
    <w:p>
      <w:pPr>
        <w:spacing w:after="0" w:line="160" w:lineRule="exact"/>
        <w:rPr>
          <w:sz w:val="20"/>
          <w:szCs w:val="20"/>
          <w:color w:val="auto"/>
        </w:rPr>
      </w:pPr>
    </w:p>
    <w:p>
      <w:pPr>
        <w:ind w:right="3339" w:firstLine="8"/>
        <w:spacing w:after="0" w:line="251"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give Toro (i) prompt notice of any written demand for fair value, any withdrawal of a demand for fair value and any other instrument served pursuant to Sections 21-20,137 to 21-20,150 of the Nebraska Act received by Exmark, and (ii) the opportunity to direct all negotiations and proceedings with respect to demands for fair value under such sections of the Nebraska Act. Exmark shall not, except with the prior written consent of Toro, voluntarily make any payment with respect to any demand for fair value or offer to settle or settle any such demand.</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NO FRACTIONAL SHARES.</w:t>
      </w:r>
    </w:p>
    <w:p>
      <w:pPr>
        <w:spacing w:after="0" w:line="173" w:lineRule="exact"/>
        <w:rPr>
          <w:sz w:val="20"/>
          <w:szCs w:val="20"/>
          <w:color w:val="auto"/>
        </w:rPr>
      </w:pPr>
    </w:p>
    <w:p>
      <w:pPr>
        <w:ind w:right="3419" w:firstLine="8"/>
        <w:spacing w:after="0" w:line="251" w:lineRule="auto"/>
        <w:tabs>
          <w:tab w:leader="none" w:pos="77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Toro Common Stock shall be issued upon the surrender for exchange of Certificates, and such fractional share interests will not entitle the owner thereof to vote or to any rights of a stockholder of Toro. Notwithstanding any other provision of this Agreement, no certificates or scrip representing fractional shares of Toro Common Stock shall be deposited by Toro pursuant to the deposit procedures described in SECTION 2.03, but rather Toro shall deposit, in lieu thereof, cash in an amount equal to such fractional part of a share of Toro Common Stock multiplied by the Initial Toro Share Price, the 1998 Toro Share Price or the 1999 Toro Share Price, as applicable.</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each Holder of Shares exchanged pursuant to the Merger who would otherwise have been entitled to receive a fraction of a share of Toro Common Stock (after taking into account all Certificates delivered by such Holder) with respect to the Initial Payment, the Class B Initial Payment Consideration, the 1998 Contingent Payment, the 1999 Contingent Payment or the release of any portion of the Holdback Amount shall receive, in lieu thereof, cash (without interest) in an amount equal to such fractional part of a share of Toro Common Stock multiplied by the Initial Toro Share Price, the Initial Toro Share Price, the 1998 Toro Share Price, the 1999 Toro Share Price or the 1999 Toro Share Price, respectively.</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Toro Common Stock shall be issued to Toro in connection with the exercise of its Offset Right or the Actual Net Worth Adjustment, but rather the Paying Agent shall deliver to Toro, in lieu thereof, cash in an amount equal to any such fractional part of a share of Toro Common Stock multiplied by the value attributed thereto pursuant to SECTION 2.04(e) or the Initial Toro Share Price, respectively.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38" w:name="page139"/>
    <w:bookmarkEnd w:id="138"/>
    <w:p>
      <w:pPr>
        <w:spacing w:after="0"/>
        <w:tabs>
          <w:tab w:leader="none" w:pos="760" w:val="left"/>
        </w:tabs>
        <w:rPr>
          <w:sz w:val="20"/>
          <w:szCs w:val="20"/>
          <w:color w:val="auto"/>
        </w:rPr>
      </w:pPr>
      <w:r>
        <w:rPr>
          <w:rFonts w:ascii="Courier New" w:cs="Courier New" w:eastAsia="Courier New" w:hAnsi="Courier New"/>
          <w:sz w:val="14"/>
          <w:szCs w:val="14"/>
          <w:color w:val="auto"/>
        </w:rPr>
        <w:t>2.07</w:t>
      </w:r>
      <w:r>
        <w:rPr>
          <w:sz w:val="20"/>
          <w:szCs w:val="20"/>
          <w:color w:val="auto"/>
        </w:rPr>
        <w:tab/>
      </w:r>
      <w:r>
        <w:rPr>
          <w:rFonts w:ascii="Courier New" w:cs="Courier New" w:eastAsia="Courier New" w:hAnsi="Courier New"/>
          <w:sz w:val="14"/>
          <w:szCs w:val="14"/>
          <w:color w:val="auto"/>
        </w:rPr>
        <w:t>OTHER EXCHANGE MATTERS.</w:t>
      </w:r>
    </w:p>
    <w:p>
      <w:pPr>
        <w:spacing w:after="0" w:line="173" w:lineRule="exact"/>
        <w:rPr>
          <w:sz w:val="20"/>
          <w:szCs w:val="20"/>
          <w:color w:val="auto"/>
        </w:rPr>
      </w:pPr>
    </w:p>
    <w:p>
      <w:pPr>
        <w:ind w:right="3339" w:firstLine="8"/>
        <w:spacing w:after="0" w:line="250" w:lineRule="auto"/>
        <w:tabs>
          <w:tab w:leader="none" w:pos="7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HOLDERS OF EXMARK CAPITAL STOCK. On and after the Effective Time and until surrendered for exchange, each Certificate representing Shares shall be deemed for all purposes, except as provided in SECTION 2.06, to evidence ownership of and to represent the right to receive such Holder's Merger Consideration to be paid therefor pursuant to SECTION 2.01 and SECTION 2.02.</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record Holder of such Certificate shall, after the Effective Time, be entitled to vote the shares of Toro Common Stock included in the Initial Payment into which such Shares shall have been converted (including any Shares of Toro Common Stock then outstanding and included in the Holdback Amount) on any matters on which the holders of record of Toro Common Stock, as of any date subsequent to the Effective Time, shall be entitled to vote. After the Effective Date, there shall be no further registration of transfers on the records of the Surviving Corporation of outstanding certificates formerly representing Shares of Exmark Common Stock, Exmark Preferred Stock, Exmark Class B Stock or Exmark Class C Stock and, if a certificate formerly representing such Shares is presented to the Paying Agent, it shall be canceled and exchanged for such Holder's Merger Consideration as provided in SECTION 2.04. In any matters relating to such Certificates, Toro may rely conclusively upon the record of stockholders maintained by Exmark containing the names and addresses of the Holders of record of Shares at the Effective Time.</w:t>
      </w:r>
    </w:p>
    <w:p>
      <w:pPr>
        <w:spacing w:after="0" w:line="328"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Toro will pay no dividends and make no other distributions with respect to Toro Common Stock with a record date after the Effective Time to any Holder of any unsurrendered Certificate evidencing Shares of Exmark Common Stock, Exmark Preferred Stock, Exmark Class B Stock or Exmark Class C Stock with respect to the shares of Toro Common Stock included in such Holder's Merger Consideration with respect thereto and Toro will make no cash payment with respect to the cash portion included in such Holder's Merger Consideration or in lieu of fractional shares to any such Holder pursuant to SECTION 2.06 until the Holder of such Certificate surrenders such Certificate. Following surrender of any such Certificate, the Paying Agent, on behalf of Toro, shall subject to the other provisions of this Agreement (i) pay to the record holder of the certificate representing whole shares of Toro Common Stock issued in exchange for such Certificate, without interest, (A) at the time of such surrender, the amount of cash payable in lieu of a fractional share of Toro Common Stock to which such holder is entitled pursuant to SECTION 2.06 and the amount of dividends or other distributions with a record date after the Effective Time theretofore paid with respect to such whole shares of Toro Common Stock and (B) at the appropriate payment date, the amount of dividends or other distributions with a record date after the Effective Time but prior to such surrender and a payment date subsequent to such surrender payable with respect to such whole shares of Toro Common Stock and</w:t>
      </w:r>
    </w:p>
    <w:p>
      <w:pPr>
        <w:spacing w:after="0" w:line="9" w:lineRule="exact"/>
        <w:rPr>
          <w:rFonts w:ascii="Courier New" w:cs="Courier New" w:eastAsia="Courier New" w:hAnsi="Courier New"/>
          <w:sz w:val="14"/>
          <w:szCs w:val="14"/>
          <w:color w:val="auto"/>
        </w:rPr>
      </w:pPr>
    </w:p>
    <w:p>
      <w:pPr>
        <w:ind w:right="3419" w:firstLine="8"/>
        <w:spacing w:after="0" w:line="252" w:lineRule="auto"/>
        <w:tabs>
          <w:tab w:leader="none" w:pos="43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to the Holder, without interest from the Effective Time to the date of the surrender of such Certificates, the cash portion of such Merger Consideration then payable to such Holder.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39" w:name="page140"/>
    <w:bookmarkEnd w:id="139"/>
    <w:p>
      <w:pPr>
        <w:ind w:right="3679" w:firstLine="8"/>
        <w:spacing w:after="0" w:line="251"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OWNERSHIP RIGHTS IN EXMARK CAPITAL STOCK. The Merger Consideration delivered to the Escrow Agent in exchange for the Shares in accordance with the terms hereof (including any cash paid pursuant to SECTION 2.06 or SECTION 2.07(b)) shall be deemed to have been issued in full satisfaction of all rights pertaining to such Shares.</w:t>
      </w:r>
    </w:p>
    <w:p>
      <w:pPr>
        <w:spacing w:after="0" w:line="164"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FUNDS. The Paying Agent shall deliver any portion of the Exchange Fund and the Class B Initial Payment Fund that remains undistributed to the Holders of the Certificates for two years after the Effective Time to Toro, upon demand. Holders of Certificates who have not theretofore complied with this ARTICLE II shall thereafter look only to Toro for payment of their claims for their respective portions of the Merger Consideration as to which they may be entitled under SECTION 2.01 and</w:t>
      </w:r>
    </w:p>
    <w:p>
      <w:pPr>
        <w:spacing w:after="0" w:line="3" w:lineRule="exact"/>
        <w:rPr>
          <w:rFonts w:ascii="Courier New" w:cs="Courier New" w:eastAsia="Courier New" w:hAnsi="Courier New"/>
          <w:sz w:val="14"/>
          <w:szCs w:val="14"/>
          <w:color w:val="auto"/>
        </w:rPr>
      </w:pPr>
    </w:p>
    <w:p>
      <w:pPr>
        <w:ind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2.02, including any dividends or distributions with respect to Toro Common Stock.</w:t>
      </w:r>
    </w:p>
    <w:p>
      <w:pPr>
        <w:spacing w:after="0" w:line="159"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None of Toro, Merger Subsidiary, Exmark, the Escrow Agent or the Paying Agent shall be liable to any person in respect of any shares of Toro Common Stock (or dividends or distributions with respect thereto) or cash in the Exchange Fund or the Class B Initial Payment Fund delivered to a public official pursuant to any applicable abandoned property, escheat or similar law.</w:t>
      </w:r>
    </w:p>
    <w:p>
      <w:pPr>
        <w:spacing w:after="0" w:line="326"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OF MERGER CONSIDERATION. The Escrow Agent shall invest any cash included in the Exchange Fund or the Class B Initial Payment Fund in interest bearing accounts guaranteed, directly or indirectly, by the federal government. Any interest and other income resulting from such investments shall become part of the Exchange Fund or the Class B Initial Payment Fund, as applicable, and shall be taxable to the Holders.</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CERTIFICATES. If any Certificate shall have been lost, stolen or destroyed, upon the making of an affidavit of that fact by the person claiming such Certificate to be lost, stolen or destroyed, and, if required by the Surviving Corporation, upon the delivery to the Paying Agent of a bond in such sum as the Surviving Corporation may direct as indemnity against any claim that may be made against it with respect to such Certificate, the Paying Agent will issue in exchange for such lost, stolen or destroyed Certificate the Merger Consideration and any cash in lieu of fractional shares, and unpaid dividends and distributions on shares of Toro Common Stock deliverable in respect thereof, pursuant to this Agreement.</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TRANSFER BOOKS. At the Effective Time, the stock transfer books of Exmark shall be closed and there shall be no further registration of transfers of shares of Exmark's capital stock thereafter on the records of Exmark. From and after the Effective</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40" w:name="page141"/>
    <w:bookmarkEnd w:id="140"/>
    <w:p>
      <w:pPr>
        <w:ind w:right="3339"/>
        <w:spacing w:after="0" w:line="252" w:lineRule="auto"/>
        <w:rPr>
          <w:sz w:val="20"/>
          <w:szCs w:val="20"/>
          <w:color w:val="auto"/>
        </w:rPr>
      </w:pPr>
      <w:r>
        <w:rPr>
          <w:rFonts w:ascii="Courier New" w:cs="Courier New" w:eastAsia="Courier New" w:hAnsi="Courier New"/>
          <w:sz w:val="14"/>
          <w:szCs w:val="14"/>
          <w:color w:val="auto"/>
        </w:rPr>
        <w:t>Time, the holders of certificates representing shares of Exmark's capital stock immediately prior to the Effective Time shall cease to have any rights with respect to such shares of Exmark's capital stock except as otherwise provided in this Agreement or by law.</w:t>
      </w:r>
    </w:p>
    <w:p>
      <w:pPr>
        <w:spacing w:after="0" w:line="162" w:lineRule="exact"/>
        <w:rPr>
          <w:sz w:val="20"/>
          <w:szCs w:val="20"/>
          <w:color w:val="auto"/>
        </w:rPr>
      </w:pPr>
    </w:p>
    <w:p>
      <w:pPr>
        <w:ind w:left="780" w:hanging="772"/>
        <w:spacing w:after="0"/>
        <w:tabs>
          <w:tab w:leader="none" w:pos="7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3" w:lineRule="exact"/>
        <w:rPr>
          <w:sz w:val="20"/>
          <w:szCs w:val="20"/>
          <w:color w:val="auto"/>
        </w:rPr>
      </w:pPr>
    </w:p>
    <w:p>
      <w:pPr>
        <w:ind w:right="3339" w:firstLine="8"/>
        <w:spacing w:after="0" w:line="251"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between the date hereof and the later to occur of (A) the date on which the 1999 Contingent Payment, if any, is fully paid and (B) the date on which the last payment of the Holdback Amount is made (the "LAST PAYMENT DATE"), shares of Toro Common Stock shall be changed into a security of a different issuer or a different class of shares by reason of any reclassification, recapitalization, split-up, combination, exchange of shares or readjustment then the term Toro Common Stock, for purposes of this Agreement shall thereafter be deemed to refer to such different shares.</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between the date hereof and the Last Payment Date, the Toro Common Stock ceases to be listed on a national securities exchange or approved for quotation on an inter-dealer quotation system of a registered national securities association in connection with an acquisition of Toro or otherwise, then the full amount of all future Merger Consideration to be paid in exchange for the Shares shall be paid in cash after such date.</w:t>
      </w:r>
    </w:p>
    <w:p>
      <w:pPr>
        <w:spacing w:after="0" w:line="164" w:lineRule="exact"/>
        <w:rPr>
          <w:sz w:val="20"/>
          <w:szCs w:val="20"/>
          <w:color w:val="auto"/>
        </w:rPr>
      </w:pPr>
    </w:p>
    <w:p>
      <w:pPr>
        <w:ind w:right="3419" w:firstLine="8"/>
        <w:spacing w:after="0" w:line="252" w:lineRule="auto"/>
        <w:tabs>
          <w:tab w:leader="none" w:pos="77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CONTINGENT PAYMENTS. The Contingent Payments, if any, shall be deemed, for income tax purposes, to include interest at the short-term Adjusted Federal Rate (in effect as of the Effective Time) computed from the Effective Time to the date of each such payment.</w:t>
      </w:r>
    </w:p>
    <w:p>
      <w:pPr>
        <w:spacing w:after="0" w:line="162" w:lineRule="exact"/>
        <w:rPr>
          <w:rFonts w:ascii="Courier New" w:cs="Courier New" w:eastAsia="Courier New" w:hAnsi="Courier New"/>
          <w:sz w:val="14"/>
          <w:szCs w:val="14"/>
          <w:color w:val="auto"/>
        </w:rPr>
      </w:pPr>
    </w:p>
    <w:p>
      <w:pPr>
        <w:ind w:right="3599" w:firstLine="8"/>
        <w:spacing w:after="0" w:line="251" w:lineRule="auto"/>
        <w:tabs>
          <w:tab w:leader="none" w:pos="77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PAYMENTS ARE NONTRANSFERABLE. The Contingent Payment Rights are personal to each initial holder thereof and are and shall remain nontransferable for all purposes other than by operation of law or by will or the laws of descent and distribution. Any attempted transfer of a Contingent Payment Right by any holder thereof (other than as set forth in the preceding sentence) shall be null and void.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EXMARK</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Exmark hereby represents and warrants to Toro as follows, except as set forth in the Disclosure Schedule delivered by Exmark to Toro on the date hereof, including any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141" w:name="page142"/>
    <w:bookmarkEnd w:id="141"/>
    <w:p>
      <w:pPr>
        <w:ind w:right="3339"/>
        <w:spacing w:after="0" w:line="251" w:lineRule="auto"/>
        <w:rPr>
          <w:sz w:val="20"/>
          <w:szCs w:val="20"/>
          <w:color w:val="auto"/>
        </w:rPr>
      </w:pPr>
      <w:r>
        <w:rPr>
          <w:rFonts w:ascii="Courier New" w:cs="Courier New" w:eastAsia="Courier New" w:hAnsi="Courier New"/>
          <w:sz w:val="14"/>
          <w:szCs w:val="14"/>
          <w:color w:val="auto"/>
        </w:rPr>
        <w:t>amendments thereto made by Exmark pursuant to SECTION 5.11 (the "DISCLOSURE SCHEDULE") (The Disclosure Schedule sets forth certain exhibits referenced herein and exceptions to the representations and warranties contained in this Agreement under captions referencing each and every Section to which such exhibits or exceptions apply. Further, the disclosure in the Disclosure Schedule of any item that may not be material shall not be deemed to infer that any lesser standard of materiality shall apply in interpreting this Agreement.):</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3.01 INCORPORATION AND CORPORATE POWER. Exmark is a corporation duly incorporated, validly existing and in good standing under the laws of the state of Nebraska and, subject to approval of this Agreement, the Merger, the New Articles of Incorporation (as defined in SECTION 5.10 hereof) and the Signing Bonuses by Exmark's stockholders, Exmark has the requisite corporate power and authority to execute and deliver this Agreement, the Articles of Merger and the agreements identified in ARTICLE XII to which Exmark is a party (the "EXMARK ANCILLARY AGREEMENTS") and to perform its obligations hereunder and thereunder. Exmark has the corporate power and authority and all authorizations, licenses, permits and certifications necessary to own and operate its properties and to carry on its business as now conducted and presently proposed to be conducted. The copies of the articles of incorporation and bylaws of Exmark are set forth in the Disclosure Schedule and reflect all amendments made thereto (except the amendment to the articles of incorporation contemplated in SECTION 5.10 hereof) and are correct and complete as of the date hereof. Exmark is qualified to do business as a foreign corporation in every jurisdiction in which the nature of its business or its ownership of property requires it to be so qualified.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3.02 EXECUTION, DELIVERY AND PERFORMANCE; VALID AND BINDING AGREEMENT. The execution, delivery and performance of this Agreement, the Articles of Merger and Exmark Ancillary Agreements and the consummation of the transactions contemplated hereby and thereby have been duly and validly authorized by all requisite corporate action, and no other corporate proceedings on its part are necessary to authorize the execution, delivery and performance of this Agreement, the Articles of Merger and the Exmark Ancillary Agreements, other than the approval of this Agreement by Exmark's stockholders. This Agreement and the Exmark Ancillary Agreements have been duly executed and delivered by Exmark and constitute the valid and binding obligations of Exmark, enforceable in accordance with their terms, and the Articles of Merger, when executed and delivered by Exmark, will constitute the valid and binding obligation of Exmark, enforceable in accordance with its terms.</w:t>
      </w:r>
    </w:p>
    <w:p>
      <w:pPr>
        <w:spacing w:after="0" w:line="163"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3.03 APPROVAL OF AGREEMENT; STOCKHOLDERS' MEETING. Exmark hereby represents that its board of directors has, by resolutions duly adopted at meetings held on June 3, 1997 and October 1, 1997, authorized and approved this Agreement, the Merger,</w:t>
      </w: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42" w:name="page143"/>
    <w:bookmarkEnd w:id="142"/>
    <w:p>
      <w:pPr>
        <w:ind w:right="3339"/>
        <w:spacing w:after="0" w:line="251" w:lineRule="auto"/>
        <w:rPr>
          <w:sz w:val="20"/>
          <w:szCs w:val="20"/>
          <w:color w:val="auto"/>
        </w:rPr>
      </w:pPr>
      <w:r>
        <w:rPr>
          <w:rFonts w:ascii="Courier New" w:cs="Courier New" w:eastAsia="Courier New" w:hAnsi="Courier New"/>
          <w:sz w:val="14"/>
          <w:szCs w:val="14"/>
          <w:color w:val="auto"/>
        </w:rPr>
        <w:t>the Articles of Merger, the Exmark Ancillary Agreements (and the transactions contemplated hereby and thereby), the Signing Bonuses, the New Articles of Incorporation, the issuance of the Contingent Class B Rights (as defined in SECTION 5.10 hereof), the issuance of the Exmark Class B Stock and the acquisition of Holiman (including the issuance of the Exmark Class C Stock in exchange for all of the outstanding shares of Holiman capital stock) and resolved to recommend approval of this Agreement by Exmark's stockholders. None of the resolutions described in this SECTION 3.03 has been rescinded, amended or otherwise modified in any respect since the date of adoption thereof and all such resolutions remain in full force and effect.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3.04 NO BREACH. The execution, delivery and performance of this Agreement, the Articles of Merger and Exmark Ancillary Agreements by Exmark and the consummation by Exmark of the transactions contemplated hereby and thereby do not conflict with or result in any breach of any of the provisions of, constitute a default under, result in a violation of, result in the creation of a right of termination or acceleration or any lien, security interest, charge or encumbrance upon any assets of Exmark, or require any authorization, consent, approval, exemption or other action by or notice to any court, other governmental body or other "PERSON" (such term shall mean an individual, corporation, partnership, association, joint-stock company, trust, unincorporated organization, or government or political subdivision thereof) under the provisions of the articles of incorporation or bylaws of Exmark or any contract, indenture, mortgage, lease, loan agreement or other agreement, relationship, commitment, arrangement or instrument, written or oral, by which Exmark is bound or affected, or any law, statute, rule or regulation or order, judgment or decree to which Exmark is subject.</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3.05 GOVERNMENTAL AUTHORITIES; CONSENTS. Except for the applicable requirements of the Hart-Scott-Rodino Antitrust Improvements Act of 1976, as amended, and the rules and regulations promulgated thereunder (the "HSR ACT"), and except for the filing of the Articles of Merger with the Secretary of State of the State of Nebraska, Exmark is not required to submit any notice, report or other filing with any governmental authority in connection with the execution or delivery by it of this Agreement, the Articles of Merger or Exmark Ancillary Agreements or the consummation of the transactions contemplated hereby or thereby. No consent, approval or authorization of any governmental or regulatory authority or any other party or person (except the approval of this Agreement, the Merger, the New Articles of Incorporation and the Signing Bonuses by the stockholders of Exmark) is required to be obtained by Exmark in connection with its execution, delivery and performance of this Agreement, the Articles of Merger or Exmark Ancillary Agreements or the transactions contemplated hereby or thereby.</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43" w:name="page144"/>
    <w:bookmarkEnd w:id="143"/>
    <w:p>
      <w:pPr>
        <w:ind w:right="3339"/>
        <w:spacing w:after="0" w:line="251" w:lineRule="auto"/>
        <w:rPr>
          <w:sz w:val="20"/>
          <w:szCs w:val="20"/>
          <w:color w:val="auto"/>
        </w:rPr>
      </w:pPr>
      <w:r>
        <w:rPr>
          <w:rFonts w:ascii="Courier New" w:cs="Courier New" w:eastAsia="Courier New" w:hAnsi="Courier New"/>
          <w:sz w:val="14"/>
          <w:szCs w:val="14"/>
          <w:color w:val="auto"/>
        </w:rPr>
        <w:t>3.06 SUBSIDIARIES; PREDECESSORS. Except for all of the outstanding capital stock of Holiman, Exmark does not own any stock, partnership interest, joint venture interest or any other security or ownership interest issued by any other corporation, organization, joint venture, partnership, limited liability company or entity.</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firstLine="8"/>
        <w:spacing w:after="0" w:line="250" w:lineRule="auto"/>
        <w:tabs>
          <w:tab w:leader="none" w:pos="77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hereof, the authorized capital stock of Exmark consists of 24,000 shares of Exmark Common Stock of which, as of the date hereof, 15,431 shares are issued and outstanding; and 21,000 shares of Exmark Preferred Stock of which, as of the date hereof, 7,416 shares are issued and outstanding. On the date hereof, Exmark's capital stock is held of record by the persons and in the amounts set forth in the Disclosure Schedule. Prior to the Effective Time, Exmark's articles of incorporation shall have been amended to authorize 10,000 shares of Exmark Class B Stock and 10,000 shares of Exmark Class C Stock in the manner described in SECTION 5.10 and, as of the Effective Time, 10,000 shares of Exmark Class B Stock and 3,689 shares of Exmark Class C Stock will be issued and outstanding. On the Effective Date, Exmark's capital stock will be held of record by the persons and in the amounts set forth in a disclosure schedule to be provided to Toro on the Effective Date. All such outstanding shares of Exmark's capital stock (i) have been duly authorized and are validly issued, fully paid and nonassessable, (ii) are not subject to preemptive rights created by statute, Exmark's articles of incorporation or bylaws, or any other agreement to which either Exmark or, to the knowledge of Exmark, Exmark's stockholders are bound and (iii) were not issued in violation of any applicable securities laws that would subject the Surviving Corporation to fines, penalties, or rescission or civil damages that are material in amount. As used in this Agreement, "knowledge" of Exmark and similar words to that effect shall mean the actual knowledge of Exmark's officers after due inquiry.</w:t>
      </w:r>
    </w:p>
    <w:p>
      <w:pPr>
        <w:spacing w:after="0" w:line="175"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rights, subscriptions, warrants, options, conversion rights or agreements of any kind outstanding to purchase or otherwise acquire from Exmark any shares of Exmark's capital stock or other securities of Exmark of any kind (and there are no agreements or other obligations of Exmark to grant any of the foregoing) and there are no agreements or other obligations (contingent or otherwise) that may require Exmark to repurchase or otherwise acquire any shares of Exmark's capital stock. The holders of all options, warrants or other rights to purchase Exmark's securities, which were outstanding prior to the Effective Time ("OUTSTANDING PURCHASE RIGHTS") have been or will be given, or shall have properly waived, any required notice prior to the Merger.</w:t>
      </w:r>
    </w:p>
    <w:p>
      <w:pPr>
        <w:spacing w:after="0" w:line="163"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those persons who are, in Exmark's reasonable judgment, "affiliates" of Exmark within the meaning of Rule 145 promulgated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44" w:name="page145"/>
    <w:bookmarkEnd w:id="144"/>
    <w:p>
      <w:pPr>
        <w:ind w:right="3599"/>
        <w:spacing w:after="0" w:line="255" w:lineRule="auto"/>
        <w:rPr>
          <w:sz w:val="20"/>
          <w:szCs w:val="20"/>
          <w:color w:val="auto"/>
        </w:rPr>
      </w:pPr>
      <w:r>
        <w:rPr>
          <w:rFonts w:ascii="Courier New" w:cs="Courier New" w:eastAsia="Courier New" w:hAnsi="Courier New"/>
          <w:sz w:val="14"/>
          <w:szCs w:val="14"/>
          <w:color w:val="auto"/>
        </w:rPr>
        <w:t>by the Securities Exchange Commission (the "SEC") under the Securities Act of 1933, as amended (the "SECURITIES ACT").</w:t>
      </w:r>
    </w:p>
    <w:p>
      <w:pPr>
        <w:spacing w:after="0" w:line="160" w:lineRule="exact"/>
        <w:rPr>
          <w:sz w:val="20"/>
          <w:szCs w:val="20"/>
          <w:color w:val="auto"/>
        </w:rPr>
      </w:pPr>
    </w:p>
    <w:p>
      <w:pPr>
        <w:spacing w:after="0"/>
        <w:tabs>
          <w:tab w:leader="none" w:pos="760" w:val="left"/>
          <w:tab w:leader="none" w:pos="274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FINANCIAL STATEMENTS.</w:t>
        <w:tab/>
        <w:t>The Disclosure Schedule sets forth copies of</w:t>
      </w:r>
    </w:p>
    <w:p>
      <w:pPr>
        <w:spacing w:after="0" w:line="7" w:lineRule="exact"/>
        <w:rPr>
          <w:sz w:val="20"/>
          <w:szCs w:val="20"/>
          <w:color w:val="auto"/>
        </w:rPr>
      </w:pPr>
    </w:p>
    <w:p>
      <w:pPr>
        <w:ind w:right="3339" w:firstLine="8"/>
        <w:spacing w:after="0" w:line="250" w:lineRule="auto"/>
        <w:tabs>
          <w:tab w:leader="none" w:pos="34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balance sheets, as of August 31, 1997, of Exmark (the "LATEST BALANCE SHEET") and the unaudited statements of earnings, stockholders' equity and cash flows of Exmark for the year ended August 31, 1997 (such statements and the Latest Balance Sheet being herein referred to as the "LATEST FINANCIAL STATEMENTS"), and (ii) the audited balance sheets, as of August 31, 1996, August 31, 1995 and August 31, 1994, of Exmark and the audited statements of earnings, stockholders' equity and cash flows of Exmark for each of the years ended August 31, 1996, August 31, 1995 and August 31, 1994 (collectively, the "ANNUAL FINANCIAL STATEMENTS"). Prior to the Effective Time, Exmark shall have delivered audited financial statements for the year ended August 31, 1997, including a balance sheet as of August 31, 1997 and statements of earnings, stockholders' equity and cash flows of Exmark, which upon delivery shall be deemed to be for all purposes the Latest Balance Sheet and the Latest Financial Statements, as applicable. Any material adverse changes in the financial condition of Exmark as reflected in the audited Latest Financial Statements compared to the previously delivered unaudited Latest Financial Statements shall constitute a material breach of the representations set forth in this SECTION</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3.08. The Latest Financial Statements and the Annual Financial Statements are based upon the information contained in the books and records of Exmark and fairly present the financial condition of Exmark as of the dates thereof and respective results of operations for the periods referred to therein. The Annual Financial Statements (including the notes thereto) have been prepared in accordance with GAAP, consistently applied through the periods indicated (except as indicated in the notes thereto), and the Latest Financial Statements have been prepared in accordance with GAAP (as such term applies to unaudited financial statements and thus such statements may not contain all notes and may not contain prior period comparative data which are required to be prepared in accordance with generally accepted accounting principles in general and subject to normal year-end audit adjustments), are consistent with the Annual Financial Statements.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3.09 ABSENCE OF UNDISCLOSED LIABILITIES. Except as reflected in the Latest Balance Sheet, Exmark has no liabilities (whether accrued, absolute, contingent, unliquidated or otherwise, whether due or to become due, whether known or unknown, and regardless of when asserted) arising out of transactions or events heretofore entered into, or any action or inaction, or any state of facts existing, with respect to or based upon transactions or events heretofore occurring, except liabilities in the ordinary course of business (none of which is an uninsured liability in excess of $50,000 for breach of contract, breach of warranty, tort, infringement, claim or lawsuit).</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45" w:name="page146"/>
    <w:bookmarkEnd w:id="145"/>
    <w:p>
      <w:pPr>
        <w:ind w:right="3339"/>
        <w:spacing w:after="0" w:line="251" w:lineRule="auto"/>
        <w:rPr>
          <w:sz w:val="20"/>
          <w:szCs w:val="20"/>
          <w:color w:val="auto"/>
        </w:rPr>
      </w:pPr>
      <w:r>
        <w:rPr>
          <w:rFonts w:ascii="Courier New" w:cs="Courier New" w:eastAsia="Courier New" w:hAnsi="Courier New"/>
          <w:sz w:val="14"/>
          <w:szCs w:val="14"/>
          <w:color w:val="auto"/>
        </w:rPr>
        <w:t>3.10 NO MATERIAL ADVERSE CHANGES. Since the date of the Latest Balance Sheet (the "BALANCE SHEET DATE"), there has been no material adverse change in the assets, financial condition, operating results, distributor, customer, employee or supplier relations, business condition or prospects of Exmark (other than as a direct result of general economic conditions or an industry downturn).</w:t>
      </w:r>
    </w:p>
    <w:p>
      <w:pPr>
        <w:spacing w:after="0" w:line="16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3.11 ABSENCE OF CERTAIN DEVELOPMENTS. Since May 1, 1997, Exmark has not (except as described in the Disclosure Schedule):</w:t>
      </w:r>
    </w:p>
    <w:p>
      <w:pPr>
        <w:spacing w:after="0" w:line="160" w:lineRule="exact"/>
        <w:rPr>
          <w:sz w:val="20"/>
          <w:szCs w:val="20"/>
          <w:color w:val="auto"/>
        </w:rPr>
      </w:pPr>
    </w:p>
    <w:p>
      <w:pPr>
        <w:ind w:right="3519" w:firstLine="8"/>
        <w:spacing w:after="0" w:line="252"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borrowed any amount or incurred or become subject to any liability in excess of $100,000, except (i) current liabilities incurred in the ordinary course of business and (ii) liabilities under contracts entered into in the ordinary course of business;</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mortgaged, pledged or subjected to any lien, charge or any other encumbrance, any of its assets with a fair market value in excess of $100,000, except (i) liens for current property Taxes not yet delinquent, (ii) liens imposed by law and incurred in the ordinary course of business for obligations not yet delinquent with respect to claims by carriers, warehousemen, laborers, materialmen and the like, (iii) liens in respect of pledges or deposits under workers' compensation laws, or (iv) liens voluntarily created in the ordinary course of business, all of which liens aggregate less than $100,000;</w:t>
      </w:r>
    </w:p>
    <w:p>
      <w:pPr>
        <w:spacing w:after="0" w:line="163" w:lineRule="exact"/>
        <w:rPr>
          <w:rFonts w:ascii="Courier New" w:cs="Courier New" w:eastAsia="Courier New" w:hAnsi="Courier New"/>
          <w:sz w:val="14"/>
          <w:szCs w:val="14"/>
          <w:color w:val="auto"/>
        </w:rPr>
      </w:pPr>
    </w:p>
    <w:p>
      <w:pPr>
        <w:jc w:val="both"/>
        <w:ind w:right="3419" w:firstLine="8"/>
        <w:spacing w:after="0" w:line="252"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discharged or satisfied any lien or encumbrance or paid any liability, in each case with a value in excess of $100,000, other than current liabilities (including the current portion of long-term liabilities) paid in the ordinary course of business;</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transfers to any employees, affiliates or stockholders) any tangible assets with a fair market value in excess of $100,000, or canceled any debts or claims, in each case, except in the ordinary course of business;</w:t>
      </w:r>
    </w:p>
    <w:p>
      <w:pPr>
        <w:spacing w:after="0" w:line="163" w:lineRule="exact"/>
        <w:rPr>
          <w:sz w:val="20"/>
          <w:szCs w:val="20"/>
          <w:color w:val="auto"/>
        </w:rPr>
      </w:pPr>
    </w:p>
    <w:p>
      <w:pPr>
        <w:ind w:left="780" w:hanging="772"/>
        <w:spacing w:after="0"/>
        <w:tabs>
          <w:tab w:leader="none" w:pos="7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transfers to any employees, affiliates or stockholders) any patents, trademarks, trade names, copyrights, trade secrets or other intangible assets;</w:t>
      </w:r>
    </w:p>
    <w:p>
      <w:pPr>
        <w:spacing w:after="0" w:line="160" w:lineRule="exact"/>
        <w:rPr>
          <w:sz w:val="20"/>
          <w:szCs w:val="20"/>
          <w:color w:val="auto"/>
        </w:rPr>
      </w:pPr>
    </w:p>
    <w:p>
      <w:pPr>
        <w:ind w:right="3679" w:firstLine="8"/>
        <w:spacing w:after="0" w:line="252"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to any person other than Toro or Merger Subsidiary and authorized representatives of Toro or Merger Subsidiary, any proprietary confidential information, other than pursuant to a confidentiality agreement prohibiting the use or</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46" w:name="page147"/>
    <w:bookmarkEnd w:id="146"/>
    <w:p>
      <w:pPr>
        <w:ind w:right="3679"/>
        <w:spacing w:after="0" w:line="255" w:lineRule="auto"/>
        <w:rPr>
          <w:sz w:val="20"/>
          <w:szCs w:val="20"/>
          <w:color w:val="auto"/>
        </w:rPr>
      </w:pPr>
      <w:r>
        <w:rPr>
          <w:rFonts w:ascii="Courier New" w:cs="Courier New" w:eastAsia="Courier New" w:hAnsi="Courier New"/>
          <w:sz w:val="14"/>
          <w:szCs w:val="14"/>
          <w:color w:val="auto"/>
        </w:rPr>
        <w:t>further disclosure of such information, which agreement is identified in the Disclosure Schedule and is in full force and effect on the date hereof;</w:t>
      </w:r>
    </w:p>
    <w:p>
      <w:pPr>
        <w:spacing w:after="0" w:line="160" w:lineRule="exact"/>
        <w:rPr>
          <w:sz w:val="20"/>
          <w:szCs w:val="20"/>
          <w:color w:val="auto"/>
        </w:rPr>
      </w:pPr>
    </w:p>
    <w:p>
      <w:pPr>
        <w:ind w:right="3519" w:firstLine="8"/>
        <w:spacing w:after="0" w:line="252" w:lineRule="auto"/>
        <w:tabs>
          <w:tab w:leader="none" w:pos="86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any rights of material value or suffered any extraordinary losses or adverse changes in collection loss experience, whether or not in the ordinary course of business or consistent with past practice;</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declared or paid any dividends or other distributions with respect to any shares of Exmark's capital stock or redeemed or purchased, directly or indirectly, any shares of Exmark's capital stock or any options, warrants or other rights to purchase the same, except for the payment of a one-time cash dividend to be paid between the date hereof and the Effective Time, which dividend shall not exceed $100,000;</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sold or transferred any of its equity securities, securities convertible into or exchangeable for its equity securities or options, warrants or other rights to acquire its equity securities, or any bonds or debt securities, other than the issuance of Exmark Common Stock pursuant to the exercise of previously outstanding options and other than the issuance of the Contingent Class B Rights, the Exmark Class B Stock and the Exmark Class C Stock as expressly contemplated herein;</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taken any other action or entered into any other transaction other</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than in the ordinary course of business and in accordance with past custom and practice, or entered into any transaction with any Insider (as defined in SECTION 3.23 hereof) other than employment arrangements otherwise disclosed in this Agreement and the Disclosure Schedule, or the transactions expressly contemplated by this Agreement;</w:t>
      </w:r>
    </w:p>
    <w:p>
      <w:pPr>
        <w:spacing w:after="0" w:line="165" w:lineRule="exact"/>
        <w:rPr>
          <w:sz w:val="20"/>
          <w:szCs w:val="20"/>
          <w:color w:val="auto"/>
        </w:rPr>
      </w:pPr>
    </w:p>
    <w:p>
      <w:pPr>
        <w:ind w:right="3339" w:firstLine="8"/>
        <w:spacing w:after="0" w:line="255" w:lineRule="auto"/>
        <w:tabs>
          <w:tab w:leader="none" w:pos="77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material theft, damage, destruction or loss of or to any property or properties owned or used by it, whether or not covered by insurance;</w:t>
      </w:r>
    </w:p>
    <w:p>
      <w:pPr>
        <w:spacing w:after="0" w:line="15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or granted any bonus, or any wage, salary or compensation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increase to any director, officer, employee or consultant whose annual compensation from Exmark in the preceding fiscal year exceeded $45,000, or made or granted any increase in any employee benefit plan or arrangement, or amended or terminated any existing employee benefit plan or arrangement, or adopted any new employee benefit plan or arrangement or made any commitment or incurred any liability to any labor organization;</w:t>
      </w:r>
    </w:p>
    <w:p>
      <w:pPr>
        <w:spacing w:after="0" w:line="164" w:lineRule="exact"/>
        <w:rPr>
          <w:sz w:val="20"/>
          <w:szCs w:val="20"/>
          <w:color w:val="auto"/>
        </w:rPr>
      </w:pPr>
    </w:p>
    <w:p>
      <w:pPr>
        <w:ind w:right="3599" w:firstLine="8"/>
        <w:spacing w:after="0" w:line="255" w:lineRule="auto"/>
        <w:tabs>
          <w:tab w:leader="none" w:pos="77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single capital expenditure or commitment therefor in excess of $100,000;</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147" w:name="page148"/>
    <w:bookmarkEnd w:id="147"/>
    <w:p>
      <w:pPr>
        <w:ind w:left="-8" w:right="3599" w:firstLine="8"/>
        <w:spacing w:after="0" w:line="255"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loans or advances to, or guarantees for the benefit of, any persons in excess of $10,000;</w:t>
      </w:r>
    </w:p>
    <w:p>
      <w:pPr>
        <w:spacing w:after="0" w:line="159"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charitable contributions or pledges in excess of $10,000;</w:t>
      </w:r>
    </w:p>
    <w:p>
      <w:pPr>
        <w:spacing w:after="0" w:line="172" w:lineRule="exact"/>
        <w:rPr>
          <w:rFonts w:ascii="Courier New" w:cs="Courier New" w:eastAsia="Courier New" w:hAnsi="Courier New"/>
          <w:sz w:val="14"/>
          <w:szCs w:val="14"/>
          <w:color w:val="auto"/>
        </w:rPr>
      </w:pPr>
    </w:p>
    <w:p>
      <w:pPr>
        <w:ind w:left="-8" w:right="3939" w:firstLine="8"/>
        <w:spacing w:after="0" w:line="255"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change in accounting principles or practices from those utilized in the preparation of the Latest Financial Statements;</w:t>
      </w:r>
    </w:p>
    <w:p>
      <w:pPr>
        <w:spacing w:after="0" w:line="159"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amendment, modification or termination of any existing, or entered into any new, contract, agreement, plan, lease, license, permit or franchise which is, either individually or in the aggregate, material to the business, operations, financial position or prospects of Exmark other than in the ordinary course of business;</w:t>
      </w:r>
    </w:p>
    <w:p>
      <w:pPr>
        <w:spacing w:after="0" w:line="164" w:lineRule="exact"/>
        <w:rPr>
          <w:rFonts w:ascii="Courier New" w:cs="Courier New" w:eastAsia="Courier New" w:hAnsi="Courier New"/>
          <w:sz w:val="14"/>
          <w:szCs w:val="14"/>
          <w:color w:val="auto"/>
        </w:rPr>
      </w:pPr>
    </w:p>
    <w:p>
      <w:pPr>
        <w:ind w:left="-8" w:right="3679" w:firstLine="8"/>
        <w:spacing w:after="0" w:line="255"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labor dispute material to the business, operations, financial position or prospects of Exmark;</w:t>
      </w:r>
    </w:p>
    <w:p>
      <w:pPr>
        <w:spacing w:after="0" w:line="159" w:lineRule="exact"/>
        <w:rPr>
          <w:rFonts w:ascii="Courier New" w:cs="Courier New" w:eastAsia="Courier New" w:hAnsi="Courier New"/>
          <w:sz w:val="14"/>
          <w:szCs w:val="14"/>
          <w:color w:val="auto"/>
        </w:rPr>
      </w:pPr>
    </w:p>
    <w:p>
      <w:pPr>
        <w:ind w:left="-8" w:right="3939" w:firstLine="8"/>
        <w:spacing w:after="0" w:line="255"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change in any assumption underlying or method of calculating, any bad debt, inventory, contingency or other reserve;</w:t>
      </w:r>
    </w:p>
    <w:p>
      <w:pPr>
        <w:spacing w:after="0" w:line="159" w:lineRule="exact"/>
        <w:rPr>
          <w:rFonts w:ascii="Courier New" w:cs="Courier New" w:eastAsia="Courier New" w:hAnsi="Courier New"/>
          <w:sz w:val="14"/>
          <w:szCs w:val="14"/>
          <w:color w:val="auto"/>
        </w:rPr>
      </w:pPr>
    </w:p>
    <w:p>
      <w:pPr>
        <w:ind w:left="-8" w:right="3339" w:firstLine="8"/>
        <w:spacing w:after="0" w:line="252"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off as uncollectible any note or account receivable, or canceled any debts, other than in the ordinary course of business and consistent with past practice;</w:t>
      </w:r>
    </w:p>
    <w:p>
      <w:pPr>
        <w:spacing w:after="0" w:line="162"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failed to replace or replenish inventory or supplies as such inventory or supplies may have been depleted from time to time, collect accounts receivable, pay accounts payable and has not shortened or lengthened the customary payment cycles for any of its payables or receivables or otherwise managed its working capital accounts other than in the ordinary course of business and in a manner consistent with past practice;</w:t>
      </w:r>
    </w:p>
    <w:p>
      <w:pPr>
        <w:spacing w:after="0" w:line="164" w:lineRule="exact"/>
        <w:rPr>
          <w:rFonts w:ascii="Courier New" w:cs="Courier New" w:eastAsia="Courier New" w:hAnsi="Courier New"/>
          <w:sz w:val="14"/>
          <w:szCs w:val="14"/>
          <w:color w:val="auto"/>
        </w:rPr>
      </w:pPr>
    </w:p>
    <w:p>
      <w:pPr>
        <w:ind w:left="-8" w:right="3599" w:firstLine="8"/>
        <w:spacing w:after="0" w:line="252" w:lineRule="auto"/>
        <w:tabs>
          <w:tab w:leader="none" w:pos="7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writedown or writeup of (or failed to writedown or writeup in accordance with GAAP) the value of any inventories, receivables or other assets, or revalued any assets of Exmark;</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1"/>
          </w:cols>
          <w:pgMar w:left="228" w:top="616" w:right="1440" w:bottom="1440" w:gutter="0" w:footer="0" w:header="0"/>
        </w:sectPr>
      </w:pPr>
    </w:p>
    <w:bookmarkStart w:id="148" w:name="page149"/>
    <w:bookmarkEnd w:id="148"/>
    <w:p>
      <w:pPr>
        <w:ind w:right="3419" w:firstLine="8"/>
        <w:spacing w:after="0" w:line="252"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failed to maintain all material assets in accordance with good business practice and in good operating condition and repair, ordinary wear and tear excepted;</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lapse or termination of any material permit that was issued or relates to Exmark or its business, including any failure to renew any such permit; or</w:t>
      </w:r>
    </w:p>
    <w:p>
      <w:pPr>
        <w:spacing w:after="0" w:line="162" w:lineRule="exact"/>
        <w:rPr>
          <w:rFonts w:ascii="Courier New" w:cs="Courier New" w:eastAsia="Courier New" w:hAnsi="Courier New"/>
          <w:sz w:val="14"/>
          <w:szCs w:val="14"/>
          <w:color w:val="auto"/>
        </w:rPr>
      </w:pPr>
    </w:p>
    <w:p>
      <w:pPr>
        <w:ind w:right="3599" w:firstLine="8"/>
        <w:spacing w:after="0" w:line="255"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or altered, in any material respect, its advertising or promotional activities or its pricing and purchasing policies.</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TITLE TO PROPERTIES.</w:t>
      </w:r>
    </w:p>
    <w:p>
      <w:pPr>
        <w:spacing w:after="0" w:line="173" w:lineRule="exact"/>
        <w:rPr>
          <w:sz w:val="20"/>
          <w:szCs w:val="20"/>
          <w:color w:val="auto"/>
        </w:rPr>
      </w:pPr>
    </w:p>
    <w:p>
      <w:pPr>
        <w:ind w:right="3339" w:firstLine="8"/>
        <w:spacing w:after="0" w:line="250" w:lineRule="auto"/>
        <w:tabs>
          <w:tab w:leader="none" w:pos="77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real property listed as owned ("OWNED PROPERTY") or leased ("LEASED PROPERTY") in the Disclosure Schedule constitutes all of the real property owned, used or occupied by Exmark (the "REAL PROPERTY"). Such Disclosure Schedule includes the record title holder, location, uses thereof and Exmark indebtedness thereon, if any, for all Real Property. Exmark has good and marketable fee simple title to all Owned Property, except for recorded easements, covenants and other restrictions; utility easements; building restrictions; zoning restrictions; and other easements, covenants and restrictions existing generally with respect to properties of a similar character, all of which are shown on such Disclosure Schedule and there are no outstanding options to purchase the Owned Real Property. The Real Property has access, sufficient for the conduct of the business of Exmark as now conducted or as presently proposed to be conducted, to public roads and to all utilities, including electricity, sanitary and storm sewer, potable water, natural gas and other utilities, used in the operation of the business of Exmark at that location. All structures, fixtures and other improvements on all Owned Property of Exmark are within the lot lines and do not encroach on the properties of any other Person, and the use and operation of all Owned Property are not in violation of any applicable building, zoning, safety, environmental, subdivision and other laws, ordinances, regulations, codes, permits, licenses and certificates and all restrictions and conditions affecting title. Except as described in the Disclosure Schedule, no portion of any Owned Property is located in a flood plain, flood hazard area or designated wetlands area. Since January 1, 1992, Exmark has not received any written or oral notice of assessments for public improvements against any Owned Property or any written or oral notice or order by any governmental body, any insurance company that has issued a policy with respect to any of such properties or any board of fire underwriters or other body exercising similar functions (other than as disclosed in the insurance reports disclosed hereunder) that (i) relates to material violations of building, safety or fire ordinances or regulations, (ii) claims any material defect or deficiency with respect to any of such properties or</w:t>
      </w:r>
    </w:p>
    <w:p>
      <w:pPr>
        <w:spacing w:after="0" w:line="178" w:lineRule="exact"/>
        <w:rPr>
          <w:rFonts w:ascii="Courier New" w:cs="Courier New" w:eastAsia="Courier New" w:hAnsi="Courier New"/>
          <w:sz w:val="14"/>
          <w:szCs w:val="14"/>
          <w:color w:val="auto"/>
        </w:rPr>
      </w:pPr>
    </w:p>
    <w:p>
      <w:pPr>
        <w:ind w:right="3599" w:firstLine="8"/>
        <w:spacing w:after="0" w:line="252" w:lineRule="auto"/>
        <w:tabs>
          <w:tab w:leader="none" w:pos="51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that performance of any material repairs, alterations or other work to or in any of such properties or in the streets bounding the same. Complete and correct copies of all material written reports on such</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49" w:name="page150"/>
    <w:bookmarkEnd w:id="149"/>
    <w:p>
      <w:pPr>
        <w:ind w:right="3339"/>
        <w:spacing w:after="0" w:line="252" w:lineRule="auto"/>
        <w:rPr>
          <w:sz w:val="20"/>
          <w:szCs w:val="20"/>
          <w:color w:val="auto"/>
        </w:rPr>
      </w:pPr>
      <w:r>
        <w:rPr>
          <w:rFonts w:ascii="Courier New" w:cs="Courier New" w:eastAsia="Courier New" w:hAnsi="Courier New"/>
          <w:sz w:val="14"/>
          <w:szCs w:val="14"/>
          <w:color w:val="auto"/>
        </w:rPr>
        <w:t>matters from any insurance company that has issued a policy with respect to any of such properties since January 1, 1992, have been delivered to Toro. To Exmark's knowledge, there is no pending condemnation, expropriation, eminent domain or similar proceeding affecting all or any portion of the Owned Property.</w:t>
      </w:r>
    </w:p>
    <w:p>
      <w:pPr>
        <w:spacing w:after="0" w:line="162" w:lineRule="exact"/>
        <w:rPr>
          <w:sz w:val="20"/>
          <w:szCs w:val="20"/>
          <w:color w:val="auto"/>
        </w:rPr>
      </w:pPr>
    </w:p>
    <w:p>
      <w:pPr>
        <w:ind w:right="3339" w:firstLine="8"/>
        <w:spacing w:after="0" w:line="251" w:lineRule="auto"/>
        <w:tabs>
          <w:tab w:leader="none" w:pos="77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leases for the Leased Property (the "LEASES") are in full force and effect, and Exmark holds a valid and existing leasehold interest under each of the Leases for the term set forth in the Disclosure Schedule. Exmark has delivered to Toro complete and accurate copies of each of the Leases, and none of the Leases has been modified in any respect, except to the extent that such modifications are disclosed by the copies delivered to Toro. Exmark is not in default, and to the knowledge of Exmark no circumstances exist which, if unremedied, would, either with or without notice or the passage of time or both, result in such default under any of the Leases; nor to the knowledge of Exmark is any other party to any of the Leases in default.</w:t>
      </w:r>
    </w:p>
    <w:p>
      <w:pPr>
        <w:spacing w:after="0" w:line="163"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owns good and marketable title to each of the tangible properties and tangible assets reflected on the Latest Balance Sheet or acquired since the date thereof, free and clear of all liens and encumbrances, except for</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current Taxes not yet delinquent, (ii) liens set forth in the Disclosure Schedule, (iii) the properties subject to the Leases, (iv) assets disposed of since the date of the Latest Balance Sheet in the ordinary course of business, (v) liens imposed by law and incurred in the ordinary course of business for obligations not yet due to carriers, warehousemen, laborers and materialmen and (vi) liens in respect of pledges or deposits under workers' compensation laws, all of which liens aggregate less than $25,000.</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buildings, machinery, equipment, tools, jigs, fixtures, vehicles and other tangible assets necessary for the conduct of the business of Exmark are in good condition and repair, ordinary wear and tear excepted, and are usable in the ordinary course of business. There are no defects in such assets or other conditions relating thereto which adversely affect the operation or value of such assets. Exmark owns or leases under valid leases, all buildings, machinery, equipment and other tangible assets necessary for the conduct of its business as presently conducted, except for defects of title that do not materially affect the use of such assets by Exmark and except for such assets that can be purchased or leased for nominal expenditures.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3.13 ACCOUNTS RECEIVABLE. The accounts receivable reflected on the Latest Balance Sheet and those arising thereafter are valid receivables, are not subject to valid counterclaims or set-offs, and are collectible in accordance with their terms, except to the extent of the bad debt reserve reflected on the Latest Balance Sheet. The Disclosure Schedule contains a complete and accurate accounts receivables aging report as of August 31, 1997.</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50" w:name="page151"/>
    <w:bookmarkEnd w:id="150"/>
    <w:p>
      <w:pPr>
        <w:ind w:right="3339"/>
        <w:spacing w:after="0" w:line="250" w:lineRule="auto"/>
        <w:rPr>
          <w:sz w:val="20"/>
          <w:szCs w:val="20"/>
          <w:color w:val="auto"/>
        </w:rPr>
      </w:pPr>
      <w:r>
        <w:rPr>
          <w:rFonts w:ascii="Courier New" w:cs="Courier New" w:eastAsia="Courier New" w:hAnsi="Courier New"/>
          <w:sz w:val="14"/>
          <w:szCs w:val="14"/>
          <w:color w:val="auto"/>
        </w:rPr>
        <w:t>3.14 INVENTORY. The inventory of raw materials, work in process and finished goods of Exmark consists of items of a cost, quality and quantity usable and, with respect to finished goods only, salable at the normal profit levels of Exmark in the ordinary course of the business of Exmark. The inventory of finished goods of Exmark is not slow-moving as determined in accordance with past practices, obsolete or damaged and is merchantable and fit for its particular use. Exmark has on hand or has ordered and expects timely delivery of such quantities of raw materials, and has on hand such quantities of work in process and finished goods, in each case as are reasonably required to timely fill current orders on hand which require delivery within 60 days and to maintain the manufacture and shipment of products at its normal level of operations. As of the date of the Latest Balance Sheet, the values at which such inventory is carried on the Latest Balance Sheet are in accordance with GAAP. The Disclosure Schedule contains a materially complete and accurate summary of Exmark's inventory of raw materials, work in progress, finished goods and reserve for obsolete and other inventory allowance or accrual calculation schedules as of August 31, 1997.</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TAX MATTERS.</w:t>
      </w:r>
    </w:p>
    <w:p>
      <w:pPr>
        <w:spacing w:after="0" w:line="173" w:lineRule="exact"/>
        <w:rPr>
          <w:sz w:val="20"/>
          <w:szCs w:val="20"/>
          <w:color w:val="auto"/>
        </w:rPr>
      </w:pPr>
    </w:p>
    <w:p>
      <w:pPr>
        <w:ind w:right="3339" w:firstLine="8"/>
        <w:spacing w:after="0" w:line="250" w:lineRule="auto"/>
        <w:tabs>
          <w:tab w:leader="none" w:pos="77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Exmark and any affiliated, combined or unitary group of which Exmark is or was a member, any predecessor of Exmark and any Plans (as defined in SECTION 3.21 hereof), as the case may be (each, a "TAX AFFILIATE" and, collectively, the "TAX AFFILIATES"), has: (i) timely filed (or has had timely filed on its behalf) all returns, declarations, reports, estimates, information returns, and statements ("RETURNS") required to be filed or sent by it in respect of any Taxes or required to be filed or sent by it by any taxing authority having jurisdiction and all such Returns are true and correct in all material respects, except for timing and categorization issues that would not have a material adverse effect on the financial condition of Exmark; (ii) timely and properly paid (or has had paid on its behalf) all Taxes due and payable with respect to the periods covered by such Returns; (iii) established on its Latest Balance Sheet, in accordance with GAAP, reserves that are adequate for the payment of any Taxes not yet due and payable for all Tax periods or portions thereof ending on or prior to the Balance Sheet Date; and (iv) complied with all applicable laws, rules, and regulations relating to the withholding of Taxes and the payment thereof (including, without limitation, withholding of Taxes under Sections 1441 and 1442 of the Code, or similar provisions under any foreign laws), and timely and properly withheld from individual employee wages or other payments to employees and paid over to the proper governmental authorities all amounts required to be so withheld and paid over under all applicable laws.</w:t>
      </w:r>
    </w:p>
    <w:p>
      <w:pPr>
        <w:spacing w:after="0" w:line="9"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True and correct copies of any and all Returns filed by any Tax Affiliate have been provided to Toro.</w:t>
      </w:r>
    </w:p>
    <w:p>
      <w:pPr>
        <w:spacing w:after="0" w:line="200" w:lineRule="exact"/>
        <w:rPr>
          <w:sz w:val="20"/>
          <w:szCs w:val="20"/>
          <w:color w:val="auto"/>
        </w:rPr>
      </w:pPr>
    </w:p>
    <w:p>
      <w:pPr>
        <w:spacing w:after="0" w:line="29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151" w:name="page152"/>
    <w:bookmarkEnd w:id="151"/>
    <w:p>
      <w:pPr>
        <w:ind w:right="3339" w:firstLine="8"/>
        <w:spacing w:after="0" w:line="252" w:lineRule="auto"/>
        <w:tabs>
          <w:tab w:leader="none" w:pos="77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liens for Taxes upon any assets of Exmark or of any Tax Affiliate, except liens for Taxes not yet due. Exmark is not a party to any tax sharing agreement or similar arrangement for the payment or reimbursement of Taxes.</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deficiency for any Taxes has been asserted, assessed or, to</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Exmark's knowledge, proposed against Exmark or the Tax Affiliates that has not been resolved and paid in full. No waiver, extension or comparable consent given by Exmark or the Tax Affiliates regarding the application of the statute of limitations with respect to any Taxes or Returns is outstanding, nor is any request for any such waiver or consent pending. There has been no Tax audit or other administrative proceeding or court proceeding with regard to any Taxes or Returns, nor is any such Tax audit or other proceeding pending, nor has there been any notice to Exmark by any Taxing authority regarding any such Tax, audit or other proceeding, nor, to the best knowledge of Exmark, is any such Tax audit or other proceeding threatened with regard to any Taxes or Returns. Exmark does not expect the assessment of any additional Taxes of Exmark or the Tax Affiliates and is not aware of any unresolved questions, claims or disputes concerning the liability for Taxes of Exmark or the Tax Affiliates which would exceed the estimated reserves established on its books and records.</w:t>
      </w:r>
    </w:p>
    <w:p>
      <w:pPr>
        <w:spacing w:after="0" w:line="162" w:lineRule="exact"/>
        <w:rPr>
          <w:sz w:val="20"/>
          <w:szCs w:val="20"/>
          <w:color w:val="auto"/>
        </w:rPr>
      </w:pPr>
    </w:p>
    <w:p>
      <w:pPr>
        <w:ind w:right="3599" w:firstLine="8"/>
        <w:spacing w:after="0" w:line="250" w:lineRule="auto"/>
        <w:tabs>
          <w:tab w:leader="none" w:pos="7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is a party to any agreement, contract or arrangement that would result, separately or in the aggregate, in the payment of any "excess parachute payments" within the meaning of</w:t>
      </w:r>
    </w:p>
    <w:p>
      <w:pPr>
        <w:spacing w:after="0" w:line="1"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280G of the Code and, assuming the Signing Bonuses are duly and validly approved by Exmark's stockholders, the consummation of the transactions contemplated by this Agreement will not be a factor causing payments to be made by Exmark or any Tax Affiliate that are not deductible (in whole or in part) under Section 280G of the Code.</w:t>
      </w:r>
    </w:p>
    <w:p>
      <w:pPr>
        <w:spacing w:after="0" w:line="164" w:lineRule="exact"/>
        <w:rPr>
          <w:rFonts w:ascii="Courier New" w:cs="Courier New" w:eastAsia="Courier New" w:hAnsi="Courier New"/>
          <w:sz w:val="14"/>
          <w:szCs w:val="14"/>
          <w:color w:val="auto"/>
        </w:rPr>
      </w:pPr>
    </w:p>
    <w:p>
      <w:pPr>
        <w:jc w:val="both"/>
        <w:ind w:right="3679" w:firstLine="8"/>
        <w:spacing w:after="0" w:line="255" w:lineRule="auto"/>
        <w:tabs>
          <w:tab w:leader="none" w:pos="7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requested any extension of time within which to file any Return, which Return has not since been filed.</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property of Exmark or any Tax Affiliate is property that Exmark or any Tax Affiliates is or will be required to treat as being owned by another person under the provisions of Section 168(f)(8) of the Code (as in effect prior to amendment by the Tax Reform Act of 1986) or is "tax-exempt use property" within the meaning of Section 168 of the Code.</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is required to include in income any adjustment under Section 481(a) of the Code by reason of a voluntary change in accounting method initiated by Exmark or any Tax Affiliate as a result of the Tax Reform</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52" w:name="page153"/>
    <w:bookmarkEnd w:id="152"/>
    <w:p>
      <w:pPr>
        <w:ind w:right="3779"/>
        <w:spacing w:after="0" w:line="252" w:lineRule="auto"/>
        <w:rPr>
          <w:sz w:val="20"/>
          <w:szCs w:val="20"/>
          <w:color w:val="auto"/>
        </w:rPr>
      </w:pPr>
      <w:r>
        <w:rPr>
          <w:rFonts w:ascii="Courier New" w:cs="Courier New" w:eastAsia="Courier New" w:hAnsi="Courier New"/>
          <w:sz w:val="14"/>
          <w:szCs w:val="14"/>
          <w:color w:val="auto"/>
        </w:rPr>
        <w:t>Act of 1986 and neither Exmark nor any Tax Affiliate has knowledge that the Internal Revenue Service has proposed any such adjustment or change in accounting method.</w:t>
      </w:r>
    </w:p>
    <w:p>
      <w:pPr>
        <w:spacing w:after="0" w:line="163" w:lineRule="exact"/>
        <w:rPr>
          <w:sz w:val="20"/>
          <w:szCs w:val="20"/>
          <w:color w:val="auto"/>
        </w:rPr>
      </w:pPr>
    </w:p>
    <w:p>
      <w:pPr>
        <w:ind w:right="3339" w:firstLine="8"/>
        <w:spacing w:after="0" w:line="251" w:lineRule="auto"/>
        <w:tabs>
          <w:tab w:leader="none" w:pos="77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transactions that could give rise to an understatement of federal income tax (within the meaning of Section 6661 of the Code as it applied prior to repeal) or an underpayment of tax (within the meaning of Section 6662 of the Code) were reported in a manner for which there is substantial authority or were adequately disclosed (or, with respect to Returns filed before the Effective Time, will be reported in such a manner or adequately disclosed) on the Returns required in accordance with Sections 6661(b)(2)(B) and 6662(d)(2)(B) of the Code.</w:t>
      </w:r>
    </w:p>
    <w:p>
      <w:pPr>
        <w:spacing w:after="0" w:line="32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engaged in any transaction that would result in a deemed election under Section 338(e) of the Code, and neither Exmark nor any Tax Affiliate will engage in any such transaction within any applicable "consistency period" (as such term is defined in Section 338 of the Code).</w:t>
      </w:r>
    </w:p>
    <w:p>
      <w:pPr>
        <w:spacing w:after="0" w:line="164" w:lineRule="exact"/>
        <w:rPr>
          <w:rFonts w:ascii="Courier New" w:cs="Courier New" w:eastAsia="Courier New" w:hAnsi="Courier New"/>
          <w:sz w:val="14"/>
          <w:szCs w:val="14"/>
          <w:color w:val="auto"/>
        </w:rPr>
      </w:pPr>
    </w:p>
    <w:p>
      <w:pPr>
        <w:ind w:right="3939" w:firstLine="8"/>
        <w:spacing w:after="0" w:line="255" w:lineRule="auto"/>
        <w:tabs>
          <w:tab w:leader="none" w:pos="77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filed any consent under Section 341(f) of the Code.</w:t>
      </w:r>
    </w:p>
    <w:p>
      <w:pPr>
        <w:spacing w:after="0" w:line="15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"TAXES" means all taxes, charges, fees, levies, or other assessments, including, without limitation, all net income, gross income, gross receipts, sales, use, ad valorem, transfer, franchise, profits, license, withholding, payroll, employment, social security, unemployment, excise, estimated, severance, stamp, occupation, property, or other taxes, customs duties, fees, assessments, or charges of any kind whatsoever, including, without limitation, all interest and penalties thereon, and additions to tax or additional amounts imposed by any taxing authority, domestic or foreign, upon Exmark or any Tax Affiliate.</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CONTRACTS AND COMMITMENTS.</w:t>
      </w:r>
    </w:p>
    <w:p>
      <w:pPr>
        <w:spacing w:after="0" w:line="173" w:lineRule="exact"/>
        <w:rPr>
          <w:sz w:val="20"/>
          <w:szCs w:val="20"/>
          <w:color w:val="auto"/>
        </w:rPr>
      </w:pPr>
    </w:p>
    <w:p>
      <w:pPr>
        <w:ind w:left="780" w:hanging="772"/>
        <w:spacing w:after="0"/>
        <w:tabs>
          <w:tab w:leader="none" w:pos="7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written or, to Exmark's knowledge, oral, to which Exmark is a party (or by which Exmark or its assets are bound): (i) collective bargaining agreement or contract with any labor union; (ii) bonus, pension, profit sharing, retirement or other form of deferred compensation plan; (iii) hospitalization insurance or other welfare benefit plan or practice, whether formal or informal; (iv) stock purchase or stock option plan; (v) contract for the employment of any officer, individual employee or other person on a full-time or consulting basis or relating to severance pay for any such person, other than Exmark's normal employment practices generally affecting all employees or classes of employees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53" w:name="page154"/>
    <w:bookmarkEnd w:id="153"/>
    <w:p>
      <w:pPr>
        <w:ind w:right="3339"/>
        <w:spacing w:after="0" w:line="250" w:lineRule="auto"/>
        <w:rPr>
          <w:sz w:val="20"/>
          <w:szCs w:val="20"/>
          <w:color w:val="auto"/>
        </w:rPr>
      </w:pPr>
      <w:r>
        <w:rPr>
          <w:rFonts w:ascii="Courier New" w:cs="Courier New" w:eastAsia="Courier New" w:hAnsi="Courier New"/>
          <w:sz w:val="14"/>
          <w:szCs w:val="14"/>
          <w:color w:val="auto"/>
        </w:rPr>
        <w:t>(such as hourly or salaried classes of employees); (vi) agreement with employees and with consultants, vendors, customers or other third parties requiring confidential treatment of Exmark confidential information and/or transfer to Exmark of intellectual property rights created by employees and with consultants, vendors, customers or other third parties; (vii) contract, agreement or understanding relating to the voting of Exmark's capital stock or the election of directors of Exmark; (viii) agreement or indenture relating to the borrowing of money, to letters of credit or to mortgaging, pledging or otherwise placing a lien on any of the assets of Exmark; (ix) guaranty of any obligation for borrowed money or otherwise; (x) lease or agreement under which it is lessee of, or holds or operates any property, real or personal, owned by any other party; (xi) lease or agreement under which it is lessor of, or permits any third party to hold or operate, any property, real or personal, for which the annual rental exceeds $25,000; (xii) contract or group of related contracts with the same party (other than any contract or group of related contracts for the purchase or sale of products or services) continuing over a period of more than six months from the date or dates thereof, not terminable by it on 30 days' or less notice without penalty and involving more than $50,000; (xiii) contract which prohibits Exmark from freely engaging in business anywhere in the world;</w:t>
      </w:r>
    </w:p>
    <w:p>
      <w:pPr>
        <w:spacing w:after="0" w:line="8" w:lineRule="exact"/>
        <w:rPr>
          <w:sz w:val="20"/>
          <w:szCs w:val="20"/>
          <w:color w:val="auto"/>
        </w:rPr>
      </w:pPr>
    </w:p>
    <w:p>
      <w:pPr>
        <w:ind w:right="3339" w:firstLine="8"/>
        <w:spacing w:after="0" w:line="250" w:lineRule="auto"/>
        <w:tabs>
          <w:tab w:leader="none" w:pos="51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for the distribution of the products of Exmark (including any distributor, sales and original equipment manufacturer contract); (xv) franchise agreement; (xvi) license agreement or agreement providing for the payment of royalties or other compensation by Exmark in connection with intellectual property rights licensed from third parties; (xvii) license agreement or agreement providing for the receipt of royalties or other compensation by Exmark in connection with intellectual property rights owned, controlled or otherwise licensable by Exmark; (xviii) contract or commitment for capital expenditures in excess of $100,000, (xix) agreement for the sale of any capital asset in excess of $25,000; (xx) contract with any affiliate which in any way relates to Exmark (other than for employment on customary terms); or (xxi) agreement with vendors, customers or other third parties requiring confidential treatment of confidential information of such vendors, customers or other third parties;</w:t>
      </w:r>
    </w:p>
    <w:p>
      <w:pPr>
        <w:spacing w:after="0" w:line="5" w:lineRule="exact"/>
        <w:rPr>
          <w:rFonts w:ascii="Courier New" w:cs="Courier New" w:eastAsia="Courier New" w:hAnsi="Courier New"/>
          <w:sz w:val="14"/>
          <w:szCs w:val="14"/>
          <w:color w:val="auto"/>
        </w:rPr>
      </w:pPr>
    </w:p>
    <w:p>
      <w:pPr>
        <w:ind w:right="3339" w:firstLine="8"/>
        <w:spacing w:after="0" w:line="252" w:lineRule="auto"/>
        <w:tabs>
          <w:tab w:leader="none" w:pos="603"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agreement which is either material to the business of Exmark or was not entered into in the ordinary course of business (other than agreements required to be listed in the Disclosure Schedule).</w:t>
      </w:r>
    </w:p>
    <w:p>
      <w:pPr>
        <w:spacing w:after="0" w:line="163" w:lineRule="exact"/>
        <w:rPr>
          <w:sz w:val="20"/>
          <w:szCs w:val="20"/>
          <w:color w:val="auto"/>
        </w:rPr>
      </w:pPr>
    </w:p>
    <w:p>
      <w:pPr>
        <w:ind w:right="3339" w:firstLine="8"/>
        <w:spacing w:after="0" w:line="251" w:lineRule="auto"/>
        <w:tabs>
          <w:tab w:leader="none" w:pos="7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 oral or written, to which Exmark is a party or by which the Exmark or its assets are bound: (i) contract or group of related contracts with the same party for the purchase of products or services by Exmark under which the undelivered balance of such products or services is in excess of $10,000; (ii) contract or group of related contracts with the same party for the sale of products or services by Exmark under which the undelivered balance of such products or services (including, without limitation, any free upgrades or ongoing services) has a sales price in excess of $10,000; and (iii) sales agreement or other customer commitment (other than the standard form of purchase order) which entitles any purchaser to a rebate or right of set-off, to return any product of Exmark after acceptance thereof or to delay the acceptance thereof, to receive future services, upgrades or enhancements, or which varies in any material respect from Exmark's standard form agreements for sales.</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54" w:name="page155"/>
    <w:bookmarkEnd w:id="154"/>
    <w:p>
      <w:pPr>
        <w:ind w:right="3339" w:firstLine="8"/>
        <w:spacing w:after="0" w:line="251" w:lineRule="auto"/>
        <w:tabs>
          <w:tab w:leader="none" w:pos="77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performed all material obligations required to be performed through the date hereof by it in connection with the contracts or commitments required to be disclosed in the Disclosure Schedule and has not been notified of any claim of material default under any contract or commitment required to be disclosed in the Disclosure Schedule; Exmark has no present expectation or intention of not fully performing any material obligation pursuant to any contract or commitment required to be disclosed in the Disclosure Schedule; and Exmark has no knowledge of any material breach or anticipated material breach by any other party to any contract or commitment required to be disclosed in the Disclosure Schedule.</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of this Agreement, Toro has been supplied with a correct and complete copy of each written contract or commitment referred to in the Disclosure Schedule, together with all known amendments, waivers or other changes thereto.</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INTELLECTUAL PROPERTY RIGHTS.</w:t>
      </w:r>
    </w:p>
    <w:p>
      <w:pPr>
        <w:spacing w:after="0" w:line="173" w:lineRule="exact"/>
        <w:rPr>
          <w:sz w:val="20"/>
          <w:szCs w:val="20"/>
          <w:color w:val="auto"/>
        </w:rPr>
      </w:pPr>
    </w:p>
    <w:p>
      <w:pPr>
        <w:ind w:right="3339" w:firstLine="8"/>
        <w:spacing w:after="0" w:line="251"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(i) all patents and all registrations for trademarks, service marks, trade names, corporate names, copyrights and mask works that have been issued to Exmark; and (ii) each pending patent application or application for registration for trademarks, service marks, trade names, corporate names, copyrights and mask works that Exmark has made with respect to intellectual property owned by, or otherwise controlled by, Exmark and used in, developed for use in or necessary to the conduct of the business of Exmark as now conducted or as planned to be conducted as described herein (the "OWNED INTELLECTUAL PROPERTY RIGHTS"). Except as set forth in the Disclosure Schedule, Exmark owns and possesses all right, title and interest, or holds such other interest as is identified in the Disclosure Schedule, in and to the rights set forth under such caption free and clear of all liens, security interests or other encumbrances and has the full right to exploit such Owned Intellectual Property Rights without payment of compensation to any other party.</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agreements granting to Exmark rights in patents, patent applications, trademarks, service marks, trade names, corporate names, copyrights, mask works, trade secrets or other intellectual property rights used in or necessary to the conduct of the business of Exmark as now conducted or as planned to be conducted as described herein (the "LICENSED-IN INTELLECTUAL PROPERTY RIGHTS"). All such agreements are in force and Exmark is not in breach of any such agreement.</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55" w:name="page156"/>
    <w:bookmarkEnd w:id="155"/>
    <w:p>
      <w:pPr>
        <w:ind w:right="3519" w:firstLine="8"/>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products marketed or that have been marketed by Exmark within the past two years, identifies the method(s) of intellectual property protection utilized by Exmark with respect to such products and sets forth the amount of gross sales for such products for the years ended August 31, 1996 and 1997.</w:t>
      </w:r>
    </w:p>
    <w:p>
      <w:pPr>
        <w:spacing w:after="0" w:line="164"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agreements granting to third parties any rights in Owned Intellectual Property Rights and any agreements to grant intellectual property rights that Exmark may acquire in the future.</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all of the Owned Intellectual Property Rights will be assumed by, and will become intellectual property rights of, the Surviving Corporation in the Merger, without the requirement that any consent to assignment be obtained or any payment (other than government filing or registration fees) be made. Except as disclosed in the Disclosure Schedule, all licenses of the Licensed-In Intellectual Property Rights will be assumed by, and will become valid agreements of, the Surviving Corporation in the Merger, without the requirement that any consent to assignment be obtained or any payment be made (other than future royalties as provided in such agreements).</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to its knowledge, has taken all commercially reasonable steps to acquire, protect and maintain the Owned Intellectual Property Rights. Without limiting the generality of the foregoing, (i) all maintenance, annuity, renewal and other such fees and filings due on Owned Intellectual Property Rights have been paid or made; and (ii) Exmark has no knowledge of any defects in the Owned Intellectual Property Rights that would lead to any of them becoming invalid or unenforceable.</w:t>
      </w:r>
    </w:p>
    <w:p>
      <w:pPr>
        <w:spacing w:after="0" w:line="32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received any notice of, nor are there any facts known to Exmark which indicate a likelihood of, any infringement or misappropriation by, or conflict from, any third party with respect to the Owned Intellectual Property Rights or any Licensed-In Intellectual Property Rights that are exclusively licensed to Exmark; and no claim by any third party contesting the validity of any Owned Intellectual Property Rights has been made, is currently outstanding or, to the best knowledge of Exmark, is threatened.</w:t>
      </w:r>
    </w:p>
    <w:p>
      <w:pPr>
        <w:spacing w:after="0" w:line="164" w:lineRule="exact"/>
        <w:rPr>
          <w:sz w:val="20"/>
          <w:szCs w:val="20"/>
          <w:color w:val="auto"/>
        </w:rPr>
      </w:pPr>
    </w:p>
    <w:p>
      <w:pPr>
        <w:ind w:left="780" w:hanging="772"/>
        <w:spacing w:after="0"/>
        <w:tabs>
          <w:tab w:leader="none" w:pos="7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received any notice of any infringement, misappropriation or violation by Exmark of any intellectual property rights of any third parties and Exmark, to its knowledge, has not infringed, misappropriated or otherwise violated any such intellectual property rights; and to the knowledge of Exmark, no infringement, misappropriation or violation of any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56" w:name="page157"/>
    <w:bookmarkEnd w:id="156"/>
    <w:p>
      <w:pPr>
        <w:ind w:right="3419"/>
        <w:spacing w:after="0" w:line="252" w:lineRule="auto"/>
        <w:rPr>
          <w:sz w:val="20"/>
          <w:szCs w:val="20"/>
          <w:color w:val="auto"/>
        </w:rPr>
      </w:pPr>
      <w:r>
        <w:rPr>
          <w:rFonts w:ascii="Courier New" w:cs="Courier New" w:eastAsia="Courier New" w:hAnsi="Courier New"/>
          <w:sz w:val="14"/>
          <w:szCs w:val="14"/>
          <w:color w:val="auto"/>
        </w:rPr>
        <w:t>intellectual property rights of any third parties has occurred or will occur with respect to products currently being sold by Exmark or with respect to the products currently under development (in their present state of development) or with respect to the conduct of the business of Exmark as now conducted.</w:t>
      </w:r>
    </w:p>
    <w:p>
      <w:pPr>
        <w:spacing w:after="0" w:line="162" w:lineRule="exact"/>
        <w:rPr>
          <w:sz w:val="20"/>
          <w:szCs w:val="20"/>
          <w:color w:val="auto"/>
        </w:rPr>
      </w:pPr>
    </w:p>
    <w:p>
      <w:pPr>
        <w:ind w:right="3419" w:firstLine="8"/>
        <w:spacing w:after="0" w:line="251"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 entered into any agreement restricting Exmark from selling, leasing or otherwise distributing any of its current products or products under development to any class of customers, in any geographic area, during any time period or in any segment of the market.</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Exmark's knowledge, Exmark has the right to make available to the Surviving Corporation all trade secrets and other confidential information entrusted to Exmark by third parties.</w:t>
      </w:r>
    </w:p>
    <w:p>
      <w:pPr>
        <w:spacing w:after="0" w:line="162"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known quality defects in the designs contained in the Owned Intellectual Property Rights and, except as disclosed in the Disclosure Schedule, such designs comply with all applicable laws.</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above, Exmark makes no warranty or representation regarding the effectiveness of any patents or patents pending included in the Intellectual Property Rights in preventing the use or infringement thereof by third parties.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3.18 LITIGATION. There are no actions, suits, proceedings, orders or investigations pending or, to the best knowledge of Exmark, threatened against Exmark, at law or in equity, or before or by any federal, state, municipal or other governmental department, commission, board, bureau, agency or instrumentality, domestic or foreign, nor is there any known basis therefor.</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WARRANTIES; PRODUCTS.</w:t>
      </w:r>
    </w:p>
    <w:p>
      <w:pPr>
        <w:spacing w:after="0" w:line="173" w:lineRule="exact"/>
        <w:rPr>
          <w:sz w:val="20"/>
          <w:szCs w:val="20"/>
          <w:color w:val="auto"/>
        </w:rPr>
      </w:pPr>
    </w:p>
    <w:p>
      <w:pPr>
        <w:ind w:right="3419" w:firstLine="8"/>
        <w:spacing w:after="0" w:line="251"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Exmark's system for monitoring the intake and processing of all warranty claims relating to any products sold by Exmark prior to the date hereof. The description of the product warranties and other material terms of sale of Exmark set forth in the Disclosure Schedule are correct and complete. The reserves for warranty claims on the Latest Balance Sheet are consistent with Exmark's prior practices and an amount equal to 150% of the amount of such reserves is fully adequate to</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57" w:name="page158"/>
    <w:bookmarkEnd w:id="157"/>
    <w:p>
      <w:pPr>
        <w:ind w:right="3339"/>
        <w:spacing w:after="0" w:line="255" w:lineRule="auto"/>
        <w:rPr>
          <w:sz w:val="20"/>
          <w:szCs w:val="20"/>
          <w:color w:val="auto"/>
        </w:rPr>
      </w:pPr>
      <w:r>
        <w:rPr>
          <w:rFonts w:ascii="Courier New" w:cs="Courier New" w:eastAsia="Courier New" w:hAnsi="Courier New"/>
          <w:sz w:val="14"/>
          <w:szCs w:val="14"/>
          <w:color w:val="auto"/>
        </w:rPr>
        <w:t>cover all warranty claims made or to be made against any products of Exmark sold prior to the date thereof.</w:t>
      </w:r>
    </w:p>
    <w:p>
      <w:pPr>
        <w:spacing w:after="0" w:line="160" w:lineRule="exact"/>
        <w:rPr>
          <w:sz w:val="20"/>
          <w:szCs w:val="20"/>
          <w:color w:val="auto"/>
        </w:rPr>
      </w:pPr>
    </w:p>
    <w:p>
      <w:pPr>
        <w:ind w:right="3339" w:firstLine="8"/>
        <w:spacing w:after="0" w:line="251" w:lineRule="auto"/>
        <w:tabs>
          <w:tab w:leader="none" w:pos="77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current products and replacement parts have performed, and shall perform after the Effective Time, substantially in accordance with Exmark's technical specifications applicable to such products and parts, subject to repair and replacement claims consistent with Exmark's past experience. The foregoing representation and warranty:</w:t>
      </w:r>
    </w:p>
    <w:p>
      <w:pPr>
        <w:spacing w:after="0" w:line="165" w:lineRule="exact"/>
        <w:rPr>
          <w:sz w:val="20"/>
          <w:szCs w:val="20"/>
          <w:color w:val="auto"/>
        </w:rPr>
      </w:pPr>
    </w:p>
    <w:p>
      <w:pPr>
        <w:ind w:right="3419" w:firstLine="8"/>
        <w:spacing w:after="0" w:line="252"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contingent upon proper use of the products and parts in the applications for which they were intended as indicated in Exmark's accompanying user manual or similar documentation for the products and parts; and</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apply to any product or part which (A) has been altered, except by Exmark or at Exmark's direction, (B) has not been installed, operated, repaired or maintained in accordance with any installation, handling, maintenance or operating instructions supplied by Exmark, or (C) has been damaged by acts of nature, vandalism, burglary, neglect, misuse or accident.</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3.20 EMPLOYEES. (a) To the knowledge of Exmark after due inquiry, no executive employee of Exmark and no group of the employees of Exmark has any plans to terminate his, her or their employment; (b) Exmark has complied with all laws relating to the employment of labor, including provisions thereof relating to wages, hours, equal opportunity, collective bargaining and the payment of social security and other Taxes; (c) Exmark has no labor relations problem pending and Exmark's labor relations are satisfactory; (d) there are no workers' compensation claims pending against Exmark nor is Exmark aware of any facts that would give rise to such a claim; (e) no employee of Exmark is subject to any secrecy or noncompetition agreement or any other agreement or restriction of any kind that would impede in any way the ability of such employee to carry out fully all activities of such employee in furtherance of the business of Exmark; and (f) no employee or former employee of Exmark, or any predecessor has any claim with respect to any Owned Intellectual Property Rights. The Disclosure Schedule lists, as of the date set forth in the Disclosure Schedule, each employee of Exmark. The Disclosure Schedule also states the position, title, remuneration (including any scheduled salary or remuneration increases), date of employment and accrued vacation pay of each such employee as of such date.</w:t>
      </w:r>
    </w:p>
    <w:p>
      <w:pPr>
        <w:spacing w:after="0" w:line="33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158" w:name="page159"/>
    <w:bookmarkEnd w:id="158"/>
    <w:p>
      <w:pPr>
        <w:spacing w:after="0"/>
        <w:tabs>
          <w:tab w:leader="none" w:pos="7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ind w:right="3519" w:firstLine="8"/>
        <w:spacing w:after="0" w:line="250"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this Agreement, "ERISA" means the Employee Retirement Income Security Act of 1974, as amended, and the term "PLAN" means every employee benefit plan (whether or not covered by ERISA) which is maintained or contributed to by Exmark for the benefit of present or former employees, including those intended to provide: (i) medical, surgical, health care, hospitalization, dental, vision, workers' compensation, life insurance, death, disability, legal services, severance, sickness or accident benefits,</w:t>
      </w:r>
    </w:p>
    <w:p>
      <w:pPr>
        <w:spacing w:after="0" w:line="3" w:lineRule="exact"/>
        <w:rPr>
          <w:rFonts w:ascii="Courier New" w:cs="Courier New" w:eastAsia="Courier New" w:hAnsi="Courier New"/>
          <w:sz w:val="14"/>
          <w:szCs w:val="14"/>
          <w:color w:val="auto"/>
        </w:rPr>
      </w:pPr>
    </w:p>
    <w:p>
      <w:pPr>
        <w:jc w:val="both"/>
        <w:ind w:right="3339" w:firstLine="8"/>
        <w:spacing w:after="0" w:line="251" w:lineRule="auto"/>
        <w:tabs>
          <w:tab w:leader="none" w:pos="43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profit sharing, stock bonus, retirement, supplemental retirement or deferred compensation benefits (whether or not tax qualified), (iii) bonus, incentive compensation, stock option, stock appreciation right, phantom stock or stock purchase benefits, or (iv) salary continuation, unemployment, supplemental unemployment, termination pay, vacation or holiday benefits.</w:t>
      </w:r>
    </w:p>
    <w:p>
      <w:pPr>
        <w:spacing w:after="0" w:line="164" w:lineRule="exact"/>
        <w:rPr>
          <w:rFonts w:ascii="Courier New" w:cs="Courier New" w:eastAsia="Courier New" w:hAnsi="Courier New"/>
          <w:sz w:val="14"/>
          <w:szCs w:val="14"/>
          <w:color w:val="auto"/>
        </w:rPr>
      </w:pPr>
    </w:p>
    <w:p>
      <w:pPr>
        <w:ind w:right="3519" w:firstLine="8"/>
        <w:spacing w:after="0" w:line="250"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"PLAN" shall also include every such plan: (i) which Exmark has committed to implement, establish, adopt or contribute to in the future,</w:t>
      </w:r>
    </w:p>
    <w:p>
      <w:pPr>
        <w:ind w:right="3419" w:firstLine="8"/>
        <w:spacing w:after="0" w:line="250" w:lineRule="auto"/>
        <w:tabs>
          <w:tab w:leader="none" w:pos="43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which Exmark is or may be financially liable as a result of the direct sponsor's affiliation to Exmark or its owners (whether or not such affiliation exists at the date of this Agreement and notwithstanding that the plan is not maintained by Exmark for the benefit of its employees or former employees),</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in the process of terminating (but such term does not include any plan that has been terminated and completely wound up prior to the date of this Agreement such that Exmark has no present or potential liability with respect to such arrangement), or (iv) for or with respect to which Exmark is liable under any common law successor doctrine, express successor liability provisions of law, provisions of a collective bargaining agreement, labor or employment law or agreement with a predecessor employer.</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all Plans by name and brief description identifying: (i) the type of Plan, (ii) the funding arrangements for the Plan, (iii) the sponsorship of the Plan, and (iv) the participating employers in the Plan.</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identified in the Disclosure Schedule is further identified on such Disclosure Schedule by reference to such one or more of the following characteristics as may apply to such Plan: (i) defined contribution plan as defined in Section 3(34) of ERISA or Section 414(i) of the Code, (ii) defined benefit plan as defined in Section 3(35) of ERISA or Section 414(j) of the Code,</w:t>
      </w:r>
    </w:p>
    <w:p>
      <w:pPr>
        <w:spacing w:after="0" w:line="2" w:lineRule="exact"/>
        <w:rPr>
          <w:rFonts w:ascii="Courier New" w:cs="Courier New" w:eastAsia="Courier New" w:hAnsi="Courier New"/>
          <w:sz w:val="14"/>
          <w:szCs w:val="14"/>
          <w:color w:val="auto"/>
        </w:rPr>
      </w:pPr>
    </w:p>
    <w:p>
      <w:pPr>
        <w:ind w:right="3419" w:firstLine="8"/>
        <w:spacing w:after="0" w:line="251" w:lineRule="auto"/>
        <w:tabs>
          <w:tab w:leader="none" w:pos="51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which is or is intended to be tax qualified under Section 401(a) or 403(a) of the Code, (iv) plan which is or is intended to be an employee stock ownership plan as defined in Section 4975(e)(7) of the Code (and whether or not such plan has entered into an exempt loan), (v) nonqualified deferred compensation arrangement, (vi) employee welfare benefit plan as defined in Section 3(1) of ERISA, (vii) multiemployer plan as defined in Section 3(37) of ERISA or Section 414(f) of the Code, (viii) plan maintained by more than one employer as defined in Section 413(c) of the Code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159" w:name="page160"/>
    <w:bookmarkEnd w:id="159"/>
    <w:p>
      <w:pPr>
        <w:ind w:right="3339"/>
        <w:spacing w:after="0" w:line="250" w:lineRule="auto"/>
        <w:rPr>
          <w:sz w:val="20"/>
          <w:szCs w:val="20"/>
          <w:color w:val="auto"/>
        </w:rPr>
      </w:pPr>
      <w:r>
        <w:rPr>
          <w:rFonts w:ascii="Courier New" w:cs="Courier New" w:eastAsia="Courier New" w:hAnsi="Courier New"/>
          <w:sz w:val="14"/>
          <w:szCs w:val="14"/>
          <w:color w:val="auto"/>
        </w:rPr>
        <w:t>(a "multiple employer plan"), (ix) plan providing benefits after separation from service or termination of employment, (x) plan maintained or contributed to by Exmark which owns any Exmark or other employer securities as an investment,</w:t>
      </w:r>
    </w:p>
    <w:p>
      <w:pPr>
        <w:spacing w:after="0" w:line="1" w:lineRule="exact"/>
        <w:rPr>
          <w:sz w:val="20"/>
          <w:szCs w:val="20"/>
          <w:color w:val="auto"/>
        </w:rPr>
      </w:pPr>
    </w:p>
    <w:p>
      <w:pPr>
        <w:ind w:right="3339" w:firstLine="8"/>
        <w:spacing w:after="0" w:line="251" w:lineRule="auto"/>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which provides benefits (or provides increased benefits or vesting) as a result of a change in control of Exmark , (xii) plan which is maintained pursuant to collective bargaining, and (xiii) a plan funded, in whole or in part, through a voluntary employees' beneficiary association exempt from tax under Section 501(c)(9) of the Code.</w:t>
      </w:r>
    </w:p>
    <w:p>
      <w:pPr>
        <w:spacing w:after="0" w:line="165" w:lineRule="exact"/>
        <w:rPr>
          <w:sz w:val="20"/>
          <w:szCs w:val="20"/>
          <w:color w:val="auto"/>
        </w:rPr>
      </w:pPr>
    </w:p>
    <w:p>
      <w:pPr>
        <w:ind w:right="3339" w:firstLine="8"/>
        <w:spacing w:after="0" w:line="251"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the identity of each corporation, trade or business (separately for each category below that applies): (i) which is (or was during the preceding five years) under common control with Exmark within the meaning of Section 414(b) or (c) of the Code, (ii) which is (or was during the preceding five years) in an affiliated service group with Exmark within the meaning of Section 414(m) of the Code, (iii) which is (or was during the preceding five years) the legal employer of persons providing services to Exmark as leased employees within the meaning of Section 414(n) of the Code, and (iv) with respect to which Exmark is a successor employer for purposes of group health or other welfare plan continuation rights (including Section 601 et. seq. of ERISA) or the Family and Medical Leave Act.</w:t>
      </w:r>
    </w:p>
    <w:p>
      <w:pPr>
        <w:spacing w:after="0" w:line="163"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they exist, Exmark has furnished Toro with true and complete copies of: (i) the most recent determination letter, if any, received by Exmark from the Internal Revenue Service regarding each Plan, (ii) the most recent determination or opinion letter ruling from the Internal Revenue Service that each trust established in connection with Plans which are intended to be tax exempt under Section 501(a) or (c) of the Code are so tax exempt, (iii) all pending applications for rulings, determinations, opinions, no action letters and the like filed with any governmental agency (including but not limited to the Department of Labor, Internal Revenue Service, Pension Benefit Guaranty Corporation and the SEC), (iv) the financial statements for each Plan for the three most recent fiscal or Plan years (in audited form if required by ERISA) and, where applicable, Annual Report/Return (Form 5500) with disclosure schedules, if any, and attachments for each Plan, (v) the most recently prepared actuarial valuation report for each Plan (including but not limited to reports prepared for funding, deduction and financial accounting purposes), (vi) Plan documents, trust agreements, insurance contracts, service agreements and all related contracts and documents (including any employee summaries and material employee communications) with respect to each Plan, and (vii) collective bargaining agreements (including side agreements and letter agreements) relating to the establishment, maintenance, funding and operation of any Plan.</w:t>
      </w:r>
    </w:p>
    <w:p>
      <w:pPr>
        <w:spacing w:after="0" w:line="17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identifies each employee of Exmark who is:</w:t>
      </w:r>
    </w:p>
    <w:p>
      <w:pPr>
        <w:spacing w:after="0" w:line="7" w:lineRule="exact"/>
        <w:rPr>
          <w:sz w:val="20"/>
          <w:szCs w:val="20"/>
          <w:color w:val="auto"/>
        </w:rPr>
      </w:pPr>
    </w:p>
    <w:p>
      <w:pPr>
        <w:ind w:left="360" w:hanging="352"/>
        <w:spacing w:after="0"/>
        <w:tabs>
          <w:tab w:leader="none" w:pos="3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absent from active employment due to short or long term disability,</w:t>
      </w:r>
    </w:p>
    <w:p>
      <w:pPr>
        <w:spacing w:after="0" w:line="7"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absent from active employment on a leave pursuant to the Family and Medical Leave Act or a comparable state law, (iii) absent from active employment on any other leave or approved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160" w:name="page161"/>
    <w:bookmarkEnd w:id="160"/>
    <w:p>
      <w:pPr>
        <w:ind w:right="3339"/>
        <w:spacing w:after="0" w:line="251" w:lineRule="auto"/>
        <w:rPr>
          <w:sz w:val="20"/>
          <w:szCs w:val="20"/>
          <w:color w:val="auto"/>
        </w:rPr>
      </w:pPr>
      <w:r>
        <w:rPr>
          <w:rFonts w:ascii="Courier New" w:cs="Courier New" w:eastAsia="Courier New" w:hAnsi="Courier New"/>
          <w:sz w:val="14"/>
          <w:szCs w:val="14"/>
          <w:color w:val="auto"/>
        </w:rPr>
        <w:t>absence (together with the reason for such leave or absence), (iv) absent from active employment due to military service (under conditions that give the employee rights to re-employment), or (v) not an "at will" employee, except as "at will" status may be modified by employee handbooks or employment practices applicable generally to all employees or categories of employees (such as hourly and salaried categories).</w:t>
      </w:r>
    </w:p>
    <w:p>
      <w:pPr>
        <w:spacing w:after="0" w:line="164" w:lineRule="exact"/>
        <w:rPr>
          <w:sz w:val="20"/>
          <w:szCs w:val="20"/>
          <w:color w:val="auto"/>
        </w:rPr>
      </w:pPr>
    </w:p>
    <w:p>
      <w:pPr>
        <w:ind w:right="3419" w:firstLine="8"/>
        <w:spacing w:after="0" w:line="251"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continuation rights arising under federal or state law as applied to plans that are group health plans (as defined in Section 601 et. seq. of ERISA), the Disclosure Schedule identifies: (i) each employee, former employee or qualifying beneficiary who has elected continuation, and (ii) each employee, former employee or qualifying beneficiary who has not elected continuation coverage but is still within the period in which such election may be made.</w:t>
      </w:r>
    </w:p>
    <w:p>
      <w:pPr>
        <w:spacing w:after="0" w:line="164"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 Plans intended to be tax qualified under Section 401(a) or Section 403(a) of the Code are so qualified; (ii) all trusts established in connection with Plans which are intended to be generally tax exempt under Section 501(a) or (c) of the Code are generally tax exempt; (iii) to the extent required either as a matter of law or to obtain the intended tax treatment and tax benefits, all Plans comply in all material respects with the requirements of ERISA and the Code; (iv) all Plans have been administered in all material respects in accordance with the documents and instruments governing the Plans; (v) all reports and filings with governmental agencies (including but not limited to the Department of Labor, Internal Revenue Service, Pension Benefit Guaranty Corporation and the SEC) required in connection with each Plan have been timely made; (vi) all disclosures and notices required by law or Plan provisions to be given to participants and beneficiaries in connection with each Plan have been properly and timely made; (vii) to Exmark's knowledge, no Plan, separately or in the aggregate, requires or would result in the payment of any "excess parachute payments" within the meaning of Section 280G of the Code, and the consummation of the transactions contemplated by this Agreement will not be a factor in causing payments to be made by Toro or Exmark that are not deductible (in whole or in part) because of the application of Section 280G of the Code; (viii) and Exmark has made a good faith effort to comply with the reporting and taxation requirements for FICA Taxes with respect to any deferred compensation arrangements under Section 3121(v) of the Code.</w:t>
      </w:r>
    </w:p>
    <w:p>
      <w:pPr>
        <w:spacing w:after="0" w:line="340"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contributions, premium payments and other payments required to be made in connection with the Plans as of the date of this Agreement have been made; (ii) all contributions, premium payments and other payments due from Exmark in connection with the Plans but not made as of the date of this Agreement have been accounted for in accordance with GAAP on the Latest Balance Sheet; (iii) no contribution, premium payment or other payment has been made in support of any Plan that is in excess of the allowable deduction for federal income tax purposes for the year with respect to which the contribution was made (whether under</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161" w:name="page162"/>
    <w:bookmarkEnd w:id="161"/>
    <w:p>
      <w:pPr>
        <w:ind w:right="3339"/>
        <w:spacing w:after="0" w:line="251" w:lineRule="auto"/>
        <w:rPr>
          <w:sz w:val="20"/>
          <w:szCs w:val="20"/>
          <w:color w:val="auto"/>
        </w:rPr>
      </w:pPr>
      <w:r>
        <w:rPr>
          <w:rFonts w:ascii="Courier New" w:cs="Courier New" w:eastAsia="Courier New" w:hAnsi="Courier New"/>
          <w:sz w:val="14"/>
          <w:szCs w:val="14"/>
          <w:color w:val="auto"/>
        </w:rPr>
        <w:t>Section 162, Section 280G, Section 404, Section 419, Section 419A of the Code or otherwise); and (iv) with respect to each Plan that is subject to Section 301 et. seq. of ERISA or Section 412 of the Code, Exmark is not liable for any accumulated funding deficiency as that terms is defined in Section 412 of the Code and the projected benefit obligations determined as of the date of this Agreement do not exceed the assets of the Plan.</w:t>
      </w:r>
    </w:p>
    <w:p>
      <w:pPr>
        <w:spacing w:after="0" w:line="164" w:lineRule="exact"/>
        <w:rPr>
          <w:sz w:val="20"/>
          <w:szCs w:val="20"/>
          <w:color w:val="auto"/>
        </w:rPr>
      </w:pPr>
    </w:p>
    <w:p>
      <w:pPr>
        <w:ind w:right="3419" w:firstLine="8"/>
        <w:spacing w:after="0" w:line="250" w:lineRule="auto"/>
        <w:tabs>
          <w:tab w:leader="none" w:pos="77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no action, suit, charge, complaint, proceeding, hearing, investigation or claim is pending with regard to any Plan other than routine uncontested claims for benefits; (ii) except as based upon plans maintained by Toro or its affiliates, the consummation of the transactions contemplated by this Agreement will not cause any Plan to increase benefits payable to any participant or beneficiary;</w:t>
      </w:r>
    </w:p>
    <w:p>
      <w:pPr>
        <w:spacing w:after="0" w:line="2" w:lineRule="exact"/>
        <w:rPr>
          <w:rFonts w:ascii="Courier New" w:cs="Courier New" w:eastAsia="Courier New" w:hAnsi="Courier New"/>
          <w:sz w:val="14"/>
          <w:szCs w:val="14"/>
          <w:color w:val="auto"/>
        </w:rPr>
      </w:pPr>
    </w:p>
    <w:p>
      <w:pPr>
        <w:ind w:right="3859" w:firstLine="8"/>
        <w:spacing w:after="0" w:line="250" w:lineRule="auto"/>
        <w:tabs>
          <w:tab w:leader="none" w:pos="51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based upon plans maintained by Toro or its affiliates, the consummation of the transactions contemplated by this Agreement will not:</w:t>
      </w:r>
    </w:p>
    <w:p>
      <w:pPr>
        <w:ind w:right="41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entitle any current or former employee of Exmark to severance pay, unemployment compensation or any other payment, benefit or award, or</w:t>
      </w: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accelerate or modify the time of payment or vesting, or increase the amount of any benefit, award or compensation due any such employee; (iv) to Exmark's knowledge, no Plan is currently under examination or audit by the Department of Labor, the Internal Revenue Service or the Pension Benefit Guaranty Corporation;</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 actual or potential liability arising under Title IV of ERISA as a result of any Plan that has terminated or is in the process of terminating; (vi) Exmark has no actual or potential liability under section 4201 et. seq. of ERISA for either a complete withdrawal or a partial withdrawal from a multiemployer Plan; and (vii) with respect to the Plans, Exmark has no liability (either directly or as a result of indemnification) for (and the transaction contemplated by this Agreement will not cause any liability for): (A) any excise Taxes under section 4971 through section 4980B, section 4999, section 5000 or any other section of the Code, (B) any penalty under section 502(i), section 502(l), Part 6 of Title I or any other provision of ERISA, or (C) any excise Taxes, penalties, damages or equitable relief as a result of any prohibited transaction, breach of fiduciary duty or other violation under ERISA or any other applicable law.</w:t>
      </w:r>
    </w:p>
    <w:p>
      <w:pPr>
        <w:spacing w:after="0" w:line="328"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 accruals required under FAS 106 have been properly accrued on the financial statements of Exmark; (ii) no condition, agreement or Plan provision limits the right of Exmark to amend, cut back or terminate any Plan (except to the extent such limitation arises under ERISA); (iii) Exmark has no liability for life insurance, death or medical benefits after separation from employment other than: (A) death benefits under the Plans set forth in the Disclosure Schedule or (B) health care continuation benefits described in section 4980B of the Code.</w:t>
      </w:r>
    </w:p>
    <w:p>
      <w:pPr>
        <w:spacing w:after="0" w:line="164"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3.22 INSURANCE. The Disclosure Schedule lists and briefly describes each insurance policy maintained by Exmark with respect to the properties, assets and operations of Exmark and sets forth the date of expiration of each such insurance policy.</w:t>
      </w: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162" w:name="page163"/>
    <w:bookmarkEnd w:id="162"/>
    <w:p>
      <w:pPr>
        <w:ind w:right="3519"/>
        <w:spacing w:after="0" w:line="255" w:lineRule="auto"/>
        <w:rPr>
          <w:sz w:val="20"/>
          <w:szCs w:val="20"/>
          <w:color w:val="auto"/>
        </w:rPr>
      </w:pPr>
      <w:r>
        <w:rPr>
          <w:rFonts w:ascii="Courier New" w:cs="Courier New" w:eastAsia="Courier New" w:hAnsi="Courier New"/>
          <w:sz w:val="14"/>
          <w:szCs w:val="14"/>
          <w:color w:val="auto"/>
        </w:rPr>
        <w:t>All of such insurance policies are in full force and effect. Exmark is not in default with respect to its obligations under any of such insurance policies.</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3.23 AFFILIATE TRANSACTIONS. Other than pursuant to this Agreement, no officer, director or employee of Exmark or any member of the immediate family of any such officer, director or employee, or any entity in which any of such persons owns any beneficial interest (other than any publicly held corporation whose stock is traded on a national securities exchange or in the over-the-counter market and less than one percent of the stock of which is beneficially owned by any of such persons) (collectively "INSIDERS"), has any agreement with Exmark (other than normal employment arrangements) or any interest in any property, real, personal or mixed, tangible or intangible, used in or pertaining to the business of Exmark (other than ownership of capital stock of Exmark). None of the Insiders has any direct or indirect interest (other than beneficial ownership of less than one percent of the stock of a publicly held corporation whose stock is traded on a national securities exchange or in the over-the-counter market) in any competitor, supplier or customer of Exmark or in any person, firm or entity from whom or to whom Exmark leases any property. For purposes of this SECTION 3.23, the members of the immediate family of an officer, director or employee shall consist of the spouse, parents, children, siblings, mothers- and fathers-in-law, sons- and daughters-in-law, and brothers- and sisters-in-law of such officer, director or employee. All agreements and transactions between Exmark and any Insider identified in the Disclosure Schedule were made for bona fide business purposes on terms comparable to what could be obtained from an unaffiliated third party.</w:t>
      </w:r>
    </w:p>
    <w:p>
      <w:pPr>
        <w:spacing w:after="0" w:line="34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3.24 CUSTOMERS AND SUPPLIERS. The Disclosure Schedule lists the 10 largest distributors and the 10 largest suppliers of Exmark for the year ended August 31, 1997, and sets forth opposite the name of each such distributor or supplier the approximate amount of gross sales or purchases by Exmark attributable to such distributor or supplier for such period. No distributor or supplier listed in the Disclosure Schedule has informed Exmark that it will stop or materially decrease the rate of business done with Exmark.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3.25 DISTRIBUTORS. The Disclosure Schedule lists (a) all former distributors of Exmark that have been terminated since January 1, 1992 and the circumstances surrounding such termination; (b) all litigation and disputes between Exmark and any of its past or present distributors, including any claims initiated by any distributor against Exmark, whether such litigation dispute resulted in a settlement, financial payment or not; (c) to Exmark's knowledge, all buying consortium arrangements by which any distributor of Exmark purchases goods (including wholegoods, parts, supplies or other goods) or services from Exmark; and (d) all distributors of Exmark that, to Exmark's knowledge, sell or distribute goods or services other than those of Exmark. There are no enforceable agreements with any distributor except as set forth in the Disclosure Schedule. Each distributor of Exmark may be terminated without penalty or other liability other than the</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163" w:name="page164"/>
    <w:bookmarkEnd w:id="163"/>
    <w:p>
      <w:pPr>
        <w:ind w:right="3339"/>
        <w:spacing w:after="0" w:line="252" w:lineRule="auto"/>
        <w:rPr>
          <w:sz w:val="20"/>
          <w:szCs w:val="20"/>
          <w:color w:val="auto"/>
        </w:rPr>
      </w:pPr>
      <w:r>
        <w:rPr>
          <w:rFonts w:ascii="Courier New" w:cs="Courier New" w:eastAsia="Courier New" w:hAnsi="Courier New"/>
          <w:sz w:val="14"/>
          <w:szCs w:val="14"/>
          <w:color w:val="auto"/>
        </w:rPr>
        <w:t>repurchase of inventory and potential liability for floor plan exposure upon at least 30 days' prior written notice, except as otherwise provided by distributor protection laws in some states.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3.26 OFFICERS AND DIRECTORS; BANK ACCOUNTS. The Disclosure Schedule lists all officers and directors of Exmark and all of the bank accounts of Exmark (designating each authorized signer).</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COMPLIANCE WITH LAWS; PERMITS.</w:t>
      </w:r>
    </w:p>
    <w:p>
      <w:pPr>
        <w:spacing w:after="0" w:line="173" w:lineRule="exact"/>
        <w:rPr>
          <w:sz w:val="20"/>
          <w:szCs w:val="20"/>
          <w:color w:val="auto"/>
        </w:rPr>
      </w:pPr>
    </w:p>
    <w:p>
      <w:pPr>
        <w:ind w:right="3339" w:firstLine="8"/>
        <w:spacing w:after="0" w:line="250" w:lineRule="auto"/>
        <w:tabs>
          <w:tab w:leader="none" w:pos="77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its predecessors and their respective officers, directors, agents and employees have complied in all material respects with all applicable laws, regulations and other requirements, including, but not limited to, federal, state, local and foreign laws, ordinances, rules, regulations and other requirements pertaining to product labeling, consumer products safety, equal employment opportunity, employee retirement, affirmative action and other hiring practices, occupational safety and health, workers' compensation, unemployment and building and zoning codes to which Exmark (including any product of Exmark) may be subject, and, since January 1, 1992, Exmark has received no notice of any allegation or claim of any noncompliance and no claims have been filed against Exmark alleging a violation of any such laws, regulations or other requirements. Exmark has no knowledge of any action, pending or threatened, to change the zoning or building ordinances or any other laws, rules, regulations or ordinances affecting the Real Property. Exmark is not relying on any exemption from or deferral of any such applicable law, regulation or other requirement that would not be available to the Surviving Corporation after the Effective Time.</w:t>
      </w:r>
    </w:p>
    <w:p>
      <w:pPr>
        <w:spacing w:after="0" w:line="338"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in full force and effect, all material licenses, permits and certificates, from federal, state, local and foreign authorities (including, without limitation, federal and state agencies regulating occupational health and safety) necessary to conduct its business and own and operate its properties (other than Environmental Permits, as such term is defined in SECTION 3.28(c) hereof) (collectively, the "PERMITS"). Exmark has conducted its business in substantial compliance with all material terms and conditions of the Permits.</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not made or agreed to make gifts of money, other property</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or similar benefits (other than incidental gifts of articles or general promotion and entertainment expenditures of nominal value) to any actual or potential customer, supplier, governmental employee or any other person in a position to assist or hinder Exmark in connection with any actual or proposed transaction.</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164" w:name="page165"/>
    <w:bookmarkEnd w:id="164"/>
    <w:p>
      <w:pPr>
        <w:spacing w:after="0"/>
        <w:tabs>
          <w:tab w:leader="none" w:pos="7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939" w:firstLine="8"/>
        <w:spacing w:after="0" w:line="255" w:lineRule="auto"/>
        <w:tabs>
          <w:tab w:leader="none" w:pos="77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SECTION 3.28, the following terms shall have the following meanings:</w:t>
      </w:r>
    </w:p>
    <w:p>
      <w:pPr>
        <w:spacing w:after="0" w:line="160" w:lineRule="exact"/>
        <w:rPr>
          <w:sz w:val="20"/>
          <w:szCs w:val="20"/>
          <w:color w:val="auto"/>
        </w:rPr>
      </w:pPr>
    </w:p>
    <w:p>
      <w:pPr>
        <w:ind w:left="780" w:hanging="772"/>
        <w:spacing w:after="0"/>
        <w:tabs>
          <w:tab w:leader="none" w:pos="7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means any dangerous, toxic or hazardous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pollutant, contaminant, chemical, waste, material or substance as defined in or governed by any federal, state or local law, statute, code, ordinance, regulation, rule or other requirement relating to such substance or otherwise relating to the environment or human health or safety, including without limitation any waste, material, substance, pollutant or contaminant that might cause any injury to human health or safety or to the environment or might subject Exmark to any imposition of costs or liability under any Environmental Law (as defined in SECTION 3.28(a)(ii) hereof).</w:t>
      </w:r>
    </w:p>
    <w:p>
      <w:pPr>
        <w:spacing w:after="0" w:line="329" w:lineRule="exact"/>
        <w:rPr>
          <w:rFonts w:ascii="Courier New" w:cs="Courier New" w:eastAsia="Courier New" w:hAnsi="Courier New"/>
          <w:sz w:val="14"/>
          <w:szCs w:val="14"/>
          <w:color w:val="auto"/>
        </w:rPr>
      </w:pPr>
    </w:p>
    <w:p>
      <w:pPr>
        <w:ind w:right="3599" w:firstLine="8"/>
        <w:spacing w:after="0" w:line="251"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all applicable federal, state and local laws, rules, regulations, codes, ordinances, orders, decrees, directives, permits, licenses and judgments relating to pollution, contamination or protection of the environment (including, without limitation, all applicable federal, state and local laws, rules, regulations, codes, ordinances, orders, decrees, directives, permits, licenses and judgments relating to Hazardous Materials) in effect as of the date of this Agreement.</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shall mean the spilling, leaking, disposing, discharging, emitting, depositing, ejecting, leaching, escaping or any other release or threatened release, however defined, whether intentional or unintentional, of any Hazardous Material.</w:t>
      </w:r>
    </w:p>
    <w:p>
      <w:pPr>
        <w:spacing w:after="0" w:line="162" w:lineRule="exact"/>
        <w:rPr>
          <w:sz w:val="20"/>
          <w:szCs w:val="20"/>
          <w:color w:val="auto"/>
        </w:rPr>
      </w:pPr>
    </w:p>
    <w:p>
      <w:pPr>
        <w:ind w:right="3779" w:firstLine="8"/>
        <w:spacing w:after="0" w:line="255"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the Real Property are in compliance with all applicable Environmental Laws.</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obtained, and maintained in full force and effect, all environmental permits, licenses, certificates of compliance, approvals and other authorizations necessary to conduct its business and operate the Real Property (collectively, the "ENVIRONMENTAL PERMITS"). A correct and complete copy of each such Environmental Permit shall be provided by Exmark to Toro at least 14 days prior to the Effective Time. Exmark has conducted its business in compliance with all terms and conditions of the Environmental Permits. Exmark has filed all reports and notifications required to be filed under and pursuant to all applicable Environmental Laws.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82" w:right="1440" w:bottom="1440" w:gutter="0" w:footer="0" w:header="0"/>
        </w:sectPr>
      </w:pPr>
    </w:p>
    <w:bookmarkStart w:id="165" w:name="page166"/>
    <w:bookmarkEnd w:id="165"/>
    <w:p>
      <w:pPr>
        <w:ind w:left="-8" w:right="3339" w:firstLine="8"/>
        <w:spacing w:after="0" w:line="251" w:lineRule="auto"/>
        <w:tabs>
          <w:tab w:leader="none" w:pos="7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Hazardous Materials have been generated, treated, contained, handled, located, used, manufactured, processed, buried, incinerated, deposited, stored, or released on, under or about any part of the Real Property during the period Exmark was in possession thereof that would cause the Surviving Corporation or Toro to incur response or remediation costs in order to comply with applicable Environmental Laws or that would subject the Surviving Corporation or Toro to fines or penalties, (ii) the Real Property and any improvements thereon, contain no asbestos, urea, formaldehyde, radon at levels above natural background, polychlorinated biphenyls ("PCB"s) or pesticides that would cause the Surviving Corporation or Toro to incur response or remediation costs in order to comply with applicable Environmental Laws or that would subject the Surviving Corporation or Toro to fines or penalties, and (iii) no aboveground or underground storage tanks are located on, under or about the Real Property.</w:t>
      </w:r>
    </w:p>
    <w:p>
      <w:pPr>
        <w:spacing w:after="0" w:line="328" w:lineRule="exact"/>
        <w:rPr>
          <w:rFonts w:ascii="Courier New" w:cs="Courier New" w:eastAsia="Courier New" w:hAnsi="Courier New"/>
          <w:sz w:val="14"/>
          <w:szCs w:val="14"/>
          <w:color w:val="auto"/>
        </w:rPr>
      </w:pPr>
    </w:p>
    <w:p>
      <w:pPr>
        <w:jc w:val="both"/>
        <w:ind w:left="-8" w:right="3519" w:firstLine="8"/>
        <w:spacing w:after="0" w:line="252" w:lineRule="auto"/>
        <w:tabs>
          <w:tab w:leader="none" w:pos="7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not received any notice alleging in any manner that it is, or might be potentially responsible for any Release of Hazardous Materials, or any costs arising under or for violation of Environmental Laws.</w:t>
      </w:r>
    </w:p>
    <w:p>
      <w:pPr>
        <w:spacing w:after="0" w:line="162" w:lineRule="exact"/>
        <w:rPr>
          <w:rFonts w:ascii="Courier New" w:cs="Courier New" w:eastAsia="Courier New" w:hAnsi="Courier New"/>
          <w:sz w:val="14"/>
          <w:szCs w:val="14"/>
          <w:color w:val="auto"/>
        </w:rPr>
      </w:pPr>
    </w:p>
    <w:p>
      <w:pPr>
        <w:ind w:left="-8" w:right="3339" w:firstLine="8"/>
        <w:spacing w:after="0" w:line="251" w:lineRule="auto"/>
        <w:tabs>
          <w:tab w:leader="none" w:pos="7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expenditure, including penalties, fines or cleanup costs arising under applicable Environmental Laws, will be required in order for Toro, Merger Subsidiary or the Surviving Corporation to comply with any Environmental Laws in effect at the time of the Effective Time in connection with the operation or continued operation of the business of Exmark or the Real Property in a manner consistent with the current operation thereof by Exmark, other than expenditures comparable to Exmark's historical level of expenditures for compliance with Environmental Laws.</w:t>
      </w:r>
    </w:p>
    <w:p>
      <w:pPr>
        <w:spacing w:after="0" w:line="163"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the Real Property are not and have not been listed on the United States Environmental Protection Agency National Priorities List of Hazardous Waste Sites (the "NATIONAL PRIORITIES LIST"), or any other list, schedule, law, inventory or record of hazardous or solid waste sites maintained by any federal, state or local agency.</w:t>
      </w:r>
    </w:p>
    <w:p>
      <w:pPr>
        <w:spacing w:after="0" w:line="164" w:lineRule="exact"/>
        <w:rPr>
          <w:rFonts w:ascii="Courier New" w:cs="Courier New" w:eastAsia="Courier New" w:hAnsi="Courier New"/>
          <w:sz w:val="14"/>
          <w:szCs w:val="14"/>
          <w:color w:val="auto"/>
        </w:rPr>
      </w:pPr>
    </w:p>
    <w:p>
      <w:pPr>
        <w:ind w:left="-8" w:right="3599" w:firstLine="8"/>
        <w:spacing w:after="0" w:line="252" w:lineRule="auto"/>
        <w:tabs>
          <w:tab w:leader="none" w:pos="7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disclosed and delivered to Toro all environmental reports and investigations which Exmark has obtained or ordered with respect to the business of Exmark and the Real Property.</w:t>
      </w:r>
    </w:p>
    <w:p>
      <w:pPr>
        <w:spacing w:after="0" w:line="162" w:lineRule="exact"/>
        <w:rPr>
          <w:rFonts w:ascii="Courier New" w:cs="Courier New" w:eastAsia="Courier New" w:hAnsi="Courier New"/>
          <w:sz w:val="14"/>
          <w:szCs w:val="14"/>
          <w:color w:val="auto"/>
        </w:rPr>
      </w:pPr>
    </w:p>
    <w:p>
      <w:pPr>
        <w:ind w:left="-8" w:right="3419" w:firstLine="8"/>
        <w:spacing w:after="0" w:line="251" w:lineRule="auto"/>
        <w:tabs>
          <w:tab w:leader="none" w:pos="853"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Exmark, no part of the business of Exmark, or the Real Property has been used as a landfill, dump or other disposal, storage, transfer, handling or treatment area for Hazardous Materials, or as a gasoline service station or a facility for selling, dispensing, storing, transferring, disposing or handling petroleum and/or petroleum products.</w:t>
      </w:r>
    </w:p>
    <w:p>
      <w:pPr>
        <w:spacing w:after="0" w:line="330"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1"/>
          </w:cols>
          <w:pgMar w:left="228" w:top="616" w:right="1440" w:bottom="1440" w:gutter="0" w:footer="0" w:header="0"/>
        </w:sectPr>
      </w:pPr>
    </w:p>
    <w:bookmarkStart w:id="166" w:name="page167"/>
    <w:bookmarkEnd w:id="166"/>
    <w:p>
      <w:pPr>
        <w:ind w:right="3419" w:firstLine="8"/>
        <w:spacing w:after="0" w:line="250" w:lineRule="auto"/>
        <w:tabs>
          <w:tab w:leader="none" w:pos="77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lien has been attached or filed against Exmark or the Real Property in favor of any governmental or private entity for (i) any liability or imposition of costs under or violation of any applicable Environmental Law; or</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of Hazardous Materials.</w:t>
      </w:r>
    </w:p>
    <w:p>
      <w:pPr>
        <w:spacing w:after="0" w:line="17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on behalf of itself and its successors and assigns, hereby waives, releases and agrees not to bring any claim, demand, cause of action or proceeding, including without limitation any cost recovery action, against Toro, Merger Subsidiary or the Surviving Corporation under any Environmental Law for any condition existing prior to the Effective Time, except for proportionate contribution with respect to any continuation or worsening of any such condition after the Effective Time.</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storage, transportation, handling, use or disposal, if any, by Exmark of Hazardous Materials on or under the Real Property and/or disposal elsewhere, if any, of Hazardous Materials generated on or from the Real Property is currently, and at all times has been, in compliance in all material respects with all applicable Environmental Laws. Exmark has not transported or arranged for the transportation or any Hazardous Materials or other material or substances to any location which is: (i) listed on the National Priorities List, or (ii) listed for possible inclusion on the National Priorities List, in the Comprehensive Environmental Response, Compensation and Liabilities Act of 1980 ("CERCLA") or on any similar state list.</w:t>
      </w:r>
    </w:p>
    <w:p>
      <w:pPr>
        <w:spacing w:after="0" w:line="163" w:lineRule="exact"/>
        <w:rPr>
          <w:rFonts w:ascii="Courier New" w:cs="Courier New" w:eastAsia="Courier New" w:hAnsi="Courier New"/>
          <w:sz w:val="14"/>
          <w:szCs w:val="14"/>
          <w:color w:val="auto"/>
        </w:rPr>
      </w:pPr>
    </w:p>
    <w:p>
      <w:pPr>
        <w:jc w:val="both"/>
        <w:ind w:right="3679" w:firstLine="8"/>
        <w:spacing w:after="0" w:line="252"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representations and warranties provided in this SECTION 3.28 only, the term "REAL PROPERTY" shall include all real property, owned, used or occupied by Exmark currently or previously owned, used or occupied by Exmark and its predecessors.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3.29 BROKERAGE. No third party shall be entitled to receive any brokerage commissions, finder's fees, fees for financial advisory services or similar compensation in connection with the transactions contemplated by this Agreement based on any arrangement or agreement made by or on behalf of Exmark, other than fees for financial advisory services that have been paid or accrued at or prior to the Effective Date.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3.30 OPINION OF FINANCIAL ADVISOR. Exmark has received the opinion of McCarthy &amp; Co., dated June 2, 1997 and verbally updated as of October 1, 1997, to the effect that, as of such date, the Merger Consideration to be received in the Merger by Exmark's stockholders is fair to such stockholders from a financial point of view, and a signed copy of such opinion has been delivered to Toro.</w:t>
      </w: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167" w:name="page168"/>
    <w:bookmarkEnd w:id="167"/>
    <w:p>
      <w:pPr>
        <w:ind w:right="3419"/>
        <w:spacing w:after="0" w:line="252" w:lineRule="auto"/>
        <w:rPr>
          <w:sz w:val="20"/>
          <w:szCs w:val="20"/>
          <w:color w:val="auto"/>
        </w:rPr>
      </w:pPr>
      <w:r>
        <w:rPr>
          <w:rFonts w:ascii="Courier New" w:cs="Courier New" w:eastAsia="Courier New" w:hAnsi="Courier New"/>
          <w:sz w:val="14"/>
          <w:szCs w:val="14"/>
          <w:color w:val="auto"/>
        </w:rPr>
        <w:t>3.31 STOCKHOLDER AGREEMENTS. On or prior to the date hereof, Exmark has delivered to Toro executed copies of the Stockholder Agreements as described in SECTION 12.01 hereof.</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3.32 REGISTRATION STATEMENT. None of the information regarding Exmark supplied or to be supplied by Exmark to Toro for inclusion in the Registration Statement (as defined in SECTION 6.03 hereof) and any other documents regarding Exmark supplied or to be supplied by Exmark to be filed with the SEC or any regulatory authority in connection with the transactions contemplated herein will, at the respective times the Registration Statement, Prospectus-Proxy Statement (as defined in SECTION 6.03 hereof) and other documents are filed with the SEC or any regulatory authority and, in the case of the Registration Statement, when it becomes effective and, with respect to the Prospectus-Proxy Statement, when mailed, and, in the case of the Prospectus-Proxy Statement or any amendment thereof or supplement thereto, at the time of the Stockholders' Meeting and at the Effective Time, contain any untrue statement of a material fact or omit to state a material fact required to be stated therein or necessary to make the statements contained therein, in light of the circumstances under which they were made, not misleading. All documents which Exmark is responsible for filing with the SEC and any other regulatory authority in connection with the Merger will comply as to form in all material respects with the provisions of applicable law, including the applicable provisions of the Securities Act and the Exchange Act of 1934, as amended (the "EXCHANGE ACT").</w:t>
      </w:r>
    </w:p>
    <w:p>
      <w:pPr>
        <w:spacing w:after="0" w:line="17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3.33 DISCLOSURE. Neither this Agreement nor any of the exhibits hereto nor any of the documents delivered by or on behalf of Exmark pursuant to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ARTICLE VIII hereof, the Disclosure Schedule or any of the financial statements referred to in SECTION 3.08 hereof contains any untrue statement of a material fact regarding Exmark or any of the other matters dealt with in this ARTICLE III relating to Exmark or the transactions contemplated by this Agreement. This Agreement, the exhibits hereto, the documents delivered to Toro by or on behalf of Exmark pursuant to ARTICLE VIII hereof, the Disclosure Schedule and the financial statements referred to in SECTION 3.08 hereof do not omit any material fact necessary to make the statements contained herein or therein, in light of the circumstances in which they were made, not misleading, and there is no fact which has not been disclosed to Toro of which Exmark or any officer or director of Exmark is aware which materially affects adversely or could reasonably be anticipated to materially affect adversely the business, including the operating results, assets, customer relations, employee relations and business prospects, of Exmark.</w:t>
      </w: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TORO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MERGER SUBSIDIARY</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Toro and Merger Subsidiary, jointly and severally, hereby represent and warrant to Exmark that: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4.01 INCORPORATION AND CORPORATE POWER. Each of Toro and Merger Subsidiary is a corporation duly incorporated, validly existing and in good standing under the laws of the State of Delaware and the State of Nebraska, respectively, with the requisite corporate power and authority to execute and deliver this Agreement and the agreements identified in ARTICLE XII to which it is a party (the "TORO ANCILLARY AGREEMENTS") and perform its obligations hereunder and thereunder. The Merger Subsidiary has the requisite corporate power and authority to execute and deliver the Articles of Merger and perform its obligations thereunder.</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4.02 EXECUTION, DELIVERY AND PERFORMANCE; VALID AND BINDING AGREEMENT. The execution, delivery and performance of this Agreement and the Toro Ancillary Agreements by Toro and Merger Subsidiary, and the Articles of Merger by Merger Subsidiary, and the consummation of the transactions contemplated hereby and thereby have been duly and validly authorized by all requisite corporate action, and no other corporate proceedings on their part are necessary to authorize the execution, delivery or performance of this Agreement, the Articles of Merger or the Toro Ancillary Agreements. This Agreement and the Toro Ancillary Agreements have been duly executed and delivered by Toro and Merger Subsidiary and constitute the valid and binding obligation of Toro and Merger Subsidiary, enforceable in accordance with their terms, and the Articles of Merger, when executed and delivered by Merger Subsidiary, will constitute the valid and binding obligation of Merger Subsidiary, enforceable in accordance with its terms.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4.03 NO BREACH. The execution, delivery and performance of this Agreement and the Toro Ancillary Agreements by Toro and Merger Subsidiary, and the Articles of Merger by Merger Subsidiary, and the consummation by Toro and Merger Subsidiary of the transactions contemplated hereby and thereby do not conflict with or result in any breach of any of the provisions of, constitute a default under, result in a violation of, result in the creation of a right of termination or acceleration or any lien, security interest, charge or encumbrance upon any assets of Toro or Merger Subsidiary, or require any authorization, consent, approval, exemption or other action by or notice to any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169" w:name="page170"/>
    <w:bookmarkEnd w:id="169"/>
    <w:p>
      <w:pPr>
        <w:ind w:right="3419"/>
        <w:spacing w:after="0" w:line="251" w:lineRule="auto"/>
        <w:rPr>
          <w:sz w:val="20"/>
          <w:szCs w:val="20"/>
          <w:color w:val="auto"/>
        </w:rPr>
      </w:pPr>
      <w:r>
        <w:rPr>
          <w:rFonts w:ascii="Courier New" w:cs="Courier New" w:eastAsia="Courier New" w:hAnsi="Courier New"/>
          <w:sz w:val="14"/>
          <w:szCs w:val="14"/>
          <w:color w:val="auto"/>
        </w:rPr>
        <w:t>court or other governmental body, under the provisions of the articles of incorporation or bylaws of either Toro or Merger Subsidiary or any contract, indenture, mortgage, lease, loan agreement or other agreement, relationship, commitment, arrangement or instrument, written or oral, by which either Toro or Merger Subsidiary is bound or affected, or any law, statute, rule or regulation or order, judgment or decree to which either Toro or Merger Subsidiary is subject.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4.04 MERGER SUBSIDIARY. All of the outstanding capital stock of Merger Subsidiary is owned by Toro free and clear of any lien, claim or encumbrance or any agreement with respect thereto. Since the date of its incorporation, Merger Subsidiary has not engaged in any activity of any nature except in connection with or as contemplated by this Agreement, the Articles of Merger or the Toro Ancillary Agreements.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4.05 GOVERNMENTAL AUTHORITIES; CONSENTS. Except for the applicable requirements of the HSR Act, the filing of the Articles of Merger with the Secretary of State of the State of Nebraska, and any consents, waivers, approvals, orders, authorizations, registrations, declarations and filings as may be required under applicable state and federal securities laws, the rules of the New York Stock Exchange (on which the shares of Toro Common Stock are listed) and the laws of any foreign country, (a) neither Toro nor Merger Subsidiary is required to submit any notice, report or other filing with any governmental authority in connection with the execution or delivery by it of this Agreement, the Articles of Merger or the Employment Agreements (as defined in SECTION 12.03 hereof) or the consummation of the transactions contemplated hereby or thereby, and (b) no consent, approval or authorization of any governmental or regulatory authority or any other party or person is required to be obtained by either Toro or Merger Subsidiary in connection with its execution, delivery and performance of this Agreement, the Articles of Merger or the Toro Ancillary Agreements or the transactions contemplated hereby or thereby.</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4.06 BROKERAGE. Except for fees and compensation to the Geneva Companies, which are the sole responsibility of Toro, no third party shall be entitled to receive any brokerage commissions, finder's fees, fees for financial advisory services or similar compensation in connection with the transactions contemplated by this Agreement based on any arrangement or agreement made by or on behalf of Toro or Merger Subsidiary.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4.07 SEC DOCUMENTS. Toro has filed all required reports, schedules, forms, statements, and other documents with the SEC since August 31, 1993 (together with later filed documents that revise or supersede earlier filed documents, the "TORO SEC DOCUMENTS"). As of their respective dates, the Toro SEC Documents complied as to form in all material respects with the requirements of the Securities Act, or the Exchange Act, as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170" w:name="page171"/>
    <w:bookmarkEnd w:id="170"/>
    <w:p>
      <w:pPr>
        <w:ind w:right="3339"/>
        <w:spacing w:after="0" w:line="250" w:lineRule="auto"/>
        <w:rPr>
          <w:sz w:val="20"/>
          <w:szCs w:val="20"/>
          <w:color w:val="auto"/>
        </w:rPr>
      </w:pPr>
      <w:r>
        <w:rPr>
          <w:rFonts w:ascii="Courier New" w:cs="Courier New" w:eastAsia="Courier New" w:hAnsi="Courier New"/>
          <w:sz w:val="14"/>
          <w:szCs w:val="14"/>
          <w:color w:val="auto"/>
        </w:rPr>
        <w:t>the case may be, and the rules and regulations of the SEC promulgated thereunder applicable to such Toro SEC Documents. None of the Toro SEC Documents contained any untrue statement of a material fact or omitted to state a material fact required to be stated therein or necessary in order to make the statements therein, in light of the circumstances under which they were made, not misleading; provided, however, that Toro makes no representation or warranty herein with respect to any information provided by Exmark or Holiman and included in the Registration Statement or the Prospectus-Proxy Statement (as such terms are defined in SECTION 6.03 hereof). The financial statements of Toro included in the Toro SEC Documents complied as of their respective dates of filing with the SEC as to form in all material respects with applicable accounting requirements and the published rules and regulations of the SEC with respect thereto, have been prepared in accordance with generally accepted accounting principles (except, in the case of unaudited statements, as permitted by Form 10-Q of the Exchange Act) applied on a consistent basis during the periods involved (except as may be indicated in the notes thereto), and fairly present the consolidated financial position of Toro and its consolidated subsidiaries as of the dates thereof and the consolidated results of their operations and cash flows for the periods then ended (subject, in the case of unaudited statements, to normal year-end audit adjustments). Except as set forth in the Toro SEC Documents, and except for liabilities and obligations incurred in the ordinary course of business consistent with past practice, neither Toro nor any of its subsidiaries has any liabilities or obligations of any nature (whether accrued, absolute, contingent or otherwise) required by generally accepted accounting principles to be set forth in a consolidated balance sheet of Toro and its consolidated subsidiaries or in the notes thereto which, individually or in the aggregate, would have, a material adverse effect on the business or results of operations of Toro.</w:t>
      </w:r>
    </w:p>
    <w:p>
      <w:pPr>
        <w:spacing w:after="0" w:line="34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4.08</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firstLine="8"/>
        <w:spacing w:after="0" w:line="251" w:lineRule="auto"/>
        <w:tabs>
          <w:tab w:leader="none" w:pos="7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capital stock of Toro consists only of Toro Common Stock (including the preferred stock purchase right associated with each share of Toro Common Stock) and the Toro SEC Documents set forth Toro's capitalization in all material respects. All outstanding shares of Toro Common Stock have been duly authorized and validly issued and are fully paid and nonassessable. None of such shares were issued in violation of any applicable securities laws that would subject Toro to fines, penalties or rescission or civil damages that are material in amount. Toro Common Stock is registered pursuant to Section 12(b) of the Exchange Act and is listed on the New York Stock Exchange, and all Toro Common Stock issued as part of the Merger Consideration will, upon issuance, be so registered and listed.</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owns, beneficially and of record, all of the issued and outstanding shares of Merger Subsidiary Stock, which shares are validly issued, fully paid, and non-assessable, and free and clear of all liens.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171" w:name="page172"/>
    <w:bookmarkEnd w:id="171"/>
    <w:p>
      <w:pPr>
        <w:ind w:left="780" w:hanging="772"/>
        <w:spacing w:after="0"/>
        <w:tabs>
          <w:tab w:leader="none" w:pos="7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4.08 and except for</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changes since the date hereof resulting from the exercise of employee and director options outstanding on such date, (i) no shares of Toro Common Stock or other voting securities of Toro are outstanding, (ii) no securities of Toro convertible into or exchangeable for shares of capital stock or voting securities of Toro are outstanding, and (iii) no options or other rights to acquire from Toro, and no obligation of Toro to issue, any capital stock, voting securities or securities convertible into or exchangeable for capital stock or voting securities of Toro are outstanding (the items in clauses (i),</w:t>
      </w:r>
    </w:p>
    <w:p>
      <w:pPr>
        <w:spacing w:after="0" w:line="3" w:lineRule="exact"/>
        <w:rPr>
          <w:sz w:val="20"/>
          <w:szCs w:val="20"/>
          <w:color w:val="auto"/>
        </w:rPr>
      </w:pPr>
    </w:p>
    <w:p>
      <w:pPr>
        <w:ind w:right="3779" w:firstLine="8"/>
        <w:spacing w:after="0" w:line="252" w:lineRule="auto"/>
        <w:tabs>
          <w:tab w:leader="none" w:pos="43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being referred to collectively as the "TORO SECURITIES." No obligations of Toro to repurchase, redeem or otherwise acquire any Toro Securities are outstanding.</w:t>
      </w:r>
    </w:p>
    <w:p>
      <w:pPr>
        <w:spacing w:after="0" w:line="16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4.09 CURRENT PLANS OR INTENTIONS. Toro does not have any current plan or intention to take any of the following actions within the twelve-month period immediately following the Effective Date:</w:t>
      </w:r>
    </w:p>
    <w:p>
      <w:pPr>
        <w:spacing w:after="0" w:line="163" w:lineRule="exact"/>
        <w:rPr>
          <w:sz w:val="20"/>
          <w:szCs w:val="20"/>
          <w:color w:val="auto"/>
        </w:rPr>
      </w:pPr>
    </w:p>
    <w:p>
      <w:pPr>
        <w:ind w:left="780" w:hanging="772"/>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Liquidate Exmark;</w:t>
      </w:r>
    </w:p>
    <w:p>
      <w:pPr>
        <w:spacing w:after="0" w:line="172" w:lineRule="exact"/>
        <w:rPr>
          <w:rFonts w:ascii="Courier New" w:cs="Courier New" w:eastAsia="Courier New" w:hAnsi="Courier New"/>
          <w:sz w:val="14"/>
          <w:szCs w:val="14"/>
          <w:color w:val="auto"/>
        </w:rPr>
      </w:pPr>
    </w:p>
    <w:p>
      <w:pPr>
        <w:ind w:right="3419" w:firstLine="8"/>
        <w:spacing w:after="0" w:line="255"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Exmark with or into another corporation, except if Exmark is the surviving corporation; or</w:t>
      </w:r>
    </w:p>
    <w:p>
      <w:pPr>
        <w:spacing w:after="0" w:line="159"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Exmark to sell or otherwise dispose of any of its assets to any entity other than an Exmark subsidiary, with the following exceptions (i) sales or dispositions in the ordinary course of business or (ii) sales or dispositions which would not violate the "substantially all" test as defined in Rev. Proc.</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77-37, 1977-2 C.B. 568 Section 3.01.</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Except as expressly contemplated herein, it is the present intention of Toro to continue the line of business presently conducted by Exmark.</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4.10 DUE AUTHORIZATION OF STOCK ISSUED IN MERGER. All shares of Toro Common Stock issued by Toro to Exmark's stockholders as part of the Merger Consideration will, upon such issuance and delivery in accordance with the terms of this Agreement, be duly authorized, validly issued, fully paid and nonassessable and free of any preemptive rights of Toro's stockholders.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OF EXMARK</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5.01 CONDUCT OF THE BUSINESS. Exmark shall observe each term set forth in this SECTION 5.01 and agrees that, from the date hereof until the Effective Time, unless otherwise consented to by Toro in writing:</w:t>
      </w:r>
    </w:p>
    <w:p>
      <w:pPr>
        <w:spacing w:after="0" w:line="163" w:lineRule="exact"/>
        <w:rPr>
          <w:sz w:val="20"/>
          <w:szCs w:val="20"/>
          <w:color w:val="auto"/>
        </w:rPr>
      </w:pPr>
    </w:p>
    <w:p>
      <w:pPr>
        <w:ind w:right="3519" w:firstLine="8"/>
        <w:spacing w:after="0" w:line="252"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of Exmark shall be conducted only in, and Exmark shall not take any action except in, the ordinary course of Exmark's business, on an arm's-length basis and in accordance in all material respects with all applicable laws, rules and regulations and Exmark's past custom and practice;</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directly or indirectly, do or permit to occur any of the following: (i) issue or sell any additional shares of capital stock (except Exmark Class B Stock and Exmark, Class C Stock as contemplated herein and Exmark Common Stock pursuant to the exercise of previously granted stock options, warrants or purchase rights and issuances in the ordinary course of business and consistent with past practice), or any options, warrants, conversion privileges or rights of any kind to acquire any shares of, any of its capital stock (except purchase rights to purchase Exmark Class B Stock as contemplated herein),</w:t>
      </w:r>
    </w:p>
    <w:p>
      <w:pPr>
        <w:spacing w:after="0" w:line="3"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pledge, dispose of or encumber any of its assets, except in the ordinary course of business; (iii) amend or propose to amend its articles of incorporation or bylaws (except to provide for the creation of Exmark Class B Stock and Exmark Class C Stock as contemplated herein); (iv) split, combine or reclassify any outstanding shares of capital stock, or declare, set aside or pay any dividend or other distribution payable in cash, stock, property or otherwise with respect to shares of capital stock (other than the one-time dividend expressly contemplated in SECTION 3.11 hereof); (v) redeem, purchase or acquire or offer to acquire any shares of capital stock or other securities (except Outstanding Purchase Rights); (vi) acquire (by merger, exchange, consolidation, acquisition of stock or assets or otherwise) any corporation, partnership, joint venture or other business organization or division or material assets thereof other than The Holiman Co., Inc., a Pennsylvania Corporation ("HOLIMAN"), as contemplated herein; (vii) incur any indebtedness for borrowed money or issue any debt securities except the borrowing of working capital in the ordinary course of business and consistent with past practice and the borrowing of money for facility expansion, the upgrading of computer and paint systems, telephone system, production equipment and tooling, in accordance with the capital spending plan previously provided to Toro; (viii) accelerate or defer the payment of undisputed accounts payable or other accrued expenses owed to trade creditors or other third parties having business relationships with Exmark other than in the ordinary course of business and consistent with past practice; (ix) accelerate or defer, beyond the normal collection cycle, or defer collection of manufacturers' rebates, promotional allowances and other accounts receivable; (x) enter into or propose to enter into, or modify or propose to modify, any Lease or exercise or waive any option, or consent</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782" w:right="1440" w:bottom="1440" w:gutter="0" w:footer="0" w:header="0"/>
        </w:sectPr>
      </w:pPr>
    </w:p>
    <w:bookmarkStart w:id="173" w:name="page174"/>
    <w:bookmarkEnd w:id="173"/>
    <w:p>
      <w:pPr>
        <w:ind w:right="3339"/>
        <w:spacing w:after="0" w:line="250" w:lineRule="auto"/>
        <w:rPr>
          <w:sz w:val="20"/>
          <w:szCs w:val="20"/>
          <w:color w:val="auto"/>
        </w:rPr>
      </w:pPr>
      <w:r>
        <w:rPr>
          <w:rFonts w:ascii="Courier New" w:cs="Courier New" w:eastAsia="Courier New" w:hAnsi="Courier New"/>
          <w:sz w:val="14"/>
          <w:szCs w:val="14"/>
          <w:color w:val="auto"/>
        </w:rPr>
        <w:t>to any modification, act or omission by any landlord requiring tenant's consent under any Lease; (xi) enter into or propose to enter into or modify or propose to modify any agreement, arrangement or understanding with respect to any of the matters set forth in this SECTION 5.01(b); (xii) purchase inventories or supplies for its business other than in the ordinary course of business, except for accelerated purchases to accommodate production schedules for "Exmark Cross-Branded Products" as defined in Exhibit 2.01(a); (xiii) engage in any "field loading" inventory plan (E.G., Exmark will not provide sales or other incentives to its distributors to encourage them to order Exmark's products in order to artificially inflate or accelerate Exmark's sales of such products, except those incentives consistent with past practice); (xiv) sell, lease, license or otherwise dispose of any assets or properties, other than in the ordinary course of business; (xv) accelerate or defer the construction of improvements at any of the locations of its business (except for the expansion of Exmark's facility in Beatrice, Nebraska, consistent with plans previously disclosed to Toro); or (xvi) accelerate or defer the purchase of fixtures, equipment, leasehold improvements, vehicles, other items of machinery and equipment and other capital expenditures (except for the upgrading of computer and paint systems, telephone system, production equipment and tooling, in accordance with the capital spending plan previously provided to Toro);</w:t>
      </w:r>
    </w:p>
    <w:p>
      <w:pPr>
        <w:spacing w:after="0" w:line="174" w:lineRule="exact"/>
        <w:rPr>
          <w:sz w:val="20"/>
          <w:szCs w:val="20"/>
          <w:color w:val="auto"/>
        </w:rPr>
      </w:pPr>
    </w:p>
    <w:p>
      <w:pPr>
        <w:ind w:right="3599" w:firstLine="8"/>
        <w:spacing w:after="0" w:line="250"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shall not, directly or indirectly, (i) enter into or modify any employment, severance or similar agreements or arrangements with, or grant any bonuses, salary increases, severance or termination pay to, any officers or directors or consultants; or</w:t>
      </w:r>
    </w:p>
    <w:p>
      <w:pPr>
        <w:spacing w:after="0" w:line="1" w:lineRule="exact"/>
        <w:rPr>
          <w:rFonts w:ascii="Courier New" w:cs="Courier New" w:eastAsia="Courier New" w:hAnsi="Courier New"/>
          <w:sz w:val="14"/>
          <w:szCs w:val="14"/>
          <w:color w:val="auto"/>
        </w:rPr>
      </w:pPr>
    </w:p>
    <w:p>
      <w:pPr>
        <w:ind w:right="3519" w:firstLine="8"/>
        <w:spacing w:after="0" w:line="252" w:lineRule="auto"/>
        <w:tabs>
          <w:tab w:leader="none" w:pos="43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employees, officers or consultants who earn in excess of $45,000 per year, take any action with respect to the grant of any bonuses, salary increases, severance or termination pay or with respect to any increase of benefits payable in effect on the date hereof;</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shall not adopt or amend any bonus, profit sharing, compensation, stock option, pension, retirement, deferred compensation, employment or other employee benefit plan, trust, fund or group arrangement for the benefit or welfare of any employees or any bonus, profit sharing, compensation, stock option, pension, retirement, deferred compensation, employment or other employee benefit plan, agreement, trust, fund or arrangements for the benefit or welfare of any director;</w:t>
      </w:r>
    </w:p>
    <w:p>
      <w:pPr>
        <w:spacing w:after="0" w:line="164"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cancel or terminate its current insurance policies or cause any of the coverage thereunder to lapse, unless simultaneously with such termination, cancellation or lapse, replacement policies providing coverage equal to or greater than the coverage under the canceled, terminated or lapsed policies for substantially similar premiums are in full force and effect;</w:t>
      </w:r>
    </w:p>
    <w:p>
      <w:pPr>
        <w:spacing w:after="0" w:line="200" w:lineRule="exact"/>
        <w:rPr>
          <w:sz w:val="20"/>
          <w:szCs w:val="20"/>
          <w:color w:val="auto"/>
        </w:rPr>
      </w:pPr>
    </w:p>
    <w:p>
      <w:pPr>
        <w:spacing w:after="0" w:line="29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174" w:name="page175"/>
    <w:bookmarkEnd w:id="174"/>
    <w:p>
      <w:pPr>
        <w:ind w:left="-8" w:right="3519" w:firstLine="8"/>
        <w:spacing w:after="0" w:line="250" w:lineRule="auto"/>
        <w:tabs>
          <w:tab w:leader="none" w:pos="76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(i) use its best efforts to preserve intact its business organization and goodwill, keep available the services of its officers and employees as a group and maintain satisfactory relationships with suppliers, distributors, customers and others with which it has business relationships;</w:t>
      </w:r>
    </w:p>
    <w:p>
      <w:pPr>
        <w:spacing w:after="0" w:line="1" w:lineRule="exact"/>
        <w:rPr>
          <w:rFonts w:ascii="Courier New" w:cs="Courier New" w:eastAsia="Courier New" w:hAnsi="Courier New"/>
          <w:sz w:val="14"/>
          <w:szCs w:val="14"/>
          <w:color w:val="auto"/>
        </w:rPr>
      </w:pPr>
    </w:p>
    <w:p>
      <w:pPr>
        <w:ind w:left="-8" w:right="3779" w:firstLine="8"/>
        <w:spacing w:after="0" w:line="250" w:lineRule="auto"/>
        <w:tabs>
          <w:tab w:leader="none" w:pos="42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confer on a regular and frequent basis with representatives of Toro to report operational matters and the general status of ongoing operations;</w:t>
      </w:r>
    </w:p>
    <w:p>
      <w:pPr>
        <w:ind w:left="-8" w:right="3339" w:firstLine="8"/>
        <w:spacing w:after="0" w:line="251" w:lineRule="auto"/>
        <w:tabs>
          <w:tab w:leader="none" w:pos="50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intentionally take any action which would render, or which reasonably may be expected to render, any representation or warranty made by it in this Agreement untrue at the Effective Time; (iv) notify Toro of any emergency or other change in the normal course of its business or in the operation of its properties and of any governmental or third party complaints, investigations or hearings (or communications indicating that the same may be contemplated) if such emergency, change, complaint, investigation or hearing would be material, individually or in the aggregate, to the business, operations or financial condition of Exmark or to Exmark's, Toro's or Merger Subsidiary's ability to consummate the transactions contemplated by this Agreement; and (v) promptly notify Toro in writing if Exmark shall discover that any representation or warranty made by it in this Agreement was when made, or has subsequently become, untrue in any respect;</w:t>
      </w:r>
    </w:p>
    <w:p>
      <w:pPr>
        <w:spacing w:after="0" w:line="328" w:lineRule="exact"/>
        <w:rPr>
          <w:rFonts w:ascii="Courier New" w:cs="Courier New" w:eastAsia="Courier New" w:hAnsi="Courier New"/>
          <w:sz w:val="14"/>
          <w:szCs w:val="14"/>
          <w:color w:val="auto"/>
        </w:rPr>
      </w:pPr>
    </w:p>
    <w:p>
      <w:pPr>
        <w:ind w:left="-8" w:right="3339" w:firstLine="8"/>
        <w:spacing w:after="0" w:line="250" w:lineRule="auto"/>
        <w:tabs>
          <w:tab w:leader="none" w:pos="76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Exmark shall (i) file any Tax returns, elections or information statements with respect to any liabilities for Taxes of Exmark or other matters relating to Taxes of Exmark which pursuant to applicable law must be filed (after taking into account any properly applicable extensions of the due date of such returns, elections or information statements) prior to the Closing Date; provided, however, that Exmark shall not file any such Tax returns, or other returns, elections, claims for refund or information statements with respect to any liabilities for Taxes (other than federal, state or local sales, use, withholding or employment tax returns or statements) for any Tax period, or consent to any adjustment or otherwise compromise or settle any matters with respect to Taxes, without prior consultation with and consent of Toro (which consent shall not be unreasonably withheld); (ii) promptly upon filing provide copies of any such Tax returns, elections or information statements to Toro; (iii) make or rescind any such Tax elections or other discretionary positions with respect to Taxes taken by or affecting Exmark only upon prior consultation with and consent of Toro (which consent shall not be unreasonably withheld); (iv) not amend any Return; (v) not change the rate or policy for any accrual or reserve for Taxes or otherwise accrue therefor in a manner inconsistent with its practices for previous periods as reflected in the Latest Financial Statements; and (vi) not change any of its methods of reporting income or deductions for federal income Tax purposes from those employed in the preparation of the federal income Tax returns for the taxable year ended August 31, 1996, except for changes required by changes in law; and</w:t>
      </w:r>
    </w:p>
    <w:p>
      <w:pPr>
        <w:spacing w:after="0" w:line="341" w:lineRule="exact"/>
        <w:rPr>
          <w:rFonts w:ascii="Courier New" w:cs="Courier New" w:eastAsia="Courier New" w:hAnsi="Courier New"/>
          <w:sz w:val="14"/>
          <w:szCs w:val="14"/>
          <w:color w:val="auto"/>
        </w:rPr>
      </w:pPr>
    </w:p>
    <w:p>
      <w:pPr>
        <w:ind w:left="-8" w:right="3339" w:firstLine="8"/>
        <w:spacing w:after="0" w:line="252" w:lineRule="auto"/>
        <w:tabs>
          <w:tab w:leader="none" w:pos="76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perform any act referenced by (or omit to perform any act which omission is referenced by) the terms of SECTION 3.11, except as stated in the Disclosure Schedule under the caption referencing such Section.</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1"/>
          </w:cols>
          <w:pgMar w:left="228" w:top="616" w:right="1440" w:bottom="1440" w:gutter="0" w:footer="0" w:header="0"/>
        </w:sectPr>
      </w:pPr>
    </w:p>
    <w:bookmarkStart w:id="175" w:name="page176"/>
    <w:bookmarkEnd w:id="175"/>
    <w:p>
      <w:pPr>
        <w:ind w:right="3339"/>
        <w:spacing w:after="0" w:line="251" w:lineRule="auto"/>
        <w:rPr>
          <w:sz w:val="20"/>
          <w:szCs w:val="20"/>
          <w:color w:val="auto"/>
        </w:rPr>
      </w:pPr>
      <w:r>
        <w:rPr>
          <w:rFonts w:ascii="Courier New" w:cs="Courier New" w:eastAsia="Courier New" w:hAnsi="Courier New"/>
          <w:sz w:val="14"/>
          <w:szCs w:val="14"/>
          <w:color w:val="auto"/>
        </w:rPr>
        <w:t>5.02 ACCESS TO BOOKS AND RECORDS. Between the date hereof and the Effective Time, Exmark shall afford to Toro and its authorized representatives full access at all reasonable times and upon reasonable notice to the offices, properties, books, records, officers, employees and other items of Exmark, and the work papers of Grant Thornton LLP, Exmark's independent accountants (the "EXMARK'S ACCOUNTANT"), relating to work done by Exmark's Accountant and otherwise provide such assistance as is reasonably requested by Toro in order that Toro may have a full opportunity to make such investigation and evaluation as it shall reasonably desire to make of the business and affairs of Exmark. In addition, Exmark, and its officers and directors shall cooperate fully (including providing introductions, where necessary) with Toro and to enable Toro to contact such third parties, including customers, prospective customers, specifying agencies, vendors or suppliers of Exmark as Toro deems reasonably necessary to complete its due diligence.</w:t>
      </w:r>
    </w:p>
    <w:p>
      <w:pPr>
        <w:spacing w:after="0" w:line="32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5.03 STOCKHOLDERS' MEETING. Exmark shall cause to be duly called and held, not later than 40 days following the effective date of the Registration Statement, a meeting of its stockholders (the "STOCKHOLDERS' MEETING") and will direct that this Agreement, the Merger, the New Articles of Incorporation and the Signing Bonuses be submitted to a vote at such meeting. Exmark will</w:t>
      </w:r>
    </w:p>
    <w:p>
      <w:pPr>
        <w:spacing w:after="0" w:line="2" w:lineRule="exact"/>
        <w:rPr>
          <w:sz w:val="20"/>
          <w:szCs w:val="20"/>
          <w:color w:val="auto"/>
        </w:rPr>
      </w:pPr>
    </w:p>
    <w:p>
      <w:pPr>
        <w:ind w:right="3339" w:firstLine="8"/>
        <w:spacing w:after="0" w:line="251" w:lineRule="auto"/>
        <w:tabs>
          <w:tab w:leader="none" w:pos="34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proper notice of such meeting to be given to its stockholders in compliance with the Nebraska Act, other applicable laws and regulations and Exmark's articles of incorporation and bylaws; (b) recommend by the affirmative vote of all members of its board of directors that Exmark's stockholders vote in favor of approval of this Agreement, the New Articles of Incorporation and the Signing Bonuses; and (c) use its best efforts to solicit from its stockholders proxies in favor thereof (subsections (b) and (c) hereof shall be subject, however, to the fiduciary duties of the Exmark board of directors as described in SECTION 5.08).</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5.04 REGULATORY FILINGS. Exmark shall make, or cause to be made all filings and submissions under the HSR Act and any other laws or regulations applicable to Exmark for the consummation of the transactions contemplated herein. Exmark will coordinate and cooperate with Toro in exchanging such information, will not make any such filing without providing to Toro a final copy thereof for its review and consent at least two full business days in advance of the proposed filing date and will provide such reasonable assistance as Toro may request in connection with all of the foregoing.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5.05 REGISTRATION STATEMENT. Exmark will furnish, or cause to be furnished, to Toro all the information concerning Exmark and its subsidiaries required for inclusion in the Registration Statement and the Prospectus-Proxy Statement or any statement or application made by Toro to any governmental body in connection with the transactions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176" w:name="page177"/>
    <w:bookmarkEnd w:id="176"/>
    <w:p>
      <w:pPr>
        <w:ind w:right="3419"/>
        <w:spacing w:after="0" w:line="252" w:lineRule="auto"/>
        <w:rPr>
          <w:sz w:val="20"/>
          <w:szCs w:val="20"/>
          <w:color w:val="auto"/>
        </w:rPr>
      </w:pPr>
      <w:r>
        <w:rPr>
          <w:rFonts w:ascii="Courier New" w:cs="Courier New" w:eastAsia="Courier New" w:hAnsi="Courier New"/>
          <w:sz w:val="14"/>
          <w:szCs w:val="14"/>
          <w:color w:val="auto"/>
        </w:rPr>
        <w:t>contemplated by this Agreement. Any financial statement for any fiscal year provided under this paragraph must include the audit opinion and the consent of Exmark's Accountant, to use such opinion in such Registration Statement.</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5.06 FINANCIAL STATEMENTS. Exmark shall have prepared and delivered to Toro all quarterly and monthly financial statements for any periods ending at least 15 days prior to the Effective Time.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5.07 CONDITIONS. Exmark shall take all commercially reasonable actions necessary or desirable to cause the conditions set forth in SECTION 8.01 to be satisfied and to consummate the transactions contemplated herein as soon as reasonably possible after the satisfaction thereof. Without limiting the generality of the foregoing, Exmark shall obtain, prior to the Effective Time, all consents or waivers to the transactions contemplated herein that may be required under any of the agreements or commitments of Exmark that are material to Exmark's business.</w:t>
      </w:r>
    </w:p>
    <w:p>
      <w:pPr>
        <w:spacing w:after="0" w:line="33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5.08 NO NEGOTIATIONS. Except as consented to in writing by Toro, from the date hereof until the Effective Time, Exmark shall not, directly or indirectly, through any officer, director, agent, affiliate, employee or otherwise, solicit, initiate or encourage submission of any proposal or offer from any person, group or entity relating to any acquisition of the capital stock or business of Exmark, or all or a material portion of the assets of Exmark, or other similar transaction or business combination involving the business of Exmark, and shall not participate in any negotiations or discussions regarding or furnish to any other person any information with respect to, or otherwise cooperate in any way with, or assist or participate in, facilitate or encourage any effort or attempt by any other person or entity to do or seek such acquisition or other</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transaction. Exmark agrees that it shall take the necessary steps to promptly inform any such third party of the obligations undertaken in this Agreement and this SECTION 5.08. Exmark agrees that it immediately shall inform Toro in writing of any such inquiry and shall keep Toro informed, on a current basis, of the status and terms of any such proposals or offers and the status of any such discussions or negotiations.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the foregoing, nothing contained in this Agreement shall prevent Exmark or its board of directors from engaging in discussions or negotiations with, or providing any information to, a third party in response to an unsolicited bona fide acquisition proposal from such person, or from recommending an unsolicited bona fide acquisition proposal to the stockholders of Exmark, if and to the extent that the board of directors of Exmark:</w:t>
      </w:r>
    </w:p>
    <w:p>
      <w:pPr>
        <w:spacing w:after="0" w:line="3" w:lineRule="exact"/>
        <w:rPr>
          <w:sz w:val="20"/>
          <w:szCs w:val="20"/>
          <w:color w:val="auto"/>
        </w:rPr>
      </w:pPr>
    </w:p>
    <w:p>
      <w:pPr>
        <w:ind w:right="3679" w:firstLine="8"/>
        <w:spacing w:after="0" w:line="251" w:lineRule="auto"/>
        <w:tabs>
          <w:tab w:leader="none" w:pos="34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concludes in good faith (after consultation with its financial and legal advisors) that such acquisition proposal is reasonably capable of being completed, taking into account all legal, financial, regulatory and other aspects of the proposal, including the identity of the person making the proposal, and would, if consummated, result in a</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177" w:name="page178"/>
    <w:bookmarkEnd w:id="177"/>
    <w:p>
      <w:pPr>
        <w:ind w:right="3339"/>
        <w:spacing w:after="0" w:line="251" w:lineRule="auto"/>
        <w:rPr>
          <w:sz w:val="20"/>
          <w:szCs w:val="20"/>
          <w:color w:val="auto"/>
        </w:rPr>
      </w:pPr>
      <w:r>
        <w:rPr>
          <w:rFonts w:ascii="Courier New" w:cs="Courier New" w:eastAsia="Courier New" w:hAnsi="Courier New"/>
          <w:sz w:val="14"/>
          <w:szCs w:val="14"/>
          <w:color w:val="auto"/>
        </w:rPr>
        <w:t>transaction more favorable to Exmark's stockholders from a financial and strategic point of view than the Merger (such more favorable acquisition proposal being referred to herein as "Superior Proposal"); and (b) is advised by its legal counsel that such action is necessary in order for Exmark's board of directors to satisfy its fiduciary duties under Nebraska law; provided, however, that Exmark's legal counsel provide reasonably satisfactory written evidence of such advice to Toro prior to Exmark's board of directors taking any such action. Prior to providing information or data to any third party or entering into discussions or negotiations with any third party, Exmark shall receive from such third party an executed confidentiality agreement. Exmark shall notify Toro immediately of any inquiries, proposals or offers, including the name of such third party and the terms and conditions of any proposals or offers.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5.09 EXERCISE OR CANCELLATION OF OUTSTANDING PURCHASE RIGHTS. At the time of the distribution of the Prospectus-Proxy Statement, Exmark will distribute the Prospectus-Proxy Statement to each holder of an Outstanding Purchase Right. The Prospectus-Proxy Statement will indicate that (a) each holder of an Outstanding Purchase Right has the right to exercise such Outstanding Purchase Right to the extent of the full number of shares subject thereto until the Effective Time, and (b) it is a condition to Toro's obligation to consummate the Merger that all Outstanding Purchase Rights be canceled prior to the Effective Time.</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5.10 EXMARK CLASS B AND CLASS C STOCK. Prior to the Effective Date, Exmark shall amend and restate its articles of incorporation to read as provided in EXHIBIT 5.10 to this Agreement in order to authorize the issuance of Exmark Class B Stock and Exmark Class C Stock (such amended and restated articles of incorporation are referred to herein as the "NEW ARTICLES OF INCORPORATION") and shall issue options or warrants to purchase Exmark Class B Stock or "when issued" certificates therefor, the issuance of such Class B Stock to be contingent upon approval of the New Articles of Incorporation by Exmark's stockholders (the "CONTINGENT CLASS B RIGHTS"). Promptly after stockholder approval of the New Articles of Incorporation, Exmark's board of directors shall cause there to be filed articles of amendment reflecting the New Articles of Incorporation with the Secretary of State of the State of Nebraska and take such other action as is necessary to give effect to the New Articles of Incorporation. On or prior to the Effective Time, all such Contingent Class B Rights shall have been exchanged for shares of Exmark Class B Stock by such persons or shall have been canceled. The Exmark Class C Stock shall have been issued solely as consideration for the acquisition of Holiman as contemplated herein.</w:t>
      </w:r>
    </w:p>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NOTIFICATION; AMENDMENT TO DISCLOSURE SCHEDULE.</w:t>
      </w:r>
    </w:p>
    <w:p>
      <w:pPr>
        <w:spacing w:after="0" w:line="173" w:lineRule="exact"/>
        <w:rPr>
          <w:sz w:val="20"/>
          <w:szCs w:val="20"/>
          <w:color w:val="auto"/>
        </w:rPr>
      </w:pPr>
    </w:p>
    <w:p>
      <w:pPr>
        <w:ind w:right="3939" w:firstLine="8"/>
        <w:spacing w:after="0" w:line="252"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give prompt notice to Toro of (i) the occurrence or failure to occur of any event or the discovery of any information, which occurrence, failure or discovery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178" w:name="page179"/>
    <w:bookmarkEnd w:id="178"/>
    <w:p>
      <w:pPr>
        <w:ind w:right="3339"/>
        <w:spacing w:after="0" w:line="251" w:lineRule="auto"/>
        <w:rPr>
          <w:sz w:val="20"/>
          <w:szCs w:val="20"/>
          <w:color w:val="auto"/>
        </w:rPr>
      </w:pPr>
      <w:r>
        <w:rPr>
          <w:rFonts w:ascii="Courier New" w:cs="Courier New" w:eastAsia="Courier New" w:hAnsi="Courier New"/>
          <w:sz w:val="14"/>
          <w:szCs w:val="14"/>
          <w:color w:val="auto"/>
        </w:rPr>
        <w:t>would be likely to cause any representation or warranty by Exmark contained in this Agreement to be untrue, inaccurate or incomplete after the date hereof in any material respect or, in the case of any representation or warranty given as of a specific date, would be likely to cause any such representation or warranty on its part contained in this Agreement to be untrue, inaccurate or incomplete in any material respect as of such specific date, and (ii) any material failure of Exmark to comply with or satisfy any covenant or agreement to be complied with or satisfied by it hereunder.</w:t>
      </w:r>
    </w:p>
    <w:p>
      <w:pPr>
        <w:spacing w:after="0" w:line="164" w:lineRule="exact"/>
        <w:rPr>
          <w:sz w:val="20"/>
          <w:szCs w:val="20"/>
          <w:color w:val="auto"/>
        </w:rPr>
      </w:pPr>
    </w:p>
    <w:p>
      <w:pPr>
        <w:ind w:right="3339" w:firstLine="8"/>
        <w:spacing w:after="0" w:line="250"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after the date hereof and prior to the Effective Time, Exmark shall promptly supplement or amend any of its representations and warranties which apply to the period after the date hereof by delivering an updated Disclosure Schedule to Toro pursuant to this SECTION 5.11(b) with respect to any matter hereafter arising which would render any such representation or warranty after the date of this Agreement materially untrue, inaccurate or incomplete as a result of such matter. Such supplement or amendment to Exmark's representations and warranties contained in an updated Disclosure Schedule delivered pursuant to this SECTION 5.11(b) shall be deemed to have modified the representations and warranties of Exmark, and no such supplement or amendment, or the information contained in such updated Disclosure Schedule, shall constitute a breach of a representation or warranty of Exmark; provided that no such supplement or amendment may cure any breach of a covenant or agreement of Exmark under ARTICLE 5. Within 15 days after receipt of such supplement or amendment, Toro may terminate this Agreement pursuant to</w:t>
      </w:r>
    </w:p>
    <w:p>
      <w:pPr>
        <w:spacing w:after="0" w:line="6"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9.01(k) hereof if the information in such supplement or amendment together with the information in any and all of the supplements or amendments previously provided by Exmark indicate that Exmark has suffered or is reasonably likely to suffer a material adverse change (as described in SECTION 9.01(k).</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5.12 EMPLOYEE AGREEMENTS. Prior to the Effective Date, Exmark shall use its best efforts (including the payment of nominal consideration to such persons) to obtain executed agreements from its employees (other than the persons described in SECTION 12.03 hereof), contract workers, consultants and other agents of Exmark sufficient to vest in Exmark ownership or the right to use the Owned Intellectual Property Rights. Such agreements shall be in a form satisfactory to Toro.</w:t>
      </w:r>
    </w:p>
    <w:p>
      <w:pPr>
        <w:spacing w:after="0" w:line="16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OF TORO AND MERGER SUBSIDIARY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and Merger Subsidiary covenant and agree with Exmark as follows: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6.01 REGULATORY FILINGS. Toro or Merger Subsidiary shall, as promptly as practicable after the execution of the Agreement, make or cause to be made all filings and submissions under the HSR Act and any other laws or regulations applicable to Toro and Merger Subsidiary for the consummation of the transactions contemplated herein. Toro and Merger Subsidiary will coordinate and cooperate with Exmark in exchanging such information, will not make any such filing without providing to Exmark a final copy thereof for its review and consent at least two full business days in advance of the proposed filing and will provide such reasonable assistance as Exmark may request in connection with all of the foregoing.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6.02 CONDITIONS. Toro or Merger Subsidiary shall take all commercially reasonable actions necessary or desirable to cause the conditions set forth in SECTION 8.02 to be satisfied and to consummate the transactions contemplated herein as soon as reasonably possible after the satisfaction thereof (but in any event within three business days after such date).</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6.03 REGISTRATION STATEMENT. As promptly as practicable after the execution of this Agreement, Toro will file with the SEC a registration statement on Form S-4 under the Securities Act relating to the Merger Consideration, including the Contingent Payment Rights, if necessary, and the shares of Toro Common Stock which may be delivered to Exmark's stockholders pursuant to such rights (the "REGISTRATION STATEMENT"), and any other applicable documents, which will include a prospectus and proxy statement (as amended or supplemented by any amendment or supplement filed by Toro, the "PROSPECTUS-PROXY STATEMENT"), and will use its best efforts to cause the Registration Statement to become effective. At the time the Registration Statement becomes effective, the Registration Statement shall comply in all material respects with the provisions of the Securities Act, and shall not contain any untrue statement of a material fact or omit to state a material fact required to be stated therein or necessary to make the statements therein not false or misleading, and at the time of mailing thereof to Exmark's stockholders, at the time of the Stockholders' Meeting referred to in SECTION 5.03 hereof and at the Effective Time, the Prospectus-Proxy Statement shall not contain any untrue statement of a material fact or omit to state any material fact necessary to make the statements therein, in light of the circumstances under which they were made, not misleading; PROVIDED, HOWEVER, that none of the provisions of this</w:t>
      </w:r>
    </w:p>
    <w:p>
      <w:pPr>
        <w:spacing w:after="0" w:line="17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Section shall apply to statements in or omissions from the Registration Statement or the Prospectus-Proxy Statement made in reliance upon and in</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180" w:name="page181"/>
    <w:bookmarkEnd w:id="180"/>
    <w:p>
      <w:pPr>
        <w:ind w:right="3519"/>
        <w:spacing w:after="0" w:line="251" w:lineRule="auto"/>
        <w:rPr>
          <w:sz w:val="20"/>
          <w:szCs w:val="20"/>
          <w:color w:val="auto"/>
        </w:rPr>
      </w:pPr>
      <w:r>
        <w:rPr>
          <w:rFonts w:ascii="Courier New" w:cs="Courier New" w:eastAsia="Courier New" w:hAnsi="Courier New"/>
          <w:sz w:val="14"/>
          <w:szCs w:val="14"/>
          <w:color w:val="auto"/>
        </w:rPr>
        <w:t>conformity with information furnished by Exmark for use in the Registration Statement or the Prospectus-Proxy Statement. Toro shall bear the costs of SEC filing fees with respect to the Registration Statement, the costs of printing the Prospectus-Proxy Statement and the costs of qualifying the shares of Toro Common Stock under state securities laws as necessary.</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6.04 STOCK EXCHANGE LISTINGS. Prior to issuance, Toro will file all documents required to be filed to list the Toro Common Stock to be issued as part of the Initial Payment and the Contingent Payments on the New York Stock Exchange and use its best efforts to effect said listings.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6.05 DUE AUTHORIZATION OF STOCK ISSUED IN MERGER. Any shares of Toro Common Stock issued by Toro to Exmark's stockholders pursuant to the Initial Payment and the Contingent Payments will, upon such issuance and delivery in accordance with the terms of this Agreement, be duly authorized, validly issued, fully paid and nonassessable and free of any preemptive rights of Toro's stockholders.</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6.06 BLUE SKY APPROVALS. Toro will file all documents required to obtain, prior to the Effective Time, all necessary approvals under state securities laws, if any, required to carry out the transactions contemplated by this Agreement, will pay all expenses incident thereto and will use its best efforts to obtain such approvals.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OF EXMARK AFTER THE ACQUISITION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7.01 STAND-ALONE STATUS. During the period from the Effective Time until the earlier of the Toro Control Date (as defined in SECTION 7.03 hereof) or October 31, 1999 (the "CONTINGENT PAYMENT PERIOD") Toro, Merger Subsidiary and Exmark agree as follows, except with the prior consent of the Synergies Council (all references in this SECTION 7.01 to Exmark shall be deemed to refer to the Surviving Corporation after the Effective Time):</w:t>
      </w:r>
    </w:p>
    <w:p>
      <w:pPr>
        <w:spacing w:after="0" w:line="164" w:lineRule="exact"/>
        <w:rPr>
          <w:sz w:val="20"/>
          <w:szCs w:val="20"/>
          <w:color w:val="auto"/>
        </w:rPr>
      </w:pPr>
    </w:p>
    <w:p>
      <w:pPr>
        <w:ind w:left="780" w:hanging="772"/>
        <w:spacing w:after="0"/>
        <w:tabs>
          <w:tab w:leader="none" w:pos="7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continue its operations in Beatrice, Nebraska.</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herein, Exmark shall operate as a stand-alone</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entity and the day-to-day management of Exmark will be overseen by the Surviving Corporation's officers,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181" w:name="page182"/>
    <w:bookmarkEnd w:id="181"/>
    <w:p>
      <w:pPr>
        <w:ind w:right="3339"/>
        <w:spacing w:after="0" w:line="251" w:lineRule="auto"/>
        <w:rPr>
          <w:sz w:val="20"/>
          <w:szCs w:val="20"/>
          <w:color w:val="auto"/>
        </w:rPr>
      </w:pPr>
      <w:r>
        <w:rPr>
          <w:rFonts w:ascii="Courier New" w:cs="Courier New" w:eastAsia="Courier New" w:hAnsi="Courier New"/>
          <w:sz w:val="14"/>
          <w:szCs w:val="14"/>
          <w:color w:val="auto"/>
        </w:rPr>
        <w:t>subject to the direction of its board of directors as described in SECTION 1.04. Exmark's management and employees shall participate in Toro corporate functions, activities and meetings, and shall prepare reports, maintain records and cooperate with Toro management to the same general extent as management and employees of Toro's other operating units. Further, nothing herein shall be deemed to abrogate the duty of loyalty of such persons to Toro.</w:t>
      </w:r>
    </w:p>
    <w:p>
      <w:pPr>
        <w:spacing w:after="0" w:line="164" w:lineRule="exact"/>
        <w:rPr>
          <w:sz w:val="20"/>
          <w:szCs w:val="20"/>
          <w:color w:val="auto"/>
        </w:rPr>
      </w:pPr>
    </w:p>
    <w:p>
      <w:pPr>
        <w:ind w:right="3519" w:firstLine="8"/>
        <w:spacing w:after="0" w:line="252"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administrative, engineering, finance and sales and marketing staffs and functions shall remain separate from Toro; however, Exmark's management shall cause strategic planning and product management to be coordinated jointly.</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sell its products in countries in the European Community or in any other countries except where it sold its wholegoods during the fiscal year ending August 31, 1997; provided, however, Exmark may sell replacement parts and accessories in any country in which it sold its products prior to the Effective Time in order to service existing accounts.</w:t>
      </w:r>
    </w:p>
    <w:p>
      <w:pPr>
        <w:spacing w:after="0" w:line="164"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and Toro shall continue to have distinct and separate product lines with separate channels to the market.</w:t>
      </w:r>
    </w:p>
    <w:p>
      <w:pPr>
        <w:spacing w:after="0" w:line="159"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Cross-branding of differentiated versions of both companies' products during the Contingent Payment Period is an objective desired by both Toro and Exmark, and cross-branding shall occur as promptly as reasonably practical after the Effective Time.</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Toro shall work together in good faith (particularly with respect to sharing engineering resources) in order to bring to market as promptly as reasonably practicable differentiated Toro-branded products that are manufactured by Exmark and based on Exmark's "Lazer," "Metro," "Lazer HP" and such other products of Toro as Toro may determine, with the advice of Exmark's management and with due regard for Exmark's technical resource constraints. It is the current intent of the parties that such differentiation will include distinctive Toro features such as Toro cutter decks and Toro "T-handles."</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continue to maintain its current executive compensation structure, including its incentive bonus program for executives and employees, and may make bonus payments, consistent with past practice, to such persons under such program; provided, however, that all such payments have been and continue to be accrued monthly during each fiscal year and that Exmark provide the amount and the name of the recipient of such bonus to Toro 15 days prior to payment thereof. No bonuses shall be accrued for or paid</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182" w:name="page183"/>
    <w:bookmarkEnd w:id="182"/>
    <w:p>
      <w:pPr>
        <w:ind w:right="3419"/>
        <w:spacing w:after="0" w:line="252" w:lineRule="auto"/>
        <w:rPr>
          <w:sz w:val="20"/>
          <w:szCs w:val="20"/>
          <w:color w:val="auto"/>
        </w:rPr>
      </w:pPr>
      <w:r>
        <w:rPr>
          <w:rFonts w:ascii="Courier New" w:cs="Courier New" w:eastAsia="Courier New" w:hAnsi="Courier New"/>
          <w:sz w:val="14"/>
          <w:szCs w:val="14"/>
          <w:color w:val="auto"/>
        </w:rPr>
        <w:t>to H. John Smith, Roger Smith or Ray Rickard for services performed after October 31, 1997, except as provided in their Employment Agreements, and from and after November 1, 1997, their compensation shall be as set forth in each of their respective Employment Agreements.</w:t>
      </w:r>
    </w:p>
    <w:p>
      <w:pPr>
        <w:spacing w:after="0" w:line="162" w:lineRule="exact"/>
        <w:rPr>
          <w:sz w:val="20"/>
          <w:szCs w:val="20"/>
          <w:color w:val="auto"/>
        </w:rPr>
      </w:pPr>
    </w:p>
    <w:p>
      <w:pPr>
        <w:ind w:right="3419" w:firstLine="8"/>
        <w:spacing w:after="0" w:line="251" w:lineRule="auto"/>
        <w:tabs>
          <w:tab w:leader="none" w:pos="77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 compensation, benefit and welfare Plans of Exmark (other than Exmark's 1990 Stock Option Plan and its 1992 Restricted Stock Plan) shall continue as stand-alone Plans, separate from those of Toro, except as such compensation arrangements may be modified pursuant to the Employment Agreements and SECTION 7.02 hereof and except for minor adjustments by Exmark that do not, in the aggregate, increase the rate of compensation and benefits in excess of the rate of inflation.</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engage in any "field loading" inventory plan</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(E.G., Exmark will not provide sales or other incentives to its distributors to encourage them to order Exmark products in order to artificially inflate or accelerate Exmark's sales of such products, except those in keeping with past practice).</w:t>
      </w:r>
    </w:p>
    <w:p>
      <w:pPr>
        <w:spacing w:after="0" w:line="162" w:lineRule="exact"/>
        <w:rPr>
          <w:sz w:val="20"/>
          <w:szCs w:val="20"/>
          <w:color w:val="auto"/>
        </w:rPr>
      </w:pPr>
    </w:p>
    <w:p>
      <w:pPr>
        <w:ind w:right="3339" w:firstLine="8"/>
        <w:spacing w:after="0" w:line="250"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November 1, 1997, in lieu of the sales commission paid historically by Exmark to Holiman, Exmark shall pay the compensation and reimbursable expenses of all sales personnel (excluding Roger Smith) employed by Toro, Exmark or Holiman or any of their subsidiaries, who were employed as such by Holiman immediately prior to November 1, 1997, and Exmark shall pay</w:t>
      </w:r>
    </w:p>
    <w:p>
      <w:pPr>
        <w:spacing w:after="0" w:line="2"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Roger Smith's compensation payable pursuant to his Employment Agreement, which is attached hereto as EXHIBIT 12.03(d).</w:t>
      </w:r>
    </w:p>
    <w:p>
      <w:pPr>
        <w:spacing w:after="0" w:line="15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maintain its marketing expenditures at a level at least equal to 1.20% of its gross sales in fiscal year 1998 and 1.16% of its gross sales in fiscal year 1999, and shall maintain its engineering expenditures at a level at least equal to the lesser of (i) $1,603,140 and $1,923,768 in fiscal years 1998 and 1999, respectively, and (ii) 2.4% of its gross sales for each such year. For the purpose hereof, "marketing expenditures" will include payroll, employee benefits, office expenses, travel, meals and training for marketing staff; expenses for dealer and distributor meetings sponsored by Exmark; production and development costs for media advertising and literature; cost of media space and printing of literature; promotional (cost of product or promotional material giveaways) advertising; cost of annual marketing planning sessions; customer contact programs; Internet maintenance; point of purchase materials development and production costs (net of related income); and trade show expense.</w:t>
      </w:r>
    </w:p>
    <w:p>
      <w:pPr>
        <w:spacing w:after="0" w:line="162"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Exmark's production capacity shall at any time from the Effective Time until August 31, 1998 be inadequate to meet the demands of its own dealers, other customers and Toro, Exmark will allocate to Toro available production capacity based</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183" w:name="page184"/>
    <w:bookmarkEnd w:id="183"/>
    <w:p>
      <w:pPr>
        <w:ind w:right="3339"/>
        <w:spacing w:after="0" w:line="251" w:lineRule="auto"/>
        <w:rPr>
          <w:sz w:val="20"/>
          <w:szCs w:val="20"/>
          <w:color w:val="auto"/>
        </w:rPr>
      </w:pPr>
      <w:r>
        <w:rPr>
          <w:rFonts w:ascii="Courier New" w:cs="Courier New" w:eastAsia="Courier New" w:hAnsi="Courier New"/>
          <w:sz w:val="14"/>
          <w:szCs w:val="14"/>
          <w:color w:val="auto"/>
        </w:rPr>
        <w:t>upon the ratio that Toro's then current firm commitments and planning estimates for wholegoods bears to the total of such commitments and estimates of Exmark's dealers and other customers (including Toro) during the same period. In the event that Exmark's production capacity shall at any time from September 1, 1998 until the earlier to occur of the Toro Control Date or October 31, 1999 be inadequate to meet the demands of its own dealers, other customers and Toro, Exmark will allocate to Toro available production capacity based upon a comprehensive plan to be developed by the Synergies Council. In the event no such plan is timely developed, the allocation method described above for the period from the Effective Time until August 31, 1998 shall continue to be used.</w:t>
      </w:r>
    </w:p>
    <w:p>
      <w:pPr>
        <w:spacing w:after="0" w:line="163" w:lineRule="exact"/>
        <w:rPr>
          <w:sz w:val="20"/>
          <w:szCs w:val="20"/>
          <w:color w:val="auto"/>
        </w:rPr>
      </w:pPr>
    </w:p>
    <w:p>
      <w:pPr>
        <w:ind w:right="3419" w:firstLine="8"/>
        <w:spacing w:after="0" w:line="252" w:lineRule="auto"/>
        <w:tabs>
          <w:tab w:leader="none" w:pos="77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prepare and file, subject to Toro's review and consent (which shall not unreasonably be withheld), all Returns required to be filed by it with respect to its tax year ended August 31, 1997.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SECTION 7.03 below and recognizing that the day-to-day management of the business of Exmark during the Contingent Payment Period will be overseen by Exmark's existing management, Toro may take, or cause to be taken, any act or action, either directly or through the board of directors of Exmark, to cause Exmark to comply with the covenants and agreements of Exmark set forth in this SECTION 7.01, including directing one or more members of Exmark's management to cause Exmark to comply with such covenants and agreements and, if such member or members of management do not follow such direction, then Toro may have one or more of its employees take control of such function or replace such member or members of Exmark's management. Disputes arising under this paragraph will be referred to the Synergies Council for resolution. Except in the case of actual or potential harm, which is imminent and material in nature, to the business or reputation of Toro or any of its subsidiaries, no permanent changes will be made by Toro pursuant to this paragraph while such a dispute is pending resolution.</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7.02 SYNERGIES COUNCIL. Each of Toro, Merger Subsidiary, Exmark and Surviving Corporation Covenant and agree that a committee shall be established and maintained during the Contingent Payment Period (The "SYNERGIES COUNCIL"), which shall consist of the three Stockholders' Representatives (as defined in SECTION 10.01 hereof), who will represent the interests of the former holders of Shares and three executives of Toro ("TORO'S REPRESENTATIVES"), who will represent the interests of Toro. The purpose of the Synergies Council will be to act as an inter-company management team and dispute resolution panel during the Contingent Payment Period. The Synergies Council will approve proposed actions that Toro and Exmark may want to take, but which may be inconsistent with the covenants contained in SECTION 7.01 or which materially affect Exmark as a "stand-alone" entity during the Contingent Payment Period (E.G., material capital expenditures, relocation of a production line, distribution of products, allocation of revenue and costs (including those of hybrid products), compensation and employee benefits). The affirmative vote of a majority of the members of the Synergies Council, will be necessary</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184" w:name="page185"/>
    <w:bookmarkEnd w:id="184"/>
    <w:p>
      <w:pPr>
        <w:ind w:right="3339"/>
        <w:spacing w:after="0" w:line="251" w:lineRule="auto"/>
        <w:rPr>
          <w:sz w:val="20"/>
          <w:szCs w:val="20"/>
          <w:color w:val="auto"/>
        </w:rPr>
      </w:pPr>
      <w:r>
        <w:rPr>
          <w:rFonts w:ascii="Courier New" w:cs="Courier New" w:eastAsia="Courier New" w:hAnsi="Courier New"/>
          <w:sz w:val="14"/>
          <w:szCs w:val="14"/>
          <w:color w:val="auto"/>
        </w:rPr>
        <w:t>to act. In the event the Synergies Council becomes deadlocked, either the Stockholders' Representatives or the Toro Representatives may request the matter to be reviewed by Toro's Office of the President, which shall function in an advisory capacity only, and if the matter is not resolved upon such review, it may, upon the request of either group of representatives, be referred to mediation and the cost thereof will be shared equally by both Exmark and Toro. The Synergies Council also shall be governed by the Synergies Council Charter and the Synergies Council Bylaws attached hereto as EXHIBIT 7.02.</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7.03 REBIT THRESHOLDS; TORO CONTROL. If Exmark fails to earn REBIT (as defined in EXHIBIT 2.01(a)(i) to this agreement) equal to or greater than the projected REBIT shown below for two successive fiscal quarters, Toro shall have the option to give notice to the Stockholders' Representatives of Toro's intent to take full control of Exmark's operations and, immediately thereafter, to take full control of Exmark's operations: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Quarter Ending</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 Ending</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 Ending</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Quarter Ending</w:t>
            </w:r>
          </w:p>
        </w:tc>
      </w:tr>
      <w:tr>
        <w:trPr>
          <w:trHeight w:val="166"/>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31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April 30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July 31</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$700,000</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$500,000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$875,000</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$620,000</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Solely for the purposes of this SECTION 7.03, REBIT for each immediately preceding fiscal quarter earned in excess of the applicable threshold amount may be added to the next succeeding fiscal quarter's REBIT. Notwithstanding anything herein to the contrary, in the event Toro takes control of Exmark's operations (the date on which such event occurs is referred to as the "TORO CONTROL DATE"), REBIT and CAGR accruing after such date will not be taken into account in computing the amount of any Contingent Payments to be made after such date.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CLOSING</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8.01 CONDITIONS TO TORO'S AND MERGER SUBSIDIARY'S OBLIGATIONS. The obligation of Toro and Merger Subsidiary to consummate the transactions contemplated by this Agreement is subject to the satisfaction of the following conditions at or before the Effective Time:</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185" w:name="page186"/>
    <w:bookmarkEnd w:id="185"/>
    <w:p>
      <w:pPr>
        <w:ind w:left="-8" w:right="3519" w:firstLine="8"/>
        <w:spacing w:after="0" w:line="251" w:lineRule="auto"/>
        <w:tabs>
          <w:tab w:leader="none" w:pos="76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III hereof shall be true and correct in all material respects at and as of the Effective Time as though then made and as though the Effective Time had been substituted for the date hereof throughout such representations and warranties (without taking into account any disclosures by Exmark of discoveries, events or occurrences arising on or after the date hereof, except for amendments or supplements to the Disclosure Schedule as provided in SECTION 5.11(b));</w:t>
      </w:r>
    </w:p>
    <w:p>
      <w:pPr>
        <w:spacing w:after="0" w:line="164"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performed in all material respects all of the covenants and agreements required to be performed and complied with by it under this Agreement prior to the Effective Time;</w:t>
      </w:r>
    </w:p>
    <w:p>
      <w:pPr>
        <w:spacing w:after="0" w:line="162" w:lineRule="exact"/>
        <w:rPr>
          <w:rFonts w:ascii="Courier New" w:cs="Courier New" w:eastAsia="Courier New" w:hAnsi="Courier New"/>
          <w:sz w:val="14"/>
          <w:szCs w:val="14"/>
          <w:color w:val="auto"/>
        </w:rPr>
      </w:pPr>
    </w:p>
    <w:p>
      <w:pPr>
        <w:ind w:left="-8" w:right="3679" w:firstLine="8"/>
        <w:spacing w:after="0" w:line="251" w:lineRule="auto"/>
        <w:tabs>
          <w:tab w:leader="none" w:pos="76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obtained, or caused to be obtained, each consent (including, without limitation, any consent to assignment of any Owned Intellectual Property Right) and approval necessary in order that the transactions contemplated herein not constitute a breach or violation of, or result in a right of termination or acceleration of, or creation of any encumbrance on any of Exmark's assets pursuant to the provisions of, any agreement, arrangement or undertaking of or affecting Exmark or any license, franchise or permit of or affecting Exmark;</w:t>
      </w:r>
    </w:p>
    <w:p>
      <w:pPr>
        <w:spacing w:after="0" w:line="163"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the Articles of Merger, the Merger, the Signing Bonuses and the New Articles of Incorporation shall have been duly and validly authorized by Exmark's board of directors and this Agreement, the Merger, the Signing Bonuses and the New Articles of Incorporation shall have been duly and validly approved by Exmark's stockholders, and Exmark shall have delivered to Toro evidence, in form satisfactory to Toro's legal counsel, of such authorization and approval, and Exmark shall have duly executed the Articles of Merger;</w:t>
      </w:r>
    </w:p>
    <w:p>
      <w:pPr>
        <w:spacing w:after="0" w:line="329"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periods under the HSR Act shall have expired or been terminated and all other material governmental filings, authorizations and approvals that are required for the consummation of the transactions contemplated herein or by the Articles of Merger will have been duly made and obtained;</w:t>
      </w:r>
    </w:p>
    <w:p>
      <w:pPr>
        <w:spacing w:after="0" w:line="327" w:lineRule="exact"/>
        <w:rPr>
          <w:rFonts w:ascii="Courier New" w:cs="Courier New" w:eastAsia="Courier New" w:hAnsi="Courier New"/>
          <w:sz w:val="14"/>
          <w:szCs w:val="14"/>
          <w:color w:val="auto"/>
        </w:rPr>
      </w:pPr>
    </w:p>
    <w:p>
      <w:pPr>
        <w:ind w:left="-8" w:right="3339" w:firstLine="8"/>
        <w:spacing w:after="0" w:line="251" w:lineRule="auto"/>
        <w:tabs>
          <w:tab w:leader="none" w:pos="76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threatened, instituted or pending any action or proceeding, before any court or governmental authority or agency, domestic or foreign, (i) challenging or seeking to make illegal, or to delay or otherwise directly or indirectly restrain or prohibit, the consummation of the transactions contemplated herein or seeking to obtain material damages in connection with such transactions, (ii) seeking to prohibit direct or indirect ownership or operation by Toro or Merger Subsidiary of all or a material portion</w:t>
      </w:r>
    </w:p>
    <w:p>
      <w:pPr>
        <w:spacing w:after="0" w:line="200" w:lineRule="exact"/>
        <w:rPr>
          <w:sz w:val="20"/>
          <w:szCs w:val="20"/>
          <w:color w:val="auto"/>
        </w:rPr>
      </w:pPr>
    </w:p>
    <w:p>
      <w:pPr>
        <w:spacing w:after="0" w:line="295"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1"/>
          </w:cols>
          <w:pgMar w:left="228" w:top="616" w:right="1440" w:bottom="1440" w:gutter="0" w:footer="0" w:header="0"/>
        </w:sectPr>
      </w:pPr>
    </w:p>
    <w:bookmarkStart w:id="186" w:name="page187"/>
    <w:bookmarkEnd w:id="186"/>
    <w:p>
      <w:pPr>
        <w:ind w:right="3339"/>
        <w:spacing w:after="0" w:line="250" w:lineRule="auto"/>
        <w:rPr>
          <w:sz w:val="20"/>
          <w:szCs w:val="20"/>
          <w:color w:val="auto"/>
        </w:rPr>
      </w:pPr>
      <w:r>
        <w:rPr>
          <w:rFonts w:ascii="Courier New" w:cs="Courier New" w:eastAsia="Courier New" w:hAnsi="Courier New"/>
          <w:sz w:val="14"/>
          <w:szCs w:val="14"/>
          <w:color w:val="auto"/>
        </w:rPr>
        <w:t>of the business or assets of Exmark, or to cause Toro or Merger Subsidiary or any of their subsidiaries or Exmark to dispose of or to hold separately all or a material portion of the business or assets of Toro or Merger Subsidiary and their subsidiaries or of Exmark, as a result of the transactions contemplated hereby, (iii) seeking to require direct or indirect transfer or sale by Toro or Merger Subsidiary of any of the shares of Exmark Stock, (iv) seeking to invalidate or render unenforceable any material provision of this Agreement or the Articles of Merger or any of the Exmark Ancillary Agreements, or</w:t>
      </w:r>
    </w:p>
    <w:p>
      <w:pPr>
        <w:spacing w:after="0" w:line="3" w:lineRule="exact"/>
        <w:rPr>
          <w:sz w:val="20"/>
          <w:szCs w:val="20"/>
          <w:color w:val="auto"/>
        </w:rPr>
      </w:pPr>
    </w:p>
    <w:p>
      <w:pPr>
        <w:ind w:right="3599" w:firstLine="8"/>
        <w:spacing w:after="0" w:line="255" w:lineRule="auto"/>
        <w:tabs>
          <w:tab w:leader="none" w:pos="3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relating to and materially adversely affecting the transactions contemplated hereby;</w:t>
      </w:r>
    </w:p>
    <w:p>
      <w:pPr>
        <w:spacing w:after="0" w:line="160" w:lineRule="exact"/>
        <w:rPr>
          <w:sz w:val="20"/>
          <w:szCs w:val="20"/>
          <w:color w:val="auto"/>
        </w:rPr>
      </w:pPr>
    </w:p>
    <w:p>
      <w:pPr>
        <w:ind w:right="3339" w:firstLine="8"/>
        <w:spacing w:after="0" w:line="251" w:lineRule="auto"/>
        <w:tabs>
          <w:tab w:leader="none" w:pos="77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action taken, nor any statute, rule, regulation, judgment, order or injunction enacted, entered, enforced, promulgated, issued or deemed applicable to the transactions contemplated herein by any federal, state or foreign court, government or governmental authority or agency, which would reasonably be expected to result, directly or indirectly, in any of the consequences referred to in SECTION 8.01(f) hereof;</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have discovered any fact or circumstance existing as of the Effective Time which previously had not been disclosed to Toro regarding the business, assets, properties, condition (financial or otherwise), results of operations or prospects of Exmark which is, individually or in the aggregate with other such facts and circumstances, materially adverse to Exmark or to the value of the shares of Exmark's capital stock;</w:t>
      </w:r>
    </w:p>
    <w:p>
      <w:pPr>
        <w:spacing w:after="0" w:line="164"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no damage, destruction or loss of or to any property or properties owned or used by Exmark, whether or not covered by insurance, which, in the aggregate, has, or would be reasonably likely to have, individually or in the aggregate, a material adverse effect on the business or results of operations of Exmark (a "MATERIAL ADVERSE EFFECT");</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have received from Exmark's legal counsel a written</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opinion, dated the date of the Effective Time, addressed to Toro and satisfactory to Toro's legal counsel, in form and substance substantially as set forth in EXHIBIT 8.01(j);</w:t>
      </w:r>
    </w:p>
    <w:p>
      <w:pPr>
        <w:spacing w:after="0" w:line="163" w:lineRule="exact"/>
        <w:rPr>
          <w:sz w:val="20"/>
          <w:szCs w:val="20"/>
          <w:color w:val="auto"/>
        </w:rPr>
      </w:pPr>
    </w:p>
    <w:p>
      <w:pPr>
        <w:ind w:right="3599" w:firstLine="8"/>
        <w:spacing w:after="0" w:line="251"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Dissenting Shares (counting each such share of Exmark Preferred Stock as four shares of Exmark Common Stock) shall not exceed 8% of the total number of shares of Exmark Common Stock and Exmark Preferred Stock that are issued and outstanding as of the Record Date of the Stockholders' Meeting (counting each such share of Exmark Preferred Stock as four shares of Exmark Common Stock).</w:t>
      </w:r>
    </w:p>
    <w:p>
      <w:pPr>
        <w:spacing w:after="0" w:line="164"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stop order, and no action,</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187" w:name="page188"/>
    <w:bookmarkEnd w:id="187"/>
    <w:p>
      <w:pPr>
        <w:ind w:right="3339"/>
        <w:spacing w:after="0" w:line="251" w:lineRule="auto"/>
        <w:rPr>
          <w:sz w:val="20"/>
          <w:szCs w:val="20"/>
          <w:color w:val="auto"/>
        </w:rPr>
      </w:pPr>
      <w:r>
        <w:rPr>
          <w:rFonts w:ascii="Courier New" w:cs="Courier New" w:eastAsia="Courier New" w:hAnsi="Courier New"/>
          <w:sz w:val="14"/>
          <w:szCs w:val="14"/>
          <w:color w:val="auto"/>
        </w:rPr>
        <w:t>suit, proceeding or investigation by the SEC to suspend the effectiveness of the Registration Statement shall have been initiated and be continuing, or have been threatened or be unresolved. Toro shall have received all state securities law authorizations necessary to carry out the transactions contemplated by this Agreement;</w:t>
      </w:r>
    </w:p>
    <w:p>
      <w:pPr>
        <w:spacing w:after="0" w:line="165" w:lineRule="exact"/>
        <w:rPr>
          <w:sz w:val="20"/>
          <w:szCs w:val="20"/>
          <w:color w:val="auto"/>
        </w:rPr>
      </w:pPr>
    </w:p>
    <w:p>
      <w:pPr>
        <w:ind w:right="3419" w:firstLine="8"/>
        <w:spacing w:after="0" w:line="251" w:lineRule="auto"/>
        <w:tabs>
          <w:tab w:leader="none" w:pos="7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have received from Exmark's Accountant, acting in its capacity as independent public accountants to Exmark, a "comfort" letter, dated as of the effective date of the Registration Statement and updated through the Effective Time, in form and substance satisfactory to Toro and reasonably customary in scope and substance for letters delivered by independent public accountants in connection with registration statements similar to the Registration Statement and transactions such as those contemplated herein;</w:t>
      </w:r>
    </w:p>
    <w:p>
      <w:pPr>
        <w:spacing w:after="0" w:line="164" w:lineRule="exact"/>
        <w:rPr>
          <w:rFonts w:ascii="Courier New" w:cs="Courier New" w:eastAsia="Courier New" w:hAnsi="Courier New"/>
          <w:sz w:val="14"/>
          <w:szCs w:val="14"/>
          <w:color w:val="auto"/>
        </w:rPr>
      </w:pPr>
    </w:p>
    <w:p>
      <w:pPr>
        <w:ind w:right="3599" w:firstLine="8"/>
        <w:spacing w:after="0" w:line="255" w:lineRule="auto"/>
        <w:tabs>
          <w:tab w:leader="none" w:pos="7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Exmark shall have delivered to Toro all of the following:</w:t>
      </w:r>
    </w:p>
    <w:p>
      <w:pPr>
        <w:spacing w:after="0" w:line="160" w:lineRule="exact"/>
        <w:rPr>
          <w:sz w:val="20"/>
          <w:szCs w:val="20"/>
          <w:color w:val="auto"/>
        </w:rPr>
      </w:pPr>
    </w:p>
    <w:p>
      <w:pPr>
        <w:ind w:right="3419" w:firstLine="8"/>
        <w:spacing w:after="0" w:line="252"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each of the chief executive officer and the chief financial officer of Exmark dated as of the date of the Effective Time, stating that to the knowledge of such officers that the conditions precedent set forth in subsections (a) and (b) above have been satisfied;</w:t>
      </w:r>
    </w:p>
    <w:p>
      <w:pPr>
        <w:spacing w:after="0" w:line="162"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third party and governmental consents and approvals and of the authorizations referred to in subsections (c), (d) and (e) above;</w:t>
      </w:r>
    </w:p>
    <w:p>
      <w:pPr>
        <w:spacing w:after="0" w:line="159" w:lineRule="exact"/>
        <w:rPr>
          <w:rFonts w:ascii="Courier New" w:cs="Courier New" w:eastAsia="Courier New" w:hAnsi="Courier New"/>
          <w:sz w:val="14"/>
          <w:szCs w:val="14"/>
          <w:color w:val="auto"/>
        </w:rPr>
      </w:pPr>
    </w:p>
    <w:p>
      <w:pPr>
        <w:ind w:right="3779" w:firstLine="8"/>
        <w:spacing w:after="0" w:line="255"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minute books, stock transfer records, corporate seal and other materials related to the corporate administration of Exmark;</w:t>
      </w:r>
    </w:p>
    <w:p>
      <w:pPr>
        <w:spacing w:after="0" w:line="159" w:lineRule="exact"/>
        <w:rPr>
          <w:rFonts w:ascii="Courier New" w:cs="Courier New" w:eastAsia="Courier New" w:hAnsi="Courier New"/>
          <w:sz w:val="14"/>
          <w:szCs w:val="14"/>
          <w:color w:val="auto"/>
        </w:rPr>
      </w:pPr>
    </w:p>
    <w:p>
      <w:pPr>
        <w:ind w:right="3679" w:firstLine="8"/>
        <w:spacing w:after="0" w:line="252"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(effective as of the Effective Time) from such of Exmark's directors as Toro shall have requested prior to the Effective Time, other than the individual designated by the Stockholders' Representatives to serve as a director of the Surviving Corporation pursuant to SECTION 1.04;</w:t>
      </w:r>
    </w:p>
    <w:p>
      <w:pPr>
        <w:spacing w:after="0" w:line="162"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articles of incorporation of Exmark, as then in effect and as amended as described in SECTION 5.10 hereof and certified by the Secretary of State of the State of Nebraska, and a Certificate of Good Standing from the Secretary of State of the State of Nebraska evidencing the good standing of Exmark in such state;</w:t>
      </w:r>
    </w:p>
    <w:p>
      <w:pPr>
        <w:spacing w:after="0" w:line="164"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of (A) the text of the resolutions adopted by Exmark's board of directors authorizing and approving the Merger and authorizing the execution, delivery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188" w:name="page189"/>
    <w:bookmarkEnd w:id="188"/>
    <w:p>
      <w:pPr>
        <w:ind w:right="3339"/>
        <w:spacing w:after="0" w:line="251" w:lineRule="auto"/>
        <w:rPr>
          <w:sz w:val="20"/>
          <w:szCs w:val="20"/>
          <w:color w:val="auto"/>
        </w:rPr>
      </w:pPr>
      <w:r>
        <w:rPr>
          <w:rFonts w:ascii="Courier New" w:cs="Courier New" w:eastAsia="Courier New" w:hAnsi="Courier New"/>
          <w:sz w:val="14"/>
          <w:szCs w:val="14"/>
          <w:color w:val="auto"/>
        </w:rPr>
        <w:t>and performance of this Agreement, the Articles of Merger and the New Articles of Incorporation and the payment of the Signing Bonuses and the consummation of all of the transactions contemplated herein and (B) the bylaws of Exmark as then in effect; along with certificates executed on behalf of Exmark by its corporate secretary certifying to Toro that such copies are correct and complete copies of such resolutions and bylaws, respectively, and that such resolutions and bylaws were duly adopted and have not been amended or rescinded;</w:t>
      </w:r>
    </w:p>
    <w:p>
      <w:pPr>
        <w:spacing w:after="0" w:line="164" w:lineRule="exact"/>
        <w:rPr>
          <w:sz w:val="20"/>
          <w:szCs w:val="20"/>
          <w:color w:val="auto"/>
        </w:rPr>
      </w:pPr>
    </w:p>
    <w:p>
      <w:pPr>
        <w:ind w:right="3519" w:firstLine="8"/>
        <w:spacing w:after="0" w:line="252"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incumbency certificates executed on behalf of Exmark by its corporate secretary certifying the signature and office of each officer executing this Agreement, the Articles of Merger and the Exmark Ancillary Agreements executed by Exmark;</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Exmark Ancillary Agreements; and</w:t>
      </w:r>
    </w:p>
    <w:p>
      <w:pPr>
        <w:spacing w:after="0" w:line="172"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certificates, documents and instruments as Toro reasonably requests related to the transactions contemplated herein.</w:t>
      </w:r>
    </w:p>
    <w:p>
      <w:pPr>
        <w:spacing w:after="0" w:line="160" w:lineRule="exact"/>
        <w:rPr>
          <w:sz w:val="20"/>
          <w:szCs w:val="20"/>
          <w:color w:val="auto"/>
        </w:rPr>
      </w:pPr>
    </w:p>
    <w:p>
      <w:pPr>
        <w:ind w:right="4119" w:firstLine="8"/>
        <w:spacing w:after="0" w:line="252" w:lineRule="auto"/>
        <w:tabs>
          <w:tab w:leader="none" w:pos="7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 John Smith, Ray Rickard, Roger Smith, Garry Busboom and Mike Hirschman shall have entered into Employment Agreements or similar agreements acceptable to Toro with Exmark and Toro;</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contemplated herein, all compensation plans and similar agreements between Exmark and each of H. John Smith, Ray Rickard, Holiman and Roger Smith shall have been terminated, except that Exmark may continue to pay, consistent with past practice, (i) bonuses to H. John Smith and Ray Rickard pursuant to Exmark's incentive bonus program for executives for services performed prior to October 31, 1997 and (ii) commissions to Holiman's sales personnel;</w:t>
      </w:r>
    </w:p>
    <w:p>
      <w:pPr>
        <w:spacing w:after="0" w:line="329"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terminated its 1990 Stock Option Plan and its 1992 Restricted Stock Plan and all Outstanding Purchase Rights shall have been fully exercised or canceled; and</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acquired Holiman on terms acceptable to Toro</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a purchase agreement substantially in the form of the Stock Exchange Agreement attached hereto as EXHIBIT 12.06 and, at the Effective Time, Holiman's net worth (i.e., total assets minus total liabilities) shall equal or exceed $200,000.</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189" w:name="page190"/>
    <w:bookmarkEnd w:id="189"/>
    <w:p>
      <w:pPr>
        <w:ind w:right="3599"/>
        <w:spacing w:after="0" w:line="252" w:lineRule="auto"/>
        <w:rPr>
          <w:sz w:val="20"/>
          <w:szCs w:val="20"/>
          <w:color w:val="auto"/>
        </w:rPr>
      </w:pPr>
      <w:r>
        <w:rPr>
          <w:rFonts w:ascii="Courier New" w:cs="Courier New" w:eastAsia="Courier New" w:hAnsi="Courier New"/>
          <w:sz w:val="14"/>
          <w:szCs w:val="14"/>
          <w:color w:val="auto"/>
        </w:rPr>
        <w:t>8.02 CONDITIONS TO EXMARK'S OBLIGATIONS. The obligations of Exmark to consummate the transactions contemplated by this Agreement are subject to the satisfaction of the following conditions at or before the Effective Time:</w:t>
      </w:r>
    </w:p>
    <w:p>
      <w:pPr>
        <w:spacing w:after="0" w:line="163" w:lineRule="exact"/>
        <w:rPr>
          <w:sz w:val="20"/>
          <w:szCs w:val="20"/>
          <w:color w:val="auto"/>
        </w:rPr>
      </w:pPr>
    </w:p>
    <w:p>
      <w:pPr>
        <w:jc w:val="both"/>
        <w:ind w:right="3419" w:firstLine="8"/>
        <w:spacing w:after="0" w:line="252"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IV hereof will be true and correct in all material respects at and as of the Effective Time as though then made and as though the Effective Time had been substituted for the date hereof throughout such representations and warranties;</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and Merger Subsidiary shall have performed in all material respects all the covenants and agreements required to be performed by them under this Agreement and the Articles of Merger prior to the Effective Time, and Merger Subsidiary shall have executed the Articles of Merger;</w:t>
      </w:r>
    </w:p>
    <w:p>
      <w:pPr>
        <w:spacing w:after="0" w:line="162" w:lineRule="exact"/>
        <w:rPr>
          <w:rFonts w:ascii="Courier New" w:cs="Courier New" w:eastAsia="Courier New" w:hAnsi="Courier New"/>
          <w:sz w:val="14"/>
          <w:szCs w:val="14"/>
          <w:color w:val="auto"/>
        </w:rPr>
      </w:pPr>
    </w:p>
    <w:p>
      <w:pPr>
        <w:jc w:val="both"/>
        <w:ind w:right="3419" w:firstLine="8"/>
        <w:spacing w:after="0" w:line="252"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periods under the HSR Act shall have expired or been terminated and all other material governmental filings, authorizations and approvals that are required for the consummation of the transactions contemplated herein will have been duly made and obtained;</w:t>
      </w:r>
    </w:p>
    <w:p>
      <w:pPr>
        <w:spacing w:after="0" w:line="162"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threatened, instituted or pending any action or proceeding, before any court or governmental authority or agency, domestic or foreign, (i) challenging or seeking to make illegal, or to delay or otherwise directly or indirectly restrain or prohibit, the consummation of the transactions contemplated herein or seeking to obtain material damages in connection with such transactions, (ii) seeking to invalidate or render unenforceable any material provision of this Agreement, the Articles of Merger or any of the Exmark Ancillary Agreements, or (iii) otherwise relating to and materially adversely affecting the transactions contemplated hereby or thereby;</w:t>
      </w:r>
    </w:p>
    <w:p>
      <w:pPr>
        <w:spacing w:after="0" w:line="163"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action taken, nor any statute, rule,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regulation, judgment, order or injunction, enacted, entered, enforced, promulgated, issued or deemed applicable to the transactions contemplated herein by any federal, state or foreign court, government or governmental authority or agency, which would reasonably be expected to result, directly or indirectly, in any of the consequences referred to in SECTION 8.02(d) hereof;</w:t>
      </w:r>
    </w:p>
    <w:p>
      <w:pPr>
        <w:spacing w:after="0" w:line="165" w:lineRule="exact"/>
        <w:rPr>
          <w:sz w:val="20"/>
          <w:szCs w:val="20"/>
          <w:color w:val="auto"/>
        </w:rPr>
      </w:pPr>
    </w:p>
    <w:p>
      <w:pPr>
        <w:ind w:right="3339" w:firstLine="8"/>
        <w:spacing w:after="0" w:line="251"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order, and no action, suit, proceeding or investigation by the SEC to suspend the effectiveness of the Registration Statement shall have been initiated and be continuing, or have been threatened and be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190" w:name="page191"/>
    <w:bookmarkEnd w:id="190"/>
    <w:p>
      <w:pPr>
        <w:ind w:right="3599"/>
        <w:spacing w:after="0" w:line="255" w:lineRule="auto"/>
        <w:rPr>
          <w:sz w:val="20"/>
          <w:szCs w:val="20"/>
          <w:color w:val="auto"/>
        </w:rPr>
      </w:pPr>
      <w:r>
        <w:rPr>
          <w:rFonts w:ascii="Courier New" w:cs="Courier New" w:eastAsia="Courier New" w:hAnsi="Courier New"/>
          <w:sz w:val="14"/>
          <w:szCs w:val="14"/>
          <w:color w:val="auto"/>
        </w:rPr>
        <w:t>unresolved. Toro shall have received all state securities law authorizations necessary to carry out the transactions contemplated by this Agreement;</w:t>
      </w:r>
    </w:p>
    <w:p>
      <w:pPr>
        <w:spacing w:after="0" w:line="160" w:lineRule="exact"/>
        <w:rPr>
          <w:sz w:val="20"/>
          <w:szCs w:val="20"/>
          <w:color w:val="auto"/>
        </w:rPr>
      </w:pPr>
    </w:p>
    <w:p>
      <w:pPr>
        <w:ind w:left="780" w:hanging="772"/>
        <w:spacing w:after="0"/>
        <w:tabs>
          <w:tab w:leader="none" w:pos="7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have delivered to Exmark</w:t>
      </w:r>
    </w:p>
    <w:p>
      <w:pPr>
        <w:spacing w:after="0" w:line="7"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appropriate officer(s) of Toro dated as of the Effective Date, stating that to the knowledge of such officer(s) the conditions precedent set forth in subsections (a) and (b) above have been satisfied, and (ii) an executed copy of each of the Toro Ancillary Agreements;</w:t>
      </w:r>
    </w:p>
    <w:p>
      <w:pPr>
        <w:spacing w:after="0" w:line="162"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Signing Bonuses to H. John Smith and Ray Rickard, as appropriate, shall have been paid;</w:t>
      </w:r>
    </w:p>
    <w:p>
      <w:pPr>
        <w:spacing w:after="0" w:line="159"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an opinion dated as of the Effective Time in form and substance satisfactory to Exmark of Croker, Huck, Kasher, DeWitt, Anderson &amp; Gonderinger, P.C., to the effect that (i) the Merger will be treated for federal income tax purposes as a reorganization within the meaning of Section 368(a) of the Code, (ii) Toro, Merger Subsidiary and Exmark will each be a party to that reorganization within the meaning of Section 368(b) of the Code,</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income, gain or loss will be recognized for federal income tax purposes by either Exmark or Toro as a result of the consummation of the Merger, and (iv) no income, gain or loss will be recognized for federal income tax purposes by the stockholders of Exmark upon the exchange in the Merger of Shares solely for the Merger Consideration (other than the cash portion thereof and any cash received in lieu of fractional shares). In connection with such opinion, counsel shall be entitled to rely upon certain representations and covenants of Exmark, Toro, Merger Subsidiary and such other persons as such counsel deems appropriate;</w:t>
      </w:r>
    </w:p>
    <w:p>
      <w:pPr>
        <w:spacing w:after="0" w:line="329"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an updated written opinion of McCarthy &amp; Co., addressed to the board of directors of Exmark and dated not more than two business days prior to the date the Prospectus-Proxy Statement is first mailed to Exmark's stockholders, to the effect that, as of the date of such opinion, the Merger is fair to Exmark's stockholders from a financial point of view;</w:t>
      </w:r>
    </w:p>
    <w:p>
      <w:pPr>
        <w:spacing w:after="0" w:line="164" w:lineRule="exact"/>
        <w:rPr>
          <w:rFonts w:ascii="Courier New" w:cs="Courier New" w:eastAsia="Courier New" w:hAnsi="Courier New"/>
          <w:sz w:val="14"/>
          <w:szCs w:val="14"/>
          <w:color w:val="auto"/>
        </w:rPr>
      </w:pPr>
    </w:p>
    <w:p>
      <w:pPr>
        <w:ind w:right="3419" w:firstLine="8"/>
        <w:spacing w:after="0" w:line="250"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the opinion of J. Lawrence McIntyre, Toro's General Counsel, in form and substance substantially as set forth in</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8.02(k); and</w:t>
      </w:r>
    </w:p>
    <w:p>
      <w:pPr>
        <w:spacing w:after="0" w:line="172" w:lineRule="exact"/>
        <w:rPr>
          <w:rFonts w:ascii="Courier New" w:cs="Courier New" w:eastAsia="Courier New" w:hAnsi="Courier New"/>
          <w:sz w:val="14"/>
          <w:szCs w:val="14"/>
          <w:color w:val="auto"/>
        </w:rPr>
      </w:pPr>
    </w:p>
    <w:p>
      <w:pPr>
        <w:ind w:right="3599" w:firstLine="8"/>
        <w:spacing w:after="0" w:line="255"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Toro Common Stock to be issued as Merger Consideration shall have been approved for listing on the New York Stock Exchange.</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9.01 TERMINATION. This Agreement may be terminated at any time prior to the Effective Time:</w:t>
      </w:r>
    </w:p>
    <w:p>
      <w:pPr>
        <w:spacing w:after="0" w:line="160" w:lineRule="exact"/>
        <w:rPr>
          <w:sz w:val="20"/>
          <w:szCs w:val="20"/>
          <w:color w:val="auto"/>
        </w:rPr>
      </w:pPr>
    </w:p>
    <w:p>
      <w:pPr>
        <w:ind w:left="780" w:hanging="772"/>
        <w:spacing w:after="0"/>
        <w:tabs>
          <w:tab w:leader="none" w:pos="7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mutual consent of Toro, Merger Subsidiary and Exmark;</w:t>
      </w:r>
    </w:p>
    <w:p>
      <w:pPr>
        <w:spacing w:after="0" w:line="172"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has been a material misrepresentation, a material breach of warranty or a material breach of covenant on the part of the other in the representations, warranties and covenants set forth in this Agreement;</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authority or agency, foreign or domestic, which would make the consummation of the Merger illegal and such action, statute, rule, regulation or order shall have become final and unappealable;</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any action taken, or any statute, rule, regulation or order enacted, promulgated or issued or deemed applicable to the Merger by any governmental authority or agency, which would (i) prohibit Exmark's or Toro's ownership or operation of all or a portion of Exmark's business, or (ii) compel Toro or Exmark to dispose of or hold separate all or a portion of the business or assets of Exmark or Toro as a result of the Merger;</w:t>
      </w:r>
    </w:p>
    <w:p>
      <w:pPr>
        <w:spacing w:after="0" w:line="164"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transactions contemplated herein have not been consummated on or before January 31, 1998 provided that, neither will be entitled to terminate this Agreement pursuant to this SECTION 9.01(e) if such party's willful breach of this Agreement has prevented the consummation of the transactions contemplated herein;</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any of the conditions to such party's</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obligations to consummate the Merger described in ARTICLE VIII become impossible to satisfy;</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782" w:right="1440" w:bottom="1440" w:gutter="0" w:footer="0" w:header="0"/>
        </w:sectPr>
      </w:pPr>
    </w:p>
    <w:bookmarkStart w:id="192" w:name="page193"/>
    <w:bookmarkEnd w:id="192"/>
    <w:p>
      <w:pPr>
        <w:ind w:left="-8" w:right="3419" w:firstLine="8"/>
        <w:spacing w:after="0" w:line="251" w:lineRule="auto"/>
        <w:tabs>
          <w:tab w:leader="none" w:pos="76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board of directors of Exmark withdraws, modifies or changes its recommendation of this Agreement or the Merger in a manner adverse to Toro or Merger Subsidiary or shall have resolved to do any of the foregoing or the board of directors of Exmark shall have recommended to the stockholders of Exmark any Superior Proposal or resolved to do so;</w:t>
      </w:r>
    </w:p>
    <w:p>
      <w:pPr>
        <w:spacing w:after="0" w:line="164"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Stockholders' Meeting shall have been held and the stockholders of Exmark shall have failed to approve this Agreement, the Merger, the New Articles of Incorporation and the Signing Bonuses at such meeting (including any adjournment or postponement thereof);</w:t>
      </w:r>
    </w:p>
    <w:p>
      <w:pPr>
        <w:spacing w:after="0" w:line="162" w:lineRule="exact"/>
        <w:rPr>
          <w:rFonts w:ascii="Courier New" w:cs="Courier New" w:eastAsia="Courier New" w:hAnsi="Courier New"/>
          <w:sz w:val="14"/>
          <w:szCs w:val="14"/>
          <w:color w:val="auto"/>
        </w:rPr>
      </w:pPr>
    </w:p>
    <w:p>
      <w:pPr>
        <w:ind w:left="-8" w:right="3339" w:firstLine="8"/>
        <w:spacing w:after="0" w:line="250" w:lineRule="auto"/>
        <w:tabs>
          <w:tab w:leader="none" w:pos="76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(i) Exmark receives an unsolicited proposal that constitutes a Superior Proposal and the board of directors of Exmark, within 30 calendar days after such proposal is received by Exmark (which thirty-day period may be extended by Exmark for such additional period not exceeding 30 days as Exmark reasonably determines, based on consultations with independent counsel, to be required in order to satisfy its fiduciary obligations under law), either fails to terminate discussions with the maker of such proposal and its agents, or determines to accept, or takes no position with respect to, such proposal,</w:t>
      </w:r>
    </w:p>
    <w:p>
      <w:pPr>
        <w:spacing w:after="0" w:line="3" w:lineRule="exact"/>
        <w:rPr>
          <w:rFonts w:ascii="Courier New" w:cs="Courier New" w:eastAsia="Courier New" w:hAnsi="Courier New"/>
          <w:sz w:val="14"/>
          <w:szCs w:val="14"/>
          <w:color w:val="auto"/>
        </w:rPr>
      </w:pPr>
    </w:p>
    <w:p>
      <w:pPr>
        <w:ind w:left="-8" w:right="3419" w:firstLine="8"/>
        <w:spacing w:after="0" w:line="250" w:lineRule="auto"/>
        <w:tabs>
          <w:tab w:leader="none" w:pos="42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offer or exchange offer for 20% or more of the outstanding shares of Exmark's capital stock is commenced, and the board of directors of Exmark, within 10 business days after such tender offer or exchange offer is so commenced, either fails to recommend against acceptance of such tender offer or exchange offer by its stockholders or takes no position with respect to the acceptance of such tender offer or exchange offer by its stockholders, or</w:t>
      </w:r>
    </w:p>
    <w:p>
      <w:pPr>
        <w:spacing w:after="0" w:line="2" w:lineRule="exact"/>
        <w:rPr>
          <w:rFonts w:ascii="Courier New" w:cs="Courier New" w:eastAsia="Courier New" w:hAnsi="Courier New"/>
          <w:sz w:val="14"/>
          <w:szCs w:val="14"/>
          <w:color w:val="auto"/>
        </w:rPr>
      </w:pPr>
    </w:p>
    <w:p>
      <w:pPr>
        <w:ind w:left="-8" w:right="3339" w:firstLine="8"/>
        <w:spacing w:after="0" w:line="251" w:lineRule="auto"/>
        <w:tabs>
          <w:tab w:leader="none" w:pos="50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Toro or its affiliates) shall have acquired beneficial ownership or the right to acquire beneficial ownership of, or any "group" (as such term is defined under Section 13(d) of the Exchange Act) shall have been formed which beneficially owns, or has the right to acquire beneficial ownership of, 20% or more of the then outstanding shares of Exmark's Capital Stock (excluding for this purpose holdings of shares by persons or groups as currently reflected in the stock records of Exmark as of the date of this Agreement);</w:t>
      </w:r>
    </w:p>
    <w:p>
      <w:pPr>
        <w:spacing w:after="0" w:line="329" w:lineRule="exact"/>
        <w:rPr>
          <w:rFonts w:ascii="Courier New" w:cs="Courier New" w:eastAsia="Courier New" w:hAnsi="Courier New"/>
          <w:sz w:val="14"/>
          <w:szCs w:val="14"/>
          <w:color w:val="auto"/>
        </w:rPr>
      </w:pPr>
    </w:p>
    <w:p>
      <w:pPr>
        <w:ind w:left="-8" w:right="3519" w:firstLine="8"/>
        <w:spacing w:after="0" w:line="251" w:lineRule="auto"/>
        <w:tabs>
          <w:tab w:leader="none" w:pos="76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the number of Dissenting Shares (counting each such share of Exmark Preferred Stock as four shares of Exmark Common Stock) exceeds 8% of the total number of shares of Exmark Common Stock and Exmark Preferred Stock that are issued and outstanding as of the Record Date of the Stockholders' Meeting (counting each such share of Exmark Preferred Stock as four shares of Exmark Common Stock);</w:t>
      </w:r>
    </w:p>
    <w:p>
      <w:pPr>
        <w:spacing w:after="0" w:line="164"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date hereof there shall have been a material adverse change in the business, assets, properties, condition (financial or otherwise), results of operations or prospects of Exmark, or if an event (other than a general industry or economic downturn)</w:t>
      </w:r>
    </w:p>
    <w:p>
      <w:pPr>
        <w:spacing w:after="0" w:line="328"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1"/>
          </w:cols>
          <w:pgMar w:left="228" w:top="616" w:right="1440" w:bottom="1440" w:gutter="0" w:footer="0" w:header="0"/>
        </w:sectPr>
      </w:pPr>
    </w:p>
    <w:bookmarkStart w:id="193" w:name="page194"/>
    <w:bookmarkEnd w:id="193"/>
    <w:p>
      <w:pPr>
        <w:ind w:right="3339"/>
        <w:spacing w:after="0" w:line="255" w:lineRule="auto"/>
        <w:rPr>
          <w:sz w:val="20"/>
          <w:szCs w:val="20"/>
          <w:color w:val="auto"/>
        </w:rPr>
      </w:pPr>
      <w:r>
        <w:rPr>
          <w:rFonts w:ascii="Courier New" w:cs="Courier New" w:eastAsia="Courier New" w:hAnsi="Courier New"/>
          <w:sz w:val="14"/>
          <w:szCs w:val="14"/>
          <w:color w:val="auto"/>
        </w:rPr>
        <w:t>shall have occurred which, so far as reasonably can be foreseen, would result in any such change;</w:t>
      </w:r>
    </w:p>
    <w:p>
      <w:pPr>
        <w:spacing w:after="0" w:line="160" w:lineRule="exact"/>
        <w:rPr>
          <w:sz w:val="20"/>
          <w:szCs w:val="20"/>
          <w:color w:val="auto"/>
        </w:rPr>
      </w:pPr>
    </w:p>
    <w:p>
      <w:pPr>
        <w:ind w:left="780" w:hanging="772"/>
        <w:spacing w:after="0"/>
        <w:tabs>
          <w:tab w:leader="none" w:pos="7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the Initial Toro Share Price is less than $30 per share;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Exmark, if the Initial Toro Share Price exceeds $44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9.02 EFFECT OF TERMINATION. In the event of termination of this Agreement by Toro or Exmark, as provided in SECTION 9.01, all provisions of this Agreement shall terminate and there shall be no liability on the part of any of Toro, Merger Subsidiary or Exmark, or their respective stockholders, officers or directors, except (a) SECTIONS 13.01 (press releases and announcements), 13.02 (expenses), 13.09 (governing law) and 13.10 (confidentiality) hereof shall survive indefinitely, (b) the parties shall remain liable for willful breaches of this Agreement prior to the time of such termination and (c) as provided in SECTION 9.03.</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9.03 TERMINATION FEE. Exmark shall pay Toro a fee of $1,500,000 (a) if this Agreement is terminated pursuant to SECTION 9.01(g), (b) if this Agreement is terminated pursuant to SECTION 9.01(i) and the transaction contemplated by such Superior Proposal ultimately is consummated (or any similar transaction is consummated with a party other than Toro or Merger Subsidiary), or (c) if this Agreement is terminated pursuant to SECTION 9.01(h) and a Superior Proposal exists on the date of the Stockholders' Meeting. In the event Exmark shall fail to immediately pay any fee to Toro when due, Exmark shall also pay the costs and expenses actually incurred or accrued by Toro or Merger Subsidiary (including, without limitation, fees and expenses of legal counsel) in connection with the collection under and enforcement of this SECTION 9.03, together with interest on such unpaid fee, commencing on the date that such fee becomes due, at a rate equal to the rate of interest publicly announced by First Bank National Association, from time to time, in the City of Minneapolis, Minnesota, as such bank's "base rate" plus 2%.</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event this Agreement is terminated pursuant to SECTION 9.01(h) and a Superior Proposal exists on the date of the Stockholders' Meeting, such fee shall constitute liquidated damages for a breach of SECTION 5.08. However, nothing in this SECTION 9.03 precludes a party from seeking such other remedies at law or equity as it deems appropriate.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REPRESENTATIVE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10.01 APPOINTMENT. As used in this Agreement, the "STOCKHOLDERS' REPRESENTATIVES" shall mean H. John Smith, Ray Rickard and Roger Smith, or any person appointed as a successor Stockholders' Representative pursuant to SECTION 10.02 hereof. The number of Stockholders' Representatives shall not be more than three persons.</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10.02 ELECTION AND REPLACEMENT. During the period ending upon the date when all obligations under this Agreement have been discharged (including all obligations pursuant to SECTION 11.02 hereof), Exmark's Holders, who immediately prior to the Effective Time, held a majority of the aggregate voting power of the Shares (a "MAJORITY"), may, from time to time upon written notice to the Stockholders' Representatives and Toro, remove any of the Stockholders' Representatives or appoint one or more new Stockholders' Representatives to fill any vacancy created by the death, incapacitation, resignation or removal of one or more Stockholders' Representatives. Furthermore, if a Stockholders' Representative dies, becomes incapacitated, resigns or is removed by a Majority, the Majority shall appoint a successor Stockholders' Representative to fill the vacancy so created. If the Majority fails to appoint such successor within 10 business days after a request by Toro to appoint such successor, the remaining Stockholders' Representatives shall appoint such successor. If the Stockholders' Representatives do not appoint such successor within 10 business days after Toro's initial request to the Majority to appoint such successor, then Toro shall appoint such successor, and shall advise Holders who held Shares of such appointment by written notice. A copy of any appointment by the Majority of the Stockholders' Representatives of any successor Stockholders' Representative shall be provided to Toro promptly after it shall have been effected.</w:t>
      </w:r>
    </w:p>
    <w:p>
      <w:pPr>
        <w:spacing w:after="0" w:line="34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10.03 AUTHORITY. On behalf of the Holders, the Stockholders' Representatives shall be authorized to take action by majority vote of the number of the then appointed Stockholders' Representatives (without taking into account any vacancies) and to make and deliver any certificate, notice, consent or instrument required or permitted to be made or delivered under this Agreement or under the documents referred to in this Agreement, including, without limitation, any such actions with respect to the Initial Payment Consideration and the Contingent Payment Rights (an "INSTRUMENT"), which the Stockholders' Representatives determine in their discretion to be necessary, appropriate or desirable, and, in connection therewith, to hire or retain, at the sole expense of the Holders (up to a maximum aggregate amount of $100,000 to be paid out of the Stockholders' Representatives Expense Fund), such counsel, investment bankers, accountants, representatives and other professional advisors as they determine in their sole and absolute discretion to be necessary, advisable or appropriate in order to carry out and perform their rights and obligations hereunder. Any party receiving an Instrument from</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195" w:name="page196"/>
    <w:bookmarkEnd w:id="195"/>
    <w:p>
      <w:pPr>
        <w:ind w:right="3679"/>
        <w:spacing w:after="0" w:line="252" w:lineRule="auto"/>
        <w:rPr>
          <w:sz w:val="20"/>
          <w:szCs w:val="20"/>
          <w:color w:val="auto"/>
        </w:rPr>
      </w:pPr>
      <w:r>
        <w:rPr>
          <w:rFonts w:ascii="Courier New" w:cs="Courier New" w:eastAsia="Courier New" w:hAnsi="Courier New"/>
          <w:sz w:val="14"/>
          <w:szCs w:val="14"/>
          <w:color w:val="auto"/>
        </w:rPr>
        <w:t>the Stockholders' Representatives shall have the right to rely in good faith upon such Instrument, and to act in accordance with the Instrument without independent investigation.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10.04 NO LIABILITY OF TORO. Toro and the Surviving Corporation shall have no liability to any stockholder of Exmark or otherwise arising out of the acts or omissions of the Synergies Council, the Stockholders' Representatives or any disputes among Exmark's stockholders or among the Stockholders' Representatives. Toro and the Surviving Corporation shall have no direct liability to Exmark's stockholders under this Agreement or the other agreements referred to herein and may rely entirely on their dealings with, and notices to and from, the Stockholders' Representatives to satisfy any obligations Toro and the Surviving Corporation might have under this Agreement, any agreement referred to herein or otherwise to Exmark's stockholders. Without limiting the foregoing, delivery to the Escrow Agent of the Merger Consideration shall extinguish any obligations of Toro to Exmark's stockholders with respect to such Initial Payment Consideration and such Contingent Payment Rights, and Toro shall have no liability for subsequent misdelivery to any stockholder of Exmark by the Paying Agent or any act or omission of the Stockholders' Representatives with respect to such cash or certificates. Notwithstanding the foregoing, all rights to indemnification for acts or omissions occurring prior to the Effective Time now existing in favor of the current or former directors or officers of Exmark as provided in the New Articles of Incorporation, the bylaws or Nebraska law shall survive the Closing and shall continue in full force and effect in accordance with their terms.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AND OFFSET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11.01 SURVIVAL OF REPRESENTATIONS AND WARRANTIES. Notwithstanding any investigation made by or on behalf of any of the parties hereto or the results of any such investigation and notwithstanding the participation of such party in the Closing, the representations and warranties of Toro and Merger Subsidiary, and the representations and warranties of Exmark, contained in, or attached to, this Agreement shall survive the Closing until the Last Payment Date (the "OFFSET PERIOD") and shall have no further force or effect thereafter.</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196" w:name="page197"/>
    <w:bookmarkEnd w:id="196"/>
    <w:p>
      <w:pPr>
        <w:spacing w:after="0"/>
        <w:tabs>
          <w:tab w:leader="none" w:pos="760" w:val="left"/>
        </w:tabs>
        <w:rPr>
          <w:sz w:val="20"/>
          <w:szCs w:val="20"/>
          <w:color w:val="auto"/>
        </w:rPr>
      </w:pPr>
      <w:r>
        <w:rPr>
          <w:rFonts w:ascii="Courier New" w:cs="Courier New" w:eastAsia="Courier New" w:hAnsi="Courier New"/>
          <w:sz w:val="14"/>
          <w:szCs w:val="14"/>
          <w:color w:val="auto"/>
        </w:rPr>
        <w:t>11.02</w:t>
      </w:r>
      <w:r>
        <w:rPr>
          <w:sz w:val="20"/>
          <w:szCs w:val="20"/>
          <w:color w:val="auto"/>
        </w:rPr>
        <w:tab/>
      </w:r>
      <w:r>
        <w:rPr>
          <w:rFonts w:ascii="Courier New" w:cs="Courier New" w:eastAsia="Courier New" w:hAnsi="Courier New"/>
          <w:sz w:val="14"/>
          <w:szCs w:val="14"/>
          <w:color w:val="auto"/>
        </w:rPr>
        <w:t>RIGHT OF OFFSET.</w:t>
      </w:r>
    </w:p>
    <w:p>
      <w:pPr>
        <w:spacing w:after="0" w:line="173" w:lineRule="exact"/>
        <w:rPr>
          <w:sz w:val="20"/>
          <w:szCs w:val="20"/>
          <w:color w:val="auto"/>
        </w:rPr>
      </w:pPr>
    </w:p>
    <w:p>
      <w:pPr>
        <w:ind w:right="3339" w:firstLine="8"/>
        <w:spacing w:after="0" w:line="251" w:lineRule="auto"/>
        <w:tabs>
          <w:tab w:leader="none" w:pos="77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11.02(f) hereof, Toro shall have a right to offset (the "OFFSET RIGHT"), from time to time, against the Holdback Amount and the Contingent Payments any loss, liability, deficiency, damage, penalty, expense or cost (including reasonable legal expenses), whether or not actually incurred or paid during the Offset Period (collectively, the "LOSSES"), which Toro, the Surviving Corporation or any of their respective affiliates, officers, directors, employees or agents (the "PROTECTED PARTIES") suffers, sustains or becomes subject to, as a result of:</w:t>
      </w:r>
    </w:p>
    <w:p>
      <w:pPr>
        <w:spacing w:after="0" w:line="164" w:lineRule="exact"/>
        <w:rPr>
          <w:sz w:val="20"/>
          <w:szCs w:val="20"/>
          <w:color w:val="auto"/>
        </w:rPr>
      </w:pPr>
    </w:p>
    <w:p>
      <w:pPr>
        <w:ind w:right="3519" w:firstLine="8"/>
        <w:spacing w:after="0" w:line="251" w:lineRule="auto"/>
        <w:tabs>
          <w:tab w:leader="none" w:pos="77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misrepresentation (a "MISREPRESENTATION") in any of the representations and warranties of Exmark contained in this Agreement or in any of the exhibits, schedules, agreements, certificates and other documents delivered or to be delivered by or on behalf of Exmark pursuant to this Agreement or otherwise attached to, or referenced or incorporated in, this Agreement (collectively, the "RELATED DOCUMENTS");</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(a "BREACH") of, violation of, or failure to perform, any agreement or covenant of Exmark contained in this Agreement or any of the Related Documents prior to the Effective Time;</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Losses suffered by any of the Protected Parties and any and all Claims (as defined in SECTION 11.02(c) hereof) or threatened Claims against the Protected Parties arising out of actions or inactions of Exmark (regardless of whether there may also be a Misrepresentation arising out of such actions or inactions) prior to the Effective Time with respect to (a) any Release of any Hazardous Materials on, under or from the Real Property; (b) any environmental contamination of the Real Property, including without limitation the presence of any Hazardous Materials that have come to be located on or under the Real Property from another location; (c) any injury to the environment, or to human health or safety associated with the environment, by reason of the condition of, or activities past or present on or under, the Real Property; or</w:t>
      </w:r>
    </w:p>
    <w:p>
      <w:pPr>
        <w:spacing w:after="0" w:line="4"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any violation, or alleged violation, of any Environmental Law with respect to the Real Property or Exmark's operations at the Real Property (for purposes of this SECTION 11.02(a)(iii), the term Real Property shall include all property previously owned, used or occupied by Exmark or its predecessors), specifically including any and all costs and expenses required to cause Exmark to comply with any such Environmental Law (all such Losses, Claims and threatened Claims described in this SECTION 11.02(a)(iii) are collectively referred to as</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LOSSES");</w:t>
      </w:r>
    </w:p>
    <w:p>
      <w:pPr>
        <w:spacing w:after="0" w:line="172"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paid in respect of the Dissenting Shares in excess of the aggregate amount of the value of the Merger Consideration that the holders of such Dissenting Shares would have received in the Merger.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197" w:name="page198"/>
    <w:bookmarkEnd w:id="197"/>
    <w:p>
      <w:pPr>
        <w:ind w:right="3519"/>
        <w:spacing w:after="0" w:line="252" w:lineRule="auto"/>
        <w:rPr>
          <w:sz w:val="20"/>
          <w:szCs w:val="20"/>
          <w:color w:val="auto"/>
        </w:rPr>
      </w:pPr>
      <w:r>
        <w:rPr>
          <w:rFonts w:ascii="Courier New" w:cs="Courier New" w:eastAsia="Courier New" w:hAnsi="Courier New"/>
          <w:sz w:val="14"/>
          <w:szCs w:val="14"/>
          <w:color w:val="auto"/>
        </w:rPr>
        <w:t>Notwithstanding the foregoing, the amount of any Losses shall be offset by any insurance proceeds received by Exmark with respect to insurance policies paid for by Exmark.</w:t>
      </w:r>
    </w:p>
    <w:p>
      <w:pPr>
        <w:spacing w:after="0" w:line="163" w:lineRule="exact"/>
        <w:rPr>
          <w:sz w:val="20"/>
          <w:szCs w:val="20"/>
          <w:color w:val="auto"/>
        </w:rPr>
      </w:pPr>
    </w:p>
    <w:p>
      <w:pPr>
        <w:ind w:right="3339" w:firstLine="8"/>
        <w:spacing w:after="0" w:line="250"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may exercise its Offset Right, from time to time, in accordance with the procedures set forth in paragraphs (c) and (d) of this SECTION 11.02, against any payment or payments to be made out of the Holdback Amount or due or to become due under the Contingent Payment Rights. Each time, if any, that Toro exercises its Offset Right, Toro shall promptly deliver to the Stockholders' Representatives a schedule signed by an officer of Toro reflecting the revised payments, after giving effect to such exercise of its Offset Right, to be made to the Holders out of the Holdback Amount and/or with respect to the Contingent Payments. In the event Toro exercises its Offset Right with respect to Losses as a result of, in connection with or related to, any of the matters described in SECTION 11.02(a) above, such offset shall be applied against any payment or payments to be made out of the Holdback Amount, and any remainder of such offset shall be applied against any payment or payments due or to become due with respect to the 1998 Contingent Payment, and any remainder of such offset shall be applied against any payment or payments due or to become due with respect to the 1999 Contingent Payment. Further, if the Actual Net Worth of Exmark exceeds $8,243,000, then Toro's Offset Rights resulting from any Misrepresentation (as described in SECTION 11.02(a)(i)) or any Environmental Loss (as described in SECTION 11.02(a)(iii)) will be subject to a one-time aggregate deductible equal to the greater of $50,000 or an amount equal to 50% of the difference of the Actual Net Worth and $8,243,000. An individual Loss shall not give rise to an Offset Right unless such Loss equals or exceeds $10,000. Notwithstanding anything to the contrary in the preceding sentence, the limitation set forth in such sentence shall not apply to any Loss that relates to a claim or action that arises from the same or substantially the same facts as one or more other claims or actions and the aggregate amount of Losses so arising is at least $10,000.</w:t>
      </w:r>
    </w:p>
    <w:p>
      <w:pPr>
        <w:spacing w:after="0" w:line="176"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of the Protected Parties becomes involved in any legal, governmental or administrative proceeding which may result in Losses, or if any such proceeding is threatened or asserted (any such third party action or proceeding being referred to herein as a "CLAIM"), Toro shall promptly notify the Stockholders' Representatives in writing of the nature of any such Claim and Toro's estimate of the Losses arising therefrom.</w:t>
      </w:r>
    </w:p>
    <w:p>
      <w:pPr>
        <w:spacing w:after="0" w:line="164" w:lineRule="exact"/>
        <w:rPr>
          <w:sz w:val="20"/>
          <w:szCs w:val="20"/>
          <w:color w:val="auto"/>
        </w:rPr>
      </w:pPr>
    </w:p>
    <w:p>
      <w:pPr>
        <w:ind w:right="3519" w:firstLine="8"/>
        <w:spacing w:after="0" w:line="251" w:lineRule="auto"/>
        <w:tabs>
          <w:tab w:leader="none" w:pos="7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Representatives shall be entitled to contest and defend such Claim; provided, that the Stockholders' Representatives have a reasonable basis for concluding such defense may be successful and diligently contest and defend such Claim; provided, further, that, Toro in its sole and absolute discretion, may notify the Stockholders' Representatives at any time that any such contest or defense must be immediately terminated, in which case Toro's Offset Right with respect to such Claim shall thereupon terminate. Notice of the intention so to contest and defend shall be given by the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198" w:name="page199"/>
    <w:bookmarkEnd w:id="198"/>
    <w:p>
      <w:pPr>
        <w:ind w:right="3339"/>
        <w:spacing w:after="0" w:line="250" w:lineRule="auto"/>
        <w:rPr>
          <w:sz w:val="20"/>
          <w:szCs w:val="20"/>
          <w:color w:val="auto"/>
        </w:rPr>
      </w:pPr>
      <w:r>
        <w:rPr>
          <w:rFonts w:ascii="Courier New" w:cs="Courier New" w:eastAsia="Courier New" w:hAnsi="Courier New"/>
          <w:sz w:val="14"/>
          <w:szCs w:val="14"/>
          <w:color w:val="auto"/>
        </w:rPr>
        <w:t>Stockholders' Representatives to Toro within 20 days after Toro provides notice of such Claim (but, in all events, at least five business days prior to the date that an answer to such Claim is due to be filed). Such contest and defense shall be conducted by reputable attorneys employed by the Stockholders' Representatives. Toro shall be entitled at any time, at its own cost and expense (which expense shall not constitute a Loss unless the Stockholders' Representatives are not adequately representing or, because of a conflict of interest between, may not adequately represent, any interests of the Protected Parties, and only to the extent that such expenses are reasonable), to participate in such contest and defense and to be represented by attorneys of its own choosing. If Toro elects to participate in such defense, Toro shall cooperate with the Stockholders' Representatives in the conduct of such defense. Neither Toro nor the Stockholders' Representatives may concede, settle or compromise any Claim without the consent of the other, which consent shall not be unreasonably withheld; provided, that the Stockholders' Representatives may, without the consent of Toro, settle any Claim which is solely for money damages if the Stockholders' Representatives acknowledge that such Claim gives rise to a Loss that is subject to Toro's Offset Right hereunder and if the entire amount of the settlement amount may be recovered by Toro by means of Toro's Offset Rights hereunder. The Stockholders' Representatives shall have the right to have the cost of defense, including reasonable legal expenses, paid or reimbursed by the Surviving Corporation (such expenses to be included in calculating all Losses).</w:t>
      </w:r>
    </w:p>
    <w:p>
      <w:pPr>
        <w:spacing w:after="0" w:line="341" w:lineRule="exact"/>
        <w:rPr>
          <w:sz w:val="20"/>
          <w:szCs w:val="20"/>
          <w:color w:val="auto"/>
        </w:rPr>
      </w:pPr>
    </w:p>
    <w:p>
      <w:pPr>
        <w:ind w:right="3339" w:firstLine="8"/>
        <w:spacing w:after="0" w:line="251" w:lineRule="auto"/>
        <w:tabs>
          <w:tab w:leader="none" w:pos="77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(A) a Claim seeks equitable relief against any of the Protected Parties, (B) the subject matter of a Claim relates to the ongoing business of any of the Protected Parties, which Claim, if decided against such Protected Party, could materially adversely affect the ongoing business or reputation of such Protected Party, or (C) the estimated Losses of the Protected Parties related to the Claim exceed the amount Toro may recover using its Offset Right hereunder, then, in each such case, Toro alone shall be entitled to contest, defend and settle such Claim in the first instance and, if Toro does not contest, defend or settle such Claim, Stockholders' Representatives shall have the right to contest and defend (but not settle) such Claim.</w:t>
      </w:r>
    </w:p>
    <w:p>
      <w:pPr>
        <w:spacing w:after="0" w:line="329" w:lineRule="exact"/>
        <w:rPr>
          <w:sz w:val="20"/>
          <w:szCs w:val="20"/>
          <w:color w:val="auto"/>
        </w:rPr>
      </w:pPr>
    </w:p>
    <w:p>
      <w:pPr>
        <w:ind w:right="3339" w:firstLine="8"/>
        <w:spacing w:after="0" w:line="251" w:lineRule="auto"/>
        <w:tabs>
          <w:tab w:leader="none" w:pos="77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Toro (on behalf of itself or any Protected Party) should have a claim giving rise to an Offset Right that does not involve a Claim, Toro shall deliver a notice (the "OFFSET NOTICE") of such claim with reasonable promptness to the Stockholders' Representatives, the Escrow Agent and the Paying Agent. The Offset Notice shall include an estimate of Toro's Losses relating to such claim. If the Stockholders' Representatives notify Toro that the Stockholders' Representatives do not dispute the claim described in the Offset Notice, or if the Stockholders' Representatives fail to notify Toro within 20 days after delivery of the Offset Notice of any such dispute with respect to such claim, the Losses in the amount specified in the Offset Notice will be conclusively deemed Losses and Toro may exercise its Offset Right with respect to such amount in accordance with the Offset Notice. If the Stockholders' Representatives have timely disputed such claim, Toro's</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199" w:name="page200"/>
    <w:bookmarkEnd w:id="199"/>
    <w:p>
      <w:pPr>
        <w:ind w:right="3339"/>
        <w:spacing w:after="0" w:line="250" w:lineRule="auto"/>
        <w:rPr>
          <w:sz w:val="20"/>
          <w:szCs w:val="20"/>
          <w:color w:val="auto"/>
        </w:rPr>
      </w:pPr>
      <w:r>
        <w:rPr>
          <w:rFonts w:ascii="Courier New" w:cs="Courier New" w:eastAsia="Courier New" w:hAnsi="Courier New"/>
          <w:sz w:val="14"/>
          <w:szCs w:val="14"/>
          <w:color w:val="auto"/>
        </w:rPr>
        <w:t>Representatives and the Stockholders' Representatives will proceed in good faith to negotiate a resolution of such dispute, and if not resolved through the negotiations of such representatives within 60 days after the date of the Offset Notice of such claim, the parties agree to resolve such dispute through binding arbitration in accordance with SECTION 13.05. In addition, Toro shall make a good faith effort to deliver a report of all claims that may give rise to an Offset Right (whether or not such claims are subject to the deductible described in SECTION 11.02(b)) on a quarterly basis to the Stockholders' Representatives, the Escrow Agent and the Paying Agent. Failure on the part of Toro to provide any such report shall not prejudice in any way Toro's rights under this Agreement. Notwithstanding the foregoing, in the event that a claim is not timely reported and the Stockholder's Representatives are able to prove to the Synergies Council that, had the Stockholder's Representatives been notified of a claim within 90 days after such claim should have been reported, the Stockholder's Representatives would have contested and defended such claim and, as a result, the amount of such claim would have been less than the amount reported, then the amount of such claim for purposes of this SECTION 11.02 shall be such lesser amount.</w:t>
      </w:r>
    </w:p>
    <w:p>
      <w:pPr>
        <w:spacing w:after="0" w:line="339" w:lineRule="exact"/>
        <w:rPr>
          <w:sz w:val="20"/>
          <w:szCs w:val="20"/>
          <w:color w:val="auto"/>
        </w:rPr>
      </w:pPr>
    </w:p>
    <w:p>
      <w:pPr>
        <w:ind w:right="3339" w:firstLine="8"/>
        <w:spacing w:after="0" w:line="251" w:lineRule="auto"/>
        <w:tabs>
          <w:tab w:leader="none" w:pos="77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Claim under SECTION 11.02(c) or a dispute relating to an Offset Notice under SECTION 11.02(d), the Escrow Agent will retain property then held by it in escrow under this Agreement in an amount sufficient to satisfy the estimated value of such Claim or disputed Offset Notice until the resolution of such Claim or dispute.</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Agreement to the contrary, the right of Toro to exercise its Offset Right hereunder shall be subject to the following limitations:</w:t>
      </w:r>
    </w:p>
    <w:p>
      <w:pPr>
        <w:spacing w:after="0" w:line="163" w:lineRule="exact"/>
        <w:rPr>
          <w:sz w:val="20"/>
          <w:szCs w:val="20"/>
          <w:color w:val="auto"/>
        </w:rPr>
      </w:pPr>
    </w:p>
    <w:p>
      <w:pPr>
        <w:ind w:right="3339" w:firstLine="8"/>
        <w:spacing w:after="0" w:line="252" w:lineRule="auto"/>
        <w:tabs>
          <w:tab w:leader="none" w:pos="77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be entitled to exercise its Offset Right with respect to any Losses unless Toro delivers to the Stockholders' Representatives an Offset Notice under SECTION 11.02(d) or notice of a Claim under SECTION 11.02(c) relating to such Losses prior to the end of the Offset Period.</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be entitled to exercise its Offset Right with respect</w:t>
      </w:r>
    </w:p>
    <w:p>
      <w:pPr>
        <w:spacing w:after="0" w:line="7"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to any Losses to the extent that such Losses result from or arise out of the gross negligence or willful misconduct of Toro, any director, officer or employee of Toro or any Toro subsidiary other than Exmark prior to the Effective Time.</w:t>
      </w:r>
    </w:p>
    <w:p>
      <w:pPr>
        <w:spacing w:after="0" w:line="327" w:lineRule="exact"/>
        <w:rPr>
          <w:sz w:val="20"/>
          <w:szCs w:val="20"/>
          <w:color w:val="auto"/>
        </w:rPr>
      </w:pPr>
    </w:p>
    <w:p>
      <w:pPr>
        <w:ind w:right="3419" w:firstLine="8"/>
        <w:spacing w:after="0" w:line="251" w:lineRule="auto"/>
        <w:tabs>
          <w:tab w:leader="none" w:pos="775"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Offset Right shall be Toro's sole and exclusive remedy with respect to any Losses that any Protected Party may suffer, sustain or become subject to pursuant to the terms of this Agreement, and Toro agrees that it shall not, and hereby waives all rights to, institute or maintain any suit, proceeding or action against the Holders or utilize or exercise any other legal or equitable remedy for the purpose of recovering damages or</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200" w:name="page201"/>
    <w:bookmarkEnd w:id="200"/>
    <w:p>
      <w:pPr>
        <w:ind w:right="3339"/>
        <w:spacing w:after="0" w:line="251" w:lineRule="auto"/>
        <w:rPr>
          <w:sz w:val="20"/>
          <w:szCs w:val="20"/>
          <w:color w:val="auto"/>
        </w:rPr>
      </w:pPr>
      <w:r>
        <w:rPr>
          <w:rFonts w:ascii="Courier New" w:cs="Courier New" w:eastAsia="Courier New" w:hAnsi="Courier New"/>
          <w:sz w:val="14"/>
          <w:szCs w:val="14"/>
          <w:color w:val="auto"/>
        </w:rPr>
        <w:t>other relief with respect to any Losses (including, without limitation, an action seeking to recover any portion of the purchase price previously paid to Exmark's stockholders) except for suits, proceedings or actions necessary to enforce or implement the Offset Right; provided that, (A) nothing herein shall prevent a party from bringing an action based upon allegations of fraud or other intentional misconduct with respect to another party hereto in connection with this Agreement, and (B) nothing herein shall limit in any manner any other legal rights or remedies which any Protected Party which is a party to an agreement identified under ARTICLE XII has against another party to such agreement in accordance with the terms and conditions provided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ANCILLARY AGREEMENTS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12.01 STOCKHOLDER AGREEMENTS. Simultaneous with the execution and delivery of this Agreement, Toro, Merger Subsidiary, Exmark and each stockholder of Exmark identified on SCHEDULE 12.01 will enter into a stockholder agreement identical in form to EXHIBIT 12.01 which provides that such stockholder will vote in favor of this Agreement, the Merger, the Signing Bonuses and the New Articles of Incorporation (the "STOCKHOLDER AGREEMENTS").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12.02 AFFILIATE AGREEMENTS. Simultaneous with the execution and delivery of this Agreement, Toro and each stockholder of Exmark identified on SCHEDULE 12.02 will enter into an affiliate agreement identical in form to EXHIBIT 12.02 (the "AFFILIATE AGREEMENTS").</w:t>
      </w:r>
    </w:p>
    <w:p>
      <w:pPr>
        <w:spacing w:after="0" w:line="16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12.03 EMPLOYMENT AGREEMENTS. Simultaneous with the execution and delivery of this Agreement, Exmark and Toro (as provided below) and each of</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H. John Smith, Ray Rickard, Roger Smith, Garry Busboom and Mike Hirschman will enter into an employment agreement in the form attached hereto as</w:t>
      </w:r>
    </w:p>
    <w:p>
      <w:pPr>
        <w:spacing w:after="0" w:line="1"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EXHIBIT 12.03(a), EXHIBIT 12.03(b), EXHIBIT 12.03(c), EXHIBIT 12.03(d) and EXHIBIT 12.03(e), respectively (collectively, the "EMPLOYMENT AGREEMENTS").</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 John Smith and Ray Rickard will, at the Effective Time, collectively receive cash payments totalling $2,075,000 as signing bonuses and other consideration (the "SIGNING BONUSES") in connection with the execution of their respective Employment Agreements with Toro. In return for aggregate cash payments to be paid by Exmark prior to the Closing not to exceed $160,000 and nominal consideration from Toro, Garry Busboom and Mike Hirschman also will execute their respective Employment Agreements with Exmark and Toro. In return for nominal cash payments to be paid by Toro prior to Closing, any other person Toro may reasonably request also will execute an employment agreement similar in form to the agreement attached hereto as EXHIBIT 12.03(d), but such other person's execution of such an employment agreement shall not be a condition to Closing as described in ARTICLE VIII. During the Contingent Payment Period, H. John Smith, Roger Smith and Ray Rickard will not be eligible to receive a</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201" w:name="page202"/>
    <w:bookmarkEnd w:id="201"/>
    <w:p>
      <w:pPr>
        <w:ind w:right="3599"/>
        <w:spacing w:after="0" w:line="252" w:lineRule="auto"/>
        <w:rPr>
          <w:sz w:val="20"/>
          <w:szCs w:val="20"/>
          <w:color w:val="auto"/>
        </w:rPr>
      </w:pPr>
      <w:r>
        <w:rPr>
          <w:rFonts w:ascii="Courier New" w:cs="Courier New" w:eastAsia="Courier New" w:hAnsi="Courier New"/>
          <w:sz w:val="14"/>
          <w:szCs w:val="14"/>
          <w:color w:val="auto"/>
        </w:rPr>
        <w:t>mance bonus (except as expressly contemplated by SECTION 8.02(p) hereof), nor will they be eligible to participate in any stock option plan of Toro during such period.</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12.04 ESCROW AGREEMENT. Simultaneous with the execution and delivery of this Agreement, Toro, Exmark and Escrow Agent will enter into an escrow agreement in the form of EXHIBIT 12.04 (the "ESCROW AGREEMENT").</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12.05 PAYING AGENT AGREEMENT. Simultaneous with the execution and delivery of this Agreement, Toro, the Stockholders' Representatives and Paying Agent will enter into a paying agent agreement in the form of EXHIBIT 12.05 (the "PAYING AGENT AGREEMENT").</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12.06 STOCK FOR STOCK EXCHANGE AGREEMENT. Simultaneous with the execution and delivery of this Agreement, Exmark and Holiman will enter into a Stock for Stock Exchange Agreement in the form of EXHIBIT 12.06.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13.01 PRESS RELEASES AND ANNOUNCEMENTS. Prior to the Effective Time, no party hereto shall issue any press release (or make any other public announcement) related to this Agreement or the transactions contemplated hereby or make any announcement to the employees, customers or suppliers of Exmark without prior written approval of the other party hereto, except that Toro may issue any such release (or other announcement) as it determines, in its sole discretion, as may be necessary to comply with the requirements of this Agreement or applicable law or by obligations pursuant to any listing agreement with any national securities exchange. If Toro determines any such press release or public announcement is so required, Toro shall use reasonable efforts to consult in good faith with Exmark (but shall not be required to obtain Exmark's consent) prior to issuing such press release or making such announcement.</w:t>
      </w:r>
    </w:p>
    <w:p>
      <w:pPr>
        <w:spacing w:after="0" w:line="200" w:lineRule="exact"/>
        <w:rPr>
          <w:sz w:val="20"/>
          <w:szCs w:val="20"/>
          <w:color w:val="auto"/>
        </w:rPr>
      </w:pPr>
    </w:p>
    <w:p>
      <w:pPr>
        <w:spacing w:after="0" w:line="29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13.02 EXPENSES. Except as otherwise expressly provided for herein, Exmark, the Stockholders' Representatives, Toro and Merger Subsidiary will each pay all of their own expenses (including attorneys', financial advisors' and accountants' fees) in connection with the negotiation of this Agreement, the performance of their respective obligations under this Agreement and the Articles of Merger and the consummation of the transactions contemplated hereby and thereby (whether consummated or not). Toro shall pay for any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202" w:name="page203"/>
    <w:bookmarkEnd w:id="202"/>
    <w:p>
      <w:pPr>
        <w:ind w:right="3339"/>
        <w:spacing w:after="0" w:line="251" w:lineRule="auto"/>
        <w:rPr>
          <w:sz w:val="20"/>
          <w:szCs w:val="20"/>
          <w:color w:val="auto"/>
        </w:rPr>
      </w:pPr>
      <w:r>
        <w:rPr>
          <w:rFonts w:ascii="Courier New" w:cs="Courier New" w:eastAsia="Courier New" w:hAnsi="Courier New"/>
          <w:sz w:val="14"/>
          <w:szCs w:val="14"/>
          <w:color w:val="auto"/>
        </w:rPr>
        <w:t>environmental audit that it may cause to be performed and real estate title insurance purchased in connection with the Merger. Exmark shall pay any loan prepayment and other related fees incurred by it or Toro in connection with the Merger. Exmark and Toro shall each pay one-half of the HSR Act filing fee applicable to the Merger. Each party will indemnify and hold harmless the other against the claims of any brokers or finders in respect of the Merger.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13.03 AMENDMENT AND WAIVER. This Agreement may not be amended or waived except in a writing executed by the party against which such amendment or waiver is sought to be enforced; provided, however, that after the approval of this Agreement by Exmark's stockholders, no amendment may be made which reduces the Merger Consideration or which effects any changes which would materially adversely affect Exmark's stockholders without the further approval of Exmark's stockholders provided, however, the Stockholders' Representatives, acting through the Synergies Council, may approve waivers of and amendments to the covenants of Toro and Exmark described in ARTICLE VII, which changes may affect the Contingent Payments following the Effective Time. No course of dealing between or among any persons having any interest in this Agreement will be deemed effective to modify or amend any part of this Agreement or any rights or obligations of any person under or by reason of this Agreement.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13.04 NOTICES. All notices, demands and other communications to be given or delivered under or by reason of the provisions of this Agreement will be in writing and will be deemed to have been given when personally delivered or three days after being mailed, if mailed by first class mail, return receipt requested, or when receipt is acknowledged, if sent by facsimile, telecopy or other electronic transmission device. Notices, demands and communications to Toro, Merger Subsidiary, Exmark and the Stockholders' Representatives will, unless another address is specified in writing, be sent to the address indicated below:</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TO TORO OR MERGER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Dorsey &amp; Whitney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South Sixth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 55402</w:t>
      </w:r>
    </w:p>
    <w:p>
      <w:pPr>
        <w:spacing w:after="0" w:line="173"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(612) 887-8920</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J. Andrew Herring</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(612) 340-8738</w:t>
      </w:r>
    </w:p>
    <w:p>
      <w:pPr>
        <w:spacing w:after="0" w:line="531"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line="1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162"/>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NOTICES TO EXMARK:</w:t>
            </w:r>
          </w:p>
        </w:tc>
        <w:tc>
          <w:tcPr>
            <w:tcW w:w="232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WITH A COPY TO:</w:t>
            </w:r>
          </w:p>
        </w:tc>
        <w:tc>
          <w:tcPr>
            <w:tcW w:w="1060" w:type="dxa"/>
            <w:vAlign w:val="bottom"/>
          </w:tcPr>
          <w:p>
            <w:pPr>
              <w:spacing w:after="0"/>
              <w:rPr>
                <w:sz w:val="14"/>
                <w:szCs w:val="14"/>
                <w:color w:val="auto"/>
              </w:rPr>
            </w:pP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3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r>
      <w:tr>
        <w:trPr>
          <w:trHeight w:val="331"/>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Exmark Manufacturing Company Incorporated</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Croker, Huck, Kasher, DeWitt,</w:t>
            </w: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2101 Ashland Avenue</w:t>
            </w:r>
          </w:p>
        </w:tc>
        <w:tc>
          <w:tcPr>
            <w:tcW w:w="232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Anderson &amp;</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Gonderinger, P.C.</w:t>
            </w: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Beatrice, Nebraska</w:t>
            </w:r>
          </w:p>
        </w:tc>
        <w:tc>
          <w:tcPr>
            <w:tcW w:w="2320" w:type="dxa"/>
            <w:vAlign w:val="bottom"/>
          </w:tcPr>
          <w:p>
            <w:pPr>
              <w:jc w:val="right"/>
              <w:ind w:right="1828"/>
              <w:spacing w:after="0"/>
              <w:rPr>
                <w:sz w:val="20"/>
                <w:szCs w:val="20"/>
                <w:color w:val="auto"/>
              </w:rPr>
            </w:pPr>
            <w:r>
              <w:rPr>
                <w:rFonts w:ascii="Courier New" w:cs="Courier New" w:eastAsia="Courier New" w:hAnsi="Courier New"/>
                <w:sz w:val="14"/>
                <w:szCs w:val="14"/>
                <w:color w:val="auto"/>
                <w:w w:val="95"/>
              </w:rPr>
              <w:t>68310</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Suite 1250</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Attn: H. John Smith,</w:t>
            </w:r>
          </w:p>
        </w:tc>
        <w:tc>
          <w:tcPr>
            <w:tcW w:w="232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Commercial</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 Tower</w:t>
            </w: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2120 South</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72nd Street</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223-5489</w:t>
            </w: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Omaha, Nebraska</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68124</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Richard A. DeWitt</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390-9221</w:t>
            </w: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NOTICES TO STOCKHOLDERS' REPRESENTATIVES:</w:t>
            </w: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WITH A COPY TO:</w:t>
            </w:r>
          </w:p>
        </w:tc>
        <w:tc>
          <w:tcPr>
            <w:tcW w:w="1060" w:type="dxa"/>
            <w:vAlign w:val="bottom"/>
          </w:tcPr>
          <w:p>
            <w:pPr>
              <w:spacing w:after="0"/>
              <w:rPr>
                <w:sz w:val="24"/>
                <w:szCs w:val="24"/>
                <w:color w:val="auto"/>
              </w:rPr>
            </w:pP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r>
      <w:tr>
        <w:trPr>
          <w:trHeight w:val="331"/>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H. John Smith, Roger Smith and Ray Rickard</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Croker, Huck, Kasher, DeWitt,</w:t>
            </w: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c/o Exmark Manufacturing Company Incorporated</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Anderson &amp;</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Gonderinger, P.C.</w:t>
            </w: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2101 Ashland Avenue</w:t>
            </w:r>
          </w:p>
        </w:tc>
        <w:tc>
          <w:tcPr>
            <w:tcW w:w="232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Suite 1250</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Beatrice, Nebraska</w:t>
            </w:r>
          </w:p>
        </w:tc>
        <w:tc>
          <w:tcPr>
            <w:tcW w:w="2320" w:type="dxa"/>
            <w:vAlign w:val="bottom"/>
          </w:tcPr>
          <w:p>
            <w:pPr>
              <w:jc w:val="right"/>
              <w:ind w:right="1828"/>
              <w:spacing w:after="0"/>
              <w:rPr>
                <w:sz w:val="20"/>
                <w:szCs w:val="20"/>
                <w:color w:val="auto"/>
              </w:rPr>
            </w:pPr>
            <w:r>
              <w:rPr>
                <w:rFonts w:ascii="Courier New" w:cs="Courier New" w:eastAsia="Courier New" w:hAnsi="Courier New"/>
                <w:sz w:val="14"/>
                <w:szCs w:val="14"/>
                <w:color w:val="auto"/>
                <w:w w:val="95"/>
              </w:rPr>
              <w:t>68310</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Commercial</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 Tower</w:t>
            </w:r>
          </w:p>
        </w:tc>
      </w:tr>
      <w:tr>
        <w:trPr>
          <w:trHeight w:val="166"/>
        </w:trPr>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Omaha, Nebraska</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68124</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H. John Smith,</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2120 South</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72nd Street</w:t>
            </w: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Attn:  Richard A. DeWitt</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223-5489</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Facsimile:</w:t>
            </w:r>
          </w:p>
        </w:tc>
        <w:tc>
          <w:tcPr>
            <w:tcW w:w="15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(402) 390-9221</w:t>
            </w:r>
          </w:p>
        </w:tc>
      </w:tr>
    </w:tbl>
    <w:p>
      <w:pPr>
        <w:spacing w:after="0" w:line="33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13.05 ARBITRATION. Subject to the procedures described in SECTION 7.02 relating to certain matters concerning the Synergies Council, in the event of any claim or dispute between the parties, the parties agree to resolve such dispute through binding arbitration by a single arbitrator pursuant to the Commercial Arbitration Rules of the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204" w:name="page205"/>
    <w:bookmarkEnd w:id="204"/>
    <w:p>
      <w:pPr>
        <w:ind w:right="3339"/>
        <w:spacing w:after="0" w:line="250" w:lineRule="auto"/>
        <w:rPr>
          <w:sz w:val="20"/>
          <w:szCs w:val="20"/>
          <w:color w:val="auto"/>
        </w:rPr>
      </w:pPr>
      <w:r>
        <w:rPr>
          <w:rFonts w:ascii="Courier New" w:cs="Courier New" w:eastAsia="Courier New" w:hAnsi="Courier New"/>
          <w:sz w:val="14"/>
          <w:szCs w:val="14"/>
          <w:color w:val="auto"/>
        </w:rPr>
        <w:t>American Arbitration Association. The arbitration shall be conducted in Minneapolis, Minnesota. Any award rendered shall be final and conclusive upon the parties and a judgment thereon may be entered in any court of competent jurisdiction. All costs and expenses, including reasonable attorneys' fees and experts' fees, of all parties incurred in any dispute which is determined by arbitration pursuant to this SECTION 13.05 shall be borne by the party determined to be liable in respect of such dispute; provided, however, that if complete liability is not assessed against only one party, the parties shall share the total costs in proportion to their respective amounts of liability so determined. Except where clearly prevented by the area in dispute, the parties agree to continue performing their respective obligations under this Agreement while the dispute is being resolved. All negotiation and arbitration proceedings under this SECTION 13.05 shall be treated as confidential information in accordance with the provisions of the confidentiality agreement between Toro and Exmark, dated August 8, 1996 (the "CONFIDENTIALITY AGREEMENT"). Any arbitrator shall be bound by an agreement containing confidentiality provisions at least as restrictive as those contained in the Confidentiality Agreement. Nothing herein shall preclude a party hereto from seeking equitable relief to prevent any immediate, irreparable harm to its interest, including multiple breaches of this Agreement or the Related Documents. Otherwise, these procedures are exclusive and shall be fully exhausted prior to the initiation of any litigation. Either party may seek specific enforcement of any arbitrator's decision under this SECTION 13.05. The other party's only defense to such a request for specific enforcement shall be fraud by or on the arbitrator. No party to this Agreement shall be liable to any other party under this Agreement for any punitive, extraordinary or exemplary damages.</w:t>
      </w:r>
    </w:p>
    <w:p>
      <w:pPr>
        <w:spacing w:after="0" w:line="34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13.06 ASSIGNMENT. This Agreement and all of the provisions hereof will be binding upon and inure to the benefit of the parties hereto and their respective successors and permitted assigns, except that neither this Agreement nor any of the rights, interests or obligations hereunder may be assigned by any party hereto without the prior written consent of the other parties hereto.</w:t>
      </w:r>
    </w:p>
    <w:p>
      <w:pPr>
        <w:spacing w:after="0" w:line="165" w:lineRule="exact"/>
        <w:rPr>
          <w:sz w:val="20"/>
          <w:szCs w:val="20"/>
          <w:color w:val="auto"/>
        </w:rPr>
      </w:pPr>
    </w:p>
    <w:p>
      <w:pPr>
        <w:spacing w:after="0"/>
        <w:tabs>
          <w:tab w:leader="none" w:pos="760" w:val="left"/>
          <w:tab w:leader="none" w:pos="2060" w:val="left"/>
        </w:tabs>
        <w:rPr>
          <w:sz w:val="20"/>
          <w:szCs w:val="20"/>
          <w:color w:val="auto"/>
        </w:rPr>
      </w:pPr>
      <w:r>
        <w:rPr>
          <w:rFonts w:ascii="Courier New" w:cs="Courier New" w:eastAsia="Courier New" w:hAnsi="Courier New"/>
          <w:sz w:val="14"/>
          <w:szCs w:val="14"/>
          <w:color w:val="auto"/>
        </w:rPr>
        <w:t>13.07</w:t>
      </w:r>
      <w:r>
        <w:rPr>
          <w:sz w:val="20"/>
          <w:szCs w:val="20"/>
          <w:color w:val="auto"/>
        </w:rPr>
        <w:tab/>
      </w:r>
      <w:r>
        <w:rPr>
          <w:rFonts w:ascii="Courier New" w:cs="Courier New" w:eastAsia="Courier New" w:hAnsi="Courier New"/>
          <w:sz w:val="14"/>
          <w:szCs w:val="14"/>
          <w:color w:val="auto"/>
        </w:rPr>
        <w:t>SEVERABILITY.</w:t>
        <w:tab/>
        <w:t>Whenever possible, each provision of this Agreement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13.08 COMPLETE AGREEMENT. This Agreement, the Articles of Merger and the Related Agreements and other exhibits hereto, the Disclosure Schedule and the other documents referred to herein contain the complete agreement between the parties and supersede any prior understandings, agreements or representations by or between the parties, written or oral, which may have related to the subject matter hereof in any way;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205" w:name="page206"/>
    <w:bookmarkEnd w:id="205"/>
    <w:p>
      <w:pPr>
        <w:ind w:right="3599"/>
        <w:spacing w:after="0" w:line="255" w:lineRule="auto"/>
        <w:rPr>
          <w:sz w:val="20"/>
          <w:szCs w:val="20"/>
          <w:color w:val="auto"/>
        </w:rPr>
      </w:pPr>
      <w:r>
        <w:rPr>
          <w:rFonts w:ascii="Courier New" w:cs="Courier New" w:eastAsia="Courier New" w:hAnsi="Courier New"/>
          <w:sz w:val="14"/>
          <w:szCs w:val="14"/>
          <w:color w:val="auto"/>
        </w:rPr>
        <w:t>provided, that the Confidentiality Agreement shall remain in force and effect without modification thereof.</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13.09 COUNTERPARTS. This Agreement may be executed in one or more counterparts, any one of which need not contain the signatures of more than one party, but all such counterparts taken together will constitute one and the same instrument. Any such counterpart may be delivered by facsimile. Any party delivering a counterpart by facsimile shall deliver an original copy within 48 hours, provided that the failure to so deliver an original shall not effect the enforceability of this agreement against such party.</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13.10 GOVERNING LAW. The internal law, without regard for conflicts of laws principles, of the State of Minnesota will govern all questions concerning the construction, validity and interpretation of this Agreement and the performance of the obligations imposed by this Agreement.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13.11 EXMARK STOCKHOLDERS AS THIRD PARTY BENEFICIARIES. No third party is entitled to rely on any of the representations, warranties, covenants or agreements of Toro, Merger Subsidiary or Exmark contained in this Agreement. Toro, Merger Subsidiary and Exmark assume no liability to any third party because of any reliance on such representations, warranties, covenants and agreements. Notwithstanding the foregoing, the parties hereto agree that, following the Effective Time, the representations and warranties of Toro described in Article IV hereof shall inure to the benefit of the Holders, as if the Holders replaced Exmark as a party hereto; provided, however, that any and all actions by or on behalf of the Holders shall be effected through the Stockholders' Representatives and nothing set forth in this SECTION 13.11 shall affect the application of SECTION 13.05 as it relates to any claims or disputes under this Agreement.</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206" w:name="page207"/>
    <w:bookmarkEnd w:id="206"/>
    <w:p>
      <w:pPr>
        <w:ind w:right="3599"/>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day and year first above written.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J. Lawrence McIntyre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 and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EMCI ACQUISITION CORP.</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Dennis P. Himan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H. John Smith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President</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782" w:right="1440" w:bottom="1440" w:gutter="0" w:footer="0" w:header="0"/>
        </w:sectPr>
      </w:pPr>
    </w:p>
    <w:bookmarkStart w:id="207" w:name="page208"/>
    <w:bookmarkEnd w:id="207"/>
    <w:p>
      <w:pPr>
        <w:jc w:val="right"/>
        <w:ind w:right="3339"/>
        <w:spacing w:after="0"/>
        <w:rPr>
          <w:sz w:val="20"/>
          <w:szCs w:val="20"/>
          <w:color w:val="auto"/>
        </w:rPr>
      </w:pPr>
      <w:r>
        <w:rPr>
          <w:rFonts w:ascii="Courier New" w:cs="Courier New" w:eastAsia="Courier New" w:hAnsi="Courier New"/>
          <w:sz w:val="14"/>
          <w:szCs w:val="14"/>
          <w:color w:val="auto"/>
        </w:rPr>
        <w:t>Exhibit 2.01</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TERMS OF CONTINGENT PAYMENT RIGHTS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All capitalized terms not otherwise defined in this Exhibit 2.01(a) shall have the respective meanings ascribed thereto in the Agreement to which this Exhibit 2.01(a) is attached. Further, the parties to the Agreement acknowledge and agree that the determination of EBIT and other financial measurements described in this Exhibit 2.01(a) are defined herein solely for the purpose of determining the amount of the Contingent Payments. The actual accounting approach taken for purposes of preparing Toro's and Exmark's financial statements for financial and tax reporting purposes may differ from that described herein inasmuch as the actual accounting approach contemplates the transfer of inventory at standard costs and the allocation of other costs and revenues of Exmark and Toro on an analytical basis only.</w:t>
      </w:r>
    </w:p>
    <w:p>
      <w:pPr>
        <w:spacing w:after="0" w:line="163" w:lineRule="exact"/>
        <w:rPr>
          <w:sz w:val="20"/>
          <w:szCs w:val="20"/>
          <w:color w:val="auto"/>
        </w:rPr>
      </w:pPr>
    </w:p>
    <w:p>
      <w:pPr>
        <w:ind w:right="3419" w:firstLine="784"/>
        <w:spacing w:after="0" w:line="252" w:lineRule="auto"/>
        <w:tabs>
          <w:tab w:leader="none" w:pos="120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DETERMINING THE AMOUNT OF EACH CONTINGENT PAYMENT: For purposes of this Exhibit 2.01(a), references to any of Exmark's actual financial results shall be determined on a consolidated basis. The value of each Contingent Payment will be determined using the valuation formula ("VALUATION FORMULA") shown below:</w:t>
      </w:r>
    </w:p>
    <w:p>
      <w:pPr>
        <w:spacing w:after="0" w:line="328" w:lineRule="exact"/>
        <w:rPr>
          <w:sz w:val="20"/>
          <w:szCs w:val="20"/>
          <w:color w:val="auto"/>
        </w:rPr>
      </w:pPr>
    </w:p>
    <w:p>
      <w:pPr>
        <w:jc w:val="both"/>
        <w:ind w:left="2940" w:right="3419" w:hanging="2152"/>
        <w:spacing w:after="0" w:line="252" w:lineRule="auto"/>
        <w:tabs>
          <w:tab w:leader="none" w:pos="2920" w:val="left"/>
        </w:tabs>
        <w:rPr>
          <w:sz w:val="20"/>
          <w:szCs w:val="20"/>
          <w:color w:val="auto"/>
        </w:rPr>
      </w:pPr>
      <w:r>
        <w:rPr>
          <w:rFonts w:ascii="Courier New" w:cs="Courier New" w:eastAsia="Courier New" w:hAnsi="Courier New"/>
          <w:sz w:val="14"/>
          <w:szCs w:val="14"/>
          <w:color w:val="auto"/>
        </w:rPr>
        <w:t>Contingent Payment =</w:t>
      </w:r>
      <w:r>
        <w:rPr>
          <w:sz w:val="20"/>
          <w:szCs w:val="20"/>
          <w:color w:val="auto"/>
        </w:rPr>
        <w:tab/>
      </w:r>
      <w:r>
        <w:rPr>
          <w:rFonts w:ascii="Courier New" w:cs="Courier New" w:eastAsia="Courier New" w:hAnsi="Courier New"/>
          <w:sz w:val="14"/>
          <w:szCs w:val="14"/>
          <w:color w:val="auto"/>
        </w:rPr>
        <w:t>[(3.5) * REBIT * (1 + CAGR)] - [$30,000,000 + the amount of any prior Contingent Payment]-[Working Capital Adjustment]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1998 Contingent Payment Amount will be determined using the Valuation Formula and will be based on Exmark's recast earnings before interest and Taxes ("REBIT") for the twelve-month period ending October 31, 1998, and its compound annual growth rate ("CAGR") in Adjusted Revenue (as defined in SECTION 4 hereof) for the twelve-month period ending October 31, 1998, compared to $40,808,850 ("BASE YEAR REVENUE"), which is the amount of Exmark's actual gross sales during the twelve-month period ending October 31, 1996. For examples of how the CAGR shall be calculated, please see Appendix A.</w:t>
      </w:r>
    </w:p>
    <w:p>
      <w:pPr>
        <w:spacing w:after="0" w:line="164"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1999 Contingent Payment Amount will be determined using the Valuation Formula and will be based on Exmark's REBIT for the twelve-month period ending October 31, 1999 and its CAGR in Adjusted Revenue for the twelve-month period ending October 31, 1999, compared to the Base Year Revenue.</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Notwithstanding the foregoing, if the total value of the Contingent Payments would otherwise exceed $28,000,000 or if the total number of shares of Toro Common Stock to be issued in connection with the Contingent Payments would otherwise exceed 821,334 shares (I.E., 88% of $28,000,000 divided by $30 per share), then the value of the 1998 Contingent Payment and/or of the 1999 Contingent Payment shall be automatically reduced by the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08" w:name="page209"/>
    <w:bookmarkEnd w:id="208"/>
    <w:p>
      <w:pPr>
        <w:ind w:right="3339"/>
        <w:spacing w:after="0" w:line="252" w:lineRule="auto"/>
        <w:rPr>
          <w:sz w:val="20"/>
          <w:szCs w:val="20"/>
          <w:color w:val="auto"/>
        </w:rPr>
      </w:pPr>
      <w:r>
        <w:rPr>
          <w:rFonts w:ascii="Courier New" w:cs="Courier New" w:eastAsia="Courier New" w:hAnsi="Courier New"/>
          <w:sz w:val="14"/>
          <w:szCs w:val="14"/>
          <w:color w:val="auto"/>
        </w:rPr>
        <w:t>minimum amount necessary so that such total value will not exceed $28,000,000 or will not require the issuance of more than 821,334 shares of Toro Common Stock, respectively. In no event will the cash consideration included in each of the Contingent Payments be increased beyond 12% of each such Contingent Payment.</w:t>
      </w:r>
    </w:p>
    <w:p>
      <w:pPr>
        <w:spacing w:after="0" w:line="162" w:lineRule="exact"/>
        <w:rPr>
          <w:sz w:val="20"/>
          <w:szCs w:val="20"/>
          <w:color w:val="auto"/>
        </w:rPr>
      </w:pPr>
    </w:p>
    <w:p>
      <w:pPr>
        <w:ind w:right="3419" w:firstLine="353"/>
        <w:spacing w:after="0" w:line="251"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CALCULATING EBIT: Solely for purposes of calculating REBIT for any period, the net earnings before interest and Taxes ("EBIT") of Exmark for such period will be calculated based on the actual EBIT of Exmark for such period, determined in conformity with GAAP, but subject to the following clarifications and adjustments, if required:</w:t>
      </w:r>
    </w:p>
    <w:p>
      <w:pPr>
        <w:spacing w:after="0" w:line="165" w:lineRule="exact"/>
        <w:rPr>
          <w:sz w:val="20"/>
          <w:szCs w:val="20"/>
          <w:color w:val="auto"/>
        </w:rPr>
      </w:pPr>
    </w:p>
    <w:p>
      <w:pPr>
        <w:ind w:right="3679" w:firstLine="353"/>
        <w:spacing w:after="0" w:line="252"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EBIT, only interest paid by Exmark with respect to bank debt, intercompany debt and long-term debt (including the current portion thereof) will be added back to net earnings.</w:t>
      </w:r>
    </w:p>
    <w:p>
      <w:pPr>
        <w:spacing w:after="0" w:line="162"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costs or expenses incurred during such period that are related to or that result from the Merger will be included as either a cost or expense to Exmark in determining EBIT (I.E., no amortization of goodwill, covenants not to compete, the Signing Bonuses or other intangibles arising out of the Merger will be included in calculating EBIT).</w:t>
      </w:r>
    </w:p>
    <w:p>
      <w:pPr>
        <w:spacing w:after="0" w:line="164" w:lineRule="exact"/>
        <w:rPr>
          <w:rFonts w:ascii="Courier New" w:cs="Courier New" w:eastAsia="Courier New" w:hAnsi="Courier New"/>
          <w:sz w:val="14"/>
          <w:szCs w:val="14"/>
          <w:color w:val="auto"/>
        </w:rPr>
      </w:pPr>
    </w:p>
    <w:p>
      <w:pPr>
        <w:ind w:right="3339" w:firstLine="353"/>
        <w:spacing w:after="0" w:line="250"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Toro transfers to Exmark Toro manufactured products (including parts) that are branded for Exmark for sale by Exmark through its distribution system ("TORO SUPPLIED PRODUCTS"), for purposes of calculating EBIT, the transfer price for such Toro Supplied Products will be Toro's distributor net price minus Exmark's per unit sales, marketing, distribution and warranty costs related to the sale thereof (which will be different for wholegoods and parts) and minus an amount equal to 1.5% of Toro's distributor net price. Toro's distributor net price shall mean the price of such products published from time to time by Toro as then being in effect. At the time such Toro Supplied Products are sold, the difference between the applicable distributor net price at which such product is sold by Exmark to its distributors and the applicable transfer price will be included in determining EBIT. The amount of the gross sales determined in accordance with GAAP from the sale by Exmark of Toro Supplied Products, however, will not be included in Exmark's gross sales for purposes of determining CAGR.</w:t>
      </w:r>
    </w:p>
    <w:p>
      <w:pPr>
        <w:spacing w:after="0" w:line="172" w:lineRule="exact"/>
        <w:rPr>
          <w:rFonts w:ascii="Courier New" w:cs="Courier New" w:eastAsia="Courier New" w:hAnsi="Courier New"/>
          <w:sz w:val="14"/>
          <w:szCs w:val="14"/>
          <w:color w:val="auto"/>
        </w:rPr>
      </w:pPr>
    </w:p>
    <w:p>
      <w:pPr>
        <w:ind w:right="3419" w:firstLine="353"/>
        <w:spacing w:after="0" w:line="251"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gross sales from Exmark manufactured products (including parts) that are branded for Toro, transferred to Toro and sold by Toro ("EXMARK CROSS-BRANDED PRODUCTS") will only include an amount equal to the standard cost of such Exmark Cross-Branded Products plus, for products sold in the United States and Canada, a management fee ("MANAGEMENT FEE") equal to 3% of such amount. Standard cost shall mean the cost of such products determined in accordance with the procedure used to determine Exmark's inventory value and in accordance with GAAP.</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09" w:name="page210"/>
    <w:bookmarkEnd w:id="209"/>
    <w:p>
      <w:pPr>
        <w:ind w:right="3339" w:firstLine="353"/>
        <w:spacing w:after="0" w:line="252"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will receive, and its EBIT will include, a sales commission equal to 1% of the gross sales of Exmark Cross-Branded Products that are sold by Toro outside of the United States and Canada.</w:t>
      </w:r>
    </w:p>
    <w:p>
      <w:pPr>
        <w:spacing w:after="0" w:line="16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Toro exercises its Offset Right with respect to any Losses</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described in SECTION 11.02(a) and such Losses have been included in determining net earnings for such period, EBIT will be increased by such amount.</w:t>
      </w:r>
    </w:p>
    <w:p>
      <w:pPr>
        <w:spacing w:after="0" w:line="160" w:lineRule="exact"/>
        <w:rPr>
          <w:sz w:val="20"/>
          <w:szCs w:val="20"/>
          <w:color w:val="auto"/>
        </w:rPr>
      </w:pPr>
    </w:p>
    <w:p>
      <w:pPr>
        <w:ind w:right="3519" w:firstLine="353"/>
        <w:spacing w:after="0" w:line="255" w:lineRule="auto"/>
        <w:tabs>
          <w:tab w:leader="none" w:pos="77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allocation of any of Toro's corporate or administrative burden or overhead that may be allocated to Exmark will be included in calculating EBIT.</w:t>
      </w:r>
    </w:p>
    <w:p>
      <w:pPr>
        <w:spacing w:after="0" w:line="159"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Incidental costs related to the participation by Exmark's management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Toro's corporate functions, activities and meetings will not be an adjustment to EBIT.</w:t>
      </w:r>
    </w:p>
    <w:p>
      <w:pPr>
        <w:spacing w:after="0" w:line="160" w:lineRule="exact"/>
        <w:rPr>
          <w:sz w:val="20"/>
          <w:szCs w:val="20"/>
          <w:color w:val="auto"/>
        </w:rPr>
      </w:pPr>
    </w:p>
    <w:p>
      <w:pPr>
        <w:ind w:right="3419" w:firstLine="353"/>
        <w:spacing w:after="0" w:line="252" w:lineRule="auto"/>
        <w:tabs>
          <w:tab w:leader="none" w:pos="77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 will be reduced by the amount of all compensation and benefits paid by Toro or the Toro Sales Company to former employees of Exmark or Holiman after the Effective Time, except for the Signing Bonuses.</w:t>
      </w:r>
    </w:p>
    <w:p>
      <w:pPr>
        <w:spacing w:after="0" w:line="162" w:lineRule="exact"/>
        <w:rPr>
          <w:rFonts w:ascii="Courier New" w:cs="Courier New" w:eastAsia="Courier New" w:hAnsi="Courier New"/>
          <w:sz w:val="14"/>
          <w:szCs w:val="14"/>
          <w:color w:val="auto"/>
        </w:rPr>
      </w:pPr>
    </w:p>
    <w:p>
      <w:pPr>
        <w:jc w:val="both"/>
        <w:ind w:right="3519" w:firstLine="353"/>
        <w:spacing w:after="0" w:line="252" w:lineRule="auto"/>
        <w:tabs>
          <w:tab w:leader="none" w:pos="77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Toro agree that no actual cash payments may be made with respect to the inter-company transfers and adjustments described herein, but rather such transfers and adjustments are expected to be made only in the form of accounting adjustments to an inter-company account or accounts.</w:t>
      </w:r>
    </w:p>
    <w:p>
      <w:pPr>
        <w:spacing w:after="0" w:line="162" w:lineRule="exact"/>
        <w:rPr>
          <w:sz w:val="20"/>
          <w:szCs w:val="20"/>
          <w:color w:val="auto"/>
        </w:rPr>
      </w:pPr>
    </w:p>
    <w:p>
      <w:pPr>
        <w:ind w:right="3519" w:firstLine="353"/>
        <w:spacing w:after="0" w:line="252" w:lineRule="auto"/>
        <w:tabs>
          <w:tab w:leader="none" w:pos="77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CALCULATING REBIT: REBIT for any period will mean the EBIT of Exmark for such period (determined in the manner described above) subject to the following adjustments:</w:t>
      </w:r>
    </w:p>
    <w:p>
      <w:pPr>
        <w:spacing w:after="0" w:line="163" w:lineRule="exact"/>
        <w:rPr>
          <w:sz w:val="20"/>
          <w:szCs w:val="20"/>
          <w:color w:val="auto"/>
        </w:rPr>
      </w:pPr>
    </w:p>
    <w:p>
      <w:pPr>
        <w:ind w:right="3859" w:firstLine="353"/>
        <w:spacing w:after="0" w:line="255" w:lineRule="auto"/>
        <w:tabs>
          <w:tab w:leader="none" w:pos="77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Plus the amount of the Cross-Branding REBIT Factor (as defined in SECTION 5 hereof) for such period;</w:t>
      </w:r>
    </w:p>
    <w:p>
      <w:pPr>
        <w:spacing w:after="0" w:line="159" w:lineRule="exact"/>
        <w:rPr>
          <w:rFonts w:ascii="Courier New" w:cs="Courier New" w:eastAsia="Courier New" w:hAnsi="Courier New"/>
          <w:sz w:val="14"/>
          <w:szCs w:val="14"/>
          <w:color w:val="auto"/>
        </w:rPr>
      </w:pPr>
    </w:p>
    <w:p>
      <w:pPr>
        <w:ind w:right="3519" w:firstLine="353"/>
        <w:spacing w:after="0" w:line="251" w:lineRule="auto"/>
        <w:tabs>
          <w:tab w:leader="none" w:pos="77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Minus 100% of all cost savings realized during such period by Exmark, determined based on Exmark's 2001 Plan, a true and complete copy of which has been provided to Toro in the Disclosure Schedule, (i) resulting from Exmark being a subsidiary of Toro and (ii) relating to insurance and risk management expenses (including product liability, general liability and workers compensation expenses), and legal, human resources, administration and floor plan expenses (including reduced interest costs);</w:t>
      </w:r>
    </w:p>
    <w:p>
      <w:pPr>
        <w:spacing w:after="0" w:line="164" w:lineRule="exact"/>
        <w:rPr>
          <w:rFonts w:ascii="Courier New" w:cs="Courier New" w:eastAsia="Courier New" w:hAnsi="Courier New"/>
          <w:sz w:val="14"/>
          <w:szCs w:val="14"/>
          <w:color w:val="auto"/>
        </w:rPr>
      </w:pPr>
    </w:p>
    <w:p>
      <w:pPr>
        <w:ind w:right="3419" w:firstLine="353"/>
        <w:spacing w:after="0" w:line="251" w:lineRule="auto"/>
        <w:tabs>
          <w:tab w:leader="none" w:pos="77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Minus 50% of all operating cost savings realized during such period by Exmark, determined based on Exmark's 2001 Plan (I.E., those savings affecting Exmark's on-going operations, such as printing and transportation costs), directly or indirectly resulting from Exmark being a subsidiary of Toro, other than cost savings resulting from (i) reduced purchasing costs related to Exmark becoming a part of Toro's purchasing group, (ii) changes in the senior management compensation structure following the Merger and (iii) the cost savings included in SECTION 3(b) hereof;</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10" w:name="page211"/>
    <w:bookmarkEnd w:id="210"/>
    <w:p>
      <w:pPr>
        <w:ind w:left="-353" w:right="3519" w:firstLine="353"/>
        <w:spacing w:after="0" w:line="251" w:lineRule="auto"/>
        <w:tabs>
          <w:tab w:leader="none" w:pos="42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Minus 50% of all cost savings realized during such period by Exmark, determined based on Exmark's 2001 Plan, resulting from changes in the stand-alone status of Exmark contemplated by this Agreement; provided that, prior to making each such change, the Synergies Council approves such change (the parties acknowledge that only matters involving more than $10,000 will be presented to the Synergies Council);</w:t>
      </w:r>
    </w:p>
    <w:p>
      <w:pPr>
        <w:spacing w:after="0" w:line="164" w:lineRule="exact"/>
        <w:rPr>
          <w:rFonts w:ascii="Courier New" w:cs="Courier New" w:eastAsia="Courier New" w:hAnsi="Courier New"/>
          <w:sz w:val="14"/>
          <w:szCs w:val="14"/>
          <w:color w:val="auto"/>
        </w:rPr>
      </w:pPr>
    </w:p>
    <w:p>
      <w:pPr>
        <w:ind w:left="-353" w:right="3339" w:firstLine="353"/>
        <w:spacing w:after="0" w:line="251" w:lineRule="auto"/>
        <w:tabs>
          <w:tab w:leader="none" w:pos="42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Plus 100% of any additional costs incurred during such period by Exmark, determined based on Exmark's 2001 Plan, resulting from changes in the stand-alone status of Exmark contemplated by the this Agreement (E.G., an additional cost incurred by Exmark at Toro's request for Toro's benefit); provided that, prior to making each such change, the Synergies Council approves such change (the parties acknowledge that only matters involving more than $10,000 will be presented to the Synergies Council);</w:t>
      </w:r>
    </w:p>
    <w:p>
      <w:pPr>
        <w:spacing w:after="0" w:line="164" w:lineRule="exact"/>
        <w:rPr>
          <w:rFonts w:ascii="Courier New" w:cs="Courier New" w:eastAsia="Courier New" w:hAnsi="Courier New"/>
          <w:sz w:val="14"/>
          <w:szCs w:val="14"/>
          <w:color w:val="auto"/>
        </w:rPr>
      </w:pPr>
    </w:p>
    <w:p>
      <w:pPr>
        <w:ind w:left="-353" w:right="3679" w:firstLine="353"/>
        <w:spacing w:after="0" w:line="255" w:lineRule="auto"/>
        <w:tabs>
          <w:tab w:leader="none" w:pos="42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Minus all Management Fees paid by Toro to Exmark during such period with respect to Exmark Cross-Branded Products; and</w:t>
      </w:r>
    </w:p>
    <w:p>
      <w:pPr>
        <w:spacing w:after="0" w:line="159" w:lineRule="exact"/>
        <w:rPr>
          <w:rFonts w:ascii="Courier New" w:cs="Courier New" w:eastAsia="Courier New" w:hAnsi="Courier New"/>
          <w:sz w:val="14"/>
          <w:szCs w:val="14"/>
          <w:color w:val="auto"/>
        </w:rPr>
      </w:pPr>
    </w:p>
    <w:p>
      <w:pPr>
        <w:ind w:left="-353" w:right="3599" w:firstLine="353"/>
        <w:spacing w:after="0" w:line="251" w:lineRule="auto"/>
        <w:tabs>
          <w:tab w:leader="none" w:pos="42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Exmark does not maintain the minimum marketing and engineering expenditure levels specified in SECTION 7.01(l) of the Agreement, minus the difference between such minimum amount(s) and Exmark's actual respective expenditure levels (I.E., such cost savings will not increase the amount of either Contingent Payment).</w:t>
      </w:r>
    </w:p>
    <w:p>
      <w:pPr>
        <w:spacing w:after="0" w:line="165" w:lineRule="exact"/>
        <w:rPr>
          <w:sz w:val="20"/>
          <w:szCs w:val="20"/>
          <w:color w:val="auto"/>
        </w:rPr>
      </w:pPr>
    </w:p>
    <w:p>
      <w:pPr>
        <w:jc w:val="both"/>
        <w:ind w:left="-353" w:right="3339" w:firstLine="353"/>
        <w:spacing w:after="0" w:line="252" w:lineRule="auto"/>
        <w:tabs>
          <w:tab w:leader="none" w:pos="422"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CALCULATING CAGR; ADJUSTED REVENUE: For purposes of determining CAGR, the "ADJUSTED REVENUE" of Exmark for any period will be calculated based on the actual gross sales of Exmark for such period determined in accordance with GAAP, but subject to the following adjustments:</w:t>
      </w:r>
    </w:p>
    <w:p>
      <w:pPr>
        <w:spacing w:after="0" w:line="162" w:lineRule="exact"/>
        <w:rPr>
          <w:sz w:val="20"/>
          <w:szCs w:val="20"/>
          <w:color w:val="auto"/>
        </w:rPr>
      </w:pPr>
    </w:p>
    <w:p>
      <w:pPr>
        <w:ind w:left="-353" w:right="3519" w:firstLine="353"/>
        <w:spacing w:after="0" w:line="252" w:lineRule="auto"/>
        <w:tabs>
          <w:tab w:leader="none" w:pos="42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gross sales of any Exmark Cross-Branded Products (including parts) supplied to Toro during such period will be included in the gross sales of Exmark;</w:t>
      </w:r>
    </w:p>
    <w:p>
      <w:pPr>
        <w:spacing w:after="0" w:line="162" w:lineRule="exact"/>
        <w:rPr>
          <w:rFonts w:ascii="Courier New" w:cs="Courier New" w:eastAsia="Courier New" w:hAnsi="Courier New"/>
          <w:sz w:val="14"/>
          <w:szCs w:val="14"/>
          <w:color w:val="auto"/>
        </w:rPr>
      </w:pPr>
    </w:p>
    <w:p>
      <w:pPr>
        <w:ind w:left="-353" w:right="3339" w:firstLine="353"/>
        <w:spacing w:after="0" w:line="252" w:lineRule="auto"/>
        <w:tabs>
          <w:tab w:leader="none" w:pos="42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Cross-Branding Revenue Factor (as defined in SECTION 5 hereof) for such period will be added to the gross sales of Exmark for such period; and</w:t>
      </w:r>
    </w:p>
    <w:p>
      <w:pPr>
        <w:spacing w:after="0" w:line="162" w:lineRule="exact"/>
        <w:rPr>
          <w:rFonts w:ascii="Courier New" w:cs="Courier New" w:eastAsia="Courier New" w:hAnsi="Courier New"/>
          <w:sz w:val="14"/>
          <w:szCs w:val="14"/>
          <w:color w:val="auto"/>
        </w:rPr>
      </w:pPr>
    </w:p>
    <w:p>
      <w:pPr>
        <w:ind w:left="-353" w:right="3599" w:firstLine="353"/>
        <w:spacing w:after="0" w:line="255" w:lineRule="auto"/>
        <w:tabs>
          <w:tab w:leader="none" w:pos="42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gross sales from the sale by Exmark of any Toro Supplied Products will be included in the gross sales of Exmark.</w:t>
      </w:r>
    </w:p>
    <w:p>
      <w:pPr>
        <w:spacing w:after="0" w:line="160" w:lineRule="exact"/>
        <w:rPr>
          <w:sz w:val="20"/>
          <w:szCs w:val="20"/>
          <w:color w:val="auto"/>
        </w:rPr>
      </w:pPr>
    </w:p>
    <w:p>
      <w:pPr>
        <w:ind w:left="427" w:hanging="427"/>
        <w:spacing w:after="0"/>
        <w:tabs>
          <w:tab w:leader="none" w:pos="42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CROSS-BRANDING:</w:t>
      </w:r>
    </w:p>
    <w:p>
      <w:pPr>
        <w:spacing w:after="0" w:line="173" w:lineRule="exact"/>
        <w:rPr>
          <w:sz w:val="20"/>
          <w:szCs w:val="20"/>
          <w:color w:val="auto"/>
        </w:rPr>
      </w:pPr>
    </w:p>
    <w:p>
      <w:pPr>
        <w:ind w:left="-353" w:right="3339" w:firstLine="353"/>
        <w:spacing w:after="0" w:line="251" w:lineRule="auto"/>
        <w:tabs>
          <w:tab w:leader="none" w:pos="422"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"CROSS-BRANDING REVENUE FACTOR" for determining the 1998 Contingent Payment is an amount equal to (a) the aggregate sum of the number of Toro-branded Exmark products sold by Toro in the United States or Canada (whether manufactured by Toro or by Exmark) during the period from the Effective Time to October 31, 1998, multiplied by (b) the applicable "Cross-Branding Revenue Per Unit" for each such product as determined based upon Exmark's published distributor net price for such period in the</w:t>
      </w:r>
    </w:p>
    <w:p>
      <w:pPr>
        <w:spacing w:after="0" w:line="330" w:lineRule="exact"/>
        <w:rPr>
          <w:sz w:val="20"/>
          <w:szCs w:val="20"/>
          <w:color w:val="auto"/>
        </w:rPr>
      </w:pPr>
    </w:p>
    <w:p>
      <w:pPr>
        <w:ind w:left="2747"/>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86"/>
          </w:cols>
          <w:pgMar w:left="573" w:top="616" w:right="1440" w:bottom="1440" w:gutter="0" w:footer="0" w:header="0"/>
        </w:sectPr>
      </w:pPr>
    </w:p>
    <w:bookmarkStart w:id="211" w:name="page212"/>
    <w:bookmarkEnd w:id="211"/>
    <w:p>
      <w:pPr>
        <w:ind w:right="3339"/>
        <w:spacing w:after="0" w:line="251" w:lineRule="auto"/>
        <w:rPr>
          <w:sz w:val="20"/>
          <w:szCs w:val="20"/>
          <w:color w:val="auto"/>
        </w:rPr>
      </w:pPr>
      <w:r>
        <w:rPr>
          <w:rFonts w:ascii="Courier New" w:cs="Courier New" w:eastAsia="Courier New" w:hAnsi="Courier New"/>
          <w:sz w:val="14"/>
          <w:szCs w:val="14"/>
          <w:color w:val="auto"/>
        </w:rPr>
        <w:t>manner shown in APPENDIX B. The Cross-Branding Revenue Factor for determining the 1999 Contingent Payment is an amount equal to (a) the aggregate sum of the number of different Toro-branded Exmark products sold by Toro in the United States or Canada (whether manufactured by Toro or by Exmark) during the twelve-month period ending October 31, 1999, multiplied by (b) the applicable "Cross-Branding Revenue Per Unit" for each such product as determined based upon Exmark's published distributor net price for such period in the manner shown in APPENDIX C. For purposes of computing the Cross-Branding Revenue Factor and the Cross-Branding REBIT Factor, product manufactured by Exmark for Toro will be regarded as "sold" upon shipment by Exmark to Toro.</w:t>
      </w:r>
    </w:p>
    <w:p>
      <w:pPr>
        <w:spacing w:after="0" w:line="163" w:lineRule="exact"/>
        <w:rPr>
          <w:sz w:val="20"/>
          <w:szCs w:val="20"/>
          <w:color w:val="auto"/>
        </w:rPr>
      </w:pPr>
    </w:p>
    <w:p>
      <w:pPr>
        <w:ind w:right="3339" w:firstLine="353"/>
        <w:spacing w:after="0" w:line="251" w:lineRule="auto"/>
        <w:tabs>
          <w:tab w:leader="none" w:pos="77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"CROSS-BRANDING REBIT FACTOR" for determining the 1998 Contingent Payment is an amount equal to 12.5% of the Cross-Branding Revenue Factor used to determine the 1998 Contingent Payment as described in SECTION 5(a). The Cross-Branding REBIT Factor for determining the 1999 Contingent Payment is an amount equal to 10% of the Cross-Branding Revenue Factor used to determine the 1999 Contingent Payment as described in SECTION 5(a).</w:t>
      </w:r>
    </w:p>
    <w:p>
      <w:pPr>
        <w:spacing w:after="0" w:line="164" w:lineRule="exact"/>
        <w:rPr>
          <w:sz w:val="20"/>
          <w:szCs w:val="20"/>
          <w:color w:val="auto"/>
        </w:rPr>
      </w:pPr>
    </w:p>
    <w:p>
      <w:pPr>
        <w:ind w:right="3339" w:firstLine="353"/>
        <w:spacing w:after="0" w:line="251" w:lineRule="auto"/>
        <w:tabs>
          <w:tab w:leader="none" w:pos="7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ADJUSTMENT: The "WORKING CAPITAL ADJUSTMENT" will be the greater of (a) 10% of the excess, if any, of (i) the Average Working Capital (as defined below in this SECTION 6) of Exmark during such period over (ii) 22% of the actual cost of goods sold of Exmark during such period determined in conformity with GAAP and (b) zero. "AVERAGE WORKING CAPITAL" of Exmark for any period will be the average of the month-end differences between the current assets, excluding cash, of Exmark and the current liabilities, excluding intercompany debt and the current portion of long-term debt, of Exmark during such period, in each case, determined in accordance with GAAP.</w:t>
      </w:r>
    </w:p>
    <w:p>
      <w:pPr>
        <w:spacing w:after="0" w:line="163"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Within 60 days after the end of each fiscal year during the Contingent Payment Period, the parties shall prepare and deliver to the Synergies Council a statement (a "CONTINGENT PAYMENT STATEMENT"), which shall identify the gross sales, EBIT, REBIT, CAGR and Working Capital Adjustment of Exmark for such fiscal year (including the manner of determination) in reasonable detail and the amount of the Contingent Payment to be made with respect to such fiscal year. All amounts used in a Contingent Payment Statement to determine a Contingent Payment will be based on the final audited financial statements of Toro, subject to adjustment by the Synergies Council to reflect differences between Toro's accounting practices and those used by Exmark in its audited financial statements for the two year period ended August 31, 1996. In addition, upon the reasonable request of the Stockholders' Representatives, Toro will provide quarterly or other periodic reports to the Stockholders' Representatives, which will include estimates of the various factors included in the Valuation Formula.</w:t>
      </w:r>
    </w:p>
    <w:p>
      <w:pPr>
        <w:spacing w:after="0" w:line="328"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The Contingent Payment Statement shall be subject to review and verification by the Stockholders' Representatives. Toro shall permit the Stockholders' Representatives and their representatives to have reasonable access to the data and information on which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12" w:name="page213"/>
    <w:bookmarkEnd w:id="212"/>
    <w:p>
      <w:pPr>
        <w:ind w:right="4019"/>
        <w:spacing w:after="0" w:line="255" w:lineRule="auto"/>
        <w:rPr>
          <w:sz w:val="20"/>
          <w:szCs w:val="20"/>
          <w:color w:val="auto"/>
        </w:rPr>
      </w:pPr>
      <w:r>
        <w:rPr>
          <w:rFonts w:ascii="Courier New" w:cs="Courier New" w:eastAsia="Courier New" w:hAnsi="Courier New"/>
          <w:sz w:val="14"/>
          <w:szCs w:val="14"/>
          <w:color w:val="auto"/>
        </w:rPr>
        <w:t>Contingent Payment Statement was prepared and to Toro's employees and/or representatives who assisted in its preparation.</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Stockholders' Representatives shall be deemed to have accepted the Contingent Payment Statement and the Contingent Payment indicated therein, on behalf of the Holders, unless within 20 days after the date of delivery of the Contingent Payment Statement, the Stockholders' Representatives give written notice to Toro of objection to any item thereon, which notice shall specify in reasonable detail the basis for such objection. If the Stockholders' Representatives give such notice of objection, Toro's Representatives and the Stockholders' Representatives shall attempt in good faith to resolve the dispute as promptly as possible.</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If Toro's Representatives and the Stockholders' Representatives have not been able to agree upon a resolution of the dispute within 30 days after the date the Stockholders' Representatives gave such notice of objection, either group of representatives shall request that the matter be reviewed by Toro's Office of the President and if the matter is not resolved upon such review, such dispute shall be resolved by nonbinding mediation in the jurisdiction of the principal office of Toro within 90 days after such date. In the event such dispute is not resolved by such mediation, such dispute shall be fully and finally resolved by binding arbitration in the manner described in</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13.05. All negotiations pursuant to this section shall be treated as compromise and settlement negotiations for purposes of Rule 408 of the Federal Rules of Evidence and comparable state rules of evidence. All negotiation, mediation and arbitration proceedings under this section shall be treated as confidential information in accordance with the provisions of the Confidentiality Agreement. Any mediator or arbitrator shall be bound by an agreement containing confidentiality provisions at least as restrictive as those contained in the Confidentiality Agreement.</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13" w:name="page214"/>
    <w:bookmarkEnd w:id="213"/>
    <w:p>
      <w:pPr>
        <w:jc w:val="right"/>
        <w:ind w:right="3339"/>
        <w:spacing w:after="0"/>
        <w:rPr>
          <w:sz w:val="20"/>
          <w:szCs w:val="20"/>
          <w:color w:val="auto"/>
        </w:rPr>
      </w:pPr>
      <w:r>
        <w:rPr>
          <w:rFonts w:ascii="Courier New" w:cs="Courier New" w:eastAsia="Courier New" w:hAnsi="Courier New"/>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COMPOUND ANNUAL GROWTH RATE FORMULA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CAGR = [(FV/PV) 1/n - 1] * 100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w:t>
      </w:r>
    </w:p>
    <w:p>
      <w:pPr>
        <w:spacing w:after="0" w:line="7" w:lineRule="exact"/>
        <w:rPr>
          <w:sz w:val="20"/>
          <w:szCs w:val="20"/>
          <w:color w:val="auto"/>
        </w:rPr>
      </w:pPr>
    </w:p>
    <w:p>
      <w:pPr>
        <w:ind w:left="360" w:right="4719"/>
        <w:spacing w:after="0" w:line="250" w:lineRule="auto"/>
        <w:rPr>
          <w:sz w:val="20"/>
          <w:szCs w:val="20"/>
          <w:color w:val="auto"/>
        </w:rPr>
      </w:pPr>
      <w:r>
        <w:rPr>
          <w:rFonts w:ascii="Courier New" w:cs="Courier New" w:eastAsia="Courier New" w:hAnsi="Courier New"/>
          <w:sz w:val="14"/>
          <w:szCs w:val="14"/>
          <w:color w:val="auto"/>
        </w:rPr>
        <w:t>FV (future value) = 1998 Sales or 1999 Sales, as applicable PV (present value) = 1996 Sales (Base Year)</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 = either 2 or 3 periods from the Base Year, as applicable</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EXAMPLE OF COMPOUND ANNUAL GROWTH RATE CALCULATION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EXAMPLE 1</w:t>
            </w:r>
          </w:p>
        </w:tc>
        <w:tc>
          <w:tcPr>
            <w:tcW w:w="124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97"/>
              </w:rPr>
              <w:t>EXAMPLE 2</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Sales (Base Year)</w:t>
            </w:r>
          </w:p>
        </w:tc>
        <w:tc>
          <w:tcPr>
            <w:tcW w:w="6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40,000</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40,000</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6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45,000</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55,000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Annual Growth Rate</w:t>
            </w:r>
          </w:p>
        </w:tc>
        <w:tc>
          <w:tcPr>
            <w:tcW w:w="6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12.5%</w:t>
            </w:r>
          </w:p>
        </w:tc>
        <w:tc>
          <w:tcPr>
            <w:tcW w:w="64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37.5%</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6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60,000</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60,000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Annual Growth Rate</w:t>
            </w:r>
          </w:p>
        </w:tc>
        <w:tc>
          <w:tcPr>
            <w:tcW w:w="6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33.3%</w:t>
            </w:r>
          </w:p>
        </w:tc>
        <w:tc>
          <w:tcPr>
            <w:tcW w:w="64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9.1%</w:t>
            </w: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AVERAGE ANNUAL GROWTH RATE</w:t>
            </w:r>
          </w:p>
        </w:tc>
        <w:tc>
          <w:tcPr>
            <w:tcW w:w="68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22.9%</w:t>
            </w:r>
          </w:p>
        </w:tc>
        <w:tc>
          <w:tcPr>
            <w:tcW w:w="6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23.3%</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COMPOUND ANNUAL GROWTH RATE</w:t>
            </w:r>
          </w:p>
        </w:tc>
        <w:tc>
          <w:tcPr>
            <w:tcW w:w="6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22.5%</w:t>
            </w:r>
          </w:p>
        </w:tc>
        <w:tc>
          <w:tcPr>
            <w:tcW w:w="64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22.5%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NOTE:</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comparing Examples 1 and 2, note that Average Annual Growth Rate fluctuates as 1997 sales fluctuate.</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calculating Compound Annual Growth Rate, the parties will consider only the first and last relevant years' data. In the above examples, although 1997 sales fluctuate, the Compound Annual Growth Rate does not. Another way to understand Compound Annual Growth Rate is to determine "By what consistent percentage would sales have to grow each year in order to attain the same dollar amount of Sales?" In this example the answer is 22.5% ($40,000 * 1.225 = $49,000 * 1.225 = $60,025).</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14" w:name="page215"/>
    <w:bookmarkEnd w:id="214"/>
    <w:p>
      <w:pPr>
        <w:ind w:left="5860"/>
        <w:spacing w:after="0"/>
        <w:rPr>
          <w:sz w:val="20"/>
          <w:szCs w:val="20"/>
          <w:color w:val="auto"/>
        </w:rPr>
      </w:pPr>
      <w:r>
        <w:rPr>
          <w:rFonts w:ascii="Courier New" w:cs="Courier New" w:eastAsia="Courier New" w:hAnsi="Courier New"/>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1998 Cannibalization Calculations</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Cannibalization factor</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0.25</w:t>
            </w:r>
          </w:p>
        </w:tc>
        <w:tc>
          <w:tcPr>
            <w:tcW w:w="146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 factor</w:t>
            </w:r>
          </w:p>
        </w:tc>
        <w:tc>
          <w:tcPr>
            <w:tcW w:w="1240" w:type="dxa"/>
            <w:vAlign w:val="bottom"/>
          </w:tcPr>
          <w:p>
            <w:pPr>
              <w:spacing w:after="0"/>
              <w:rPr>
                <w:sz w:val="14"/>
                <w:szCs w:val="14"/>
                <w:color w:val="auto"/>
              </w:rPr>
            </w:pP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0.125</w:t>
            </w:r>
          </w:p>
        </w:tc>
        <w:tc>
          <w:tcPr>
            <w:tcW w:w="1420" w:type="dxa"/>
            <w:vAlign w:val="bottom"/>
          </w:tcPr>
          <w:p>
            <w:pPr>
              <w:spacing w:after="0"/>
              <w:rPr>
                <w:sz w:val="14"/>
                <w:szCs w:val="14"/>
                <w:color w:val="auto"/>
              </w:rPr>
            </w:pPr>
          </w:p>
        </w:tc>
      </w:tr>
      <w:tr>
        <w:trPr>
          <w:trHeight w:val="663"/>
        </w:trPr>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Published Dist.</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Cross-Branding</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Cross-Branding</w:t>
            </w:r>
          </w:p>
        </w:tc>
      </w:tr>
      <w:tr>
        <w:trPr>
          <w:trHeight w:val="166"/>
        </w:trPr>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Net Price</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Parts %</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DN</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Revenue Per Unit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REBIT Per Unit</w:t>
            </w:r>
          </w:p>
        </w:tc>
      </w:tr>
      <w:tr>
        <w:trPr>
          <w:trHeight w:val="166"/>
        </w:trPr>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020" w:type="dxa"/>
            <w:vAlign w:val="bottom"/>
          </w:tcPr>
          <w:p>
            <w:pPr>
              <w:spacing w:after="0"/>
              <w:rPr>
                <w:sz w:val="20"/>
                <w:szCs w:val="20"/>
                <w:color w:val="auto"/>
              </w:rPr>
            </w:pPr>
            <w:r>
              <w:rPr>
                <w:rFonts w:ascii="Courier New" w:cs="Courier New" w:eastAsia="Courier New" w:hAnsi="Courier New"/>
                <w:sz w:val="14"/>
                <w:szCs w:val="14"/>
                <w:color w:val="auto"/>
              </w:rPr>
              <w:t>WAM Gear</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13/36 Koh</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1386</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346.50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43.31</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13/36 Kaw</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1386</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346.50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43.31</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15/48 Koh</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1575</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393.75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49.22</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15/48 Kaw</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1575</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393.75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49.22</w:t>
            </w:r>
          </w:p>
        </w:tc>
      </w:tr>
      <w:tr>
        <w:trPr>
          <w:trHeight w:val="331"/>
        </w:trPr>
        <w:tc>
          <w:tcPr>
            <w:tcW w:w="2020" w:type="dxa"/>
            <w:vAlign w:val="bottom"/>
          </w:tcPr>
          <w:p>
            <w:pPr>
              <w:spacing w:after="0"/>
              <w:rPr>
                <w:sz w:val="20"/>
                <w:szCs w:val="20"/>
                <w:color w:val="auto"/>
              </w:rPr>
            </w:pPr>
            <w:r>
              <w:rPr>
                <w:rFonts w:ascii="Courier New" w:cs="Courier New" w:eastAsia="Courier New" w:hAnsi="Courier New"/>
                <w:sz w:val="14"/>
                <w:szCs w:val="14"/>
                <w:color w:val="auto"/>
              </w:rPr>
              <w:t>WAM Hydro</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13/36 Koh</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1947.4</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13/36 Kaw</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1947.4</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15/48 Koh</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2020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2161.4</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540.35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67.54</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15/48 Kaw</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2020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2161.4</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540.35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67.54</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16/52 Van</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2354</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588.50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73.56</w:t>
            </w:r>
          </w:p>
        </w:tc>
      </w:tr>
      <w:tr>
        <w:trPr>
          <w:trHeight w:val="331"/>
        </w:trPr>
        <w:tc>
          <w:tcPr>
            <w:tcW w:w="2020" w:type="dxa"/>
            <w:vAlign w:val="bottom"/>
          </w:tcPr>
          <w:p>
            <w:pPr>
              <w:spacing w:after="0"/>
              <w:rPr>
                <w:sz w:val="20"/>
                <w:szCs w:val="20"/>
                <w:color w:val="auto"/>
              </w:rPr>
            </w:pPr>
            <w:r>
              <w:rPr>
                <w:rFonts w:ascii="Courier New" w:cs="Courier New" w:eastAsia="Courier New" w:hAnsi="Courier New"/>
                <w:sz w:val="14"/>
                <w:szCs w:val="14"/>
                <w:color w:val="auto"/>
              </w:rPr>
              <w:t>ZRT - Lazer</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20/52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4212</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1,053.00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131.63</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25/60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4536</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1,134.00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141.75</w:t>
            </w:r>
          </w:p>
        </w:tc>
      </w:tr>
      <w:tr>
        <w:trPr>
          <w:trHeight w:val="331"/>
        </w:trPr>
        <w:tc>
          <w:tcPr>
            <w:tcW w:w="2020" w:type="dxa"/>
            <w:vAlign w:val="bottom"/>
          </w:tcPr>
          <w:p>
            <w:pPr>
              <w:spacing w:after="0"/>
              <w:rPr>
                <w:sz w:val="20"/>
                <w:szCs w:val="20"/>
                <w:color w:val="auto"/>
              </w:rPr>
            </w:pPr>
            <w:r>
              <w:rPr>
                <w:rFonts w:ascii="Courier New" w:cs="Courier New" w:eastAsia="Courier New" w:hAnsi="Courier New"/>
                <w:sz w:val="14"/>
                <w:szCs w:val="14"/>
                <w:color w:val="auto"/>
              </w:rPr>
              <w:t>ZRT - HP</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16/42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1080</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33.75</w:t>
            </w:r>
          </w:p>
        </w:tc>
      </w:tr>
      <w:tr>
        <w:trPr>
          <w:trHeight w:val="166"/>
        </w:trPr>
        <w:tc>
          <w:tcPr>
            <w:tcW w:w="20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18/48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2160</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67.50</w:t>
            </w:r>
          </w:p>
        </w:tc>
      </w:tr>
      <w:tr>
        <w:trPr>
          <w:trHeight w:val="663"/>
        </w:trPr>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680"/>
          </w:cols>
          <w:pgMar w:left="400" w:top="616" w:right="81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APPENDIX C</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28"/>
        </w:trPr>
        <w:tc>
          <w:tcPr>
            <w:tcW w:w="1720" w:type="dxa"/>
            <w:vAlign w:val="bottom"/>
          </w:tcPr>
          <w:p>
            <w:pPr>
              <w:spacing w:after="0"/>
              <w:rPr>
                <w:sz w:val="24"/>
                <w:szCs w:val="24"/>
                <w:color w:val="auto"/>
              </w:rPr>
            </w:pPr>
          </w:p>
        </w:tc>
        <w:tc>
          <w:tcPr>
            <w:tcW w:w="4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1999 Cannibalization Calculations</w:t>
            </w: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720" w:type="dxa"/>
            <w:vAlign w:val="bottom"/>
          </w:tcPr>
          <w:p>
            <w:pPr>
              <w:spacing w:after="0"/>
              <w:rPr>
                <w:sz w:val="14"/>
                <w:szCs w:val="14"/>
                <w:color w:val="auto"/>
              </w:rPr>
            </w:pPr>
          </w:p>
        </w:tc>
        <w:tc>
          <w:tcPr>
            <w:tcW w:w="4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159"/>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Cannibalization factor</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0.25</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Earnings factor</w:t>
            </w:r>
          </w:p>
        </w:tc>
        <w:tc>
          <w:tcPr>
            <w:tcW w:w="980" w:type="dxa"/>
            <w:vAlign w:val="bottom"/>
          </w:tcPr>
          <w:p>
            <w:pPr>
              <w:spacing w:after="0"/>
              <w:rPr>
                <w:sz w:val="24"/>
                <w:szCs w:val="2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spacing w:after="0"/>
              <w:rPr>
                <w:sz w:val="24"/>
                <w:szCs w:val="24"/>
                <w:color w:val="auto"/>
              </w:rPr>
            </w:pPr>
          </w:p>
        </w:tc>
      </w:tr>
      <w:tr>
        <w:trPr>
          <w:trHeight w:val="828"/>
        </w:trPr>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Published</w:t>
            </w: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Cross-Branding</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Cross-Branding</w:t>
            </w:r>
          </w:p>
        </w:tc>
      </w:tr>
      <w:tr>
        <w:trPr>
          <w:trHeight w:val="166"/>
        </w:trPr>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Dist. Net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Parts %</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Total DN</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Revenue Per Unit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REBIT Per Unit</w:t>
            </w:r>
          </w:p>
        </w:tc>
      </w:tr>
      <w:tr>
        <w:trPr>
          <w:trHeight w:val="166"/>
        </w:trPr>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  WAM Gear</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13/36 Koh</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1320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1386</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346.50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34.65</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13/36 Kaw</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1320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1386</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346.50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34.65</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15/48 Koh</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1500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1575</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393.75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39.38</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15/48 Kaw</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1500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1575</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393.75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39.38</w:t>
            </w:r>
          </w:p>
        </w:tc>
      </w:tr>
      <w:tr>
        <w:trPr>
          <w:trHeight w:val="331"/>
        </w:trPr>
        <w:tc>
          <w:tcPr>
            <w:tcW w:w="1720" w:type="dxa"/>
            <w:vAlign w:val="bottom"/>
          </w:tcPr>
          <w:p>
            <w:pPr>
              <w:spacing w:after="0"/>
              <w:rPr>
                <w:sz w:val="20"/>
                <w:szCs w:val="20"/>
                <w:color w:val="auto"/>
              </w:rPr>
            </w:pPr>
            <w:r>
              <w:rPr>
                <w:rFonts w:ascii="Courier New" w:cs="Courier New" w:eastAsia="Courier New" w:hAnsi="Courier New"/>
                <w:sz w:val="14"/>
                <w:szCs w:val="14"/>
                <w:color w:val="auto"/>
              </w:rPr>
              <w:t>WAM Hydro</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13/36 Koh</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1820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1947.4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48.69</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13/36 Kaw</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1820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1947.4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48.69</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15/48 Koh</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2161.4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540.35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54.04</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15/48 Kaw</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2161.4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540.35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54.04</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16/52 Vang</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2200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588.50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58.85</w:t>
            </w:r>
          </w:p>
        </w:tc>
      </w:tr>
      <w:tr>
        <w:trPr>
          <w:trHeight w:val="331"/>
        </w:trPr>
        <w:tc>
          <w:tcPr>
            <w:tcW w:w="1720" w:type="dxa"/>
            <w:vAlign w:val="bottom"/>
          </w:tcPr>
          <w:p>
            <w:pPr>
              <w:spacing w:after="0"/>
              <w:rPr>
                <w:sz w:val="20"/>
                <w:szCs w:val="20"/>
                <w:color w:val="auto"/>
              </w:rPr>
            </w:pPr>
            <w:r>
              <w:rPr>
                <w:rFonts w:ascii="Courier New" w:cs="Courier New" w:eastAsia="Courier New" w:hAnsi="Courier New"/>
                <w:sz w:val="14"/>
                <w:szCs w:val="14"/>
                <w:color w:val="auto"/>
              </w:rPr>
              <w:t>ZRT - Lazer</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20/52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3900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4212</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1,053.00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105.30</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25/60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4200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4536</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1,134.00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113.40</w:t>
            </w:r>
          </w:p>
        </w:tc>
      </w:tr>
      <w:tr>
        <w:trPr>
          <w:trHeight w:val="331"/>
        </w:trPr>
        <w:tc>
          <w:tcPr>
            <w:tcW w:w="1720" w:type="dxa"/>
            <w:vAlign w:val="bottom"/>
          </w:tcPr>
          <w:p>
            <w:pPr>
              <w:spacing w:after="0"/>
              <w:rPr>
                <w:sz w:val="20"/>
                <w:szCs w:val="20"/>
                <w:color w:val="auto"/>
              </w:rPr>
            </w:pPr>
            <w:r>
              <w:rPr>
                <w:rFonts w:ascii="Courier New" w:cs="Courier New" w:eastAsia="Courier New" w:hAnsi="Courier New"/>
                <w:sz w:val="14"/>
                <w:szCs w:val="14"/>
                <w:color w:val="auto"/>
              </w:rPr>
              <w:t>ZRT - HP</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16/42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1080</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27.00</w:t>
            </w:r>
          </w:p>
        </w:tc>
      </w:tr>
      <w:tr>
        <w:trPr>
          <w:trHeight w:val="166"/>
        </w:trPr>
        <w:tc>
          <w:tcPr>
            <w:tcW w:w="17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18/48</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2160</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54.00</w:t>
            </w:r>
          </w:p>
        </w:tc>
      </w:tr>
      <w:tr>
        <w:trPr>
          <w:trHeight w:val="1159"/>
        </w:trPr>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w:t>
            </w: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059"/>
          </w:cols>
          <w:pgMar w:left="400" w:top="782" w:right="1440" w:bottom="1440" w:gutter="0" w:footer="0" w:header="0"/>
        </w:sectPr>
      </w:pPr>
    </w:p>
    <w:bookmarkStart w:id="216" w:name="page217"/>
    <w:bookmarkEnd w:id="216"/>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DISSENTERS' RIGHTS STATUTE</w:t>
      </w:r>
    </w:p>
    <w:p>
      <w:pPr>
        <w:spacing w:after="0" w:line="338"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21-20,137.</w:t>
        <w:tab/>
        <w:t>Dissenters' rights; terms, defined.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sections 21-20,137 to 21-20,150:</w:t>
      </w:r>
    </w:p>
    <w:p>
      <w:pPr>
        <w:spacing w:after="0" w:line="173" w:lineRule="exact"/>
        <w:rPr>
          <w:sz w:val="20"/>
          <w:szCs w:val="20"/>
          <w:color w:val="auto"/>
        </w:rPr>
      </w:pPr>
    </w:p>
    <w:p>
      <w:pPr>
        <w:ind w:left="780" w:right="3599" w:firstLine="434"/>
        <w:spacing w:after="0" w:line="252" w:lineRule="auto"/>
        <w:tabs>
          <w:tab w:leader="none" w:pos="164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shareholder shall mean the person who is a beneficial owner of shares held in a voting trust or by a nominee as the record shareholder;</w:t>
      </w:r>
    </w:p>
    <w:p>
      <w:pPr>
        <w:spacing w:after="0" w:line="162" w:lineRule="exact"/>
        <w:rPr>
          <w:rFonts w:ascii="Courier New" w:cs="Courier New" w:eastAsia="Courier New" w:hAnsi="Courier New"/>
          <w:sz w:val="14"/>
          <w:szCs w:val="14"/>
          <w:color w:val="auto"/>
        </w:rPr>
      </w:pPr>
    </w:p>
    <w:p>
      <w:pPr>
        <w:jc w:val="both"/>
        <w:ind w:left="780" w:right="3679" w:firstLine="434"/>
        <w:spacing w:after="0" w:line="252" w:lineRule="auto"/>
        <w:tabs>
          <w:tab w:leader="none" w:pos="164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shall mean the issuer of the shares held by a dissenter before the corporate action or the surviving or acquiring corporation by merger or share exchange of that issuer;</w:t>
      </w:r>
    </w:p>
    <w:p>
      <w:pPr>
        <w:spacing w:after="0" w:line="162" w:lineRule="exact"/>
        <w:rPr>
          <w:rFonts w:ascii="Courier New" w:cs="Courier New" w:eastAsia="Courier New" w:hAnsi="Courier New"/>
          <w:sz w:val="14"/>
          <w:szCs w:val="14"/>
          <w:color w:val="auto"/>
        </w:rPr>
      </w:pPr>
    </w:p>
    <w:p>
      <w:pPr>
        <w:ind w:left="780" w:right="3939" w:firstLine="434"/>
        <w:spacing w:after="0" w:line="252" w:lineRule="auto"/>
        <w:tabs>
          <w:tab w:leader="none" w:pos="164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Dissenter shall mean a shareholder who is entitled to dissent from corporate action under section 21-20,138 and who exercises that right when and in the manner required by sections 21-20,140 to 21-20,148;</w:t>
      </w:r>
    </w:p>
    <w:p>
      <w:pPr>
        <w:spacing w:after="0" w:line="162"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with respect to a dissenter's shares, shall mean the value of the shares immediately before the effectuation of the corporate action to which the dissenter objects, excluding any appreciation or depreciation in anticipation of the corporate action unless exclusion would be inequitable;</w:t>
      </w:r>
    </w:p>
    <w:p>
      <w:pPr>
        <w:spacing w:after="0" w:line="164" w:lineRule="exact"/>
        <w:rPr>
          <w:rFonts w:ascii="Courier New" w:cs="Courier New" w:eastAsia="Courier New" w:hAnsi="Courier New"/>
          <w:sz w:val="14"/>
          <w:szCs w:val="14"/>
          <w:color w:val="auto"/>
        </w:rPr>
      </w:pPr>
    </w:p>
    <w:p>
      <w:pPr>
        <w:ind w:left="780" w:right="3519" w:firstLine="434"/>
        <w:spacing w:after="0" w:line="252" w:lineRule="auto"/>
        <w:tabs>
          <w:tab w:leader="none" w:pos="164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mean interest from the effective date of the corporate action until the date of payment at the rate specified in section 45-104, as such rate may from time to time be adjusted by the Legislature;</w:t>
      </w:r>
    </w:p>
    <w:p>
      <w:pPr>
        <w:spacing w:after="0" w:line="162" w:lineRule="exact"/>
        <w:rPr>
          <w:rFonts w:ascii="Courier New" w:cs="Courier New" w:eastAsia="Courier New" w:hAnsi="Courier New"/>
          <w:sz w:val="14"/>
          <w:szCs w:val="14"/>
          <w:color w:val="auto"/>
        </w:rPr>
      </w:pPr>
    </w:p>
    <w:p>
      <w:pPr>
        <w:ind w:left="780" w:right="3939" w:firstLine="434"/>
        <w:spacing w:after="0" w:line="252" w:lineRule="auto"/>
        <w:tabs>
          <w:tab w:leader="none" w:pos="164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shareholder shall mean the person in whose name shares are registered in the records of a corporation or the beneficial shareholder to the extent of the rights granted by a nominee certificate on file with a corporation; and</w:t>
      </w:r>
    </w:p>
    <w:p>
      <w:pPr>
        <w:spacing w:after="0" w:line="162" w:lineRule="exact"/>
        <w:rPr>
          <w:rFonts w:ascii="Courier New" w:cs="Courier New" w:eastAsia="Courier New" w:hAnsi="Courier New"/>
          <w:sz w:val="14"/>
          <w:szCs w:val="14"/>
          <w:color w:val="auto"/>
        </w:rPr>
      </w:pPr>
    </w:p>
    <w:p>
      <w:pPr>
        <w:ind w:left="780" w:right="4119" w:firstLine="434"/>
        <w:spacing w:after="0" w:line="255" w:lineRule="auto"/>
        <w:tabs>
          <w:tab w:leader="none" w:pos="164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shall mean the record shareholder or the beneficial shareholder.</w:t>
      </w:r>
    </w:p>
    <w:p>
      <w:pPr>
        <w:spacing w:after="0" w:line="160"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137.</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21-20,138.</w:t>
        <w:tab/>
        <w:t>Right to dissent.</w:t>
      </w:r>
    </w:p>
    <w:p>
      <w:pPr>
        <w:spacing w:after="0" w:line="173" w:lineRule="exact"/>
        <w:rPr>
          <w:sz w:val="20"/>
          <w:szCs w:val="20"/>
          <w:color w:val="auto"/>
        </w:rPr>
      </w:pPr>
    </w:p>
    <w:p>
      <w:pPr>
        <w:ind w:left="780" w:right="3419" w:firstLine="434"/>
        <w:spacing w:after="0" w:line="252" w:lineRule="auto"/>
        <w:tabs>
          <w:tab w:leader="none" w:pos="164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shall be entitled to dissent from, and obtain payment of the fair value of his or her shares in the event of, any of the following corporate actions:</w:t>
      </w:r>
    </w:p>
    <w:p>
      <w:pPr>
        <w:spacing w:after="0" w:line="162" w:lineRule="exact"/>
        <w:rPr>
          <w:rFonts w:ascii="Courier New" w:cs="Courier New" w:eastAsia="Courier New" w:hAnsi="Courier New"/>
          <w:sz w:val="14"/>
          <w:szCs w:val="14"/>
          <w:color w:val="auto"/>
        </w:rPr>
      </w:pPr>
    </w:p>
    <w:p>
      <w:pPr>
        <w:ind w:left="1220" w:right="4279" w:firstLine="425"/>
        <w:spacing w:after="0" w:line="255" w:lineRule="auto"/>
        <w:tabs>
          <w:tab w:leader="none" w:pos="2081"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merger to which the corporation is a party:</w:t>
      </w:r>
    </w:p>
    <w:p>
      <w:pPr>
        <w:spacing w:after="0" w:line="159" w:lineRule="exact"/>
        <w:rPr>
          <w:rFonts w:ascii="Courier New" w:cs="Courier New" w:eastAsia="Courier New" w:hAnsi="Courier New"/>
          <w:sz w:val="14"/>
          <w:szCs w:val="14"/>
          <w:color w:val="auto"/>
        </w:rPr>
      </w:pPr>
    </w:p>
    <w:p>
      <w:pPr>
        <w:ind w:left="1640" w:right="3419" w:firstLine="436"/>
        <w:spacing w:after="0" w:line="252" w:lineRule="auto"/>
        <w:tabs>
          <w:tab w:leader="none" w:pos="2760" w:val="left"/>
        </w:tabs>
        <w:numPr>
          <w:ilvl w:val="2"/>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shareholder approval is required for the merger by section 21-20,130 or the articles of incorporation and the shareholder is entitled to vote on the merger; or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217" w:name="page218"/>
    <w:bookmarkEnd w:id="217"/>
    <w:p>
      <w:pPr>
        <w:ind w:left="1640" w:right="3859" w:firstLine="436"/>
        <w:spacing w:after="0" w:line="255" w:lineRule="auto"/>
        <w:tabs>
          <w:tab w:leader="none" w:pos="276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is a subsidiary that is merged with its parent under section 21-20,131;</w:t>
      </w:r>
    </w:p>
    <w:p>
      <w:pPr>
        <w:spacing w:after="0" w:line="159" w:lineRule="exact"/>
        <w:rPr>
          <w:rFonts w:ascii="Courier New" w:cs="Courier New" w:eastAsia="Courier New" w:hAnsi="Courier New"/>
          <w:sz w:val="14"/>
          <w:szCs w:val="14"/>
          <w:color w:val="auto"/>
        </w:rPr>
      </w:pPr>
    </w:p>
    <w:p>
      <w:pPr>
        <w:ind w:left="1220" w:right="3599" w:firstLine="425"/>
        <w:spacing w:after="0" w:line="252" w:lineRule="auto"/>
        <w:tabs>
          <w:tab w:leader="none" w:pos="208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share exchange to which the corporation is a party as the corporation whose shares will be acquired, if the shareholder is entitled to vote on the plan;</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208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sale or exchange of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year after the date of sale;</w:t>
      </w:r>
    </w:p>
    <w:p>
      <w:pPr>
        <w:spacing w:after="0" w:line="163" w:lineRule="exact"/>
        <w:rPr>
          <w:rFonts w:ascii="Courier New" w:cs="Courier New" w:eastAsia="Courier New" w:hAnsi="Courier New"/>
          <w:sz w:val="14"/>
          <w:szCs w:val="14"/>
          <w:color w:val="auto"/>
        </w:rPr>
      </w:pPr>
    </w:p>
    <w:p>
      <w:pPr>
        <w:ind w:left="1220" w:right="3859" w:firstLine="425"/>
        <w:spacing w:after="0" w:line="252" w:lineRule="auto"/>
        <w:tabs>
          <w:tab w:leader="none" w:pos="208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of the articles of incorporation that materially and adversely affects rights in respect of a dissenter's shares because it:</w:t>
      </w:r>
    </w:p>
    <w:p>
      <w:pPr>
        <w:spacing w:after="0" w:line="162" w:lineRule="exact"/>
        <w:rPr>
          <w:rFonts w:ascii="Courier New" w:cs="Courier New" w:eastAsia="Courier New" w:hAnsi="Courier New"/>
          <w:sz w:val="14"/>
          <w:szCs w:val="14"/>
          <w:color w:val="auto"/>
        </w:rPr>
      </w:pPr>
    </w:p>
    <w:p>
      <w:pPr>
        <w:ind w:left="2760" w:hanging="684"/>
        <w:spacing w:after="0"/>
        <w:tabs>
          <w:tab w:leader="none" w:pos="276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preferential right of the</w:t>
      </w:r>
    </w:p>
    <w:p>
      <w:pPr>
        <w:spacing w:after="0" w:line="7"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ind w:left="1640" w:right="3419" w:firstLine="436"/>
        <w:spacing w:after="0" w:line="252" w:lineRule="auto"/>
        <w:tabs>
          <w:tab w:leader="none" w:pos="2760" w:val="left"/>
        </w:tabs>
        <w:numPr>
          <w:ilvl w:val="2"/>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Creates, alters, or abolishes a right in respect of redemption, including a provision respecting a sinking fund for the redemption or repurchase of the shares;</w:t>
      </w:r>
    </w:p>
    <w:p>
      <w:pPr>
        <w:spacing w:after="0" w:line="162" w:lineRule="exact"/>
        <w:rPr>
          <w:rFonts w:ascii="Courier New" w:cs="Courier New" w:eastAsia="Courier New" w:hAnsi="Courier New"/>
          <w:sz w:val="14"/>
          <w:szCs w:val="14"/>
          <w:color w:val="auto"/>
        </w:rPr>
      </w:pPr>
    </w:p>
    <w:p>
      <w:pPr>
        <w:ind w:left="1640" w:right="3519" w:firstLine="436"/>
        <w:spacing w:after="0" w:line="255" w:lineRule="auto"/>
        <w:tabs>
          <w:tab w:leader="none" w:pos="2760" w:val="left"/>
        </w:tabs>
        <w:numPr>
          <w:ilvl w:val="2"/>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preemptive right of the holder of the shares to acquire shares or other securities;</w:t>
      </w:r>
    </w:p>
    <w:p>
      <w:pPr>
        <w:spacing w:after="0" w:line="159" w:lineRule="exact"/>
        <w:rPr>
          <w:rFonts w:ascii="Courier New" w:cs="Courier New" w:eastAsia="Courier New" w:hAnsi="Courier New"/>
          <w:sz w:val="14"/>
          <w:szCs w:val="14"/>
          <w:color w:val="auto"/>
        </w:rPr>
      </w:pPr>
    </w:p>
    <w:p>
      <w:pPr>
        <w:ind w:left="1640" w:right="3599" w:firstLine="436"/>
        <w:spacing w:after="0" w:line="252" w:lineRule="auto"/>
        <w:tabs>
          <w:tab w:leader="none" w:pos="2760" w:val="left"/>
        </w:tabs>
        <w:numPr>
          <w:ilvl w:val="2"/>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or limits the right of the shares to vote on any matter, or to cumulate votes, other than a limitation by dilution through issuance of shares or other securities with similar voting rights; or</w:t>
      </w:r>
    </w:p>
    <w:p>
      <w:pPr>
        <w:spacing w:after="0" w:line="162" w:lineRule="exact"/>
        <w:rPr>
          <w:rFonts w:ascii="Courier New" w:cs="Courier New" w:eastAsia="Courier New" w:hAnsi="Courier New"/>
          <w:sz w:val="14"/>
          <w:szCs w:val="14"/>
          <w:color w:val="auto"/>
        </w:rPr>
      </w:pPr>
    </w:p>
    <w:p>
      <w:pPr>
        <w:ind w:left="1640" w:right="3419" w:firstLine="436"/>
        <w:spacing w:after="0" w:line="252" w:lineRule="auto"/>
        <w:tabs>
          <w:tab w:leader="none" w:pos="2760" w:val="left"/>
        </w:tabs>
        <w:numPr>
          <w:ilvl w:val="2"/>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Reduces the number of shares owned by the shareholder to a fraction of a share if the fractional share so created is to be acquired for cash under section 21-2038; or</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2081"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corporate action taken pursuant to a shareholder vote to the extent the articles of incorporation, the bylaws, or a resolution of the board of directors provides that voting or nonvoting shareholders are entitled to dissent and obtain payment for their shares.</w:t>
      </w:r>
    </w:p>
    <w:p>
      <w:pPr>
        <w:spacing w:after="0" w:line="164"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entitled to dissent and obtain payment for his or her shares under sections 21-20,137 to 21-20,150 may not challenge the corporate action creating his or her entitlement unless the action is unlawful or fraudulent with respect to the shareholder or the corporation.</w:t>
      </w:r>
    </w:p>
    <w:p>
      <w:pPr>
        <w:spacing w:after="0" w:line="164"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dissent and obtain payment under sections</w:t>
      </w:r>
    </w:p>
    <w:p>
      <w:pPr>
        <w:spacing w:after="0" w:line="7"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21-20,137 to 21-20,150 shall not apply to the shareholders of a bank, trust company, stock-owned savings and loan association, industrial loan and investment company, or the holding company of any such bank, trust company, stock-owned savings and loan association, or industrial loan and investment company.</w:t>
      </w:r>
    </w:p>
    <w:p>
      <w:pPr>
        <w:spacing w:after="0" w:line="165"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Source: Laws 1995, LB 109, Section</w:t>
        <w:tab/>
        <w:t>138.</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616" w:right="1440" w:bottom="1440" w:gutter="0" w:footer="0" w:header="0"/>
        </w:sectPr>
      </w:pPr>
    </w:p>
    <w:bookmarkStart w:id="218" w:name="page219"/>
    <w:bookmarkEnd w:id="218"/>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21-20,139.</w:t>
        <w:tab/>
        <w:t>Dissent by nominees and beneficial owners.</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record shareholder may assert dissenters' rights as to fewer than all the shares registered in his or her name only if he or she dissents with respect to all shares beneficially owned by any one person and notifies the corporation in writing of the name and address of each person on whose behalf he or she asserts dissenters' rights. The rights of a partial dissenter under this subsection shall be determined as if the shares as to which he or she dissents and his or her other shares were registered in the names of different shareholders.</w:t>
      </w:r>
    </w:p>
    <w:p>
      <w:pPr>
        <w:spacing w:after="0" w:line="163" w:lineRule="exact"/>
        <w:rPr>
          <w:rFonts w:ascii="Courier New" w:cs="Courier New" w:eastAsia="Courier New" w:hAnsi="Courier New"/>
          <w:sz w:val="14"/>
          <w:szCs w:val="14"/>
          <w:color w:val="auto"/>
        </w:rPr>
      </w:pPr>
    </w:p>
    <w:p>
      <w:pPr>
        <w:ind w:left="780" w:right="3419" w:firstLine="434"/>
        <w:spacing w:after="0" w:line="255" w:lineRule="auto"/>
        <w:tabs>
          <w:tab w:leader="none" w:pos="164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beneficial shareholder may assert dissenters' rights as to shares held on his or her behalf only if:</w:t>
      </w:r>
    </w:p>
    <w:p>
      <w:pPr>
        <w:spacing w:after="0" w:line="159" w:lineRule="exact"/>
        <w:rPr>
          <w:rFonts w:ascii="Courier New" w:cs="Courier New" w:eastAsia="Courier New" w:hAnsi="Courier New"/>
          <w:sz w:val="14"/>
          <w:szCs w:val="14"/>
          <w:color w:val="auto"/>
        </w:rPr>
      </w:pPr>
    </w:p>
    <w:p>
      <w:pPr>
        <w:ind w:left="1220" w:right="3599" w:firstLine="425"/>
        <w:spacing w:after="0" w:line="252" w:lineRule="auto"/>
        <w:tabs>
          <w:tab w:leader="none" w:pos="2081"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submits to the corporation the record shareholder's written consent to the dissent not later than the time the beneficial shareholder asserts dissenters' rights; and</w:t>
      </w:r>
    </w:p>
    <w:p>
      <w:pPr>
        <w:spacing w:after="0" w:line="162" w:lineRule="exact"/>
        <w:rPr>
          <w:rFonts w:ascii="Courier New" w:cs="Courier New" w:eastAsia="Courier New" w:hAnsi="Courier New"/>
          <w:sz w:val="14"/>
          <w:szCs w:val="14"/>
          <w:color w:val="auto"/>
        </w:rPr>
      </w:pPr>
    </w:p>
    <w:p>
      <w:pPr>
        <w:jc w:val="both"/>
        <w:ind w:left="1220" w:right="3599" w:firstLine="425"/>
        <w:spacing w:after="0" w:line="252" w:lineRule="auto"/>
        <w:tabs>
          <w:tab w:leader="none" w:pos="2081"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does so with respect to all shares of which he or she is the beneficial shareholder or over which he or she has power to direct the vote.</w:t>
      </w:r>
    </w:p>
    <w:p>
      <w:pPr>
        <w:spacing w:after="0" w:line="16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139.</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21-20,140.</w:t>
        <w:tab/>
        <w:t>Notice of dissenters' rights.</w:t>
      </w:r>
    </w:p>
    <w:p>
      <w:pPr>
        <w:spacing w:after="0" w:line="173" w:lineRule="exact"/>
        <w:rPr>
          <w:sz w:val="20"/>
          <w:szCs w:val="20"/>
          <w:color w:val="auto"/>
        </w:rPr>
      </w:pPr>
    </w:p>
    <w:p>
      <w:pPr>
        <w:ind w:left="780" w:right="3599" w:firstLine="434"/>
        <w:spacing w:after="0" w:line="251" w:lineRule="auto"/>
        <w:tabs>
          <w:tab w:leader="none" w:pos="164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submitted to a vote at a shareholders' meeting, the meeting notice shall state that shareholders are or may be entitled to assert dissenters' rights under sections 21-20,137 to 21-20,150 and be accompanied by a copy of such sections.</w:t>
      </w:r>
    </w:p>
    <w:p>
      <w:pPr>
        <w:spacing w:after="0" w:line="164" w:lineRule="exact"/>
        <w:rPr>
          <w:rFonts w:ascii="Courier New" w:cs="Courier New" w:eastAsia="Courier New" w:hAnsi="Courier New"/>
          <w:sz w:val="14"/>
          <w:szCs w:val="14"/>
          <w:color w:val="auto"/>
        </w:rPr>
      </w:pPr>
    </w:p>
    <w:p>
      <w:pPr>
        <w:ind w:left="780" w:right="3679" w:firstLine="434"/>
        <w:spacing w:after="0" w:line="251" w:lineRule="auto"/>
        <w:tabs>
          <w:tab w:leader="none" w:pos="164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corporate action creating dissenters' rights under section 21-20,138 is taken without a vote of shareholders, the corporation shall notify in writing all shareholders entitled to assert dissenters' rights that the action was taken and send those shareholders the dissenters' notice described in section 21-20,142.</w:t>
      </w:r>
    </w:p>
    <w:p>
      <w:pPr>
        <w:spacing w:after="0" w:line="165"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140.</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21-20,141.</w:t>
        <w:tab/>
        <w:t>Dissenters' rights; notice of intent to demand payment.</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submitted to a vote at a shareholders' meeting, a shareholder who wishes to assert dissenters' rights (a) shall deliver to the corporation before the vote is taken written notice of his or her intent to demand payment for his or her shares if the proposed action is effectuated and (b) shall not vote his or her shares in favor of the proposed action.</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16" w:right="1440" w:bottom="1440" w:gutter="0" w:footer="0" w:header="0"/>
        </w:sectPr>
      </w:pPr>
    </w:p>
    <w:bookmarkStart w:id="219" w:name="page220"/>
    <w:bookmarkEnd w:id="219"/>
    <w:p>
      <w:pPr>
        <w:ind w:left="780" w:right="3679" w:firstLine="434"/>
        <w:spacing w:after="0" w:line="252" w:lineRule="auto"/>
        <w:tabs>
          <w:tab w:leader="none" w:pos="164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satisfy the requirements of subsection (1) of this section shall not be entitled to payment for his or her shares under sections 21-20,137 to 21-20,150.</w:t>
      </w:r>
    </w:p>
    <w:p>
      <w:pPr>
        <w:spacing w:after="0" w:line="16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141.</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21-20,142.</w:t>
        <w:tab/>
        <w:t>Dissenters' notice.</w:t>
      </w:r>
    </w:p>
    <w:p>
      <w:pPr>
        <w:spacing w:after="0" w:line="173" w:lineRule="exact"/>
        <w:rPr>
          <w:sz w:val="20"/>
          <w:szCs w:val="20"/>
          <w:color w:val="auto"/>
        </w:rPr>
      </w:pPr>
    </w:p>
    <w:p>
      <w:pPr>
        <w:ind w:left="780" w:right="3519" w:firstLine="434"/>
        <w:spacing w:after="0" w:line="252" w:lineRule="auto"/>
        <w:tabs>
          <w:tab w:leader="none" w:pos="164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authorized at a shareholders' meeting, the corporation shall deliver a written dissenters' notice to all shareholders who satisfied the requirements of section 21-20,141.</w:t>
      </w:r>
    </w:p>
    <w:p>
      <w:pPr>
        <w:spacing w:after="0" w:line="162" w:lineRule="exact"/>
        <w:rPr>
          <w:rFonts w:ascii="Courier New" w:cs="Courier New" w:eastAsia="Courier New" w:hAnsi="Courier New"/>
          <w:sz w:val="14"/>
          <w:szCs w:val="14"/>
          <w:color w:val="auto"/>
        </w:rPr>
      </w:pPr>
    </w:p>
    <w:p>
      <w:pPr>
        <w:ind w:left="780" w:right="3519" w:firstLine="434"/>
        <w:spacing w:after="0" w:line="255" w:lineRule="auto"/>
        <w:tabs>
          <w:tab w:leader="none" w:pos="164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dissenters' notice shall be sent no later than ten days after the corporate action was taken and shall:</w:t>
      </w:r>
    </w:p>
    <w:p>
      <w:pPr>
        <w:spacing w:after="0" w:line="159" w:lineRule="exact"/>
        <w:rPr>
          <w:rFonts w:ascii="Courier New" w:cs="Courier New" w:eastAsia="Courier New" w:hAnsi="Courier New"/>
          <w:sz w:val="14"/>
          <w:szCs w:val="14"/>
          <w:color w:val="auto"/>
        </w:rPr>
      </w:pPr>
    </w:p>
    <w:p>
      <w:pPr>
        <w:ind w:left="1220" w:right="3419" w:firstLine="425"/>
        <w:spacing w:after="0" w:line="255" w:lineRule="auto"/>
        <w:tabs>
          <w:tab w:leader="none" w:pos="2081"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where the payment demand shall be sent and where and when certificates for certificated shares shall be deposited;</w:t>
      </w:r>
    </w:p>
    <w:p>
      <w:pPr>
        <w:spacing w:after="0" w:line="159" w:lineRule="exact"/>
        <w:rPr>
          <w:rFonts w:ascii="Courier New" w:cs="Courier New" w:eastAsia="Courier New" w:hAnsi="Courier New"/>
          <w:sz w:val="14"/>
          <w:szCs w:val="14"/>
          <w:color w:val="auto"/>
        </w:rPr>
      </w:pPr>
    </w:p>
    <w:p>
      <w:pPr>
        <w:ind w:left="1220" w:right="3519" w:firstLine="425"/>
        <w:spacing w:after="0" w:line="252" w:lineRule="auto"/>
        <w:tabs>
          <w:tab w:leader="none" w:pos="2081"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holders of uncertificated shares to what extent transfer of the shares will be restricted after the payment demand is received;</w:t>
      </w:r>
    </w:p>
    <w:p>
      <w:pPr>
        <w:spacing w:after="0" w:line="162" w:lineRule="exact"/>
        <w:rPr>
          <w:rFonts w:ascii="Courier New" w:cs="Courier New" w:eastAsia="Courier New" w:hAnsi="Courier New"/>
          <w:sz w:val="14"/>
          <w:szCs w:val="14"/>
          <w:color w:val="auto"/>
        </w:rPr>
      </w:pPr>
    </w:p>
    <w:p>
      <w:pPr>
        <w:ind w:left="1220" w:right="3419" w:firstLine="425"/>
        <w:spacing w:after="0" w:line="252" w:lineRule="auto"/>
        <w:tabs>
          <w:tab w:leader="none" w:pos="2081"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 form for demanding payment that includes the date of the first announcement to news media or to shareholders of the terms of the proposed corporate action and requires that the person asserting dissenters' rights certify whether or not he or she acquired beneficial ownership of the shares before that date;</w:t>
      </w:r>
    </w:p>
    <w:p>
      <w:pPr>
        <w:spacing w:after="0" w:line="326" w:lineRule="exact"/>
        <w:rPr>
          <w:rFonts w:ascii="Courier New" w:cs="Courier New" w:eastAsia="Courier New" w:hAnsi="Courier New"/>
          <w:sz w:val="14"/>
          <w:szCs w:val="14"/>
          <w:color w:val="auto"/>
        </w:rPr>
      </w:pPr>
    </w:p>
    <w:p>
      <w:pPr>
        <w:jc w:val="both"/>
        <w:ind w:left="1220" w:right="3519" w:firstLine="425"/>
        <w:spacing w:after="0" w:line="250" w:lineRule="auto"/>
        <w:tabs>
          <w:tab w:leader="none" w:pos="2081"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a date by which the corporation shall receive the payment demand which date may not be fewer than thirty nor more than sixty days after the date the notice required by subsection</w:t>
      </w:r>
    </w:p>
    <w:p>
      <w:pPr>
        <w:spacing w:after="0" w:line="1"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is delivered; and</w:t>
      </w:r>
    </w:p>
    <w:p>
      <w:pPr>
        <w:spacing w:after="0" w:line="17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accompanied by a copy of sections 21-20,137 to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21-20,150.</w:t>
      </w:r>
    </w:p>
    <w:p>
      <w:pPr>
        <w:spacing w:after="0" w:line="17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142.</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21-20,143.</w:t>
        <w:tab/>
        <w:t>Dissenters' rights; duty to demand payment.</w:t>
      </w:r>
    </w:p>
    <w:p>
      <w:pPr>
        <w:spacing w:after="0" w:line="173" w:lineRule="exact"/>
        <w:rPr>
          <w:sz w:val="20"/>
          <w:szCs w:val="20"/>
          <w:color w:val="auto"/>
        </w:rPr>
      </w:pPr>
    </w:p>
    <w:p>
      <w:pPr>
        <w:ind w:left="780" w:right="3419" w:firstLine="434"/>
        <w:spacing w:after="0" w:line="250" w:lineRule="auto"/>
        <w:tabs>
          <w:tab w:leader="none" w:pos="164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was sent a dissenters' notice described in section 21-20,142 shall demand payment, certify whether he or she acquired beneficial ownership of the shares before the date required to be set forth in the dissenters' notice pursuant to subdivision</w:t>
      </w:r>
    </w:p>
    <w:p>
      <w:pPr>
        <w:spacing w:after="0" w:line="1" w:lineRule="exact"/>
        <w:rPr>
          <w:rFonts w:ascii="Courier New" w:cs="Courier New" w:eastAsia="Courier New" w:hAnsi="Courier New"/>
          <w:sz w:val="14"/>
          <w:szCs w:val="14"/>
          <w:color w:val="auto"/>
        </w:rPr>
      </w:pPr>
    </w:p>
    <w:p>
      <w:pPr>
        <w:ind w:left="78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 of section 21-20,142, and deposit his or her certificates in accordance with the terms of the notice.</w:t>
      </w:r>
    </w:p>
    <w:p>
      <w:pPr>
        <w:spacing w:after="0" w:line="159" w:lineRule="exact"/>
        <w:rPr>
          <w:rFonts w:ascii="Courier New" w:cs="Courier New" w:eastAsia="Courier New" w:hAnsi="Courier New"/>
          <w:sz w:val="14"/>
          <w:szCs w:val="14"/>
          <w:color w:val="auto"/>
        </w:rPr>
      </w:pPr>
    </w:p>
    <w:p>
      <w:pPr>
        <w:ind w:left="780" w:right="3519" w:firstLine="434"/>
        <w:spacing w:after="0" w:line="252" w:lineRule="auto"/>
        <w:tabs>
          <w:tab w:leader="none" w:pos="164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who demands payment and deposits his or her shares under subsection (1) of this section shall retain all other rights of a shareholder until such rights are canceled or modified by the taking of the proposed corporate action.</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616" w:right="1440" w:bottom="1440" w:gutter="0" w:footer="0" w:header="0"/>
        </w:sectPr>
      </w:pPr>
    </w:p>
    <w:bookmarkStart w:id="220" w:name="page221"/>
    <w:bookmarkEnd w:id="220"/>
    <w:p>
      <w:pPr>
        <w:ind w:left="780" w:right="3419" w:firstLine="434"/>
        <w:spacing w:after="0" w:line="252" w:lineRule="auto"/>
        <w:tabs>
          <w:tab w:leader="none" w:pos="164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demand payment or does not deposit his or her share certificates where required, each by the date set in the dissenters' notice, shall not be entitled to payment for his or her shares under sections 21-20,137 to 21-20,150.</w:t>
      </w:r>
    </w:p>
    <w:p>
      <w:pPr>
        <w:spacing w:after="0" w:line="1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143.</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21-20,144.</w:t>
        <w:tab/>
        <w:t>Dissenters' rights; share restrictions.</w:t>
      </w:r>
    </w:p>
    <w:p>
      <w:pPr>
        <w:spacing w:after="0" w:line="173" w:lineRule="exact"/>
        <w:rPr>
          <w:sz w:val="20"/>
          <w:szCs w:val="20"/>
          <w:color w:val="auto"/>
        </w:rPr>
      </w:pPr>
    </w:p>
    <w:p>
      <w:pPr>
        <w:ind w:left="780" w:right="3519" w:firstLine="434"/>
        <w:spacing w:after="0" w:line="252" w:lineRule="auto"/>
        <w:tabs>
          <w:tab w:leader="none" w:pos="164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restrict the transfer of uncertificated shares from the date the demand for their payment is received until the proposed corporate action is taken or the restrictions are released under section 21-20,146.</w:t>
      </w:r>
    </w:p>
    <w:p>
      <w:pPr>
        <w:spacing w:after="0" w:line="162" w:lineRule="exact"/>
        <w:rPr>
          <w:rFonts w:ascii="Courier New" w:cs="Courier New" w:eastAsia="Courier New" w:hAnsi="Courier New"/>
          <w:sz w:val="14"/>
          <w:szCs w:val="14"/>
          <w:color w:val="auto"/>
        </w:rPr>
      </w:pPr>
    </w:p>
    <w:p>
      <w:pPr>
        <w:ind w:left="780" w:right="3599" w:firstLine="434"/>
        <w:spacing w:after="0" w:line="252" w:lineRule="auto"/>
        <w:tabs>
          <w:tab w:leader="none" w:pos="164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 whom dissenters' rights are asserted as to uncertificated shares shall retain all other rights of a shareholder until such rights are canceled or modified by the taking of the proposed corporate action.</w:t>
      </w:r>
    </w:p>
    <w:p>
      <w:pPr>
        <w:spacing w:after="0" w:line="1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144.</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21-20,145.</w:t>
        <w:tab/>
        <w:t>Dissenters' rights; payment.</w:t>
      </w:r>
    </w:p>
    <w:p>
      <w:pPr>
        <w:spacing w:after="0" w:line="173" w:lineRule="exact"/>
        <w:rPr>
          <w:sz w:val="20"/>
          <w:szCs w:val="20"/>
          <w:color w:val="auto"/>
        </w:rPr>
      </w:pPr>
    </w:p>
    <w:p>
      <w:pPr>
        <w:ind w:left="780" w:right="3519" w:firstLine="434"/>
        <w:spacing w:after="0" w:line="251" w:lineRule="auto"/>
        <w:tabs>
          <w:tab w:leader="none" w:pos="164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21-20,147, as soon as the proposed corporate action is taken, or upon receipt of a payment demand, the corporation shall pay each dissenter who complied with section 21-20,143 the amount the corporation estimates to be the fair value of his or her shares, plus accrued interest.</w:t>
      </w:r>
    </w:p>
    <w:p>
      <w:pPr>
        <w:spacing w:after="0" w:line="164"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shall be accompanied by:</w:t>
      </w:r>
    </w:p>
    <w:p>
      <w:pPr>
        <w:spacing w:after="0" w:line="172" w:lineRule="exact"/>
        <w:rPr>
          <w:rFonts w:ascii="Courier New" w:cs="Courier New" w:eastAsia="Courier New" w:hAnsi="Courier New"/>
          <w:sz w:val="14"/>
          <w:szCs w:val="14"/>
          <w:color w:val="auto"/>
        </w:rPr>
      </w:pPr>
    </w:p>
    <w:p>
      <w:pPr>
        <w:ind w:left="1220" w:right="3599" w:firstLine="425"/>
        <w:spacing w:after="0" w:line="251" w:lineRule="auto"/>
        <w:tabs>
          <w:tab w:leader="none" w:pos="2081"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balance sheet as of the end of a fiscal year ending not more than sixteen months before the date of payment, an income statement for that year, a statement of changes in shareholders' equity for that year, and the latest available interim financial statements, if any;</w:t>
      </w:r>
    </w:p>
    <w:p>
      <w:pPr>
        <w:spacing w:after="0" w:line="164" w:lineRule="exact"/>
        <w:rPr>
          <w:rFonts w:ascii="Courier New" w:cs="Courier New" w:eastAsia="Courier New" w:hAnsi="Courier New"/>
          <w:sz w:val="14"/>
          <w:szCs w:val="14"/>
          <w:color w:val="auto"/>
        </w:rPr>
      </w:pPr>
    </w:p>
    <w:p>
      <w:pPr>
        <w:ind w:left="1220" w:right="3599" w:firstLine="425"/>
        <w:spacing w:after="0" w:line="255" w:lineRule="auto"/>
        <w:tabs>
          <w:tab w:leader="none" w:pos="2081"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corporation's estimate of the fair value of the shares;</w:t>
      </w:r>
    </w:p>
    <w:p>
      <w:pPr>
        <w:spacing w:after="0" w:line="159"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explanation of how the interest was calculated;</w:t>
      </w:r>
    </w:p>
    <w:p>
      <w:pPr>
        <w:spacing w:after="0" w:line="172" w:lineRule="exact"/>
        <w:rPr>
          <w:rFonts w:ascii="Courier New" w:cs="Courier New" w:eastAsia="Courier New" w:hAnsi="Courier New"/>
          <w:sz w:val="14"/>
          <w:szCs w:val="14"/>
          <w:color w:val="auto"/>
        </w:rPr>
      </w:pPr>
    </w:p>
    <w:p>
      <w:pPr>
        <w:ind w:left="1220" w:right="3519" w:firstLine="425"/>
        <w:spacing w:after="0" w:line="255" w:lineRule="auto"/>
        <w:tabs>
          <w:tab w:leader="none" w:pos="2081"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dissenter's right to demand payment under section 21-20,148; and</w:t>
      </w:r>
    </w:p>
    <w:p>
      <w:pPr>
        <w:spacing w:after="0" w:line="159"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sections 21-20,137 to 21-20,150.</w:t>
      </w:r>
    </w:p>
    <w:p>
      <w:pPr>
        <w:spacing w:after="0" w:line="17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145.</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21-20,146.</w:t>
        <w:tab/>
        <w:t>Dissenters' rights; failure to take action.</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616" w:right="1440" w:bottom="1440" w:gutter="0" w:footer="0" w:header="0"/>
        </w:sectPr>
      </w:pPr>
    </w:p>
    <w:bookmarkStart w:id="221" w:name="page222"/>
    <w:bookmarkEnd w:id="221"/>
    <w:p>
      <w:pPr>
        <w:ind w:left="780" w:right="3519" w:firstLine="434"/>
        <w:spacing w:after="0" w:line="251" w:lineRule="auto"/>
        <w:tabs>
          <w:tab w:leader="none" w:pos="164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does not take the proposed action within sixty days after the date set for demanding payment and depositing share certificates, the corporation shall return the deposited certificates and release the transfer restrictions imposed on uncertificated shares.</w:t>
      </w:r>
    </w:p>
    <w:p>
      <w:pPr>
        <w:spacing w:after="0" w:line="164" w:lineRule="exact"/>
        <w:rPr>
          <w:rFonts w:ascii="Courier New" w:cs="Courier New" w:eastAsia="Courier New" w:hAnsi="Courier New"/>
          <w:sz w:val="14"/>
          <w:szCs w:val="14"/>
          <w:color w:val="auto"/>
        </w:rPr>
      </w:pPr>
    </w:p>
    <w:p>
      <w:pPr>
        <w:ind w:left="780" w:right="3419" w:firstLine="434"/>
        <w:spacing w:after="0" w:line="252" w:lineRule="auto"/>
        <w:tabs>
          <w:tab w:leader="none" w:pos="164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returning deposited certificates and releasing transfer restrictions, the corporation takes the proposed action, it shall send a new dissenters' notice under section 21-20,142 and repeat the payment demand procedure.</w:t>
      </w:r>
    </w:p>
    <w:p>
      <w:pPr>
        <w:spacing w:after="0" w:line="1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146.</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21-20,147.</w:t>
        <w:tab/>
        <w:t>Dissenters' rights; after-acquired shares.</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elect to withhold payment required by section 21-20,145 from a dissenter unless he or she was the beneficial shareholder before the date set forth in the dissenters' notice as the date of the first announcement to news media or to shareholders of the terms of the proposed corporate action.</w:t>
      </w:r>
    </w:p>
    <w:p>
      <w:pPr>
        <w:spacing w:after="0" w:line="164"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corporation elects to withhold payment under subsection (1) of this section after taking the proposed corporate action, it shall estimate the fair value of the shares, plus accrued interest, and shall pay this amount to each dissenter who agrees to accept it in full satisfaction of his or her demand. The corporation shall send with its offer a statement of its estimate of the fair value of the shares, an explanation of how the interest was calculated, and a statement of the dissenter's right to demand payment under section 21-20,148.</w:t>
      </w:r>
    </w:p>
    <w:p>
      <w:pPr>
        <w:spacing w:after="0" w:line="164"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147.</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SECTION 21-20,148. Dissenters' rights; procedure if shareholder dissatisfied with payment or offer.</w:t>
      </w:r>
    </w:p>
    <w:p>
      <w:pPr>
        <w:spacing w:after="0" w:line="160" w:lineRule="exact"/>
        <w:rPr>
          <w:sz w:val="20"/>
          <w:szCs w:val="20"/>
          <w:color w:val="auto"/>
        </w:rPr>
      </w:pPr>
    </w:p>
    <w:p>
      <w:pPr>
        <w:ind w:left="780" w:right="3419" w:firstLine="434"/>
        <w:spacing w:after="0" w:line="251" w:lineRule="auto"/>
        <w:tabs>
          <w:tab w:leader="none" w:pos="1641"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may notify the corporation in writing of his or her own estimate of the fair value of his or her shares and amount of interest due, and demand payment of his or her estimate, less any payment under section 21-20,145, or reject the corporation's offer under section 21-20,147 and demand payment of the fair value of his or her shares and interest due if:</w:t>
      </w:r>
    </w:p>
    <w:p>
      <w:pPr>
        <w:spacing w:after="0" w:line="164" w:lineRule="exact"/>
        <w:rPr>
          <w:rFonts w:ascii="Courier New" w:cs="Courier New" w:eastAsia="Courier New" w:hAnsi="Courier New"/>
          <w:sz w:val="14"/>
          <w:szCs w:val="14"/>
          <w:color w:val="auto"/>
        </w:rPr>
      </w:pPr>
    </w:p>
    <w:p>
      <w:pPr>
        <w:ind w:left="1220" w:right="3419" w:firstLine="425"/>
        <w:spacing w:after="0" w:line="252" w:lineRule="auto"/>
        <w:tabs>
          <w:tab w:leader="none" w:pos="2081"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 believes that the amount paid under section 21-20,145 or offered under section 21-20,147 is less than the fair value of his or her shares or that the interest due is incorrectly calculated;</w:t>
      </w:r>
    </w:p>
    <w:p>
      <w:pPr>
        <w:spacing w:after="0" w:line="16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fails to make payment under section</w:t>
      </w:r>
    </w:p>
    <w:p>
      <w:pPr>
        <w:spacing w:after="0" w:line="7" w:lineRule="exact"/>
        <w:rPr>
          <w:sz w:val="20"/>
          <w:szCs w:val="20"/>
          <w:color w:val="auto"/>
        </w:rPr>
      </w:pPr>
    </w:p>
    <w:p>
      <w:pPr>
        <w:ind w:left="1220" w:right="3859"/>
        <w:spacing w:after="0" w:line="255" w:lineRule="auto"/>
        <w:rPr>
          <w:sz w:val="20"/>
          <w:szCs w:val="20"/>
          <w:color w:val="auto"/>
        </w:rPr>
      </w:pPr>
      <w:r>
        <w:rPr>
          <w:rFonts w:ascii="Courier New" w:cs="Courier New" w:eastAsia="Courier New" w:hAnsi="Courier New"/>
          <w:sz w:val="14"/>
          <w:szCs w:val="14"/>
          <w:color w:val="auto"/>
        </w:rPr>
        <w:t>21-20,145 within sixty days after the date set for demanding payment; or</w:t>
      </w:r>
    </w:p>
    <w:p>
      <w:pPr>
        <w:spacing w:after="0" w:line="160" w:lineRule="exact"/>
        <w:rPr>
          <w:sz w:val="20"/>
          <w:szCs w:val="20"/>
          <w:color w:val="auto"/>
        </w:rPr>
      </w:pPr>
    </w:p>
    <w:p>
      <w:pPr>
        <w:ind w:left="1220" w:right="3419" w:firstLine="425"/>
        <w:spacing w:after="0" w:line="252" w:lineRule="auto"/>
        <w:tabs>
          <w:tab w:leader="none" w:pos="2081"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having failed to take the proposed action, does not return the deposited certificates or release the transfer restrictions imposed on uncertificated shares within sixty days after the date set for demanding payment.</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616" w:right="1440" w:bottom="1440" w:gutter="0" w:footer="0" w:header="0"/>
        </w:sectPr>
      </w:pPr>
    </w:p>
    <w:bookmarkStart w:id="222" w:name="page223"/>
    <w:bookmarkEnd w:id="222"/>
    <w:p>
      <w:pPr>
        <w:ind w:left="780" w:right="3519" w:firstLine="434"/>
        <w:spacing w:after="0" w:line="251" w:lineRule="auto"/>
        <w:tabs>
          <w:tab w:leader="none" w:pos="164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waives his or her right to demand payment under this section unless he or she notifies the corporation of his or her demand in writing under subsection (1) of this section within thirty days after the corporation made or offered payment for his or her shares.</w:t>
      </w:r>
    </w:p>
    <w:p>
      <w:pPr>
        <w:spacing w:after="0" w:line="165"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148.</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21-20,149.</w:t>
        <w:tab/>
        <w:t>Dissenters' rights; court action.</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demand for payment under section 21-20,148 remains unsettled, the corporation shall commence a proceeding within sixty days after receiving the payment demand and petition the court to determine the fair value of the shares and accrued interest. If the corporation does not commence the proceeding within the sixty-day period, it shall pay each dissenter whose demand remains unsettled the amount demanded.</w:t>
      </w:r>
    </w:p>
    <w:p>
      <w:pPr>
        <w:spacing w:after="0" w:line="164" w:lineRule="exact"/>
        <w:rPr>
          <w:rFonts w:ascii="Courier New" w:cs="Courier New" w:eastAsia="Courier New" w:hAnsi="Courier New"/>
          <w:sz w:val="14"/>
          <w:szCs w:val="14"/>
          <w:color w:val="auto"/>
        </w:rPr>
      </w:pPr>
    </w:p>
    <w:p>
      <w:pPr>
        <w:ind w:left="780" w:right="3519" w:firstLine="434"/>
        <w:spacing w:after="0" w:line="251" w:lineRule="auto"/>
        <w:tabs>
          <w:tab w:leader="none" w:pos="1641"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commence the proceeding in the district court of the county where a corporation's principal office, or, if none in this state, its registered office, is located. If the corporation is a foreign corporation without a registered office in this state, it shall commence the proceeding in the district court of the county in this state where the registered office of the domestic corporation merged with or whose shares were acquired by the foreign corporation was located.</w:t>
      </w:r>
    </w:p>
    <w:p>
      <w:pPr>
        <w:spacing w:after="0" w:line="163" w:lineRule="exact"/>
        <w:rPr>
          <w:rFonts w:ascii="Courier New" w:cs="Courier New" w:eastAsia="Courier New" w:hAnsi="Courier New"/>
          <w:sz w:val="14"/>
          <w:szCs w:val="14"/>
          <w:color w:val="auto"/>
        </w:rPr>
      </w:pPr>
    </w:p>
    <w:p>
      <w:pPr>
        <w:ind w:left="780" w:right="3599" w:firstLine="434"/>
        <w:spacing w:after="0" w:line="251" w:lineRule="auto"/>
        <w:tabs>
          <w:tab w:leader="none" w:pos="1641"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make all dissenters, whether or not residents of this state, whose demands remain unsettled, parties to the proceeding as in an action against their shares and all parties shall be served with a copy of the petition. Nonresidents may be served by registered or certified mail or by publication as provided by law.</w:t>
      </w:r>
    </w:p>
    <w:p>
      <w:pPr>
        <w:spacing w:after="0" w:line="164"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jurisdiction of the court in which the proceeding is commenced under subsection (2) of this section shall be plenary and exclusive. The court may appoint one or more persons as appraisers to receive evidence and recommend decision on the question of fair value. Appraisers shall have the powers described in the order appointing them or in any amendment to such order. The dissenters shall be entitled to the same discovery rights as parties in other civil proceedings.</w:t>
      </w:r>
    </w:p>
    <w:p>
      <w:pPr>
        <w:spacing w:after="0" w:line="329"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dissenter made a party to the proceeding shall be entitled to judgment (a) for the amount, if any, by which the court finds the fair value of his or her shares, plus interest, exceeds the amount paid by the corporation or (b) for the fair value, plus accrued interest, of his or her after-acquired shares for which the corporation elected to withhold payment under section 21-20,147.</w:t>
      </w:r>
    </w:p>
    <w:p>
      <w:pPr>
        <w:spacing w:after="0" w:line="164"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149.</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21-20,150.</w:t>
        <w:tab/>
        <w:t>Dissenters' rights; court costs and attorney's fees.</w:t>
      </w:r>
    </w:p>
    <w:p>
      <w:pPr>
        <w:spacing w:after="0" w:line="173" w:lineRule="exact"/>
        <w:rPr>
          <w:sz w:val="20"/>
          <w:szCs w:val="20"/>
          <w:color w:val="auto"/>
        </w:rPr>
      </w:pPr>
    </w:p>
    <w:p>
      <w:pPr>
        <w:ind w:left="780" w:right="3419" w:firstLine="434"/>
        <w:spacing w:after="0" w:line="252" w:lineRule="auto"/>
        <w:tabs>
          <w:tab w:leader="none" w:pos="164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in an appraisal proceeding commenced under section 21-20,149 shall determine all costs of the proceeding, including the reasonable compensation and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616" w:right="1440" w:bottom="1440" w:gutter="0" w:footer="0" w:header="0"/>
        </w:sectPr>
      </w:pPr>
    </w:p>
    <w:bookmarkStart w:id="223" w:name="page224"/>
    <w:bookmarkEnd w:id="223"/>
    <w:p>
      <w:pPr>
        <w:ind w:left="780" w:right="3519"/>
        <w:spacing w:after="0" w:line="251" w:lineRule="auto"/>
        <w:rPr>
          <w:sz w:val="20"/>
          <w:szCs w:val="20"/>
          <w:color w:val="auto"/>
        </w:rPr>
      </w:pPr>
      <w:r>
        <w:rPr>
          <w:rFonts w:ascii="Courier New" w:cs="Courier New" w:eastAsia="Courier New" w:hAnsi="Courier New"/>
          <w:sz w:val="14"/>
          <w:szCs w:val="14"/>
          <w:color w:val="auto"/>
        </w:rPr>
        <w:t>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21-20,148.</w:t>
      </w:r>
    </w:p>
    <w:p>
      <w:pPr>
        <w:spacing w:after="0" w:line="164" w:lineRule="exact"/>
        <w:rPr>
          <w:sz w:val="20"/>
          <w:szCs w:val="20"/>
          <w:color w:val="auto"/>
        </w:rPr>
      </w:pPr>
    </w:p>
    <w:p>
      <w:pPr>
        <w:ind w:left="780" w:right="3599" w:firstLine="434"/>
        <w:spacing w:after="0" w:line="252" w:lineRule="auto"/>
        <w:tabs>
          <w:tab w:leader="none" w:pos="164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may also assess the attorney's fees and expenses and the fees and expenses of experts for the respective parties in amounts the court finds equitable:</w:t>
      </w:r>
    </w:p>
    <w:p>
      <w:pPr>
        <w:spacing w:after="0" w:line="162" w:lineRule="exact"/>
        <w:rPr>
          <w:rFonts w:ascii="Courier New" w:cs="Courier New" w:eastAsia="Courier New" w:hAnsi="Courier New"/>
          <w:sz w:val="14"/>
          <w:szCs w:val="14"/>
          <w:color w:val="auto"/>
        </w:rPr>
      </w:pPr>
    </w:p>
    <w:p>
      <w:pPr>
        <w:ind w:left="1220" w:right="3519" w:firstLine="425"/>
        <w:spacing w:after="0" w:line="252" w:lineRule="auto"/>
        <w:tabs>
          <w:tab w:leader="none" w:pos="2081" w:val="left"/>
        </w:tabs>
        <w:numPr>
          <w:ilvl w:val="2"/>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corporation and in favor of any or all dissenters if the court finds the corporation did not substantially comply with the requirements of sections 21-20,140 to 21-20,148; or</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2081" w:val="left"/>
        </w:tabs>
        <w:numPr>
          <w:ilvl w:val="2"/>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either the corporation or a dissenter, in favor of any other party, if the court finds that the party against whom the fees and expenses are assessed acted arbitrarily, vexatiously, or not in good faith with respect to the rights provided by sections 21-20,137 to 21-20,150.</w:t>
      </w:r>
    </w:p>
    <w:p>
      <w:pPr>
        <w:spacing w:after="0" w:line="164" w:lineRule="exact"/>
        <w:rPr>
          <w:rFonts w:ascii="Courier New" w:cs="Courier New" w:eastAsia="Courier New" w:hAnsi="Courier New"/>
          <w:sz w:val="14"/>
          <w:szCs w:val="14"/>
          <w:color w:val="auto"/>
        </w:rPr>
      </w:pPr>
    </w:p>
    <w:p>
      <w:pPr>
        <w:ind w:left="780" w:right="3419" w:firstLine="4"/>
        <w:spacing w:after="0" w:line="251" w:lineRule="auto"/>
        <w:tabs>
          <w:tab w:leader="none" w:pos="1211"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court finds that the services of counsel for any dissenter were of substantial benefit to other dissenters similarly situated and that the fees for those services should not be assessed against the corporation, the court may award to counsel reasonable fees to be paid out of the amounts awarded to the dissenters who were benefitted.</w:t>
      </w:r>
    </w:p>
    <w:p>
      <w:pPr>
        <w:spacing w:after="0" w:line="165"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150.</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616" w:right="1440" w:bottom="1440" w:gutter="0" w:footer="0" w:header="0"/>
        </w:sectPr>
      </w:pPr>
    </w:p>
    <w:bookmarkStart w:id="224" w:name="page225"/>
    <w:bookmarkEnd w:id="224"/>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[MCCARTHY &amp; CO. LETTERHEAD]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23,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Industrial Park Box 748</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Beatrice, NE</w:t>
        <w:tab/>
        <w:t>68310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 understand that Exmark Manufacturing Co., Inc.</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("Exmark" or the "Company") and The Toro Company through EMCI Acquisition Corp. ("Toro") intend to execute and complete an Agreement and Plan of Merger dated as of October 23, 1997 (the "Agreement"), furnished to us on October 21, 1997 and draft dated as of October 13, 1997 which provides, among other things, for the acquisition of Exmark by Toro. Pursuant to the Agreement, the outstanding shares of common and preferred stock of Exmark (the "Exmark Stock") will be acquired by Toro. The Agreement provides for total initial consideration of $28,100,000 comprised of a combination of cash and Toro common stock (the "Initial Payment"). The Initial Payment of $28,100,000 includes acquisition of the Holiman Company. The terms and conditions of the Merger are more fully set out in the Agreement.</w:t>
      </w:r>
    </w:p>
    <w:p>
      <w:pPr>
        <w:spacing w:after="0" w:line="163"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You have asked for our opinion as to whether the Merger Consideration pursuant to the Agreement is fair from a financial point of view to the Exmark Shareholders. The opinion expressed below does not anticipate whether any Contingent Consideration or any of the Holdback Amount, as those terms are defined in the Agreement, are ultimately paid to the holders of Exmark Stock (the "Exmark Shareholders").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the opinion set forth herein, we have:</w:t>
      </w:r>
    </w:p>
    <w:p>
      <w:pPr>
        <w:spacing w:after="0" w:line="173" w:lineRule="exact"/>
        <w:rPr>
          <w:sz w:val="20"/>
          <w:szCs w:val="20"/>
          <w:color w:val="auto"/>
        </w:rPr>
      </w:pPr>
    </w:p>
    <w:p>
      <w:pPr>
        <w:ind w:left="1560" w:right="3779" w:hanging="776"/>
        <w:spacing w:after="0" w:line="255" w:lineRule="auto"/>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available financial statements and other information of Toro and Exmark, respectively;</w:t>
      </w:r>
    </w:p>
    <w:p>
      <w:pPr>
        <w:spacing w:after="0" w:line="159" w:lineRule="exact"/>
        <w:rPr>
          <w:rFonts w:ascii="Courier New" w:cs="Courier New" w:eastAsia="Courier New" w:hAnsi="Courier New"/>
          <w:sz w:val="14"/>
          <w:szCs w:val="14"/>
          <w:color w:val="auto"/>
        </w:rPr>
      </w:pPr>
    </w:p>
    <w:p>
      <w:pPr>
        <w:ind w:left="1560" w:right="3679" w:hanging="776"/>
        <w:spacing w:after="0" w:line="252" w:lineRule="auto"/>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internal financial statements and other financial and operating data concerning Exmark prepared by the management of Exmark;</w:t>
      </w:r>
    </w:p>
    <w:p>
      <w:pPr>
        <w:spacing w:after="0" w:line="162" w:lineRule="exact"/>
        <w:rPr>
          <w:rFonts w:ascii="Courier New" w:cs="Courier New" w:eastAsia="Courier New" w:hAnsi="Courier New"/>
          <w:sz w:val="14"/>
          <w:szCs w:val="14"/>
          <w:color w:val="auto"/>
        </w:rPr>
      </w:pPr>
    </w:p>
    <w:p>
      <w:pPr>
        <w:ind w:left="1560" w:right="4019" w:hanging="776"/>
        <w:spacing w:after="0" w:line="255" w:lineRule="auto"/>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financial projections prepared by the management of Exmark;</w:t>
      </w:r>
    </w:p>
    <w:p>
      <w:pPr>
        <w:spacing w:after="0" w:line="159"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conditions and the prospects of Exmark with senior executives of Exmark;</w:t>
      </w:r>
    </w:p>
    <w:p>
      <w:pPr>
        <w:spacing w:after="0" w:line="16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for the Toro Common Stock;</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Exmark and Toro;</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Agreement; and</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as we have deemed appropriate.</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616" w:right="1440" w:bottom="1440" w:gutter="0" w:footer="0" w:header="0"/>
        </w:sectPr>
      </w:pPr>
    </w:p>
    <w:bookmarkStart w:id="225" w:name="page226"/>
    <w:bookmarkEnd w:id="225"/>
    <w:p>
      <w:pPr>
        <w:ind w:right="3339" w:firstLine="775"/>
        <w:spacing w:after="0" w:line="251" w:lineRule="auto"/>
        <w:rPr>
          <w:sz w:val="20"/>
          <w:szCs w:val="20"/>
          <w:color w:val="auto"/>
        </w:rPr>
      </w:pPr>
      <w:r>
        <w:rPr>
          <w:rFonts w:ascii="Courier New" w:cs="Courier New" w:eastAsia="Courier New" w:hAnsi="Courier New"/>
          <w:sz w:val="14"/>
          <w:szCs w:val="14"/>
          <w:color w:val="auto"/>
        </w:rPr>
        <w:t>We have assumed and relied upon without independent verification the accuracy and completeness of the information reviewed by us for the purposes of this opinion. With respect to the financial projections we have assumed that they have been reasonably prepared on bases reflecting the best currently available estimates and judgments of the future financial performance of Exmark.</w:t>
      </w:r>
    </w:p>
    <w:p>
      <w:pPr>
        <w:spacing w:after="0" w:line="165"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We have not made any independent valuation or appraisal of the assets or liabilities of Exmark, nor have we been furnished with any such appraisals. Our opinion is necessarily based on economic, market and other conditions as in effect on, and the information made available to us as of, the date hereof.</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Exmark and does not constitute a recommendation to the Exmark Stockholders as to the voting of their shares on the proposed merger or any other transaction.</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Based on the foregoing, we are of the opinion on the date hereof that the Merger Consideration, even if any Contingent Payment Consideration or any of the Holdback Amount is not received, is fair from a financial point of view to the Exmark Stockholders.</w:t>
      </w:r>
    </w:p>
    <w:p>
      <w:pPr>
        <w:spacing w:after="0" w:line="1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McCarthy &amp; Co.</w:t>
      </w:r>
    </w:p>
    <w:p>
      <w:pPr>
        <w:spacing w:after="0" w:line="200" w:lineRule="exact"/>
        <w:rPr>
          <w:sz w:val="20"/>
          <w:szCs w:val="20"/>
          <w:color w:val="auto"/>
        </w:rPr>
      </w:pPr>
    </w:p>
    <w:p>
      <w:pPr>
        <w:spacing w:after="0" w:line="304"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4"/>
          <w:szCs w:val="14"/>
          <w:color w:val="auto"/>
        </w:rPr>
        <w:t>By:</w:t>
        <w:tab/>
        <w:t>/s/ Mark D. Hasebroock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Mark D. Hasebroock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sectPr>
      </w:pPr>
    </w:p>
    <w:bookmarkStart w:id="226" w:name="page227"/>
    <w:bookmarkEnd w:id="226"/>
    <w:p>
      <w:pPr>
        <w:ind w:left="5960"/>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ind w:left="180" w:hanging="172"/>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UNITED STATES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8" w:lineRule="exact"/>
        <w:rPr>
          <w:sz w:val="20"/>
          <w:szCs w:val="20"/>
          <w:color w:val="auto"/>
        </w:rPr>
      </w:pPr>
    </w:p>
    <w:p>
      <w:pPr>
        <w:jc w:val="center"/>
        <w:ind w:right="289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Quarterly Report Pursuant to Section 13 or 15(d) of the</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Securities Exchange Act of 1934</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August 1, 1997 Commission File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600" w:space="0"/>
            <w:col w:w="3360" w:space="0"/>
            <w:col w:w="4279"/>
          </w:cols>
          <w:pgMar w:left="220" w:top="616" w:right="1440" w:bottom="1440" w:gutter="0" w:footer="0" w:header="0"/>
          <w:type w:val="continuous"/>
        </w:sectPr>
      </w:pPr>
    </w:p>
    <w:p>
      <w:pPr>
        <w:spacing w:after="0" w:line="13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480" w:space="720"/>
            <w:col w:w="7039"/>
          </w:cols>
          <w:pgMar w:left="220" w:top="616" w:right="1440" w:bottom="1440" w:gutter="0" w:footer="0" w:header="0"/>
          <w:type w:val="continuous"/>
        </w:sectPr>
      </w:pPr>
    </w:p>
    <w:p>
      <w:pPr>
        <w:spacing w:after="0" w:line="1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420"/>
        <w:spacing w:after="0"/>
        <w:tabs>
          <w:tab w:leader="none" w:pos="446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TELEPHONE NUMBER: (612) 888-8801</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1740" w:right="3419" w:hanging="1377"/>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9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type w:val="continuous"/>
        </w:sectPr>
      </w:pP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0"/>
          <w:szCs w:val="20"/>
          <w:color w:val="auto"/>
        </w:rPr>
      </w:pPr>
    </w:p>
    <w:p>
      <w:pPr>
        <w:sectPr>
          <w:pgSz w:w="11900" w:h="16838" w:orient="portrait"/>
          <w:cols w:equalWidth="0" w:num="3">
            <w:col w:w="1820" w:space="340"/>
            <w:col w:w="1520" w:space="720"/>
            <w:col w:w="5839"/>
          </w:cols>
          <w:pgMar w:left="220" w:top="616"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ind w:right="385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August 29, 1997 was 12,115,415.</w:t>
      </w:r>
    </w:p>
    <w:p>
      <w:pPr>
        <w:spacing w:after="0" w:line="160" w:lineRule="exact"/>
        <w:rPr>
          <w:sz w:val="20"/>
          <w:szCs w:val="20"/>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227" w:name="page228"/>
    <w:bookmarkEnd w:id="227"/>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304"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Statements of</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Earnings and</w:t>
            </w:r>
          </w:p>
        </w:tc>
        <w:tc>
          <w:tcPr>
            <w:tcW w:w="420" w:type="dxa"/>
            <w:vAlign w:val="bottom"/>
          </w:tcPr>
          <w:p>
            <w:pPr>
              <w:spacing w:after="0"/>
              <w:rPr>
                <w:sz w:val="14"/>
                <w:szCs w:val="14"/>
                <w:color w:val="auto"/>
              </w:rPr>
            </w:pPr>
          </w:p>
        </w:tc>
      </w:tr>
      <w:tr>
        <w:trPr>
          <w:trHeight w:val="166"/>
        </w:trPr>
        <w:tc>
          <w:tcPr>
            <w:tcW w:w="3180" w:type="dxa"/>
            <w:vAlign w:val="bottom"/>
            <w:gridSpan w:val="3"/>
          </w:tcPr>
          <w:p>
            <w:pPr>
              <w:spacing w:after="0"/>
              <w:rPr>
                <w:sz w:val="20"/>
                <w:szCs w:val="20"/>
                <w:color w:val="auto"/>
              </w:rPr>
            </w:pPr>
            <w:r>
              <w:rPr>
                <w:rFonts w:ascii="Courier New" w:cs="Courier New" w:eastAsia="Courier New" w:hAnsi="Courier New"/>
                <w:sz w:val="14"/>
                <w:szCs w:val="14"/>
                <w:color w:val="auto"/>
              </w:rPr>
              <w:t>Retained Earnings -</w:t>
            </w: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Three and</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Nine Months Ended</w:t>
            </w: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1997 and August 2, 1996.</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.3</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4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Consolidated Balance Sheets -</w:t>
            </w:r>
          </w:p>
        </w:tc>
        <w:tc>
          <w:tcPr>
            <w:tcW w:w="420" w:type="dxa"/>
            <w:vAlign w:val="bottom"/>
          </w:tcPr>
          <w:p>
            <w:pPr>
              <w:spacing w:after="0"/>
              <w:rPr>
                <w:sz w:val="24"/>
                <w:szCs w:val="24"/>
                <w:color w:val="auto"/>
              </w:rPr>
            </w:pPr>
          </w:p>
        </w:tc>
      </w:tr>
      <w:tr>
        <w:trPr>
          <w:trHeight w:val="166"/>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1997, August 2, 1996 and October 31, 1996.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.4</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Statements of</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Cash Flows -</w:t>
            </w:r>
          </w:p>
        </w:tc>
        <w:tc>
          <w:tcPr>
            <w:tcW w:w="420" w:type="dxa"/>
            <w:vAlign w:val="bottom"/>
          </w:tcPr>
          <w:p>
            <w:pPr>
              <w:spacing w:after="0"/>
              <w:rPr>
                <w:sz w:val="24"/>
                <w:szCs w:val="24"/>
                <w:color w:val="auto"/>
              </w:rPr>
            </w:pPr>
          </w:p>
        </w:tc>
      </w:tr>
      <w:tr>
        <w:trPr>
          <w:trHeight w:val="166"/>
        </w:trPr>
        <w:tc>
          <w:tcPr>
            <w:tcW w:w="52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Nine Months Ended August 1, 1997 and August 2, 1996.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.5</w:t>
            </w:r>
          </w:p>
        </w:tc>
      </w:tr>
      <w:tr>
        <w:trPr>
          <w:trHeight w:val="331"/>
        </w:trPr>
        <w:tc>
          <w:tcPr>
            <w:tcW w:w="5260" w:type="dxa"/>
            <w:vAlign w:val="bottom"/>
            <w:gridSpan w:val="4"/>
          </w:tcPr>
          <w:p>
            <w:pPr>
              <w:spacing w:after="0"/>
              <w:rPr>
                <w:sz w:val="20"/>
                <w:szCs w:val="20"/>
                <w:color w:val="auto"/>
              </w:rPr>
            </w:pPr>
            <w:r>
              <w:rPr>
                <w:rFonts w:ascii="Courier New" w:cs="Courier New" w:eastAsia="Courier New" w:hAnsi="Courier New"/>
                <w:sz w:val="14"/>
                <w:szCs w:val="14"/>
                <w:color w:val="auto"/>
              </w:rPr>
              <w:t>Notes to Condensed Consolidated Financial Statements.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Management's</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Discussion and Analysis</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of Financial</w:t>
            </w:r>
          </w:p>
        </w:tc>
        <w:tc>
          <w:tcPr>
            <w:tcW w:w="420" w:type="dxa"/>
            <w:vAlign w:val="bottom"/>
          </w:tcPr>
          <w:p>
            <w:pPr>
              <w:spacing w:after="0"/>
              <w:rPr>
                <w:sz w:val="24"/>
                <w:szCs w:val="2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Condition</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Results of Operations .</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10-14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ind w:left="960"/>
        <w:spacing w:after="0"/>
        <w:tabs>
          <w:tab w:leader="none" w:pos="1620" w:val="left"/>
        </w:tabs>
        <w:rPr>
          <w:sz w:val="20"/>
          <w:szCs w:val="20"/>
          <w:color w:val="auto"/>
        </w:rPr>
      </w:pPr>
      <w:r>
        <w:rPr>
          <w:rFonts w:ascii="Courier New" w:cs="Courier New" w:eastAsia="Courier New" w:hAnsi="Courier New"/>
          <w:sz w:val="14"/>
          <w:szCs w:val="14"/>
          <w:color w:val="auto"/>
        </w:rPr>
        <w:t>Item 6</w:t>
        <w:tab/>
        <w:t>Exhibits and Reports on Form 8-K. . . . . . . . . . . . 15</w:t>
      </w:r>
    </w:p>
    <w:p>
      <w:pPr>
        <w:spacing w:after="0" w:line="173"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Exhibit 11</w:t>
        <w:tab/>
        <w:t>Computation of Earnings Per Common Share. . . . . . 16</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28" w:name="page229"/>
    <w:bookmarkEnd w:id="228"/>
    <w:p>
      <w:pPr>
        <w:jc w:val="center"/>
        <w:ind w:right="2899"/>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1,</w:t>
            </w:r>
          </w:p>
        </w:tc>
        <w:tc>
          <w:tcPr>
            <w:tcW w:w="1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August 2,</w:t>
            </w:r>
          </w:p>
        </w:tc>
        <w:tc>
          <w:tcPr>
            <w:tcW w:w="2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August 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sales.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249,274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232,565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810,434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732,712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Cost of sales.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156,879</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146,681</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517,695</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466,689</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Gross profit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92,395</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85,884</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292,739</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266,023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expense.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73,626</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72,909</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231,255</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210,273</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Earnings from operations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18,769</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12,975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61,484</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55,750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 expense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5,476</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15,408</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10,858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income, net. . . . . . . . . . . . . . .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(3,151)</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(1,489)</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Earnings before income taxes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16,444</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10,709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52,033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52,534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Provision for income taxes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6,495</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20,553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20,751</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Net earnings before extraordinary loss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9,949</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31,480</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of</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$1,087 . . . . . . . . . . . . . . . . . . .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Net earnings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8,286</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31,783</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Retained earnings at beginning of period . . . . . . .</w:t>
            </w:r>
          </w:p>
        </w:tc>
        <w:tc>
          <w:tcPr>
            <w:tcW w:w="340" w:type="dxa"/>
            <w:vAlign w:val="bottom"/>
          </w:tcPr>
          <w:p>
            <w:pPr>
              <w:spacing w:after="0"/>
              <w:rPr>
                <w:sz w:val="24"/>
                <w:szCs w:val="2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192,276</w:t>
            </w:r>
          </w:p>
        </w:tc>
        <w:tc>
          <w:tcPr>
            <w:tcW w:w="10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165,274</w:t>
            </w:r>
          </w:p>
        </w:tc>
        <w:tc>
          <w:tcPr>
            <w:tcW w:w="260" w:type="dxa"/>
            <w:vAlign w:val="bottom"/>
          </w:tcPr>
          <w:p>
            <w:pPr>
              <w:spacing w:after="0"/>
              <w:rPr>
                <w:sz w:val="24"/>
                <w:szCs w:val="2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173,630</w:t>
            </w:r>
          </w:p>
        </w:tc>
        <w:tc>
          <w:tcPr>
            <w:tcW w:w="300" w:type="dxa"/>
            <w:vAlign w:val="bottom"/>
          </w:tcPr>
          <w:p>
            <w:pPr>
              <w:spacing w:after="0"/>
              <w:rPr>
                <w:sz w:val="24"/>
                <w:szCs w:val="2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 .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Dividends on common stock of $0.12, $0.12,</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$0.36 and $0.36 per share, respectively. . .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(1,452)</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(1,458)</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(4,393)</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Retained earnings at end of period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199,110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170,445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199,110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170,445</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before extraordinary</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loss . .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assuming full dilution before extraordinary</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loss . .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assuming full dilution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29" w:name="page230"/>
    <w:bookmarkEnd w:id="229"/>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ind w:left="2760"/>
              <w:spacing w:after="0"/>
              <w:rPr>
                <w:sz w:val="20"/>
                <w:szCs w:val="20"/>
                <w:color w:val="auto"/>
              </w:rPr>
            </w:pPr>
            <w:r>
              <w:rPr>
                <w:rFonts w:ascii="Courier New" w:cs="Courier New" w:eastAsia="Courier New" w:hAnsi="Courier New"/>
                <w:sz w:val="14"/>
                <w:szCs w:val="14"/>
                <w:color w:val="auto"/>
              </w:rPr>
              <w:t>(DOLLARS IN THOUSANDS)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994"/>
        </w:trPr>
        <w:tc>
          <w:tcPr>
            <w:tcW w:w="6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August 1,</w:t>
            </w:r>
          </w:p>
        </w:tc>
        <w:tc>
          <w:tcPr>
            <w:tcW w:w="3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August 2,</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4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308,234</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265,772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239,637</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161,825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143,339</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130,288</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39,285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34,370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35,010</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509,348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444,632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405,001</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322,708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220,443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229,080</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206,105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151,626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155,270</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116,603</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68,817</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73,810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assets . . . .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79,019</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18,481</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18,066</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assets. . . . . . . . . . . . . . . . . . .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704,970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531,930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496,877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95,000</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83,600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41,025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46,531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26,160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43,524</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146,358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136,603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122,958</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288,254</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246,736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207,857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 . . . . .</w:t>
            </w:r>
          </w:p>
        </w:tc>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177,650</w:t>
            </w:r>
          </w:p>
        </w:tc>
        <w:tc>
          <w:tcPr>
            <w:tcW w:w="3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53,046</w:t>
            </w:r>
          </w:p>
        </w:tc>
        <w:tc>
          <w:tcPr>
            <w:tcW w:w="3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53,015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5,399</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22,586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22,438</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Common stock par value $1.00,</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authorized 35,000,000 shares; issued and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outstanding 12,112,310 shares at August 1,</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1997 (net of 797,694 treasury shares),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11,990,873 shares at August 2, 1996</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(net of 919,131 treasury shares), and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12,032,143 shares at October 31, 1996 (net</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of 877,861 treasury shares)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12,112</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11,991</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28,241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27,817</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28,462</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 . .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199,110</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170,445</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173,630</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 adjustment . . . . . . . . . . .</w:t>
            </w:r>
          </w:p>
        </w:tc>
        <w:tc>
          <w:tcPr>
            <w:tcW w:w="6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(5,796)</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(691)</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Total common stockholders' equity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233,667</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209,562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213,567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 common stockholders' equity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704,970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531,930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496,877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30" w:name="page231"/>
    <w:bookmarkEnd w:id="230"/>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August 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 .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29,817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31,783</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provided by (used in) operating activities: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on early extinguishment of debt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1,663</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Provision for depreciation and amortization.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16,675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13,228</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Gain on disposal of property, plant and equipment.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 . . . .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1,528</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Tax benefits related to employee stock option</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transactions . . . . . . . .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1,224</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1,490</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Receivables, net. . .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(43,488)</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(66,956)</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Inventories . . . . .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(747)</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2,523</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 current assets.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(3,606)</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Accounts payable and accrued expenses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7,601</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(1,502)</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Net cash provided by (used in) operating</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activities . . . . . . .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10,597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(20,101)</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Purchases of property, plant and equipment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(24,729)</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(11,655)</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asset disposals.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Change in other assets/liabilities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(7,877)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(2,740)</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James Hardie Irrigation, net of</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acquired . . . .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(117,622)</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Net cash used in investing activities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(149,068)</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(13,956)</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Increase in short-term borrowing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53,975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42,025</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issuance of long-term debt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175,000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Repayments of long-term debt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(50,350)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(15,280)</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Payment of debt issue costs and prepayment penalty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(5,625)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Payments for termination of interest rate swaps.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(23,650)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forward-starting interest rate swap.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15,363</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sale of common stock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6,587</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3,673</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Purchases of common stock.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(7,952)</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(13,071)</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Dividends on common stock.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(4,337)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(4,393)</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Net cash provided by financing activities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143,648</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28,317</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Foreign currency translation adjustment.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(5,239)</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Net decrease in cash and cash equivalents.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(6,551)</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and cash equivalents at beginning of period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7,702</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and cash equivalents at end of period . . . . . . . . . .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1,151</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231" w:name="page232"/>
    <w:bookmarkEnd w:id="231"/>
    <w:tbl>
      <w:tblPr>
        <w:tblLayout w:type="fixed"/>
        <w:tblInd w:w="960" w:type="dxa"/>
        <w:tblCellMar>
          <w:top w:w="0" w:type="dxa"/>
          <w:left w:w="0" w:type="dxa"/>
          <w:bottom w:w="0" w:type="dxa"/>
          <w:right w:w="0" w:type="dxa"/>
        </w:tblCellMar>
      </w:tblPr>
      <w:tr>
        <w:trPr>
          <w:trHeight w:val="162"/>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TORO COMPANY</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AND SUBSIDIARIES</w:t>
            </w:r>
          </w:p>
        </w:tc>
      </w:t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NOTES TO CONDENSED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FINANCIAL STATEMENTS (UNAUDITED)</w:t>
            </w:r>
          </w:p>
        </w:tc>
      </w:tr>
      <w:tr>
        <w:trPr>
          <w:trHeight w:val="166"/>
        </w:trPr>
        <w:tc>
          <w:tcPr>
            <w:tcW w:w="1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1, 1997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August 1, 1997 are not necessarily indicative of the results that may be expected for the year ended October 31, 1997.</w:t>
      </w:r>
    </w:p>
    <w:p>
      <w:pPr>
        <w:spacing w:after="0" w:line="163" w:lineRule="exact"/>
        <w:rPr>
          <w:sz w:val="20"/>
          <w:szCs w:val="20"/>
          <w:color w:val="auto"/>
        </w:rPr>
      </w:pPr>
    </w:p>
    <w:p>
      <w:pPr>
        <w:ind w:left="360" w:right="341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The majority of inventories are valued at the lower of net realizable value or cost with cost determined by the last-in, first-out (LIFO) method. Had the first-in, first-out (FIFO) method of cost determination been used, inventories would have been $25,642,000 and $24,841,000 higher than reported at August 1, 1997, and August 2, 1996, respectively. Under the FIFO method, work-in-process inventories were $72,008,000 and $68,952,000 and finished goods inventories were $115,459,000 and $99,228,000 at August 1, 1997, and August 2, 1996,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In June 1997, the company issued $175.0 million of debt securities consisting of $75.0 million of 7.125 % coupon 10-year Notes and $100.0 million of 7.80 % 30-year Debentures. The proceeds from the debt securities issued were used in part to repay short-term indebtedness, which was primarily related to the acquisition of the James Hardie Irrigation Group, and to redeem on August 1, 1997, the company's $50.0 million principal amount of 11 % Sinking Fund Debentures. The company paid a prepayment penalty of approximately $2.8 million for the early retirement of the Debentures. This penalty is reported in the condensed consolidated statement of earnings as an extraordinary loss, net of the related income tax benefit.</w:t>
      </w:r>
    </w:p>
    <w:p>
      <w:pPr>
        <w:spacing w:after="0" w:line="329"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In connection with the issuance of the $175.0 million in long-term debt securities, the company paid $23.7 million to terminate three forward-starting interest rate swap agreements with notational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73" w:lineRule="exact"/>
        <w:rPr>
          <w:sz w:val="20"/>
          <w:szCs w:val="20"/>
          <w:color w:val="auto"/>
        </w:rPr>
      </w:pPr>
    </w:p>
    <w:p>
      <w:pPr>
        <w:ind w:left="360" w:right="3880"/>
        <w:spacing w:after="0" w:line="251" w:lineRule="auto"/>
        <w:rPr>
          <w:sz w:val="20"/>
          <w:szCs w:val="20"/>
          <w:color w:val="auto"/>
        </w:rPr>
      </w:pPr>
      <w:r>
        <w:rPr>
          <w:rFonts w:ascii="Courier New" w:cs="Courier New" w:eastAsia="Courier New" w:hAnsi="Courier New"/>
          <w:sz w:val="14"/>
          <w:szCs w:val="14"/>
          <w:color w:val="auto"/>
        </w:rPr>
        <w:t>A portion of the company's sales and purchases are denominated in foreign currencies. The company enters into forward exchange and range forward option contracts to reduce exposure to foreign currency exchange risk. These contracts are designated to hedge firm anticipated foreign currency transactions. Gains and losses on foreign currency contracts are deferred and recognized upon settlement of the underlying hedged transaction.</w:t>
      </w:r>
    </w:p>
    <w:p>
      <w:pPr>
        <w:spacing w:after="0" w:line="164"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As discussed under the "Long-term Debt" caption in these notes to the condensed consolidated financial statements, the company entered into interest rate exchange or swap agreements to hedge interest rate exposure on the anticipated issuance of new long-term debt securities. The net loss on these swap agreements has been deferred and is being amortized as an adjustment to interest expense over the term of the debt securities. In June 1997, the company terminated all of its outstanding interest rate exchange agreements upon the issuance of the new long-term debt securities.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164"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164"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163"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2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9"/>
              </w:rPr>
              <w: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Aug 1,</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Aug 2,</w:t>
            </w:r>
          </w:p>
        </w:tc>
        <w:tc>
          <w:tcPr>
            <w:tcW w:w="30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 1,</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 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90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140" w:type="dxa"/>
            <w:vAlign w:val="bottom"/>
          </w:tcPr>
          <w:p>
            <w:pPr>
              <w:spacing w:after="0"/>
              <w:rPr>
                <w:sz w:val="14"/>
                <w:szCs w:val="14"/>
                <w:color w:val="auto"/>
              </w:rPr>
            </w:pPr>
          </w:p>
        </w:tc>
        <w:tc>
          <w:tcPr>
            <w:tcW w:w="54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sales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249,274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267,774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824,600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842,793</w:t>
            </w:r>
          </w:p>
        </w:tc>
      </w:tr>
      <w:tr>
        <w:trPr>
          <w:trHeight w:val="331"/>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earnings before extraordinary loss</w:t>
            </w:r>
          </w:p>
        </w:tc>
        <w:tc>
          <w:tcPr>
            <w:tcW w:w="900" w:type="dxa"/>
            <w:vAlign w:val="bottom"/>
          </w:tcPr>
          <w:p>
            <w:pPr>
              <w:spacing w:after="0"/>
              <w:rPr>
                <w:sz w:val="24"/>
                <w:szCs w:val="2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9,949</w:t>
            </w:r>
          </w:p>
        </w:tc>
        <w:tc>
          <w:tcPr>
            <w:tcW w:w="1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5,634</w:t>
            </w:r>
          </w:p>
        </w:tc>
        <w:tc>
          <w:tcPr>
            <w:tcW w:w="300" w:type="dxa"/>
            <w:vAlign w:val="bottom"/>
          </w:tcPr>
          <w:p>
            <w:pPr>
              <w:spacing w:after="0"/>
              <w:rPr>
                <w:sz w:val="24"/>
                <w:szCs w:val="2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29,783</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28,283</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9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(1,663)</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(1,663)</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earnings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8,286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28,120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28,283</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Primary earnings per share before extraordinary loss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9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(0.13)</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(0.13)</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Primary earnings per share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0.67</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5140" w:type="dxa"/>
            <w:vAlign w:val="bottom"/>
          </w:tcPr>
          <w:p>
            <w:pPr>
              <w:ind w:left="3620"/>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600"/>
          </w:cols>
          <w:pgMar w:left="220" w:top="616" w:right="1079"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On June 4, 1997, the company announced that it had signed a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have a material impact on the financial condition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(SFAS) No. 128, "Earnings Per Share," which establishes new standards for computing and presenting earnings per share information. The company will be required to adopt the new standard beginning in the first quarter of fiscal 1998; earlier application is not permitted. Prior period information is required to be restated to conform with the requirements of the new standard. Pro forma earnings per share for the three and nine month periods ended August 1, 1997 and August 2, 1996 as computed under SFAS No. 128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Pro forma EPS</w:t>
            </w: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Pro forma EPS</w:t>
            </w:r>
          </w:p>
        </w:tc>
      </w:tr>
      <w:tr>
        <w:trPr>
          <w:trHeight w:val="166"/>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040" w:type="dxa"/>
            <w:vAlign w:val="bottom"/>
          </w:tcPr>
          <w:p>
            <w:pPr>
              <w:spacing w:after="0"/>
              <w:rPr>
                <w:sz w:val="14"/>
                <w:szCs w:val="14"/>
                <w:color w:val="auto"/>
              </w:rPr>
            </w:pPr>
          </w:p>
        </w:tc>
        <w:tc>
          <w:tcPr>
            <w:tcW w:w="5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August 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August 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August 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r>
      <w:tr>
        <w:trPr>
          <w:trHeight w:val="166"/>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1997</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040" w:type="dxa"/>
            <w:vAlign w:val="bottom"/>
          </w:tcPr>
          <w:p>
            <w:pPr>
              <w:spacing w:after="0"/>
              <w:rPr>
                <w:sz w:val="14"/>
                <w:szCs w:val="14"/>
                <w:color w:val="auto"/>
              </w:rPr>
            </w:pPr>
          </w:p>
        </w:tc>
        <w:tc>
          <w:tcPr>
            <w:tcW w:w="5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Basic earnings per share, 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$ 2.61</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$ 2.61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(0.14)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$ 2.47</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$ 2.61</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earnings per share, 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$ 2.53</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$ 2.52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(0.13)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$ 2.40</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$ 2.52</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828"/>
        </w:trPr>
        <w:tc>
          <w:tcPr>
            <w:tcW w:w="5040" w:type="dxa"/>
            <w:vAlign w:val="bottom"/>
          </w:tcPr>
          <w:p>
            <w:pPr>
              <w:ind w:left="3520"/>
              <w:spacing w:after="0"/>
              <w:rPr>
                <w:sz w:val="20"/>
                <w:szCs w:val="20"/>
                <w:color w:val="auto"/>
              </w:rPr>
            </w:pPr>
            <w:r>
              <w:rPr>
                <w:rFonts w:ascii="Courier New" w:cs="Courier New" w:eastAsia="Courier New" w:hAnsi="Courier New"/>
                <w:sz w:val="14"/>
                <w:szCs w:val="14"/>
                <w:color w:val="auto"/>
              </w:rPr>
              <w:t>8</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4"/>
          <w:szCs w:val="14"/>
          <w:color w:val="auto"/>
        </w:rPr>
        <w:t>NEW ACCOUNTING PRONOUNCEMENTS (CONTINUED)</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Also in February 1997, the FASB issued Statement of Financial Accounting Standards No. 129, "Disclosure of Information about Capital Structure," (SFAS 129) which consolidates existing requirements regarding capital structure. SFAS 129 will be required to be adopted in the first quarter of fiscal 1998, and is not expected to have a material impact on the company's current capital structure disclosures.</w:t>
      </w:r>
    </w:p>
    <w:p>
      <w:pPr>
        <w:spacing w:after="0" w:line="164" w:lineRule="exact"/>
        <w:rPr>
          <w:sz w:val="20"/>
          <w:szCs w:val="20"/>
          <w:color w:val="auto"/>
        </w:rPr>
      </w:pPr>
    </w:p>
    <w:p>
      <w:pPr>
        <w:ind w:left="360" w:right="3599"/>
        <w:spacing w:after="0" w:line="252"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130, " Reporting Comprehensive Income," (SFAS 130) and Statement of Financial Accounting Standards No. 131, "Disclosures about Segments of an Enterprise and Related Information," (SFAS 131).</w:t>
      </w:r>
    </w:p>
    <w:p>
      <w:pPr>
        <w:spacing w:after="0" w:line="162"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SFAS 130 establishes standards for reporting and displaying the components of comprehensive income and the accumulated balance of other comprehensive income within total stockholders' equity. The company is required to adopt SFAS 130 beginning in the second quarter of fiscal 1998, with reclassification of prior period information for comparative purposes required. The adoption of SFAS 130 will require additional disclosures, but is not expected to have a material impact on the company's consolidated financial statements.</w:t>
      </w:r>
    </w:p>
    <w:p>
      <w:pPr>
        <w:spacing w:after="0" w:line="164"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SFAS 131 requires disclosure of selected information about operating segments including segment income, revenues and asset data, as well as descriptive information about how operating segments are determined and the products and services provided by the segments. Generally, financial information will be required to be reported on the same basis that it is used internally for evaluating segment performance and deciding how to allocate resources to segments. The company will be required to adopt SFAS 131 beginning with its 1999 fiscal year end annual report. The adoption of SFAS 131 will require additional disclosures but is not expected to have a material impact on the company's consolidated financial statements.</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35" w:name="page236"/>
    <w:bookmarkEnd w:id="235"/>
    <w:p>
      <w:pPr>
        <w:jc w:val="center"/>
        <w:ind w:right="289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5"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Third quarter net earnings before the effect of an extraordinary loss rose 53.9% to $9.9 million from the net earnings of $6.5 million for the same period in the previous year. Earnings per share before the effect of an extraordinary loss for the third quarter improved 53.8% to $0.80 from $0.52 in the previous period. An extraordinary loss on the prepayment of $50.0 million of 11% Debentures was recognized in the third quarter of fiscal 1997, reducing net earnings for the third quarter to $8.3 million or $0.67 per share. The prepayment was part of an overall debt restructuring (See "Liquidity and Capital Resources"). Net sales increased from $232.6 million in the third quarter of 1996 to $249.3 million in the third quarter of 1997, as a result of factors discussed in the following paragraphs.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the nine months ended August 1, 1997 net sales increased from the same period in 1996 by $77.7 million or 10.6%. Net earnings before the extraordinary loss for the nine months ended August 1, 1997 were $31.5 million as compared to $31.8 million for the same period last year.</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both fiscal 1996 and 1997 the spring mowing season was late and wet in many key markets. In fiscal 1997 these unpredictable weather patterns heightened a conservative buying attitude among dealers and distributors. The company continues to focus on more efficient asset management, the integration of the Hardie acquisition, and other new strategic alliances and acquisitions to promote further diversification and growth.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82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1,  August 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CHANGE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Consumer products. . . . . . . . .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81,888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$102,290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(20,402)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Commercial products. . . . . . . . .</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89,832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84,828</w:t>
            </w:r>
          </w:p>
        </w:tc>
        <w:tc>
          <w:tcPr>
            <w:tcW w:w="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Irrigation products. . . . . . . . .</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77,554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45,447</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32,107</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w:t>
            </w:r>
          </w:p>
        </w:tc>
      </w:tr>
      <w:tr>
        <w:trPr>
          <w:trHeight w:val="166"/>
        </w:trPr>
        <w:tc>
          <w:tcPr>
            <w:tcW w:w="3160" w:type="dxa"/>
            <w:vAlign w:val="bottom"/>
          </w:tcPr>
          <w:p>
            <w:pPr>
              <w:spacing w:after="0"/>
              <w:rPr>
                <w:sz w:val="14"/>
                <w:szCs w:val="14"/>
                <w:color w:val="auto"/>
              </w:rPr>
            </w:pPr>
          </w:p>
        </w:tc>
        <w:tc>
          <w:tcPr>
            <w:tcW w:w="8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Total *. . . . . . . . . . . .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249,274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$232,565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16,709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r>
        <w:trPr>
          <w:trHeight w:val="166"/>
        </w:trPr>
        <w:tc>
          <w:tcPr>
            <w:tcW w:w="3160" w:type="dxa"/>
            <w:vAlign w:val="bottom"/>
          </w:tcPr>
          <w:p>
            <w:pPr>
              <w:spacing w:after="0"/>
              <w:rPr>
                <w:sz w:val="14"/>
                <w:szCs w:val="14"/>
                <w:color w:val="auto"/>
              </w:rPr>
            </w:pPr>
          </w:p>
        </w:tc>
        <w:tc>
          <w:tcPr>
            <w:tcW w:w="8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8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 Includes international sales of: .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48,972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$ 43,238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r>
      <w:tr>
        <w:trPr>
          <w:trHeight w:val="66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36" w:name="page237"/>
    <w:bookmarkEnd w:id="2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7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356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1,  August 2,</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1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Consumer products. .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$303,443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$342,722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$(39,279)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Commercial products.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289,819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271,684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18,135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Irrigation products.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217,172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118,306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98,866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w:t>
            </w:r>
          </w:p>
        </w:tc>
      </w:tr>
      <w:tr>
        <w:trPr>
          <w:trHeight w:val="166"/>
        </w:trPr>
        <w:tc>
          <w:tcPr>
            <w:tcW w:w="31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3160" w:type="dxa"/>
            <w:vAlign w:val="bottom"/>
          </w:tcPr>
          <w:p>
            <w:pPr>
              <w:ind w:left="520"/>
              <w:spacing w:after="0"/>
              <w:rPr>
                <w:sz w:val="20"/>
                <w:szCs w:val="20"/>
                <w:color w:val="auto"/>
              </w:rPr>
            </w:pPr>
            <w:r>
              <w:rPr>
                <w:rFonts w:ascii="Courier New" w:cs="Courier New" w:eastAsia="Courier New" w:hAnsi="Courier New"/>
                <w:sz w:val="14"/>
                <w:szCs w:val="14"/>
                <w:color w:val="auto"/>
              </w:rPr>
              <w:t>Total *. . . .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$810,434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$732,712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$ 77,722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331"/>
        </w:trPr>
        <w:tc>
          <w:tcPr>
            <w:tcW w:w="3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60" w:type="dxa"/>
            <w:vAlign w:val="bottom"/>
          </w:tcPr>
          <w:p>
            <w:pPr>
              <w:spacing w:after="0"/>
              <w:rPr>
                <w:sz w:val="24"/>
                <w:szCs w:val="24"/>
                <w:color w:val="auto"/>
              </w:rPr>
            </w:pPr>
          </w:p>
        </w:tc>
      </w:tr>
      <w:tr>
        <w:trPr>
          <w:trHeight w:val="166"/>
        </w:trPr>
        <w:tc>
          <w:tcPr>
            <w:tcW w:w="31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6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 Includes international sales of:</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$184,952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$146,996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$ 37,956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CONSUMER PRODUCT SALES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net sales of consumer products for the three and nine months ended August 1, 1997 declined by $20.4 million and $39.3 million, respectively, compared to the same periods in the previous year. Early season snowthrower sales in the third quarter of fiscal 1996 were unusually high as dealers replenished abnormally low inventory levels. This, combined with lower than expected sales of mowing products due to poor weather conditions and conservative buying patterns among dealers caused a decline in consumer product sales for the three and nine month periods as compared to the previous year.</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International consumer product net sales for the three months ended August 1, 1997 increased from $11.5 million to $12.6 million and from $45.8 million to $49.4 million for the nine months ended August 1, 1997 as new products were introduced in both Europe and Canada.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Worldwide commercial product net sales for the three months ended August 1, 1997 were $89.8 million compared to $84.8 million in the same period in the prior year. Net sales for the nine months ended August 1, 1997 increased by 6.7% to $289.8 million compared to $271.7 million in the same period in the prior year. Despite strong competition, sales of equipment to golf courses did well, reflecting the continued growth of the golf market. Several new product introductions in the second quarter also reinforced sales.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International commercial product net sales decreased to $17.6 million for the three months ended August 1, 1997 from $23.9 million in the prior year due to continued inclement weather in Europe. Net sales were flat at $79.8 million for the nine months ended August 1, 1997. Sales weakened due to generally weak economic conditions in Europe.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Worldwide irrigation product net sales rose 70.6% from $45.4 million in the same three month period last year to $77.6 million in the current year. Net sales for the nine months ended August 1, 1997 were $217.2 million compared to $118.3 million in the same period in the prior year. This increase is almost entirely attributable to the acquisition of Hardie.</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International irrigation product net sales, excluding Hardie sales, increased by 8.4% for the third quarter and 4.1% for the first nine months of fiscal 1997, as compared to the corresponding period in the prior year.</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47"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Gross profit was $92.4 million and $292.7 million for the three and nine months ended August 1, 1997, respectively, an increase of $6.5 million and $26.7 million from the three and nine months ended August 2, 1996, respectively. As a percent of sales, gross profit for the three month period ended August 1, 1997 was 37.1% compared with 36.9% for the same period in 1996 and 36.1% for the nine months ended August 1, 1997 versus 36.3% for the same period in 1996. The lower gross margin for the nine month period was primarily due to the effect of lower margins contributed by Hardie product sales. For the three month period, the impact of lower Hardie gross margins was offset by production efficiencies.</w:t>
      </w:r>
    </w:p>
    <w:p>
      <w:pPr>
        <w:spacing w:after="0" w:line="329"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7"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left="2160" w:right="1120"/>
        <w:spacing w:after="0" w:line="250" w:lineRule="auto"/>
        <w:rPr>
          <w:sz w:val="20"/>
          <w:szCs w:val="20"/>
          <w:color w:val="auto"/>
        </w:rPr>
      </w:pPr>
      <w:r>
        <w:rPr>
          <w:rFonts w:ascii="Courier New" w:cs="Courier New" w:eastAsia="Courier New" w:hAnsi="Courier New"/>
          <w:sz w:val="14"/>
          <w:szCs w:val="14"/>
          <w:color w:val="auto"/>
        </w:rPr>
        <w:t>3 Months                 3 Months                9 Months                         9 Months Ended                    Ended                   Ended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780" w:right="180" w:firstLine="1464"/>
        <w:spacing w:after="0" w:line="250" w:lineRule="auto"/>
        <w:rPr>
          <w:sz w:val="20"/>
          <w:szCs w:val="20"/>
          <w:color w:val="auto"/>
        </w:rPr>
      </w:pPr>
      <w:r>
        <w:rPr>
          <w:rFonts w:ascii="Courier New" w:cs="Courier New" w:eastAsia="Courier New" w:hAnsi="Courier New"/>
          <w:sz w:val="14"/>
          <w:szCs w:val="14"/>
          <w:color w:val="auto"/>
        </w:rPr>
        <w:t>Aug 1, % of Net Aug 2, % of Net Aug 1, % of Net Aug 2, % of Net S G &amp; A 1997 Sales 1996 Sales 1997 Sales 1996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Distributor/Dealer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Financing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Research and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Development</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Service/Quality</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Assurance</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6"/>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40" w:type="dxa"/>
            <w:vAlign w:val="bottom"/>
          </w:tcPr>
          <w:p>
            <w:pPr>
              <w:ind w:left="420"/>
              <w:spacing w:after="0"/>
              <w:rPr>
                <w:sz w:val="20"/>
                <w:szCs w:val="20"/>
                <w:color w:val="auto"/>
              </w:rPr>
            </w:pPr>
            <w:r>
              <w:rPr>
                <w:rFonts w:ascii="Courier New" w:cs="Courier New" w:eastAsia="Courier New" w:hAnsi="Courier New"/>
                <w:sz w:val="14"/>
                <w:szCs w:val="14"/>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231.3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140"/>
        <w:spacing w:after="0" w:line="250" w:lineRule="auto"/>
        <w:rPr>
          <w:sz w:val="20"/>
          <w:szCs w:val="20"/>
          <w:color w:val="auto"/>
        </w:rPr>
      </w:pPr>
      <w:r>
        <w:rPr>
          <w:rFonts w:ascii="Courier New" w:cs="Courier New" w:eastAsia="Courier New" w:hAnsi="Courier New"/>
          <w:sz w:val="14"/>
          <w:szCs w:val="14"/>
          <w:color w:val="auto"/>
        </w:rPr>
        <w:t>Selling, general and administrative expense (SG&amp;A) for the three months ended August 1, 1997 increased $0.7 million from the prior year, and as a percent of sales decreased to 29.5% from 31.3% for the same period in fiscal 1996. Hardie added $8.3 million in SG&amp;A expense during the third quarter of fiscal 1997. SG&amp;A expense for the nine months ended August 1, 1997 increased $21.0 million from the prior year, including Hardie's SG&amp;A expense of $24.3 million, and as a percent of sales decreased to 28.5% from 28.7% for the same period in fiscal 1996. Administrative expenses, net of Hardie, decreased $4.8 million for the quarter and $3.0 million for the nine months ended August 1, 1997 due mainly to cost containment efforts. Sales and marketing expenses, net of Hardie, decreased by $3.4 million for the quarter due to both reduced sales and reductions in spending for marketing programs and increased $1.7 million for the nine months ended August 1, 1997 due primarily to increased promotional costs of new products for the landscape contractor group. Warranty expense, net of Hardie, increased $1.4 million for the quarter due to an adjustment to the warranty accrual rate based upon higher than anticipated claims and decreased $2.3 million for the nine months ended August 1, 1997 due primarily to reduced consumer product sales. Research and development, net of Hardie, was flat for both the three month and the nine month periods ended August 1, 1997. Service/quality assurance, net of Hardie, declined due to lower sales volume in this three month period in fiscal 1997 versus the same period in fiscal 1996. Warehousing expenses, net of Hardie, were flat for the three month period and down slightly for the nine month period. Distributor/dealer financing was flat as compared to the same period in fiscal 1996.</w:t>
      </w:r>
    </w:p>
    <w:p>
      <w:pPr>
        <w:spacing w:after="0" w:line="200" w:lineRule="exact"/>
        <w:rPr>
          <w:sz w:val="20"/>
          <w:szCs w:val="20"/>
          <w:color w:val="auto"/>
        </w:rPr>
      </w:pPr>
    </w:p>
    <w:p>
      <w:pPr>
        <w:spacing w:after="0" w:line="30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040"/>
          </w:cols>
          <w:pgMar w:left="220" w:top="616" w:right="639"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4"/>
          <w:szCs w:val="14"/>
          <w:color w:val="auto"/>
        </w:rPr>
        <w:t>FINANCIAL POSITION AS OF AUGUST 1, 1997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August 1, 1997 COMPARED TO OCTOBER 31, 1996</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Total assets at August 1, 1997 were $705.0 million, up $208.1 million from October 31, 1996. Hardie accounted for approximately $149.1 million of this increase. Net accounts receivable, net of Hardie, increased by $22.4 million from October 31, 1996. Historically, the highest sales volumes and receivables occur starting in March and ending in May. The accounts receivable balance declines over the following months as payments under the company's extended payment plans become due. Inventory, net of Hardie, increased by $6.1 million primarily as a result of the normal buildup of consumer snow products manufactured in the third quarter of the year. Net property, plant and equipment increased from $73.8 million to $116.6 million due to the addition of Hardie net property, plant and equipment of $29.5 million, the expansion of the corporate headquarters and various tooling projects. Other assets, net of the effect of the Hardie acquisition, increased due to the acquisition of marketing rights to a central irrigation system for the large turf irrigation market, and capitalized costs related to the issuance of public debt securities(See "Liquidity and Capital Resources").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Total current liabilities of $288.3 million at August 1, 1997 increased $80.4 million compared with current liabilities at October 31, 1996. The majority of this increase was the result of additional short-term borrowings of $54.0 million reflecting the company's strategy of utilizing short-term borrowing to fund the company's seasonal working capital needs. Long-term debt increased from October 31, 1996 to August 1, 1997 as a result of the issuance of $175.0 million of debt securities which were used to redeem $50.0 million of 11% Debentures and as long-term funding for the purchase of Hardie. Other accrued liabilities increased primarily as a result of expenses related to the acquisition of Hardie. Other long-term liabilities decreased by approximately $17.0 million due primarily to the termination of a forward-starting interest rate contract initiated as a hedge against interest rate fluctuations prior to the issuance of $175.0 million in public debt securities during the third quarter of fiscal 1997.</w:t>
      </w:r>
    </w:p>
    <w:p>
      <w:pPr>
        <w:spacing w:after="0" w:line="32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AUGUST 1, 1997 COMPARED TO AUGUST 2, 1996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assets at August 1, 1997 were $705.0 million, up $173.0 million from August 2, 1996. Of this increase, Hardie accounted for $149.1 million. Cash, net of Hardie, decreased from the prior period as the result of improved asset management policies. Accounts receivable, net, increased by $42.5 million, with $46.2 million in net receivables attributable to Hardie. Inventory balances, net of Hardie inventories of approximately $25.5 million, declined by $7.0 million due to asset management strategies which match production more closely with retail demand and result in lower overall inventory levels. Both accounts receivable and inventory were also impacted by reduced sales in this current quarter as compared to the prior quarter, net of Hardie. Net property, plant and equipment, increased by approximately $47.8 million, with $29.5 million of this increase related to Hardie and the remaining increase related to the corporate headquarters expansion and tooling projects. Other assets increased by $60.5 million with Hardie accounting for $45.9 million. The remainder of the increase was the result of the purchase of patents, the purchase of property for possible future corporate expansion, and those additions in the current fiscal year identified above.</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Total current liabilities of $288.3 million at August 1, 1997 increased $41.5 million compared with current liabilities at August 2, 1996. Short-term borrowing increased by $11.4 million over the prior year due primarily to the financing of working capital needs of Hardie and payables and accruals of Hardie. Other accrued liabilities increased by $9.8 million, primarily as a result of expenses related to the Hardie acquisition and Hardie accrued liabilities acquired. Long-term debt and other long-term liabilities increased over the prior period as identified above.</w:t>
      </w: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primary use of cash during the first nine months of fiscal 1997 was</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$117.6 million used for the acquisition of Hardie. The purchase price was initially funded with temporary bank debt. The company issued $175.0 million of long-term debt securities in June 1997 and used a portion of the net proceeds received from the sale of the securities to repay short-term indebtedness to banks. The balance of the net proceeds was used to redeem the company's $50.0 million principal amount of outstanding 11% Sinking Fund Debentures. In connection with the issuance of the $175.0 million in long-term debt securities, the company paid $23.7 million to terminate three forward-starting interest rate swap agreements with notational amounts totaling $125.0 million. These swap agreements had been entered into to reduce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Cash used in operating activities for the first nine months of fiscal 1997 was primarily for the seasonal increase in accounts receivable. The company's working capital needs are funded with $190.0 million of unsecured bank credit lines. The company also has banker's acceptance financing agreements under which an additional $40.0 million is available. The company's business is seasonal, with peak borrowing under these working capital lines generally occurring between February and May each year.</w:t>
      </w:r>
    </w:p>
    <w:p>
      <w:pPr>
        <w:spacing w:after="0" w:line="164"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47" w:right="1440" w:bottom="1440" w:gutter="0" w:footer="0" w:header="0"/>
        </w:sectPr>
      </w:pPr>
    </w:p>
    <w:bookmarkStart w:id="240" w:name="page241"/>
    <w:bookmarkEnd w:id="240"/>
    <w:p>
      <w:pPr>
        <w:ind w:left="2500"/>
        <w:spacing w:after="0"/>
        <w:tabs>
          <w:tab w:leader="none" w:pos="33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hanging="427"/>
        <w:spacing w:after="0"/>
        <w:tabs>
          <w:tab w:leader="none" w:pos="7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164" w:lineRule="exact"/>
        <w:rPr>
          <w:rFonts w:ascii="Courier New" w:cs="Courier New" w:eastAsia="Courier New" w:hAnsi="Courier New"/>
          <w:sz w:val="14"/>
          <w:szCs w:val="14"/>
          <w:color w:val="auto"/>
        </w:rPr>
      </w:pPr>
    </w:p>
    <w:p>
      <w:pPr>
        <w:ind w:left="780"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164" w:lineRule="exact"/>
        <w:rPr>
          <w:rFonts w:ascii="Courier New" w:cs="Courier New" w:eastAsia="Courier New" w:hAnsi="Courier New"/>
          <w:sz w:val="14"/>
          <w:szCs w:val="14"/>
          <w:color w:val="auto"/>
        </w:rPr>
      </w:pPr>
    </w:p>
    <w:p>
      <w:pPr>
        <w:ind w:left="780"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27, 1997, the company filed its Current Report on Form 8-K dated June 24, 1997 reporting the closing of its public offering of $175.0 million of Notes and Debentures.</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By /s/ Stephen P. Wolfe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September 10, 1997</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47" w:right="1440" w:bottom="1440" w:gutter="0" w:footer="0" w:header="0"/>
        </w:sectPr>
      </w:pPr>
    </w:p>
    <w:bookmarkStart w:id="241" w:name="page242"/>
    <w:bookmarkEnd w:id="241"/>
    <w:p>
      <w:pPr>
        <w:ind w:left="180" w:hanging="172"/>
        <w:spacing w:after="0"/>
        <w:tabs>
          <w:tab w:leader="none" w:pos="1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the Quarterly Period Ended May 2, 1997 Commission File Number 1-8649</w:t>
      </w:r>
    </w:p>
    <w:p>
      <w:pPr>
        <w:spacing w:after="0" w:line="7" w:lineRule="exact"/>
        <w:rPr>
          <w:sz w:val="20"/>
          <w:szCs w:val="20"/>
          <w:color w:val="auto"/>
        </w:rPr>
      </w:pPr>
    </w:p>
    <w:p>
      <w:pPr>
        <w:ind w:left="294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1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240"/>
        <w:spacing w:after="0"/>
        <w:tabs>
          <w:tab w:leader="none" w:pos="430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TELEPHONE NUMBER: (612) 888-8801</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type w:val="continuous"/>
        </w:sectPr>
      </w:pPr>
    </w:p>
    <w:p>
      <w:pPr>
        <w:spacing w:after="0" w:line="33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0"/>
          <w:szCs w:val="20"/>
          <w:color w:val="auto"/>
        </w:rPr>
      </w:pPr>
    </w:p>
    <w:p>
      <w:pPr>
        <w:sectPr>
          <w:pgSz w:w="11900" w:h="16838" w:orient="portrait"/>
          <w:cols w:equalWidth="0" w:num="3">
            <w:col w:w="1560" w:space="180"/>
            <w:col w:w="1860" w:space="720"/>
            <w:col w:w="5919"/>
          </w:cols>
          <w:pgMar w:left="220" w:top="616"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spacing w:after="0" w:line="1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May 30, 1997 was 12,076,474.</w:t>
      </w:r>
    </w:p>
    <w:p>
      <w:pPr>
        <w:spacing w:after="0" w:line="160" w:lineRule="exact"/>
        <w:rPr>
          <w:sz w:val="20"/>
          <w:szCs w:val="20"/>
          <w:color w:val="auto"/>
        </w:rPr>
      </w:pPr>
    </w:p>
    <w:p>
      <w:pPr>
        <w:ind w:left="180" w:hanging="172"/>
        <w:spacing w:after="0"/>
        <w:tabs>
          <w:tab w:leader="none" w:pos="1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242" w:name="page243"/>
    <w:bookmarkEnd w:id="242"/>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INDEX TO FORM 10-Q</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Page Number</w:t>
            </w:r>
          </w:p>
        </w:tc>
      </w:tr>
      <w:tr>
        <w:trPr>
          <w:trHeight w:val="166"/>
        </w:trPr>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PART I.   FINANCIAL</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INFORMATION:</w:t>
            </w:r>
          </w:p>
        </w:tc>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Statements of Earnings and</w:t>
            </w:r>
          </w:p>
        </w:tc>
        <w:tc>
          <w:tcPr>
            <w:tcW w:w="1000" w:type="dxa"/>
            <w:vAlign w:val="bottom"/>
          </w:tcPr>
          <w:p>
            <w:pPr>
              <w:spacing w:after="0"/>
              <w:rPr>
                <w:sz w:val="24"/>
                <w:szCs w:val="24"/>
                <w:color w:val="auto"/>
              </w:rPr>
            </w:pPr>
          </w:p>
        </w:tc>
      </w:tr>
      <w:tr>
        <w:trPr>
          <w:trHeight w:val="166"/>
        </w:trPr>
        <w:tc>
          <w:tcPr>
            <w:tcW w:w="28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Retained Earnings -</w:t>
            </w:r>
          </w:p>
        </w:tc>
        <w:tc>
          <w:tcPr>
            <w:tcW w:w="3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Three and Six Months Ended</w:t>
            </w:r>
          </w:p>
        </w:tc>
        <w:tc>
          <w:tcPr>
            <w:tcW w:w="100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May 2,</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1997 and May</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3, 1996 . . . . . . . . . . . . . .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 .3</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Balance Sheets -</w:t>
            </w:r>
          </w:p>
        </w:tc>
        <w:tc>
          <w:tcPr>
            <w:tcW w:w="1000" w:type="dxa"/>
            <w:vAlign w:val="bottom"/>
          </w:tcPr>
          <w:p>
            <w:pPr>
              <w:spacing w:after="0"/>
              <w:rPr>
                <w:sz w:val="24"/>
                <w:szCs w:val="2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May 2,</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1997, May 3,</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1996 and October 31, 1996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 .4</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Statements of Cash Flows -</w:t>
            </w:r>
          </w:p>
        </w:tc>
        <w:tc>
          <w:tcPr>
            <w:tcW w:w="1000" w:type="dxa"/>
            <w:vAlign w:val="bottom"/>
          </w:tcPr>
          <w:p>
            <w:pPr>
              <w:spacing w:after="0"/>
              <w:rPr>
                <w:sz w:val="24"/>
                <w:szCs w:val="24"/>
                <w:color w:val="auto"/>
              </w:rPr>
            </w:pPr>
          </w:p>
        </w:tc>
      </w:tr>
      <w:tr>
        <w:trPr>
          <w:trHeight w:val="166"/>
        </w:trPr>
        <w:tc>
          <w:tcPr>
            <w:tcW w:w="590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Six Months Ended May 2, 1997 and May 3, 1996.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 .5</w:t>
            </w:r>
          </w:p>
        </w:tc>
      </w:tr>
      <w:tr>
        <w:trPr>
          <w:trHeight w:val="331"/>
        </w:trPr>
        <w:tc>
          <w:tcPr>
            <w:tcW w:w="59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Notes to Condensed Consolidated Financial Statements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.6-7</w:t>
            </w:r>
          </w:p>
        </w:tc>
      </w:tr>
      <w:tr>
        <w:trPr>
          <w:trHeight w:val="331"/>
        </w:trPr>
        <w:tc>
          <w:tcPr>
            <w:tcW w:w="59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1000" w:type="dxa"/>
            <w:vAlign w:val="bottom"/>
          </w:tcPr>
          <w:p>
            <w:pPr>
              <w:spacing w:after="0"/>
              <w:rPr>
                <w:sz w:val="24"/>
                <w:szCs w:val="2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Condition</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Results of Operations. . . . . . .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8-12</w:t>
            </w:r>
          </w:p>
        </w:tc>
      </w:tr>
    </w:tbl>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173" w:lineRule="exact"/>
        <w:rPr>
          <w:sz w:val="20"/>
          <w:szCs w:val="20"/>
          <w:color w:val="auto"/>
        </w:rPr>
      </w:pPr>
    </w:p>
    <w:p>
      <w:pPr>
        <w:ind w:left="860"/>
        <w:spacing w:after="0"/>
        <w:tabs>
          <w:tab w:leader="none" w:pos="1540" w:val="left"/>
        </w:tabs>
        <w:rPr>
          <w:sz w:val="20"/>
          <w:szCs w:val="20"/>
          <w:color w:val="auto"/>
        </w:rPr>
      </w:pPr>
      <w:r>
        <w:rPr>
          <w:rFonts w:ascii="Courier New" w:cs="Courier New" w:eastAsia="Courier New" w:hAnsi="Courier New"/>
          <w:sz w:val="14"/>
          <w:szCs w:val="14"/>
          <w:color w:val="auto"/>
        </w:rPr>
        <w:t>Item 4</w:t>
        <w:tab/>
        <w:t>Results of Votes of Security Holders . . . . . . . . . 13</w:t>
      </w:r>
    </w:p>
    <w:p>
      <w:pPr>
        <w:spacing w:after="0" w:line="173" w:lineRule="exact"/>
        <w:rPr>
          <w:sz w:val="20"/>
          <w:szCs w:val="20"/>
          <w:color w:val="auto"/>
        </w:rPr>
      </w:pPr>
    </w:p>
    <w:p>
      <w:pPr>
        <w:ind w:left="860"/>
        <w:spacing w:after="0"/>
        <w:tabs>
          <w:tab w:leader="none" w:pos="1540" w:val="left"/>
        </w:tabs>
        <w:rPr>
          <w:sz w:val="20"/>
          <w:szCs w:val="20"/>
          <w:color w:val="auto"/>
        </w:rPr>
      </w:pPr>
      <w:r>
        <w:rPr>
          <w:rFonts w:ascii="Courier New" w:cs="Courier New" w:eastAsia="Courier New" w:hAnsi="Courier New"/>
          <w:sz w:val="14"/>
          <w:szCs w:val="14"/>
          <w:color w:val="auto"/>
        </w:rPr>
        <w:t>Item 6</w:t>
        <w:tab/>
        <w:t>Exhibits and Reports on Form 8-K . . . . . . . . . . . 13</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Signatures . . . . . . . . . . . . . . . . . . . . . . . . . . 14</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Exhibit 11</w:t>
        <w:tab/>
        <w:t>Computation of Earnings Per Common Share . . . . . 15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43" w:name="page244"/>
    <w:bookmarkEnd w:id="243"/>
    <w:p>
      <w:pPr>
        <w:jc w:val="center"/>
        <w:ind w:right="344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THOUSANDS, EXCEPT PER-SHARE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Six Months</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4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3"/>
              </w:rPr>
              <w: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2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May 3,</w:t>
            </w:r>
          </w:p>
        </w:tc>
        <w:tc>
          <w:tcPr>
            <w:tcW w:w="3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May 2,</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3,</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sales. . . . . . . . . .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352,203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288,646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561,160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500,147</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Cost of sales.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227,086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184,836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360,816</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320,008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Gross profit.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125,117</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103,810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200,344</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180,139</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expense .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89,160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73,540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157,629</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137,364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 from operations.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35,957</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30,270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42,715</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42,775</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4,134</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9,932</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7,103</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income, net. . . . . .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(1,640)</w:t>
            </w:r>
          </w:p>
        </w:tc>
        <w:tc>
          <w:tcPr>
            <w:tcW w:w="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(6,153)</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 before income taxes.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31,472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27,776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35,589</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41,825</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income taxes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14,058</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16,507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earnings. . . . . .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19,040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21,531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 earnings at beginning of period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174,671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149,924</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173,630</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Dividends on common stock of $0.12, $0.12,</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$0.24 and $0.24 per share, respectively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(1,435)</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(1,470)</w:t>
            </w:r>
          </w:p>
        </w:tc>
        <w:tc>
          <w:tcPr>
            <w:tcW w:w="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(2,885)</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 earnings at end of period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192,276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165,274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stock equivalent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2728"/>
              <w:spacing w:after="0"/>
              <w:rPr>
                <w:sz w:val="20"/>
                <w:szCs w:val="20"/>
                <w:color w:val="auto"/>
              </w:rPr>
            </w:pPr>
            <w:r>
              <w:rPr>
                <w:rFonts w:ascii="Courier New" w:cs="Courier New" w:eastAsia="Courier New" w:hAnsi="Courier New"/>
                <w:sz w:val="14"/>
                <w:szCs w:val="14"/>
                <w:color w:val="auto"/>
              </w:rPr>
              <w:t>common stock equivalent -</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assuming full dilution.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440"/>
          </w:cols>
          <w:pgMar w:left="220" w:top="616" w:right="1239" w:bottom="1440" w:gutter="0" w:footer="0" w:header="0"/>
        </w:sectPr>
      </w:pPr>
    </w:p>
    <w:bookmarkStart w:id="244" w:name="page245"/>
    <w:bookmarkEnd w:id="244"/>
    <w:p>
      <w:pPr>
        <w:jc w:val="center"/>
        <w:ind w:right="323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2500"/>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00" w:type="dxa"/>
            <w:vAlign w:val="bottom"/>
          </w:tcPr>
          <w:p>
            <w:pPr>
              <w:spacing w:after="0"/>
              <w:rPr>
                <w:sz w:val="24"/>
                <w:szCs w:val="2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May 3,</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4,238</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412,725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343,344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239,637</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159,014</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158,841</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130,288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34,429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32,270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35,010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611,761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538,693</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405,001</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319,010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216,806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229,080</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203,859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148,100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155,270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115,151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68,706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73,810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assets .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73,102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17,676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18,066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assets. . . . . . . . . . . . . . . . . . .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625,075</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10,353</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278,000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148,585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41,025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57,064</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39,565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43,524</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160,252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142,853</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495,666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341,356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207,857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53,015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53,339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23,591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20,201</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Common stock par value $1.00,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authorized 35,000,000 shares; issued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outstanding 11,979,539 shares at May 2,</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1997 (net of 930,465 treasury shares),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12,099,223 shares at May 3, 1996</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(net of 743,102 treasury shares),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12,032,143 shares at October 31, 1996 (net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of 877,861 treasury shares)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Additional paid-in capital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26,309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33,359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Retained earnings.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165,274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173,630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(2,823)</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Total common stockholders' equity.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227,742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210,179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 common stockholders' equity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625,075</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45" w:name="page246"/>
    <w:bookmarkEnd w:id="245"/>
    <w:p>
      <w:pPr>
        <w:jc w:val="center"/>
        <w:ind w:right="323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63"/>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May 3,</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21,531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25,318</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used in operating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Provision for depreciation and amortization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10,521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8,831</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Gain on disposal of property, plant and equipment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1,529</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Tax benefits related to employee stock</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 transactions.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1,490</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Receivables, net . . .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(147,979)</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(144,528)</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(12,979)</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1,609</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payable and accrued expenses.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26,634</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14,597</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income taxes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4,308</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operating activities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(78,442)</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(102,220)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property, plant and equipment.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(17,551)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(7,236)</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asset disposals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other assets.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(9,685)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(1,652)</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James Hardie Irrigation,</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of cash acquired .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(117,622)</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investing activities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(144,631)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(8,704)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short-term borrowing.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236,975</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107,010</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Repayments of long-term debt.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(5,007)</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other long-term liabilities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12,978</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sale of common stock.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3,238</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common stock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(7,952)</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(7,150)</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on common stock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financing activities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230,866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108,134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Foreign currency translation adjustment.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(2,266)</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(674)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increase (decrease) in cash and cash equivalents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5,527</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(3,464)</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period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7,702</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end of period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46" w:name="page247"/>
    <w:bookmarkEnd w:id="246"/>
    <w:p>
      <w:pPr>
        <w:jc w:val="center"/>
        <w:ind w:left="240" w:right="680"/>
        <w:spacing w:after="0" w:line="257" w:lineRule="auto"/>
        <w:rPr>
          <w:sz w:val="20"/>
          <w:szCs w:val="20"/>
          <w:color w:val="auto"/>
        </w:rPr>
      </w:pPr>
      <w:r>
        <w:rPr>
          <w:rFonts w:ascii="Courier New" w:cs="Courier New" w:eastAsia="Courier New" w:hAnsi="Courier New"/>
          <w:sz w:val="14"/>
          <w:szCs w:val="14"/>
          <w:color w:val="auto"/>
        </w:rPr>
        <w:t>THE TORO COMPANY AND SUBSIDIARIES NOTES TO CONDENSED CONSOLIDATED FINANCIAL STATEMENTS (UNAUDITED) MAY 2, 1997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left="440" w:right="377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2, 1997 are not necessarily indicative of the results that may be expected for the year ended October 31, 1997.</w:t>
      </w:r>
    </w:p>
    <w:p>
      <w:pPr>
        <w:spacing w:after="0" w:line="163" w:lineRule="exact"/>
        <w:rPr>
          <w:sz w:val="20"/>
          <w:szCs w:val="20"/>
          <w:color w:val="auto"/>
        </w:rPr>
      </w:pPr>
    </w:p>
    <w:p>
      <w:pPr>
        <w:ind w:left="440" w:right="393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440" w:right="3779"/>
        <w:spacing w:after="0" w:line="251" w:lineRule="auto"/>
        <w:rPr>
          <w:sz w:val="20"/>
          <w:szCs w:val="20"/>
          <w:color w:val="auto"/>
        </w:rPr>
      </w:pPr>
      <w:r>
        <w:rPr>
          <w:rFonts w:ascii="Courier New" w:cs="Courier New" w:eastAsia="Courier New" w:hAnsi="Courier New"/>
          <w:sz w:val="14"/>
          <w:szCs w:val="14"/>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May 2, 1997, and May 3, 1996, respectively. Under the FIFO method, work-in-process inventories were $79,736,000 and $78,977,000 and finished goods inventories were $104,920,000 and $104,705,000 at May 2, 1997, and May 3, 1996,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0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3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4540" w:type="dxa"/>
            <w:vAlign w:val="bottom"/>
          </w:tcPr>
          <w:p>
            <w:pPr>
              <w:spacing w:after="0"/>
              <w:rPr>
                <w:sz w:val="14"/>
                <w:szCs w:val="14"/>
                <w:color w:val="auto"/>
              </w:rPr>
            </w:pP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May 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May 3,</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540" w:type="dxa"/>
            <w:vAlign w:val="bottom"/>
          </w:tcPr>
          <w:p>
            <w:pPr>
              <w:spacing w:after="0"/>
              <w:rPr>
                <w:sz w:val="14"/>
                <w:szCs w:val="1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352,203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332,509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575,326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576,231</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16,914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22,649</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4, 1997, the company announced that it had signed a non-binding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be material to the company.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48" w:name="page249"/>
    <w:bookmarkEnd w:id="248"/>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Second quarter net earnings rose 13.1% to $19.0 million from the net earnings of $16.8 million for the same period in the previous year. Earnings per share for the second quarter improved 15.0% to $1.53 from $1.33 in the previous period. Revenues increased from $288.6 million in the second quarter of 1996 to $352.2 million in the second quarter of 1997, as a result of factors discussed in the following paragraphs. The increase in sales was due in part to the acquisition of Hardie.</w:t>
      </w:r>
    </w:p>
    <w:p>
      <w:pPr>
        <w:spacing w:after="0" w:line="330"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For the six months ended May 2, 1997 net sales increased from the same period in 1996 by $61.0 million or 12.2%. Net earnings for the six months ended May 2, 1997 were $21.5 million as compared to $25.3 million for the same period last year.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both fiscal 1996 and 1997 the spring mowing season was cold and late in many key markets. In fiscal 1997 these unpredictable weather patterns heightened a conservative buying attitude among dealers and distributors. The company continues to focus on more efficient asset management, and integration of the Hardie acquisition.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Three Months Ended</w:t>
            </w:r>
          </w:p>
        </w:tc>
        <w:tc>
          <w:tcPr>
            <w:tcW w:w="10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574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(Dollars in thousands)</w:t>
            </w:r>
          </w:p>
        </w:tc>
        <w:tc>
          <w:tcPr>
            <w:tcW w:w="11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May 2,</w:t>
            </w:r>
          </w:p>
        </w:tc>
        <w:tc>
          <w:tcPr>
            <w:tcW w:w="3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May 3,</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Consumer products. .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w w:val="94"/>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137,913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137,791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Commercial products.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122,030</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108,523</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Irrigation products.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92,260</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42,332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117.9</w:t>
            </w: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Total *. . . . .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w w:val="94"/>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352,203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288,646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 Includes international sales of: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w w:val="94"/>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64,339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663"/>
        </w:trPr>
        <w:tc>
          <w:tcPr>
            <w:tcW w:w="332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50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(Dollars in thousands)</w:t>
            </w:r>
          </w:p>
        </w:tc>
        <w:tc>
          <w:tcPr>
            <w:tcW w:w="4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May 2,</w:t>
            </w:r>
          </w:p>
        </w:tc>
        <w:tc>
          <w:tcPr>
            <w:tcW w:w="34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3,</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Consumer products. . . . . . . . . . . . .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221,555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240,432</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$(18,877)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Commercial products. . . . . . . . . . . . .</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199,987</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186,856</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Irrigation products. . . . . . . . . . . . .</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139,618</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72,859</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66,759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w:t>
            </w: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 . . . . . . . . . . . . . . .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561,160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500,147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Includes international sales of: . . . .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135,980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103,758</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Worldwide net sales of consumer products for the three months ended May 2, 1997 of $137.9 million were flat as compared to the prior year and down $18.9 million for the six months ended May 2, 1997. Again, as in fiscal 1996, this quarter had a slow start to the lawn and garden retail season because of unseasonably cool weather. Although retail demand was stronger this period than a year ago, dealers and distributors remained conservative and kept their inventories at a minimum. A snow storm also caused a ten day plant shutdown that resulted in lower production and sales of riding equipment during the first six months. These decreases in sales were offset slightly by sales of newly introduced electric and battery-operated walk-behind mowers.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International consumer net sales for the three months ended May 2, 1997 increased from $20.7 million to $21.5 million and from $34.3 million to $36.8 million for the six months ended May 2, 1997 as a result of continued strong demand in Canada and the introduction of products in France's largest mass merchant. The new electric walk-behind mower has been well received in the international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commercial product net sales for the three months ended May 2, 1997 were $122.0 million compared to $108.5 million in the same period in the prior year. Net sales for the six months ended May 2, 1997 were $200.0 million compared to $186.9 million in the same period in the prior year. Sales of equipment to golf courses did well, reflecting the continued growth of the golf market, and several new product introductions in the second quarter also reinforced sales.</w:t>
      </w:r>
    </w:p>
    <w:p>
      <w:pPr>
        <w:spacing w:after="0" w:line="33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International commercial net sales increased to $39.5 million for the three months ended May 2, 1997 from $36.5 million in the prior year. Net sales increased to $62.2 million for the six months ended May 2, 1997 from $55.9 million in the prior year. Equipment sales to the golf market were up as new courses were added in the Philippines, Korea and Egypt. Golf equipment sales also did well in Europe despite generally weak economic conditions.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Worldwide irrigation product net sales rose 117.9% from $42.3 million in the same three month period last year to $92.3 million in the current year. Net sales for the six months ended May 2, 1997 were $139.6 compared to $72.9 in the same period in the prior year. This increase is almost entirely attributable to the acquisition of Hardie.</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International irrigation net sales, excluding Hardie sales, increased by 17.7% for the second quarter and 1.5% for the first six months of fiscal 1997, as compared to the corresponding period in the prior year.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47"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Gross profit was $125.1 million and $200.3 million for the three and six months ended May 2, 1997, respectively, an increase of $21.3 million and $20.2 million from the three and six months ended May 3, 1996, respectively. As a percent of sales, gross profit for the three month period ended May 2, 1997 was 35.5% compared with 36.0% for the three month period ended May 3, 1996 and 35.7% for the six months ended May 2, 1997 versus 36.0% for the six month period ended May 3, 1996. The lower gross margin was primarily due to lower gross margins contributed by Hardie product sales. Manufacturing variances were relatively flat as compared to last year.</w:t>
      </w:r>
    </w:p>
    <w:p>
      <w:pPr>
        <w:spacing w:after="0" w:line="200" w:lineRule="exact"/>
        <w:rPr>
          <w:sz w:val="20"/>
          <w:szCs w:val="20"/>
          <w:color w:val="auto"/>
        </w:rPr>
      </w:pPr>
    </w:p>
    <w:p>
      <w:pPr>
        <w:spacing w:after="0" w:line="295"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7"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980"/>
        <w:spacing w:after="0"/>
        <w:tabs>
          <w:tab w:leader="none" w:pos="6540" w:val="left"/>
        </w:tabs>
        <w:rPr>
          <w:sz w:val="20"/>
          <w:szCs w:val="20"/>
          <w:color w:val="auto"/>
        </w:rPr>
      </w:pPr>
      <w:r>
        <w:rPr>
          <w:rFonts w:ascii="Courier New" w:cs="Courier New" w:eastAsia="Courier New" w:hAnsi="Courier New"/>
          <w:sz w:val="14"/>
          <w:szCs w:val="14"/>
          <w:color w:val="auto"/>
        </w:rPr>
        <w:t>3 Months</w:t>
      </w:r>
      <w:r>
        <w:rPr>
          <w:sz w:val="20"/>
          <w:szCs w:val="20"/>
          <w:color w:val="auto"/>
        </w:rPr>
        <w:tab/>
      </w:r>
      <w:r>
        <w:rPr>
          <w:rFonts w:ascii="Courier New" w:cs="Courier New" w:eastAsia="Courier New" w:hAnsi="Courier New"/>
          <w:sz w:val="14"/>
          <w:szCs w:val="14"/>
          <w:color w:val="auto"/>
        </w:rPr>
        <w:t>3 Months</w:t>
      </w:r>
    </w:p>
    <w:p>
      <w:pPr>
        <w:spacing w:after="0" w:line="7" w:lineRule="exact"/>
        <w:rPr>
          <w:sz w:val="20"/>
          <w:szCs w:val="20"/>
          <w:color w:val="auto"/>
        </w:rPr>
      </w:pPr>
    </w:p>
    <w:p>
      <w:pPr>
        <w:ind w:left="4140"/>
        <w:spacing w:after="0"/>
        <w:tabs>
          <w:tab w:leader="none" w:pos="6700" w:val="left"/>
        </w:tabs>
        <w:rPr>
          <w:sz w:val="20"/>
          <w:szCs w:val="20"/>
          <w:color w:val="auto"/>
        </w:rPr>
      </w:pP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right="1699" w:firstLine="3187"/>
        <w:spacing w:after="0" w:line="250" w:lineRule="auto"/>
        <w:rPr>
          <w:sz w:val="20"/>
          <w:szCs w:val="20"/>
          <w:color w:val="auto"/>
        </w:rPr>
      </w:pPr>
      <w:r>
        <w:rPr>
          <w:rFonts w:ascii="Courier New" w:cs="Courier New" w:eastAsia="Courier New" w:hAnsi="Courier New"/>
          <w:sz w:val="14"/>
          <w:szCs w:val="14"/>
          <w:color w:val="auto"/>
        </w:rPr>
        <w:t>May 2, % of Net May 3, % of Net S G &amp; A 1997 Sales 1996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26.7</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33.0</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r>
        <w:trPr>
          <w:trHeight w:val="166"/>
        </w:trPr>
        <w:tc>
          <w:tcPr>
            <w:tcW w:w="40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89.2</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25.3%</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663"/>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Selling, general and administrative expense (SG&amp;A) for the three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May 2, 1997 increased $15.7 million from the prior year, and as a percent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sales decreased slightly to 25.3% from 25.5% for the same period in fiscal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1996. Hardie added $10.0 million in SG&amp;A expense during</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the second quarter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fiscal 1997.  SG&amp;A expense for the six months ended May</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2, 1997 increased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$20.3 million from the prior year, including Hardie's SG&amp;A expense of $16.1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million, and as a percent of sales increased to 28.1% from 27.5% for the same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period in fiscal 1996.  Administrative expenses, net of</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Hardie, increased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$2.0 million for the quarter and $2.2 million for the six months ended May 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1997 due mainly to increased costs for information systems and overall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increases in administrative expenses.  Sales and marketing expenses, net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Hardie, increased by $4.9 million for the quarter and $5.1 million for the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six months ended May 2, 1997 due to increased promotional costs of new</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products for the landscape contractor group.  The percent of sales change in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sales and marketing expense was the result of timing of</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marketing program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expenses.  Warranty expense, net of Hardie, decreased $1.9 million for the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quarter and $3.7 million for the six months ended May 2, 1997 due primarily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to a reserve established in the prior period for required rework on 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lawnmower product.  Warranty expense as a percent of sales also decreased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from the prior year as a result of a change in the mix of products sold and 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warranty related refund received from a vendor. Distributor/dealer financing,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research and development, and warehousing expenses, net</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of Hardie, were flat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as compared to the same period in fiscal 1996.</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4060" w:type="dxa"/>
            <w:vAlign w:val="bottom"/>
          </w:tcPr>
          <w:p>
            <w:pPr>
              <w:ind w:left="3360"/>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4"/>
          <w:szCs w:val="14"/>
          <w:color w:val="auto"/>
        </w:rPr>
        <w:t>FINANCIAL POSITION AS OF MAY 2, 1997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2, 1997 COMPARED TO MAY 3, 1996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assets at May 2, 1997 were $800.0 million, up $174.9 million from May 3, 1996. Of this increase, Hardie accounted for $168.3 million. Cash, net of Hardie of $4.4 million, decreased from the prior period as the result of improved asset management policies. Accounts receivable, net, increased by $69.4 million, with $60.7 million in net receivables attributable to Hardie. The remaining increase in receivables is the result of higher sales in both the commercial and international divisions. Inventory balances, net of Hardie inventories of approximately $24.9 million, declined by $24.8 million due to asset management strategies which match production more closely with retail demand and result in lower overall inventory levels. Net property, plant and equipment, increased by approximately $46.4 million, with $30.4 million of this increase related to Hardie and the remaining increase related to the corporate headquarters expansion and new tooling projects. Other assets increased by $55.4 million with Hardie accounting for $47.2 million. The remainder of the increase was the result of the purchase of patents, additional acquisition costs for Hardie and the purchase of property for possible future corporate expansion.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of $495.7 million at May 2, 1997 increased $154.3 million compared with current liabilities at May 3, 1996. The majority of this increase was short-term borrowing, which increased by $129.4 million over the prior year due primarily to the financing of both the purchase price and working capital needs of Hardie. The increase in short-term borrowing was offset by a decrease in trade payables, net of Hardie, primarily as a result of the timing of vendor payments. Other accrued liabilities increased by $17.4 million, primarily as a result of expenses related to the Hardie acquisition, and Hardie accrued liabilities acquired. The current portion of long-term debt was also reduced due to the repayment of Toro Credit Company ("TCC") debt. TCC is now being financed by the parent company on a consolidated basis. Other long-term liabilities also increased over the prior period, primarily as a result of accrued interest related to the interest rate swap agreement entered into during second quarter of fiscal 1996.</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2, 1997 COMPARED TO OCTOBER 31,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at May 2, 1997 were $800.0 million, up $303.1 million from October 31, 1996. As indicated previously, Hardie accounted for approximately $168.3 million of this increase. Accounts receivable, net of Hardie, increased from October 31, 1996 primarily due to increased sales volumes. Inventory, net of Hardie, increased by $3.8 million primarily as a result of the normal buildup of consumer lawn and garden products manufactured in the first six months of the year. Net property, plant and equipment increased from $73.8 million to $115.2 million due to the addition of Hardie net property, plant and equipment of $30.4 million, the expansion of the corporate headquarters and routine capital expenditures. Other assets increased as a result of the excess of the purchase price of Hardie over the fair value of the net assets acquired of approximately $26.9 million plus additional capitalized acquisition costs of approximately $16.7 million and the acquisition of Hardie's other assets.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of $495.7 million at May 2, 1997 increased $287.8 million compared with current liabilities at October 31, 1996. The majority of this increase was the result of additional short-term borrowings of $237.0 million a portion of which was used to finance the purchase price and working capital needs of Hardie. The remaining increase in short-term borrowing reflects the company's strategy of utilizing short-term borrowing to fund the company's seasonal working capital needs. Other accrued liabilities increased as a result of expenses related to the acquisition of Hardie and accruals for various seasonal sales and marketing programs which are at their peak during the spring selling season. There were no significant changes in long-term debt and other long-term liabilities from October 31, 1996 to May 31, 1997.</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primary use of cash during the first six months of fiscal 1997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Cash used in operating activities for the first six months of fiscal 1997 was primarily for the seasonal increase in accounts receivable.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53" w:name="page254"/>
    <w:bookmarkEnd w:id="253"/>
    <w:p>
      <w:pPr>
        <w:ind w:left="2340"/>
        <w:spacing w:after="0"/>
        <w:tabs>
          <w:tab w:leader="none" w:pos="318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4</w:t>
        <w:tab/>
        <w:t>Results of Votes of Security 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Annual Meeting of Stockholders was held on March 13, 1997.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results of the stockholder votes were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920" w:space="720"/>
            <w:col w:w="600" w:space="700"/>
            <w:col w:w="2299"/>
          </w:cols>
          <w:pgMar w:left="220" w:top="616" w:right="1440" w:bottom="1440" w:gutter="0" w:footer="0" w:header="0"/>
          <w:type w:val="continuous"/>
        </w:sectPr>
      </w:pPr>
    </w:p>
    <w:p>
      <w:pPr>
        <w:ind w:left="860" w:hanging="421"/>
        <w:spacing w:after="0"/>
        <w:tabs>
          <w:tab w:leader="none" w:pos="86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10,086,165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179,512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10,080,644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185,033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10,077,796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187,881</w:t>
            </w:r>
          </w:p>
        </w:tc>
      </w:tr>
    </w:tbl>
    <w:p>
      <w:pPr>
        <w:spacing w:after="0" w:line="4" w:lineRule="exact"/>
        <w:rPr>
          <w:sz w:val="20"/>
          <w:szCs w:val="20"/>
          <w:color w:val="auto"/>
        </w:rPr>
      </w:pPr>
    </w:p>
    <w:p>
      <w:pPr>
        <w:ind w:left="860" w:hanging="421"/>
        <w:spacing w:after="0"/>
        <w:tabs>
          <w:tab w:leader="none" w:pos="86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Amendment of Continuous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Performance Award Plan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9,381,511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768,642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115,524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3.</w:t>
            </w: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Approval of Amendment of Annual Management</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Incentive Plan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9,391,586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744,455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129,636</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Approval of Selection of Independent Auditors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10,060,566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115,283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89,828</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00" w:hanging="433"/>
        <w:spacing w:after="0"/>
        <w:tabs>
          <w:tab w:leader="none" w:pos="7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0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164" w:lineRule="exact"/>
        <w:rPr>
          <w:rFonts w:ascii="Courier New" w:cs="Courier New" w:eastAsia="Courier New" w:hAnsi="Courier New"/>
          <w:sz w:val="14"/>
          <w:szCs w:val="14"/>
          <w:color w:val="auto"/>
        </w:rPr>
      </w:pPr>
    </w:p>
    <w:p>
      <w:pPr>
        <w:ind w:left="70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254" w:name="page255"/>
    <w:bookmarkEnd w:id="254"/>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Stephen P. Wolfe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June 16, 1997</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2" w:right="1440" w:bottom="1440" w:gutter="0" w:footer="0" w:header="0"/>
        </w:sectPr>
      </w:pPr>
    </w:p>
    <w:bookmarkStart w:id="255" w:name="page256"/>
    <w:bookmarkEnd w:id="255"/>
    <w:p>
      <w:pPr>
        <w:ind w:left="3100"/>
        <w:spacing w:after="0"/>
        <w:rPr>
          <w:sz w:val="20"/>
          <w:szCs w:val="20"/>
          <w:color w:val="auto"/>
        </w:rPr>
      </w:pPr>
      <w:r>
        <w:rPr>
          <w:rFonts w:ascii="Courier New" w:cs="Courier New" w:eastAsia="Courier New" w:hAnsi="Courier New"/>
          <w:sz w:val="14"/>
          <w:szCs w:val="14"/>
          <w:color w:val="auto"/>
        </w:rPr>
        <w:t>UNITED STATES</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289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Quarterly Report Pursuant to Section 13 or 15(d) of the Securities Exchange Act of 1934</w:t>
      </w:r>
    </w:p>
    <w:p>
      <w:pPr>
        <w:sectPr>
          <w:pgSz w:w="11900" w:h="16838" w:orient="portrait"/>
          <w:cols w:equalWidth="0" w:num="1">
            <w:col w:w="10239"/>
          </w:cols>
          <w:pgMar w:left="220" w:top="782"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Quarterly Period Ended January 31, 1997 Commission File Number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040" w:space="80"/>
            <w:col w:w="4119"/>
          </w:cols>
          <w:pgMar w:left="220" w:top="782" w:right="1440" w:bottom="1440" w:gutter="0" w:footer="0" w:header="0"/>
          <w:type w:val="continuous"/>
        </w:sectPr>
      </w:pPr>
    </w:p>
    <w:p>
      <w:pPr>
        <w:spacing w:after="0" w:line="30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82" w:right="1440" w:bottom="1440" w:gutter="0" w:footer="0" w:header="0"/>
          <w:type w:val="continuous"/>
        </w:sectPr>
      </w:pPr>
    </w:p>
    <w:p>
      <w:pPr>
        <w:spacing w:after="0" w:line="338" w:lineRule="exact"/>
        <w:rPr>
          <w:sz w:val="20"/>
          <w:szCs w:val="20"/>
          <w:color w:val="auto"/>
        </w:rPr>
      </w:pPr>
    </w:p>
    <w:p>
      <w:pPr>
        <w:jc w:val="center"/>
        <w:ind w:left="1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jc w:val="center"/>
        <w:ind w:left="1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640" w:space="720"/>
            <w:col w:w="6879"/>
          </w:cols>
          <w:pgMar w:left="220" w:top="782" w:right="1440" w:bottom="1440" w:gutter="0" w:footer="0" w:header="0"/>
          <w:type w:val="continuous"/>
        </w:sectPr>
      </w:pPr>
    </w:p>
    <w:p>
      <w:pPr>
        <w:spacing w:after="0" w:line="1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420"/>
        <w:spacing w:after="0"/>
        <w:tabs>
          <w:tab w:leader="none" w:pos="446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TELEPHONE NUMBER: (612) 888-8801</w:t>
      </w:r>
    </w:p>
    <w:p>
      <w:pPr>
        <w:spacing w:after="0" w:line="338" w:lineRule="exact"/>
        <w:rPr>
          <w:sz w:val="20"/>
          <w:szCs w:val="20"/>
          <w:color w:val="auto"/>
        </w:rPr>
      </w:pPr>
    </w:p>
    <w:p>
      <w:pPr>
        <w:ind w:left="1560" w:right="3779" w:hanging="774"/>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82" w:right="1440" w:bottom="1440" w:gutter="0" w:footer="0" w:header="0"/>
          <w:type w:val="continuous"/>
        </w:sectPr>
      </w:pPr>
    </w:p>
    <w:p>
      <w:pPr>
        <w:spacing w:after="0" w:line="33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0"/>
          <w:szCs w:val="20"/>
          <w:color w:val="auto"/>
        </w:rPr>
      </w:pPr>
    </w:p>
    <w:p>
      <w:pPr>
        <w:sectPr>
          <w:pgSz w:w="11900" w:h="16838" w:orient="portrait"/>
          <w:cols w:equalWidth="0" w:num="3">
            <w:col w:w="1480" w:space="340"/>
            <w:col w:w="400" w:space="720"/>
            <w:col w:w="7299"/>
          </w:cols>
          <w:pgMar w:left="220" w:top="782"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640" w:space="720"/>
            <w:col w:w="6879"/>
          </w:cols>
          <w:pgMar w:left="220" w:top="782" w:right="1440" w:bottom="1440" w:gutter="0" w:footer="0" w:header="0"/>
          <w:type w:val="continuous"/>
        </w:sectPr>
      </w:pPr>
    </w:p>
    <w:p>
      <w:pPr>
        <w:spacing w:after="0" w:line="1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February 28, 1997 was 12,174,979.</w:t>
      </w:r>
    </w:p>
    <w:p>
      <w:pPr>
        <w:sectPr>
          <w:pgSz w:w="11900" w:h="16838" w:orient="portrait"/>
          <w:cols w:equalWidth="0" w:num="1">
            <w:col w:w="10239"/>
          </w:cols>
          <w:pgMar w:left="220" w:top="782" w:right="1440" w:bottom="1440" w:gutter="0" w:footer="0" w:header="0"/>
          <w:type w:val="continuous"/>
        </w:sectPr>
      </w:pPr>
    </w:p>
    <w:bookmarkStart w:id="256" w:name="page257"/>
    <w:bookmarkEnd w:id="256"/>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Condensed Consolidated Statements of Earnings and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Retained Earnings (Unaudited) -</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Three Months Ended January 31, 1997 and February 2, 1996. . . . . . . . . .3</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Condensed Consolidated Balance Sheets (Unaudited) -</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January 31, 1997, February 2, 1996 and October 31, 1996 . . . . . . . . . .4</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Statements of Cash Flows (Unaudited) -</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Three Months Ended January 31, 1997 and February 2, 1996. . . . . . . . . .5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Notes to Condensed Consolidated Financial Statements (Unaudited). . . . . . 6-7</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 . . . . . . . . . . . . . . . . . . . 8-12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338" w:lineRule="exact"/>
        <w:rPr>
          <w:sz w:val="20"/>
          <w:szCs w:val="20"/>
          <w:color w:val="auto"/>
        </w:rPr>
      </w:pPr>
    </w:p>
    <w:p>
      <w:pPr>
        <w:ind w:left="780" w:right="2659"/>
        <w:spacing w:after="0" w:line="505" w:lineRule="auto"/>
        <w:rPr>
          <w:sz w:val="20"/>
          <w:szCs w:val="20"/>
          <w:color w:val="auto"/>
        </w:rPr>
      </w:pPr>
      <w:r>
        <w:rPr>
          <w:rFonts w:ascii="Courier New" w:cs="Courier New" w:eastAsia="Courier New" w:hAnsi="Courier New"/>
          <w:sz w:val="14"/>
          <w:szCs w:val="14"/>
          <w:color w:val="auto"/>
        </w:rPr>
        <w:t>Item 6 Exhibits and Reports on Form 8-K. . . . . . . . . . . . . . . . . . .13 Exhibit 11 Computation of Earnings per Common Share. . . . . . . . . . . . .14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57" w:name="page258"/>
    <w:bookmarkEnd w:id="257"/>
    <w:p>
      <w:pPr>
        <w:jc w:val="center"/>
        <w:ind w:right="2899"/>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040" w:type="dxa"/>
            <w:vAlign w:val="bottom"/>
          </w:tcPr>
          <w:p>
            <w:pPr>
              <w:spacing w:after="0"/>
              <w:rPr>
                <w:sz w:val="14"/>
                <w:szCs w:val="14"/>
                <w:color w:val="auto"/>
              </w:rPr>
            </w:pPr>
          </w:p>
        </w:tc>
        <w:tc>
          <w:tcPr>
            <w:tcW w:w="27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31,</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February 2,</w:t>
            </w:r>
          </w:p>
        </w:tc>
      </w:tr>
      <w:tr>
        <w:trPr>
          <w:trHeight w:val="166"/>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1997</w:t>
            </w:r>
          </w:p>
        </w:tc>
        <w:tc>
          <w:tcPr>
            <w:tcW w:w="22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5040" w:type="dxa"/>
            <w:vAlign w:val="bottom"/>
          </w:tcPr>
          <w:p>
            <w:pPr>
              <w:spacing w:after="0"/>
              <w:rPr>
                <w:sz w:val="24"/>
                <w:szCs w:val="2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sales. . . . . . . . .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208,957</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211,501</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Cost of sales. .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133,730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135,172</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Gross profit .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75,227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76,329</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Selling, general and administrative expense.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68,469</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63,824</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Earnings from operations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6,758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12,505</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Interest expense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3,847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2,969</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Other income, net. . . . . . . . . . . . . . . . . . .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(1,206)</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(4,513)</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Earnings before income taxes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4,117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14,049</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Provision for income taxes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1,626</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5,551</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earnings . . . . . .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2,491</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Retained earnings at beginning of period . . . . . . . .</w:t>
            </w:r>
          </w:p>
        </w:tc>
        <w:tc>
          <w:tcPr>
            <w:tcW w:w="480" w:type="dxa"/>
            <w:vAlign w:val="bottom"/>
          </w:tcPr>
          <w:p>
            <w:pPr>
              <w:spacing w:after="0"/>
              <w:rPr>
                <w:sz w:val="24"/>
                <w:szCs w:val="2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173,630</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Dividends on common stock of $0.12 per share . . . . .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Retained earnings at end of period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174,671</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149,924</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common stock equivalent.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58" w:name="page259"/>
    <w:bookmarkEnd w:id="258"/>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January 31,</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February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263,662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262,473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239,637</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175,215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163,575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130,288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44,593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32,106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35,010</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current assets.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483,546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462,476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405,001</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w:t>
            </w:r>
          </w:p>
        </w:tc>
        <w:tc>
          <w:tcPr>
            <w:tcW w:w="42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308,902</w:t>
            </w:r>
          </w:p>
        </w:tc>
        <w:tc>
          <w:tcPr>
            <w:tcW w:w="3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213,256</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229,080</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 and amortization.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200,646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145,319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155,270</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 . . . . . . .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108,256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67,937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73,810</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assets . .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68,547</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18,066</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assets. . . . . . . . . . . . . . . . . . .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660,349</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547,657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194,296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114,909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41,025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38,474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45,977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43,524</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133,808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116,547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122,958</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366,928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287,764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207,857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w:t>
            </w:r>
          </w:p>
        </w:tc>
        <w:tc>
          <w:tcPr>
            <w:tcW w:w="42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53,330</w:t>
            </w:r>
          </w:p>
        </w:tc>
        <w:tc>
          <w:tcPr>
            <w:tcW w:w="3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53,365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23,176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7,178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Common stock par value $1.00,</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authorized 35,000,000 shares; issued and</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outstanding 12,154,257 shares at January</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31, 1997 (net of 755,747 treasury shares),</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12,279,360 shares at February 2,</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1996 (net of 562,965 treasury shares),</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and 12,032,143 shares at October 31, 1996</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(net of 877,861 treasury shares).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12,154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Additional paid-in capital.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32,688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37,766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28,462</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Retained earnings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174,671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149,924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173,630</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Foreign currency translation adjustment . . . . . . .</w:t>
            </w:r>
          </w:p>
        </w:tc>
        <w:tc>
          <w:tcPr>
            <w:tcW w:w="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(2,598)</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Total common stockholders' equity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216,915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199,350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common stockholders' equity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660,349</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547,657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59" w:name="page260"/>
    <w:bookmarkEnd w:id="259"/>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(DOLLARS IN THOUSANDS)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994"/>
        </w:trPr>
        <w:tc>
          <w:tcPr>
            <w:tcW w:w="6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080" w:type="dxa"/>
            <w:vAlign w:val="bottom"/>
          </w:tcPr>
          <w:p>
            <w:pPr>
              <w:spacing w:after="0"/>
              <w:rPr>
                <w:sz w:val="14"/>
                <w:szCs w:val="14"/>
                <w:color w:val="auto"/>
              </w:rPr>
            </w:pPr>
          </w:p>
        </w:tc>
        <w:tc>
          <w:tcPr>
            <w:tcW w:w="25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31,</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February 2,</w:t>
            </w:r>
          </w:p>
        </w:tc>
      </w:tr>
      <w:tr>
        <w:trPr>
          <w:trHeight w:val="166"/>
        </w:trPr>
        <w:tc>
          <w:tcPr>
            <w:tcW w:w="6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w:t>
            </w:r>
          </w:p>
        </w:tc>
      </w:tr>
      <w:tr>
        <w:trPr>
          <w:trHeight w:val="166"/>
        </w:trPr>
        <w:tc>
          <w:tcPr>
            <w:tcW w:w="608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8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used in operating activities: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depreciation and amortization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 on disposal of property, plant and equipment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income taxes .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Tax benefits related to employee stock option transactions.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Receivables (net). .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1,084</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(63,657)</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 . . . .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(17,713)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 .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(8,914)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payable and accrued expenses.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(15,192)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(3,585)</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income taxes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1,844</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operating activities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(25,186)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(68,165)</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property, plant and equipment.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(6,655)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(2,492)</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asset disposals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other assets.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(987)</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Acquisition of James Hardie Irrigation, net of cash acquired.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(117,622)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investing activities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(128,078)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(3,461)</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short-term borrowing.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153,271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73,334</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Repayments of long-term debt.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other long-term liabilities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sale of common stock.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2,814</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common stock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on common stock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financing activities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155,315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68,986</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Foreign currency translation adjustment. . . . . . . . . . . . . . .</w:t>
            </w:r>
          </w:p>
        </w:tc>
        <w:tc>
          <w:tcPr>
            <w:tcW w:w="48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(740)</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increase (decrease) in cash and cash equivalents . . . . . . . .</w:t>
            </w:r>
          </w:p>
        </w:tc>
        <w:tc>
          <w:tcPr>
            <w:tcW w:w="48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(3,380)</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period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7,702</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end of period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4,322</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260" w:name="page261"/>
    <w:bookmarkEnd w:id="260"/>
    <w:tbl>
      <w:tblPr>
        <w:tblLayout w:type="fixed"/>
        <w:tblInd w:w="960" w:type="dxa"/>
        <w:tblCellMar>
          <w:top w:w="0" w:type="dxa"/>
          <w:left w:w="0" w:type="dxa"/>
          <w:bottom w:w="0" w:type="dxa"/>
          <w:right w:w="0" w:type="dxa"/>
        </w:tblCellMar>
      </w:tblPr>
      <w:tr>
        <w:trPr>
          <w:trHeight w:val="162"/>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TORO COMPANY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NOTES TO CONDENSED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28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FINANCIAL STATEMENTS (UNAUDITED)</w:t>
            </w:r>
          </w:p>
        </w:tc>
      </w:tr>
      <w:tr>
        <w:trPr>
          <w:trHeight w:val="166"/>
        </w:trPr>
        <w:tc>
          <w:tcPr>
            <w:tcW w:w="1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31, 1997 are not necessarily indicative of the results that may be expected for the year ending October 31, 1997.</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January 31, 1997, and February 2, 1996, respectively. Under the FIFO method, work-in-process inventories were $86,593,000 and $85,691,000 and finished goods inventories were $114,264,000 and $102,725,000 at January 31, 1997, and February 2, 1996,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December 2, 1996, the company completed the acquisition of James Hardie Irrigation Group (Hardie) from James Hardie Limited of Australia. The purchase price of approximately $119 million is subject to adjustment based on the audit of the closing date balance sheet. The acquisition has been initially financed with temporary bank debt, which the company intends to refinance during the current fiscal year through the issuance of long-term debt. The company has filed a shelf registration which will facilitate the issuance of long-term debt to replace the temporary bank debt. The acquisition is being accounted for under the purchase method of accounting. The purchase price has been initially allocated to the assets and liabilities acquired based on their estimated fair values. The final purchase price allocation may be adjusted based upon appraisals and other information relating to the fair values of assets and liabilities acquired and the final purchase price. The excess of the purchase price over the estimated fair value of net assets acquired plus additional capitalized acquisition costs was approximately $43.6 million and is being amortized on a straight-line basis over 20 years.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61" w:name="page262"/>
    <w:bookmarkEnd w:id="261"/>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392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January 31,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9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223,123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243,116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6,167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62" w:name="page263"/>
    <w:bookmarkEnd w:id="262"/>
    <w:p>
      <w:pPr>
        <w:jc w:val="center"/>
        <w:ind w:right="289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First quarter net earnings of $2.5 million or 20 cents per share were down significantly from the net earnings of $8.5 million or 67 cents per share for the same period in the previous year. Revenues declined slightly from $211.5 million in the first quarter of 1996 to $209.0 million in the first quarter of 1997, as a result of factors discussed in the following paragraphs. The decline in net earnings was due to a number of unusual factors which affected the first quarter of 1997, including the acquisition of James Hardie Irrigation Group (Hardie) which added $19.2 million in sales revenue, but had a negative impact on first quarter earnings. A shift in shipping patterns bringing inventory closer to retail and softening in several core markets also contributed to the decline in first quarter earnings. In addition, several of the company's new businesses have continued to show positive sales results, but have not yet reached profitable levels.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10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96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January 31,</w:t>
            </w: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February 2,</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1997</w:t>
            </w:r>
          </w:p>
        </w:tc>
        <w:tc>
          <w:tcPr>
            <w:tcW w:w="3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(Dollars in thousands)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Consumer products. . . . . . . . .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83,642</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102,641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(18,999)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Commercial products. . . . . . . . . . .</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77,957</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78,333</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Irrigation products. . . . . . . . . . .</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47,358</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30,527</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16,831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55.1</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 . . . . . . . . . . . .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208,957</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211,501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(2,544)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Includes international sales of.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54,026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39,419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14,607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63" w:name="page264"/>
    <w:bookmarkEnd w:id="263"/>
    <w:p>
      <w:pPr>
        <w:spacing w:after="0"/>
        <w:rPr>
          <w:sz w:val="20"/>
          <w:szCs w:val="20"/>
          <w:color w:val="auto"/>
        </w:rPr>
      </w:pPr>
      <w:r>
        <w:rPr>
          <w:rFonts w:ascii="Courier New" w:cs="Courier New" w:eastAsia="Courier New" w:hAnsi="Courier New"/>
          <w:sz w:val="14"/>
          <w:szCs w:val="14"/>
          <w:color w:val="auto"/>
        </w:rPr>
        <w:t>CONSUMER PRODUCT SALES</w:t>
      </w:r>
    </w:p>
    <w:p>
      <w:pPr>
        <w:spacing w:after="0" w:line="173"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Worldwide net sales of consumer products for the three months ended January 31, 1997 of $83.6 million decreased by $19.0 million from the prior year, primarily as a result of decreased sales of consumer lawn and garden equipment.</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Traditionally, lawn and garden equipment has been shipped to distributors and dealers from November through January; however, the company's strategy of producing and shipping consumer products to more closely match retail demand has resulted in a shift of sales of these products from this period to the second quarter of the current fiscal year. In addition, inclement weather caused a ten day plant shutdown that resulted in lower production and sales of riding equipment. These declines were offset slightly by increased sales of electric products, especially in the western United States, and increased sales of snow removal equipment, topping off a successful introduction of the LawnBoy-Registered Trademark- snow product series. International consumer sales increased from $13.5 million to $15.3 million as a result of strong demand in Canada and continued growth in new markets overseas.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commercial product net sales were flat compared to the same period in the prior year. The company's efforts to more closely match commercial product production and sales to retail demand have shifted sales from the first quarter into the second quarter of the current year. Commercial sales were also impacted by ongoing competitive pressures; however, several new product introductions in the second quarter are expected to reinforce sales. International commercial sales increased to $22.6 million from $19.4 million in the prior year, primarily as a result of lower than normal sales in the first quarter of 1996 due to product availability. International golf sales are continuing to strengthen as new markets in emerging countries are developed.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decline in consumer and commercial product net sales for the quarter was largely offset by an increase in irrigation product net sales which rose 55.1% from the same period in the previous year. This increase is attributable to the acquisition of the James Hardie Irrigation Group (Hardie) which contributed approximately $20.0 million in irrigation sales. Without Hardie, irrigation sales declined by $2.3 million due primarily to field inventory adjustments and wet weather in southern California and other key markets. Excluding Hardie's international sales of $10.7 million, international irrigation sales decreased from $6.5 million to $5.4 million due to inclement weather and overall weakening in the European economy.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Gross profit was $75.2 million, a decrease of $1.1 million from the prior year. As a percent of sales, gross profit for the period ended January 31, 1997 was 36.0% compared with 36.1% for the period ended February 2, 1996. The gross margin contributed by Hardie product sales was slightly lower than the overall gross margin, but this was largely offset by higher gross margin contributions from other new businesses. Manufacturing variances were relatively flat as compared to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62"/>
        </w:trPr>
        <w:tc>
          <w:tcPr>
            <w:tcW w:w="38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56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860" w:type="dxa"/>
            <w:vAlign w:val="bottom"/>
          </w:tcPr>
          <w:p>
            <w:pPr>
              <w:spacing w:after="0"/>
              <w:rPr>
                <w:sz w:val="24"/>
                <w:szCs w:val="24"/>
                <w:color w:val="auto"/>
              </w:rPr>
            </w:pPr>
          </w:p>
        </w:tc>
      </w:tr>
      <w:tr>
        <w:trPr>
          <w:trHeight w:val="166"/>
        </w:trPr>
        <w:tc>
          <w:tcPr>
            <w:tcW w:w="27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(Dollars</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 millions)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460" w:type="dxa"/>
            <w:vAlign w:val="bottom"/>
            <w:gridSpan w:val="7"/>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Jan</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Net</w:t>
            </w:r>
          </w:p>
        </w:tc>
        <w:tc>
          <w:tcPr>
            <w:tcW w:w="7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 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Net</w:t>
            </w:r>
          </w:p>
        </w:tc>
      </w:tr>
      <w:tr>
        <w:trPr>
          <w:trHeight w:val="166"/>
        </w:trPr>
        <w:tc>
          <w:tcPr>
            <w:tcW w:w="2760" w:type="dxa"/>
            <w:vAlign w:val="bottom"/>
          </w:tcPr>
          <w:p>
            <w:pPr>
              <w:ind w:left="1220"/>
              <w:spacing w:after="0"/>
              <w:rPr>
                <w:sz w:val="20"/>
                <w:szCs w:val="20"/>
                <w:color w:val="auto"/>
              </w:rPr>
            </w:pPr>
            <w:r>
              <w:rPr>
                <w:rFonts w:ascii="Courier New" w:cs="Courier New" w:eastAsia="Courier New" w:hAnsi="Courier New"/>
                <w:sz w:val="14"/>
                <w:szCs w:val="14"/>
                <w:color w:val="auto"/>
              </w:rPr>
              <w:t>SG&amp;A</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Sales</w:t>
            </w:r>
          </w:p>
        </w:tc>
        <w:tc>
          <w:tcPr>
            <w:tcW w:w="22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r>
      <w:tr>
        <w:trPr>
          <w:trHeight w:val="166"/>
        </w:trPr>
        <w:tc>
          <w:tcPr>
            <w:tcW w:w="6460" w:type="dxa"/>
            <w:vAlign w:val="bottom"/>
            <w:gridSpan w:val="7"/>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$ 24.0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Sales and Marketing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23.4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Warranty</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Distributor/Dealer Financing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Research and Development</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Warehousing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Service/Quality Assurance</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r>
      <w:tr>
        <w:trPr>
          <w:trHeight w:val="166"/>
        </w:trPr>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bl>
    <w:p>
      <w:pPr>
        <w:spacing w:after="0" w:line="33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Selling, general and administrative expense (SG&amp;A) increased $4.7 million from the prior year, and as a percent of sales increased to 32.8% from 30.1% for the same period in fiscal 1996. Hardie added $6.0 million in SG&amp;A expense, which was partially offset by lower SG&amp;A expense in other areas. Administrative, sales and marketing, research and development and warehousing expenses, net of Hardie, were flat compared to the same period in fiscal 1996. Warranty expense as a percent of sales, net of Hardie expenses, decreased from the prior year as a result of a change in the mix of products sold and a warranty related refund received from a vendor. Distributor/Dealer financing increased slightly over the same period in fiscal 1996 due to Toro Credit Company's (TCC) addition of financing for commercial accessories. Service/quality assurance expenses increased as a result of additional expenses related to new businesses.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income, net, decreased during the quarter due primarily to income received in the prior period as a result of a favorable settlement of a patent infringement lawsuit.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AS OF JANUARY 31, 1997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JANUARY 31, 1997 COMPARED TO FEBRUARY 2,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 at January 31, 1997 were $660.3 million, up $112.7 million from</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February 2, 1996.</w:t>
        <w:tab/>
        <w:t>This increase is comprised of an increase in total assets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$140.0 million related to the acquisition of Hardie, offset by a</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decline in total assets of the remaining business.</w:t>
        <w:tab/>
        <w:t>Cash decreased from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period as the result of improved asset management policies.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 increased by $1.2 million, with $28.9 million in 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Hardie acquisition and a decline in the remaining business</w:t>
      </w:r>
    </w:p>
    <w:p>
      <w:pPr>
        <w:spacing w:after="0" w:line="7"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receivables of $27.7 million.</w:t>
        <w:tab/>
        <w:t>This decline in non-Hardie receivables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lower levels of shipments driven by the shift of sales closer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demand. Inventory balances, net of Hardie inventories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 million, declined by $19.9 million due to asset management strategies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match production more closely with the retail demand and result in lower</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overall inventory levels.</w:t>
        <w:tab/>
        <w:t>Other current assets increased from the prior year</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due primarily to an increase in prepaid income taxes.</w:t>
        <w:tab/>
        <w:t>Net property, plant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increased by approximately $40.3 million, with $30.7 million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related to Hardie and the remaining increase related to the corporate</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headquarters expansion and new tooling projects.</w:t>
        <w:tab/>
        <w:t>Other assets increased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$51.3 million as a result of capitalization of the excess of the purchase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Hardie over the fair value of Hardie net assets acquired plus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acquisition costs of approximately $43.6 million, in addition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other assets of Hardie.</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2" w:right="1440" w:bottom="1440" w:gutter="0" w:footer="0" w:header="0"/>
        </w:sectPr>
      </w:pPr>
    </w:p>
    <w:bookmarkStart w:id="265" w:name="page266"/>
    <w:bookmarkEnd w:id="265"/>
    <w:p>
      <w:pPr>
        <w:spacing w:after="0"/>
        <w:tabs>
          <w:tab w:leader="none" w:pos="3780" w:val="left"/>
        </w:tabs>
        <w:rPr>
          <w:sz w:val="20"/>
          <w:szCs w:val="20"/>
          <w:color w:val="auto"/>
        </w:rPr>
      </w:pPr>
      <w:r>
        <w:rPr>
          <w:rFonts w:ascii="Courier New" w:cs="Courier New" w:eastAsia="Courier New" w:hAnsi="Courier New"/>
          <w:sz w:val="14"/>
          <w:szCs w:val="14"/>
          <w:color w:val="auto"/>
        </w:rPr>
        <w:t>FINANCIAL POSITION AS OF JANUARY 31, 1997,</w:t>
        <w:tab/>
        <w:t>(CONTINUED)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current liabilities of $366.9 million at January 31, 1997 increased $79.2 million compared with current liabilities at February 2, 1996. The majority of this increase was short-term borrowing, which increased by $79.4 million over the prior year due primarily to the financing of both the purchase price and working capital needs of Hardie. In addition, the variance in short-term borrowing reflects the company's cash management strategy of utilizing short-term borrowing to fund the company's seasonal working capital needs. The increase in short-term borrowing was offset by a decrease in trade payables primarily as a result of reduced inventory levels, net of Hardie. Other accrued liabilities increased by $17.3 million, primarily as a result of expenses related to the Hardie acquisition, and Hardie accrued liabilities acquired. The current portion of long-term debt was also reduced from the first quarter of fiscal 1996 due to the repayment of Toro Credit Company's (TCC) debt. All TCC debt financing is now being provided by the parent company. Other long-term liabilities also increased over the prior period, primarily as a result of an interest rate swap agreement entered into during second quarter of fiscal 1996.</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JANUARY 31, 1997 COMPARED TO OCTOBER 31,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at January 31, 1997 were $660.3 million, up $163.5 million from October 31, 1996. As indicated previously, the Hardie acquisition accounted for approximately $140.0 million of this increase. Accounts receivable, net of Hardie, declined slightly from October 31, 1996. Inventory increased by $44.9 million, with $31.5 million of this increase attributable to the Hardie acquisition. The remaining increase in inventory is a result of the normal buildup of consumer lawn and garden products manufactured in the first quarter. Other current assets increased by $9.6 million, primarily as the result of an increase in prepaid income taxes. Net property, plant and equipment increased from $73.8 million to $108.3 million due to the addition of Hardie net property, plant and equipment of $30.7 million, the expansion of the corporate headquarters and routine capital expenditures. Other assets increased as a result of the excess of the purchase price of Hardie over the fair value of the net assets acquired of approximately $26.9 million plus additional capitalized acqusition costs of approximately $16.7 million and the acquisition of Hardie's other assets.</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current liabilities of $366.9 million at January 31, 1997 increased $159.1 million compared with current liabilities at October 31, 1996. The majority of this increase was the result of additional short-term borrowings of $117.6 million which was used to finance the purchase price of Hardie. The remaining increase in short-term borrowing reflects the company's strategy of utilizing short-term borrowing to fund the company's seasonal working capital needs.</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Other accrued liabilities increased as a result of expenses related to the acquisition of Hardie. There were no significant changes in long-term debt and other long-term liabilities from October 31, 1996 to January 31, 1997.</w:t>
      </w:r>
    </w:p>
    <w:p>
      <w:pPr>
        <w:spacing w:after="0" w:line="32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primary use of cash during the current fiscal quarter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used in operating activities for the three month period ended January 31, 1997, was primarily for the payment of accounts payable and accrued liabilities and the seasonal build-up of inventories in anticipation of the spring selling season.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67" w:name="page268"/>
    <w:bookmarkEnd w:id="267"/>
    <w:p>
      <w:pPr>
        <w:ind w:left="2500"/>
        <w:spacing w:after="0"/>
        <w:tabs>
          <w:tab w:leader="none" w:pos="33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hanging="427"/>
        <w:spacing w:after="0"/>
        <w:tabs>
          <w:tab w:leader="none" w:pos="7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8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its Current Report on Form 8K dated December 16, 1996, reporting the completion of the acquisition of James Hardie Irrigation Group from James Hardie Industries Limited of Australia on December 2, 1996 through the acquisition of all of the outstanding common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163"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Amendment 1 to its Current Report on Form 8K dated December 16, 1996 on Form 8K/A dated February 18, 1997, providing financial information of the business acquired and pro forma financial information related to the acquisition of James Hardie Irrigation Group.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(Registrant)</w:t>
      </w:r>
    </w:p>
    <w:p>
      <w:pPr>
        <w:spacing w:after="0" w:line="338" w:lineRule="exact"/>
        <w:rPr>
          <w:sz w:val="20"/>
          <w:szCs w:val="20"/>
          <w:color w:val="auto"/>
        </w:rPr>
      </w:pPr>
    </w:p>
    <w:p>
      <w:pPr>
        <w:ind w:left="2500"/>
        <w:spacing w:after="0"/>
        <w:tabs>
          <w:tab w:leader="none" w:pos="2840" w:val="left"/>
        </w:tabs>
        <w:rPr>
          <w:sz w:val="20"/>
          <w:szCs w:val="20"/>
          <w:color w:val="auto"/>
        </w:rPr>
      </w:pPr>
      <w:r>
        <w:rPr>
          <w:rFonts w:ascii="Courier New" w:cs="Courier New" w:eastAsia="Courier New" w:hAnsi="Courier New"/>
          <w:sz w:val="14"/>
          <w:szCs w:val="14"/>
          <w:color w:val="auto"/>
        </w:rPr>
        <w:t>By</w:t>
        <w:tab/>
        <w:t>/s/ Gerald T. Knight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(principal financial officer)</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March 17,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68" w:name="page269"/>
    <w:bookmarkEnd w:id="268"/>
    <w:p>
      <w:pPr>
        <w:ind w:left="180" w:hanging="172"/>
        <w:spacing w:after="0"/>
        <w:tabs>
          <w:tab w:leader="none" w:pos="1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440" w:right="359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ANNUAL REPORT PURSUANT TO SECTION 13 OR 15(d) OF THE SECURITIES EXCHANGE ACT OF 1934 FOR FISCAL YEAR ENDED OCTOBER 31, 1996.</w:t>
      </w:r>
    </w:p>
    <w:p>
      <w:pPr>
        <w:spacing w:after="0" w:line="160" w:lineRule="exact"/>
        <w:rPr>
          <w:sz w:val="20"/>
          <w:szCs w:val="20"/>
          <w:color w:val="auto"/>
        </w:rPr>
      </w:pPr>
    </w:p>
    <w:p>
      <w:pPr>
        <w:ind w:left="440" w:right="4019" w:hanging="432"/>
        <w:spacing w:after="0" w:line="250" w:lineRule="auto"/>
        <w:tabs>
          <w:tab w:leader="none" w:pos="18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____________________ TO ____________________</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060" w:space="80"/>
            <w:col w:w="6099"/>
          </w:cols>
          <w:pgMar w:left="220" w:top="616"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TELEPHONE NUMBER: (612) 888-8801</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2300" w:space="720"/>
            <w:col w:w="72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par value</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$1.00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0"/>
          <w:szCs w:val="20"/>
          <w:color w:val="auto"/>
        </w:rPr>
      </w:pPr>
    </w:p>
    <w:p>
      <w:pPr>
        <w:sectPr>
          <w:pgSz w:w="11900" w:h="16838" w:orient="portrait"/>
          <w:cols w:equalWidth="0" w:num="2">
            <w:col w:w="2680" w:space="340"/>
            <w:col w:w="7219"/>
          </w:cols>
          <w:pgMar w:left="220" w:top="616"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p>
      <w:pPr>
        <w:sectPr>
          <w:pgSz w:w="11900" w:h="16838" w:orient="portrait"/>
          <w:cols w:equalWidth="0" w:num="1">
            <w:col w:w="10239"/>
          </w:cols>
          <w:pgMar w:left="220" w:top="616" w:right="1440" w:bottom="1440" w:gutter="0" w:footer="0" w:header="0"/>
          <w:type w:val="continuous"/>
        </w:sectPr>
      </w:pP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preceding 12 months and (2) has been subject to such filing requirements for the past 90 days.</w:t>
      </w:r>
    </w:p>
    <w:p>
      <w:pPr>
        <w:spacing w:after="0" w:line="1" w:lineRule="exact"/>
        <w:rPr>
          <w:sz w:val="20"/>
          <w:szCs w:val="20"/>
          <w:color w:val="auto"/>
        </w:rPr>
      </w:pPr>
    </w:p>
    <w:p>
      <w:pPr>
        <w:ind w:left="440"/>
        <w:spacing w:after="0"/>
        <w:tabs>
          <w:tab w:leader="none" w:pos="840" w:val="left"/>
          <w:tab w:leader="none" w:pos="1280" w:val="left"/>
        </w:tabs>
        <w:rPr>
          <w:sz w:val="20"/>
          <w:szCs w:val="20"/>
          <w:color w:val="auto"/>
        </w:rPr>
      </w:pPr>
      <w:r>
        <w:rPr>
          <w:rFonts w:ascii="Courier New" w:cs="Courier New" w:eastAsia="Courier New" w:hAnsi="Courier New"/>
          <w:sz w:val="14"/>
          <w:szCs w:val="14"/>
          <w:color w:val="auto"/>
        </w:rPr>
        <w:t>Yes</w:t>
        <w:tab/>
        <w:t>/X/</w:t>
        <w:tab/>
        <w:t>No /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328"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the Common Stock on December 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as reported by the New York Stock Exchange, was approximately $423,922,000.</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December 27, 1996 was 12,116,732.</w:t>
      </w:r>
    </w:p>
    <w:p>
      <w:pPr>
        <w:spacing w:after="0" w:line="16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Portions of the Registrant's Annual Report to Stockholders for the fiscal year ended October 31, 1996, are incorporated by reference into Parts I, II and IV.</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Portions of the Registrant's Proxy Statement for the Annual Meeting of Stockholders to be held March 13, 1997 are incorporated by reference into Part III.</w:t>
      </w:r>
    </w:p>
    <w:p>
      <w:pPr>
        <w:spacing w:after="0" w:line="163" w:lineRule="exact"/>
        <w:rPr>
          <w:sz w:val="20"/>
          <w:szCs w:val="20"/>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269" w:name="page270"/>
    <w:bookmarkEnd w:id="269"/>
    <w:p>
      <w:pPr>
        <w:jc w:val="center"/>
        <w:ind w:right="3339"/>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designs, manufactures and markets consumer and professional turf maintenance equipment, snow removal products and irrigation systems. The company produced its first lawn mower for golf course fairways in 1922 and its first lawn mower for home use in 1939 and has continued to enhance its product lines ever since.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emphasizes quality and innovation in its products, manufacturing and marketing. The company strives to provide well built, dependable products supported by an extensive service network. Innovation is emphasized through the introduction of new and enhanced products. The company's substantial funding of research and development, as well as its acquisition strategy and its licensing and related agreements, all contribute to its new product development efforts. Through these efforts the company also attempts to be responsive to trends which may affect its target markets, now and in the future. The company believes that a significant portion of its revenues in recent years have been attributable to its new and enhanced products. Examples of recently introduced products include the Recycler-Registered Trademark- lawn mower which reduces the need for disposal of grass clippings, a high pressure water jet turf aerator for maintenance of golf course putting greens and an enhanced electronic controller for residential irrigation systems which features programmable timing and zone control functions.</w:t>
      </w:r>
    </w:p>
    <w:p>
      <w:pPr>
        <w:spacing w:after="0" w:line="32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wholly-owned finance subsidiary.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OUTDOOR MAINTENANCE EQUIPMENT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The company continues to be a leader in transforming advanced technologies into products and services that provide solutions for landscape and turf care maintenance and beautification demands. Following is a summary of Toro's product lines: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PRODUCTS</w:t>
      </w:r>
    </w:p>
    <w:p>
      <w:pPr>
        <w:spacing w:after="0" w:line="173"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WALK-BEHIND MOWERS. The company has manufactured walk-behind mowers for residential use since 1939. Its walk-behind lawn mowers are gasoline and electric powered. The company manufactures numerous models of walk-behind mowers under its brand names Toro-Registered Trademark- and Lawn-Boy-Registered Trademark-, including both four-cycle and two-cycle engine models, and new battery and electric models. Models differ as to cutting width, type of starter mechanism, type of bagging, controls and power sources, and are either self-propelled or push mowers. Certain of the company's lawn mowers are backed by the company's "Guaranteed To Start" program and some Lawn-Boy-Registered Trademark- models are equipped with a two-cycle, oil injected engine manufactured by the company.</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RIDING MOWERS AND LAWN AND GARDEN TRACTORS. The company manufactures riding lawn mowers and lawn and garden tractors under its brand name Toro-Registered Trademark-Wheel Horse-Registered Trademark- which range from an eight horsepower, 25 inch deck, rear engine model to a 20 horsepower, front engine model. The front engine model is available with a variety of decks and accessories (Recycler technology is available in select models). Some recently introduced models are equipped with hydrostatic transmissions and/or low emission engines.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70" w:name="page271"/>
    <w:bookmarkEnd w:id="270"/>
    <w:p>
      <w:pPr>
        <w:ind w:left="440" w:right="3419"/>
        <w:spacing w:after="0" w:line="251" w:lineRule="auto"/>
        <w:rPr>
          <w:sz w:val="20"/>
          <w:szCs w:val="20"/>
          <w:color w:val="auto"/>
        </w:rPr>
      </w:pPr>
      <w:r>
        <w:rPr>
          <w:rFonts w:ascii="Courier New" w:cs="Courier New" w:eastAsia="Courier New" w:hAnsi="Courier New"/>
          <w:sz w:val="14"/>
          <w:szCs w:val="14"/>
          <w:color w:val="auto"/>
        </w:rPr>
        <w:t>HOME SOLUTIONS PRODUCTS. The company designs and markets electrical and gas products under the Toro-Registered Trademark- brand name for mass merchandisers and "do-it-yourself" home improvement markets. These products, which include homeowner-installed low voltage lighting, flexible line trimmers and electric blowers, are intended to require little or no after sales service. Among recently introduced products are a complete line of handheld products which include a cordless trimmer, hedge trimmers, gas edgers, gas trimmers, and a gas blower.</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SNOW REMOVAL PRODUCTS. The company manufactures and markets lightweight and larger self-propelled walk-behind snowthrowers and electric Power Shovel snowthrowers under the Toro-Registered Trademark- and Lawn-Boy-Registered Trademark- brand names. Single-stage snowthrowers, developed by the company and first introduced in 1965, are walk-behind units with a lightweight gasoline engine or electric motor and the Power Curve-Registered Trademark- snowthrower technology for general residential use. Two-stage snowthrowers are designed for relatively large areas with engines ranging from 5 to 12 horsepower. Units with 8 horsepower and above are equipped with the Power Shift-Registered Trademark- snowthrower technology.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TURF PRODUCTS</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COMMERCIAL PRODUCTS. Professional turf maintenance equipment marketed under the Toro-Registered Trademark- brand name is the company's oldest product line, which began in 1922 with the sale of tractor-pulled reel mowers to golf courses. Today the company's expanded product line includes products designed for the large turf areas of schools, parks, cemeteries, sports fields, plant sites, apartment buildings and townhouse complexes, as well as golf courses. Management believes that golf courses will continue to be a significant market for turf maintenance equipment as new golf course construction continues throughout the world. Increasing emphasis is being placed on the sports field and landscape contractor markets.</w:t>
      </w:r>
    </w:p>
    <w:p>
      <w:pPr>
        <w:spacing w:after="0" w:line="16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Products for the golf course include turf sprayer equipment, riding and walk-behind reel mowers for the putting green, and riding and pull-behind large reel products for the fairway, rough and trim cutting, turf aeration, and sandtrap/bunker maintenance.</w:t>
      </w:r>
    </w:p>
    <w:p>
      <w:pPr>
        <w:spacing w:after="0" w:line="162"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Other products which service all commercial markets include riding rotary units with out-front cutting decks ranging from 52 inches to 16 feet widths of cut, turf sweepers, and multipurpose vehicles and attachments designed for flexibility.</w:t>
      </w:r>
    </w:p>
    <w:p>
      <w:pPr>
        <w:spacing w:after="0" w:line="162"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IRRIGATION PRODUCTS. Turf irrigation products marketed under the Toro-Registered Trademark- brand name include sprinkler heads and electric and hydraulic control devices designed to be used in turf irrigation systems for residential, commercial and golf course use. These products are installed in new systems and can also be used to replace or retrofit existing systems. Most of the product line is designed for underground irrigation systems. Sprinkler heads are buried underground and pop up when in operation. Control valves activate the sprinkler heads and controllers typically activate electric or hydraulic lines to control the valves and sprinkler heads. Recently introduced products include more efficient sprinkler heads and automatic electronic controllers for residential, commercial and golf course irrigation systems. The acquisition of the James Hardie Irrigation Group enhances Toro's product line for residential and commercial irrigation systems and also provides products for the agricultural micro-irrigation segment, including drip tape, hose, emitters and other micro-irrigation products. See "Recent Developments" included within Part I. The company's irrigation products are used in 75 of the golf courses rated among the top 100 courses in the United States by GOLF DIGEST.</w:t>
      </w:r>
    </w:p>
    <w:p>
      <w:pPr>
        <w:spacing w:after="0" w:line="3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See the tables entitled "Sales By Product Line" under the captions "Results of Operations" in the sections entitled "Management's Discussion and Analysis of Financial Condition and Results of Operations" on pages 16 and 25 of the company's Annual Report to Stockholders for the fiscal year ended October 31, 1996 for information regarding revenues in the consumer, commercial and irrigation product lines, which information is incorporated herein by reference.</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currently distributes its products worldwide with sales and/or distribution offices in Canada,Belgium, United Kingdom, Australia, Singapore, Japan, Italy and Greece.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New product development is primarily pursued in the United States using a global product platform strategy. Products marketed outside of North America are sold in compliance with local safety standards. All products shipped to Europe conform to the European Community Certification standards.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addition to developing new market-specific products, the International division is adding customers in new regions. Emerging markets in Eastern Europe (such as the Czech Republic, Slovakia and Hungary) have been added to the distribution base in the last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3, 1996, the company announced the completion of the acquisition of James Hardie Irrigation Group (JHI) from James Hardie Limited of Australia. JHI is a worldwide leader in the production of irrigation systems to the commercial landscape market. JHI manufactures products for all major segments of the irrigation market, except for the golf market, and sells to distributors and retailers worldwide. JHI offers a broad range of irrigation products and has leading positions in valves and controllers worldwide. In Australia, JHI has a leading position in hose, hose-end and micro-irrigation products. Unless otherwise indicated, the historical financial and statistical data included herein does not reflect the completion of such acquisition.</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also completed in fiscal 1996 the acquisition of Liquid Ag Systems of Florida, a leader in fertigation systems, whereby an eco-product feeds turf through existing irrigation systems resulting in less harmful runoff into ponds and streams. Also acquired was National Service Network of Abilene, TX., which provides technology and integrated services support to the company's customers. The company teamed with Walt Disney World Sports to provide the turf expertise to maintain the grounds for the new Wide World of Sports complex in Florida, scheduled to open in the spring of 1997. A partnership with GeoFlow provided the company with an important irrigation product for rootzone irrigation on media strips, recreation areas and residential properties that can reduce water consumption by up to 50%. The company also partnered with Ryobi Outdoor Products, and Maruyama Manufacturing, Inc., in alliances that provide enhanced visibility and expanded product lines in emerging markets such as the landscape contractor business. This line includes cultivators, battery trimmers, hedge trimmers and blower vacuums.</w:t>
      </w:r>
    </w:p>
    <w:p>
      <w:pPr>
        <w:spacing w:after="0" w:line="17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1996, the company continued to develop world class manufacturing processes leading to more efficient plant operations through robotics, cellular manufacturing, and just in time sourcing of products. Both the company's Shakopee component manufacturing plant and the Bloomington headquarters' commercial operations received ISO 9000 designations. Prior to 1996, both the Riverside and Tomah manufacturing facilities achieved such designations.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continues to provide 2-cycle and 4-cycle gasoline walk-behind power mowers that produce lower emissions. The company introduced electric mowers for both the Toro-Registered Trademark- and Lawn-Boy-Registered Trademark- brands in 1996, including the Toro Carefree-TM- line which integrates Toro-Registered Trademark- mulching technology in an electric mower. In addition, Lawn-Boy-Registered Trademark- introduced a new line of snowthrowers and the E-engine, a new low-emission 2-cycle engine for lawn mowers. Lawn-Boy-Registered Trademark- also offers emission-free battery powered mowers. Consistent with its long-term goal of expanding the professional turf maintenance market, the company introduced an extensive line of new handheld, walk-behind and riding products for the landscape contractor and has increased sales to this market.</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improved truck fleet efficiency during the year using the QualComm satellite tracking system to monitor and guide shipping and weather patterns. The company also developed Consumer Gateway, an integrated hardware and software computer system for outdoor power equipment dealers.</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72" w:name="page273"/>
    <w:bookmarkEnd w:id="272"/>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some areas of its business the company is primarily an assembler while in others it is a fully integrated manufacturer. Most of the components for the company's products are commercially available from a number of sources and the company is generally not dependent on any one supplier. The largest component costs are generally engines, transmissions and electric motors. The company purchases most of its engines and motors for consumer and commercial products from several suppliers. In addition, the company manufactures three types of two-cycle engines for its consumer products.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Management continues to seek greater efficiencies and improve work processes throughout the company. Toro's total quality process is focused upon improving product quality, customer response time and reducing overall product cost.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Toro-Registered Trademark-, Wheel Horse-Registered Trademark- and Lawn-Boy-Registered Trademark-, all of which are registered in the United States and in the principal foreign countries in which the company markets its products. The company holds patents in the United States and foreign countries and applies for patents as applicable. Although management believes patents have value to the company, patent protection does not deter competitors from attempting to develop similar products. Although patent protection is considered to be very beneficial, the company is not dependent on any one or more of its patents.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recent acquisition of James Hardie Irrigation Group, the following brand names were acquired: Lawn Genie-Registered Trademark-, Irritrol-Registered Trademark-, Richdel-Registered Trademark-, Hardie Pope, Hardie, Blue Stripe, Hardie Tape and Aqua-Traxx. The company has agreed to discontinue use of the term "Hardie" or any similar name within one year of the acquisition. However, inventory manufactured prior to that one year may continue to carry the term "Hardie" or similar name.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the company's consumer products, which accounted for approximately 50% of total sales in fiscal 1996, are seasonal with greater sales of consumer products, excluding snow removal equipment, occurring between February and April and snow removal equipment between August and January. Opposite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March as a result of extended payment terms made available to the company's customers. Accounts receivable balances decrease between April and June when payments are made. The seasonal requirements of the business are financed from operations and with short-term bank lines of credit and off-balance sheet financing.</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4"/>
          <w:szCs w:val="14"/>
          <w:color w:val="auto"/>
        </w:rPr>
        <w:t>DISTRIBUTION AND MARKETING</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markets the majority of its products principally through approximately 40 domestic and 96 foreign distributors and a number of mass merchandisers worldwide. Toro-Registered Trademark- and Lawn-Boy-Registered Trademark- consumer products such as walk-behind power mowers, riding mowers and snowthrowers are sold to distributors for resale to retail dealers throughout the United States. Home solutions products and most Lawn-Boy-Registered Trademark- products are sold directly to mass merchandisers and "do-it-yourself" home improvement retailers. Commercial and irrigation products are sold to distributors for resale to irrigation contractors and golf courses. Irrigation products are also sold through distributors to irrigation dealers and direct to irrigation dealers, mass merchandisers and "do-it-yourself" home improvement retailers for resale to contractors, golf courses and end-users.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current marketing strategy is to maintain distinct and separate brands and brand identification for Toro-Registered Trademark-, Toro-Registered Trademark-Wheel Horse-Registered Trademark- and Lawn-Boy-Registered Trademark-products. The company is currently evaluating its marketing strategies with respect to the brand names acquired in connection with the acquisition of the James Hardie Irrigation Group.</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significant competitive asset in marketing Toro-Registered Trademark-, Toro-Registered Trademark-Wheel Horse-Registered Trademark- and Lawn-Boy-Registered Trademark-products.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advertises its products during appropriate seasons throughout the year on television, radio and in print. Most of the company's advertising emphasizes its brand names. Advertising is directly paid by the company as well as through cooperative programs with distributors, dealers and mass merchants.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order backlog at October 31, 1996 and 1995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1996</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300" w:type="dxa"/>
            <w:vAlign w:val="bottom"/>
          </w:tcPr>
          <w:p>
            <w:pPr>
              <w:spacing w:after="0"/>
              <w:rPr>
                <w:sz w:val="14"/>
                <w:szCs w:val="14"/>
                <w:color w:val="auto"/>
              </w:rPr>
            </w:pP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$ 51,373,000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$ 46,087,000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55,138,000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49,624,000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4,333,000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4,417,000</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increase in consumer product backlog reflects the sell-out of gas snow products in fiscal 1996. This resulted in increased orders of gas snow products at the end of fiscal 1996 in anticipation of another hard winter season. The increase for commercial products reflects continued sales growth in most product lines. The existing backlog is expected to be filled in the succeeding fiscal year.</w:t>
      </w: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principal competitive factors in the company's markets are product innovation, quality, service and pricing. Management believes the company offers high quality products with the latest technology and design innovations. Also, by selling Toro-Registered Trademark-, Toro-Registered Trademark-Wheel Horse-Registered Trademark- and Lawn-Boy-Registered Trademark- brand products through a network of distributors, dealers and mass merchants who provide service, the company offers competitive service during and after the relevant warranty period.</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competes in all product lines with numerous manufacturers, many of which have substantially greater financial resources than the company. Management believes that its commitment to product innovation, its distribution systems and its focus on target markets, position it well to compete in these various markets.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company's principal competitors for mowing and snow equipment are American Yard Products, Inc. (a subsidiary of Electrolux AB), Deere &amp; Company, Honda Motor Co., Ltd., MTD Products, Inc., Murray Ohio Manufacturing Co., Inc. (a subsidiary of Tompkins Corp.), Sears, Roebuck and Co., Snapper Power Equipment (a division of ACT), Ariens Company, Bolens Corporation (a division of Garden Way, Incorporated), Noma Outdoor Products, Simplicity Manufacturing Company and Yamaha Motor Corporation, USA. The principal competitors in home solutions products are The Black and Decker Corporation, K &amp; S Industries, Inc., Malibu Lighting (a registered trademark of Intermatic, Inc.) and Poulan/Weed Eater (a division of Electrolux AB).</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w:t>
      </w:r>
    </w:p>
    <w:p>
      <w:pPr>
        <w:spacing w:after="0" w:line="173"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The company's commercial products compete with products from numerous manufacturers, but the principal competitors across most of the company's commercial product lines are Deere &amp; Company, American Honda Motor Co., Inc., Echo Inc., Stihl Inc., Scag Power Equipment, Shindaiwa Inc., Snapper Inc., Gravely International, Exmark Manufacturing Co., Inc., Lesco Inc., Walker Manufacturing Co., Cub Cadet Power Equipment, American Yard Products, Husqvarna Forest and Garden Co., The Ariens Co., MTD Products Inc., Textron Jacobsen and Ransomes Sims &amp; Jefferies PLC, (based in the United Kingdom).</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IRRIGATION</w:t>
      </w:r>
    </w:p>
    <w:p>
      <w:pPr>
        <w:spacing w:after="0" w:line="173" w:lineRule="exact"/>
        <w:rPr>
          <w:sz w:val="20"/>
          <w:szCs w:val="20"/>
          <w:color w:val="auto"/>
        </w:rPr>
      </w:pPr>
    </w:p>
    <w:p>
      <w:pPr>
        <w:ind w:left="440" w:right="3859"/>
        <w:spacing w:after="0" w:line="255" w:lineRule="auto"/>
        <w:rPr>
          <w:sz w:val="20"/>
          <w:szCs w:val="20"/>
          <w:color w:val="auto"/>
        </w:rPr>
      </w:pPr>
      <w:r>
        <w:rPr>
          <w:rFonts w:ascii="Courier New" w:cs="Courier New" w:eastAsia="Courier New" w:hAnsi="Courier New"/>
          <w:sz w:val="14"/>
          <w:szCs w:val="14"/>
          <w:color w:val="auto"/>
        </w:rPr>
        <w:t>The company's principal competitors in irrigation products are Hunter Industries and Rain Bird Sprinkler Manufacturing Corporation.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conducts research and development activities in an effort to improve existing products and develop new products. Amounts expended on such activities, including engineering costs, aggregated approximately $31.3 million, or 3.4% of net sales for the year ended October 31, 1996, $6.9 million, or 3.6% of net sales for the 3 months ended October 31, 1995, $26.5 million, or 2.8% of net sales for the year ended July 31, 1995, and $24.6 million, or 3.1% of net sales for the year ended July 31, 1994. Management believes that the company's research and development efforts are important to the quality, mix and growth of its businesses and plans to continue its strong commitment to such activities.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4"/>
          <w:szCs w:val="14"/>
          <w:color w:val="auto"/>
        </w:rPr>
        <w:t>GOVERNMENTAL REGULATION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products are subject to various federal statutes designed to protect consumers and are subject to the administrative jurisdiction of the federal Consumer Product Safety Commission. The company is also subject to certain federal and state environmental, occupational safety and other regulations, none of which has had a material adverse affect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required to comply with the EPA regulations on or before September 1997. The company expects its own two-cycle walk-behind power mower engines to be able to comply with Phase I regulations beginning in September of 1997. This will allow the company to continue producing its two-cycle walk-behind power mower engines at its Oxford, Mississippi plant through the year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During fiscal 1996 the company employed an average of 3,509 employees. The total number of employees at October 31, 1996 was 3,280, reflecting the company's normal seasonal fluctuation in employment. Approximately 20 % of these employees are covered by four collective bargaining agreements, one expiring in May 1997, two expiring in September 1997, and one expiring in November 1999.</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acquisition of the James Hardie Irrigation Group, the company added approximately 1,070 employees. JHI's Australian employees have three local agreements with the National Union of Workers and the Australian Workers Union which cover approximately 15% of all JHI employees. These agreements will expire in June 1997. None of the JHI U.S. employees are represented by unions.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considers its overall relations with its employees to be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With the exception of the newly added JHI production facilities in Australia, all of the company's production facilities are located within the United States. Except for the sales of the company's foreign subsidiaries, which are not significant when compared to total company sales, substantially all financial transactions have been made in U.S. dollars. Consequently, the company did not realize any significant impact to earnings due to fluctuations in foreign currencies during the fiscal year ended October 31, 1996.</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and anticipated foreign currency transactions. With the acquisition of the James Hardie Irrigation Group, the company expects an increase in transactions denominated in Australian dollars.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Export sales were $154,716,000 for the year ended October 31, 1996, $18,557,000 for the 3 months ended October 31, 1995, and $126,560,000 and $109,344,000 for the years ended July 31 1995 and 1994, respectively. The identifiable assets attributable to foreign operations were not significant as of October 31, 1996.</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See Note 8 to the Consolidated Financial Statements of the company contained in the company's Annual Report to Stockholders for the fiscal year ended October 31, 1996 for additional information relating to international and export sales, which information is incorporated herein by reference.</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76" w:name="page277"/>
    <w:bookmarkEnd w:id="276"/>
    <w:p>
      <w:pPr>
        <w:ind w:left="2680"/>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company utilizes manufacturing and office facilities which total approximately 4,437,000 square feet of space. The manufacturing facilities, excluding JHI, operated at about 62% of total plant capacity in fiscal 1996. Actual plant utilization varies during the year depending upon the production cycle. Management believes that the current facilities are sufficient for current production needs. The following schedule outlines the company's facilities by location, plant size, ownership and function:</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tabs>
          <w:tab w:leader="none" w:pos="3000" w:val="left"/>
          <w:tab w:leader="none" w:pos="4560" w:val="left"/>
          <w:tab w:leader="none" w:pos="740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Square Feet</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Products Manufactured /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Plymouth,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Parts distribution center, office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Windom,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components and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Lakeville,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304,000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Bloomington,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Corporate headquarters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Tomah,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Sardis, MS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245,000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Consumer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Baraboo,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South Bend, IN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Facility closed in 1993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is being held for resale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Riverside, CA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217,000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Irrigation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Evansville, IN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Olathe, KS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Commercial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Mound,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Consumer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Shakopee,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Components for consumer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commercial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El Paso, TX</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Springvale,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Beverley,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JHI Corporate office and distribution center</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Murray Bridge,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El Cajon, California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Oxford, MS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Components for consumer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Oevel, Belgium</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Square Feet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3,865,000</w:t>
            </w:r>
          </w:p>
        </w:tc>
      </w:tr>
    </w:tbl>
    <w:p>
      <w:pPr>
        <w:spacing w:after="0" w:line="200" w:lineRule="exact"/>
        <w:rPr>
          <w:sz w:val="20"/>
          <w:szCs w:val="20"/>
          <w:color w:val="auto"/>
        </w:rPr>
      </w:pPr>
    </w:p>
    <w:p>
      <w:pPr>
        <w:spacing w:after="0" w:line="301" w:lineRule="exact"/>
        <w:rPr>
          <w:sz w:val="20"/>
          <w:szCs w:val="20"/>
          <w:color w:val="auto"/>
        </w:rPr>
      </w:pPr>
    </w:p>
    <w:p>
      <w:pPr>
        <w:ind w:right="4120"/>
        <w:spacing w:after="0" w:line="252" w:lineRule="auto"/>
        <w:rPr>
          <w:sz w:val="20"/>
          <w:szCs w:val="20"/>
          <w:color w:val="auto"/>
        </w:rPr>
      </w:pPr>
      <w:r>
        <w:rPr>
          <w:rFonts w:ascii="Courier New" w:cs="Courier New" w:eastAsia="Courier New" w:hAnsi="Courier New"/>
          <w:sz w:val="14"/>
          <w:szCs w:val="14"/>
          <w:color w:val="auto"/>
        </w:rPr>
        <w:t>Other leased office and warehouse space located in various cities in the United States, Australia, Canada, France, Singapore, Japan and the United Kingdom totaled approximately 572,000 square feet.</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 a party to litigation in the ordinary course of its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Ongoing litigation primarily involves claims for damages arising out of the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company's products, some of which include claims for punitive as well as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compensatory damages.</w:t>
        <w:tab/>
        <w:t>The company is also subject to administrative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respect to certain claims involving the discharge of hazardous substances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into the environment.</w:t>
        <w:tab/>
        <w:t>Certain of these claims assert damages and liability for</w:t>
      </w:r>
    </w:p>
    <w:p>
      <w:pPr>
        <w:spacing w:after="0" w:line="7"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remedial investigations and clean up costs.</w:t>
        <w:tab/>
        <w:t>Management is of the opinion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amounts which may be awarded or assessed in connection with these matters</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will not have a material effect on the company's financial position.</w:t>
        <w:tab/>
        <w:t>Further,</w:t>
      </w:r>
    </w:p>
    <w:p>
      <w:pPr>
        <w:spacing w:after="0" w:line="7"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the company maintains insurance against product liability losses.</w:t>
        <w:tab/>
        <w:t>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presently covers claims in excess of $1,000,000 per claim or</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$2,000,000 in the aggregate during any fiscal year.</w:t>
        <w:tab/>
        <w:t>The company regularly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these dollar limits.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ITEM 4. SUBMISSIONS OF MATTERS TO A VOTE OF THE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940"/>
          </w:cols>
          <w:pgMar w:left="220" w:top="616" w:right="739"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The list below identifies those persons deemed to be executive officers of the company, discloses their age and position with the company as of January 20, 1997, and positions held by them during the last five years. Officers are elected or appointed annually. A complete list of all officers of the company is found on the inside back cover of the Registrant's Annual Report for the year ended October 31, 1996.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5940" w:val="left"/>
        </w:tabs>
        <w:rPr>
          <w:sz w:val="20"/>
          <w:szCs w:val="20"/>
          <w:color w:val="auto"/>
        </w:rPr>
      </w:pPr>
      <w:r>
        <w:rPr>
          <w:rFonts w:ascii="Courier New" w:cs="Courier New" w:eastAsia="Courier New" w:hAnsi="Courier New"/>
          <w:sz w:val="14"/>
          <w:szCs w:val="14"/>
          <w:color w:val="auto"/>
        </w:rPr>
        <w:t>Name, Age and Position with the Company</w:t>
      </w:r>
      <w:r>
        <w:rPr>
          <w:sz w:val="20"/>
          <w:szCs w:val="20"/>
          <w:color w:val="auto"/>
        </w:rPr>
        <w:tab/>
      </w:r>
      <w:r>
        <w:rPr>
          <w:rFonts w:ascii="Courier New" w:cs="Courier New" w:eastAsia="Courier New" w:hAnsi="Courier New"/>
          <w:sz w:val="14"/>
          <w:szCs w:val="14"/>
          <w:color w:val="auto"/>
        </w:rPr>
        <w:t>Business Experience During the Last 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right="1900"/>
        <w:spacing w:after="0" w:line="247" w:lineRule="auto"/>
        <w:rPr>
          <w:sz w:val="20"/>
          <w:szCs w:val="20"/>
          <w:color w:val="auto"/>
        </w:rPr>
      </w:pPr>
      <w:r>
        <w:rPr>
          <w:rFonts w:ascii="Courier New" w:cs="Courier New" w:eastAsia="Courier New" w:hAnsi="Courier New"/>
          <w:sz w:val="14"/>
          <w:szCs w:val="14"/>
          <w:color w:val="auto"/>
        </w:rPr>
        <w:t>Randy B. James Appointed Vice President and Controller in December 1988. 53, Vice President and Controller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Elected Vice President-Finance and Chief Financial Officer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in April 1992.</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49, Vice President-Finance and</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From December 1990 to April 1992, was Executive Director -</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Finance and</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Corporate Controller of NeXT Computer, Inc.</w:t>
            </w:r>
          </w:p>
        </w:tc>
        <w:tc>
          <w:tcPr>
            <w:tcW w:w="12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Elected Group Vice</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President September 17, 1996.  From November 1993 to</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53, Group Vice President</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September 16, 1996</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was appointed Vice President, Distribution Parts and</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Office of the President</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Debris Management.</w:t>
            </w:r>
          </w:p>
        </w:tc>
        <w:tc>
          <w:tcPr>
            <w:tcW w:w="5040" w:type="dxa"/>
            <w:vAlign w:val="bottom"/>
          </w:tcPr>
          <w:p>
            <w:pPr>
              <w:ind w:left="120"/>
              <w:spacing w:after="0"/>
              <w:rPr>
                <w:sz w:val="20"/>
                <w:szCs w:val="20"/>
                <w:color w:val="auto"/>
              </w:rPr>
            </w:pPr>
            <w:r>
              <w:rPr>
                <w:rFonts w:ascii="Courier New" w:cs="Courier New" w:eastAsia="Courier New" w:hAnsi="Courier New"/>
                <w:sz w:val="14"/>
                <w:szCs w:val="14"/>
                <w:color w:val="auto"/>
              </w:rPr>
              <w:t>From May 1991 to November 1993 was President and Chief</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Operating Officer of Leaseway Transportation Corporation. While Mr. Lounsbury</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served as President and a director of Leaseway, it filed for protection under</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Chapter 11 and during that period it was discharged.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J. David McIntosh</w:t>
            </w: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Elected Group</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Vice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September 17, 1996.  From February 1992 to</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53, Group</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September 16,</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was appointed Vice President, Consumer Division.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Office of</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the President</w:t>
            </w:r>
          </w:p>
        </w:tc>
        <w:tc>
          <w:tcPr>
            <w:tcW w:w="3700" w:type="dxa"/>
            <w:vAlign w:val="bottom"/>
            <w:gridSpan w:val="3"/>
          </w:tcPr>
          <w:p>
            <w:pPr>
              <w:ind w:left="1240"/>
              <w:spacing w:after="0"/>
              <w:rPr>
                <w:sz w:val="20"/>
                <w:szCs w:val="20"/>
                <w:color w:val="auto"/>
              </w:rPr>
            </w:pPr>
            <w:r>
              <w:rPr>
                <w:rFonts w:ascii="Courier New" w:cs="Courier New" w:eastAsia="Courier New" w:hAnsi="Courier New"/>
                <w:sz w:val="14"/>
                <w:szCs w:val="14"/>
                <w:color w:val="auto"/>
              </w:rPr>
              <w:t>Appointed Vice President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General Manager, Home Improvement Division in</w:t>
            </w:r>
          </w:p>
        </w:tc>
      </w:tr>
      <w:tr>
        <w:trPr>
          <w:trHeight w:val="166"/>
        </w:trPr>
        <w:tc>
          <w:tcPr>
            <w:tcW w:w="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May 1986.</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160"/>
        <w:spacing w:after="0" w:line="257" w:lineRule="auto"/>
        <w:rPr>
          <w:sz w:val="20"/>
          <w:szCs w:val="20"/>
          <w:color w:val="auto"/>
        </w:rPr>
      </w:pPr>
      <w:r>
        <w:rPr>
          <w:rFonts w:ascii="Courier New" w:cs="Courier New" w:eastAsia="Courier New" w:hAnsi="Courier New"/>
          <w:sz w:val="14"/>
          <w:szCs w:val="14"/>
          <w:color w:val="auto"/>
        </w:rPr>
        <w:t>J. Lawrence McIntyre Elected Vice President in July 1993. Elected Secretary and General Counsel 54, Vice President, Secretary and General Counsel in August 1993. Prior to July 1993, was a shareholder with Doherty, Rumble &amp; Butler Professional Association.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680"/>
        <w:spacing w:after="0" w:line="257" w:lineRule="auto"/>
        <w:rPr>
          <w:sz w:val="20"/>
          <w:szCs w:val="20"/>
          <w:color w:val="auto"/>
        </w:rPr>
      </w:pPr>
      <w:r>
        <w:rPr>
          <w:rFonts w:ascii="Courier New" w:cs="Courier New" w:eastAsia="Courier New" w:hAnsi="Courier New"/>
          <w:sz w:val="14"/>
          <w:szCs w:val="14"/>
          <w:color w:val="auto"/>
        </w:rPr>
        <w:t>Kendrick B. Melrose Elected Chairman of the Board in December 1987. Elected Chief Executive 56, Chairman and Chief Executive Officer Officer in December 1983. Office of the President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340"/>
        <w:spacing w:after="0" w:line="257" w:lineRule="auto"/>
        <w:rPr>
          <w:sz w:val="20"/>
          <w:szCs w:val="20"/>
          <w:color w:val="auto"/>
        </w:rPr>
      </w:pPr>
      <w:r>
        <w:rPr>
          <w:rFonts w:ascii="Courier New" w:cs="Courier New" w:eastAsia="Courier New" w:hAnsi="Courier New"/>
          <w:sz w:val="14"/>
          <w:szCs w:val="14"/>
          <w:color w:val="auto"/>
        </w:rPr>
        <w:t>Karen M. Meyer Has served as Vice President, Human Resources/Administrative Services since 46, Vice President, December 1988. Human Resources/Administrative Services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Richard R. Pollick</w:t>
      </w:r>
      <w:r>
        <w:rPr>
          <w:sz w:val="20"/>
          <w:szCs w:val="20"/>
          <w:color w:val="auto"/>
        </w:rPr>
        <w:tab/>
      </w:r>
      <w:r>
        <w:rPr>
          <w:rFonts w:ascii="Courier New" w:cs="Courier New" w:eastAsia="Courier New" w:hAnsi="Courier New"/>
          <w:sz w:val="14"/>
          <w:szCs w:val="14"/>
          <w:color w:val="auto"/>
        </w:rPr>
        <w:t>Appointed Vice President, International Division in March 1990.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57, Vice President and General Manager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International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4640" w:val="left"/>
          <w:tab w:leader="none" w:pos="8260" w:val="left"/>
        </w:tabs>
        <w:rPr>
          <w:sz w:val="20"/>
          <w:szCs w:val="20"/>
          <w:color w:val="auto"/>
        </w:rPr>
      </w:pPr>
      <w:r>
        <w:rPr>
          <w:rFonts w:ascii="Courier New" w:cs="Courier New" w:eastAsia="Courier New" w:hAnsi="Courier New"/>
          <w:sz w:val="14"/>
          <w:szCs w:val="14"/>
          <w:color w:val="auto"/>
        </w:rPr>
        <w:t>Stephen P. Wolfe</w:t>
      </w:r>
      <w:r>
        <w:rPr>
          <w:sz w:val="20"/>
          <w:szCs w:val="20"/>
          <w:color w:val="auto"/>
        </w:rPr>
        <w:tab/>
      </w:r>
      <w:r>
        <w:rPr>
          <w:rFonts w:ascii="Courier New" w:cs="Courier New" w:eastAsia="Courier New" w:hAnsi="Courier New"/>
          <w:sz w:val="14"/>
          <w:szCs w:val="14"/>
          <w:color w:val="auto"/>
        </w:rPr>
        <w:t>Appointed Vice President in August 1994.</w:t>
        <w:tab/>
        <w:t>Elected President, Toro Credit</w:t>
      </w:r>
    </w:p>
    <w:p>
      <w:pPr>
        <w:spacing w:after="0" w:line="7"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48, Vice President, The Toro Company and President,</w:t>
        <w:tab/>
        <w:t>Company in July 1990.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Toro Credit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900"/>
        <w:spacing w:after="0" w:line="252" w:lineRule="auto"/>
        <w:rPr>
          <w:sz w:val="20"/>
          <w:szCs w:val="20"/>
          <w:color w:val="auto"/>
        </w:rPr>
      </w:pPr>
      <w:r>
        <w:rPr>
          <w:rFonts w:ascii="Courier New" w:cs="Courier New" w:eastAsia="Courier New" w:hAnsi="Courier New"/>
          <w:sz w:val="14"/>
          <w:szCs w:val="14"/>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460"/>
          </w:cols>
          <w:pgMar w:left="220" w:top="616" w:right="219" w:bottom="1440" w:gutter="0" w:footer="0" w:header="0"/>
        </w:sectPr>
      </w:pPr>
    </w:p>
    <w:bookmarkStart w:id="278" w:name="page279"/>
    <w:bookmarkEnd w:id="278"/>
    <w:p>
      <w:pPr>
        <w:jc w:val="center"/>
        <w:ind w:right="325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information incorporated by reference in this Part II is from the Registrant's Annual Report to Stockholders for the fiscal year ended October 31, 1996 ("Annual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Toro Common Stock (including related Preferred Share Purchase Rights) is listed for trading on the New York Stock Exchange. As of October 31, 1996 there were 6,841 holders of record of the company's common stock.</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See "Quarterly Financial Data" on page 44 of the Annual Report for dividends paid on and range of high and low quotations for the company's common stock on the New York Stock Exchange for the period from August 1, 1995 to October 31, 1996, which information is incorporated herein by reference.</w:t>
      </w:r>
    </w:p>
    <w:p>
      <w:pPr>
        <w:spacing w:after="0" w:line="1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See "Selected Financial Data" on page 24 of the Annual Report for financial data for the year ended October 31, 1996, for the 3 month period ended October 31, 1995 and for the years ended July 31, 1995, 1994, 1993 and 1992 which information for these periods is incorporated herein by reference.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79" w:name="page280"/>
    <w:bookmarkEnd w:id="279"/>
    <w:p>
      <w:pPr>
        <w:ind w:right="341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See the sections entitled "Management's Discussion and Analysis of Financial Condition and Results of Operations" of the Annual Report on pages 16 through 21 and pages 25 through 29 which sections are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Annual Report on Form 10-K contains various forward-looking statements, included under the captions entitled "Management's Discussion and Analysis of Financial Condition and Results of Operations" of the Annual Report which sections are incorporated herein by reference, within the meaning of Section 27A of the Securities Act of 1933 and Section 21E of the Securities Exchange Act of 1934. Statements that are not historical are forward-looking. When used in this document, the words "expect", "anticipate", "estimate", and similar expressions are intended to identify forward-looking statements. In addition, forward-looking statements are contained in Part I of this report and may be made orally in the future by or on behalf of the company.</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The company undertakes no obligation to update any forward-looking statement to reflect events or circumstances after the date on which such statement is made, or to reflect the occurrence of unanticipated events.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The financial statements described in Item 14(a)1 of this report are incorporated herein by reference.</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See "Quarterly Financial Data" appearing on page 44 of the Annual Report which is incorporated herein by reference.</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80" w:name="page281"/>
    <w:bookmarkEnd w:id="280"/>
    <w:p>
      <w:pPr>
        <w:ind w:left="3020"/>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ind w:left="180" w:hanging="172"/>
        <w:spacing w:after="0"/>
        <w:tabs>
          <w:tab w:leader="none" w:pos="18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See "Executive Officers of the Registrant" in Part I of this report for information regarding the executive officers of the company, which information is herein incorporated by reference.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regarding the directors of The Toro Company and additional information regarding certain executive officers is incorporated by reference to the information to be contained in the Proxy Statement to be filed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33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Information concerning executive compensation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regarding the security ownership of certain beneficial owners and management of The Toro Company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81" w:name="page282"/>
    <w:bookmarkEnd w:id="281"/>
    <w:p>
      <w:pPr>
        <w:ind w:left="328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180" w:hanging="172"/>
        <w:spacing w:after="0"/>
        <w:tabs>
          <w:tab w:leader="none" w:pos="1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ind w:left="440" w:hanging="432"/>
        <w:spacing w:after="0"/>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INDEX TO CONSOLIDATED FINANCIAL STATEMENTS</w:t>
      </w:r>
    </w:p>
    <w:p>
      <w:pPr>
        <w:spacing w:after="0" w:line="173" w:lineRule="exact"/>
        <w:rPr>
          <w:sz w:val="20"/>
          <w:szCs w:val="20"/>
          <w:color w:val="auto"/>
        </w:rPr>
      </w:pPr>
    </w:p>
    <w:p>
      <w:pPr>
        <w:ind w:left="5600" w:right="3339" w:hanging="6028"/>
        <w:spacing w:after="0" w:line="250" w:lineRule="auto"/>
        <w:tabs>
          <w:tab w:leader="none" w:pos="5580" w:val="left"/>
        </w:tabs>
        <w:rPr>
          <w:sz w:val="20"/>
          <w:szCs w:val="20"/>
          <w:color w:val="auto"/>
        </w:rPr>
      </w:pPr>
      <w:r>
        <w:rPr>
          <w:rFonts w:ascii="Courier New" w:cs="Courier New" w:eastAsia="Courier New" w:hAnsi="Courier New"/>
          <w:sz w:val="14"/>
          <w:szCs w:val="14"/>
          <w:color w:val="auto"/>
        </w:rPr>
        <w:t>Incorporated by reference into Part II, Item 8 of this report:</w:t>
      </w:r>
      <w:r>
        <w:rPr>
          <w:sz w:val="20"/>
          <w:szCs w:val="20"/>
          <w:color w:val="auto"/>
        </w:rPr>
        <w:tab/>
      </w:r>
      <w:r>
        <w:rPr>
          <w:rFonts w:ascii="Courier New" w:cs="Courier New" w:eastAsia="Courier New" w:hAnsi="Courier New"/>
          <w:sz w:val="14"/>
          <w:szCs w:val="14"/>
          <w:color w:val="auto"/>
        </w:rPr>
        <w:t>Pages in Fiscal 1996</w:t>
      </w:r>
    </w:p>
    <w:p>
      <w:pPr>
        <w:spacing w:after="0" w:line="1" w:lineRule="exact"/>
        <w:rPr>
          <w:sz w:val="20"/>
          <w:szCs w:val="20"/>
          <w:color w:val="auto"/>
        </w:rPr>
      </w:pPr>
    </w:p>
    <w:p>
      <w:pPr>
        <w:jc w:val="center"/>
        <w:ind w:left="1060"/>
        <w:spacing w:after="0"/>
        <w:rPr>
          <w:sz w:val="20"/>
          <w:szCs w:val="20"/>
          <w:color w:val="auto"/>
        </w:rPr>
      </w:pPr>
      <w:r>
        <w:rPr>
          <w:rFonts w:ascii="Courier New" w:cs="Courier New" w:eastAsia="Courier New" w:hAnsi="Courier New"/>
          <w:sz w:val="14"/>
          <w:szCs w:val="14"/>
          <w:color w:val="auto"/>
        </w:rPr>
        <w:t>Annual Report</w:t>
      </w:r>
    </w:p>
    <w:p>
      <w:pPr>
        <w:spacing w:after="0" w:line="7" w:lineRule="exact"/>
        <w:rPr>
          <w:sz w:val="20"/>
          <w:szCs w:val="20"/>
          <w:color w:val="auto"/>
        </w:rPr>
      </w:pPr>
    </w:p>
    <w:p>
      <w:pPr>
        <w:jc w:val="center"/>
        <w:ind w:left="1060"/>
        <w:spacing w:after="0"/>
        <w:rPr>
          <w:sz w:val="20"/>
          <w:szCs w:val="20"/>
          <w:color w:val="auto"/>
        </w:rPr>
      </w:pPr>
      <w:r>
        <w:rPr>
          <w:rFonts w:ascii="Courier New" w:cs="Courier New" w:eastAsia="Courier New" w:hAnsi="Courier New"/>
          <w:sz w:val="14"/>
          <w:szCs w:val="14"/>
          <w:color w:val="auto"/>
        </w:rPr>
        <w:t>To Stockholders</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 . . . . . . . . . . . . . . . . . . . . . 30</w:t>
      </w:r>
    </w:p>
    <w:p>
      <w:pPr>
        <w:spacing w:after="0" w:line="173" w:lineRule="exact"/>
        <w:rPr>
          <w:sz w:val="20"/>
          <w:szCs w:val="20"/>
          <w:color w:val="auto"/>
        </w:rPr>
      </w:pPr>
    </w:p>
    <w:p>
      <w:pPr>
        <w:ind w:left="260" w:right="5059" w:hanging="257"/>
        <w:spacing w:after="0" w:line="250" w:lineRule="auto"/>
        <w:rPr>
          <w:sz w:val="20"/>
          <w:szCs w:val="20"/>
          <w:color w:val="auto"/>
        </w:rPr>
      </w:pPr>
      <w:r>
        <w:rPr>
          <w:rFonts w:ascii="Courier New" w:cs="Courier New" w:eastAsia="Courier New" w:hAnsi="Courier New"/>
          <w:sz w:val="14"/>
          <w:szCs w:val="14"/>
          <w:color w:val="auto"/>
        </w:rPr>
        <w:t>Consolidated Statements of Earnings for the year ended October 31, 1996, the 3 months ended October 31, 1995 and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 of October 31, 1996 and 1995 . . . . . . . . . . . . . . . . . . 31</w:t>
      </w:r>
    </w:p>
    <w:p>
      <w:pPr>
        <w:spacing w:after="0" w:line="173" w:lineRule="exact"/>
        <w:rPr>
          <w:sz w:val="20"/>
          <w:szCs w:val="20"/>
          <w:color w:val="auto"/>
        </w:rPr>
      </w:pPr>
    </w:p>
    <w:p>
      <w:pPr>
        <w:ind w:left="260" w:right="5059" w:hanging="257"/>
        <w:spacing w:after="0" w:line="250" w:lineRule="auto"/>
        <w:rPr>
          <w:sz w:val="20"/>
          <w:szCs w:val="20"/>
          <w:color w:val="auto"/>
        </w:rPr>
      </w:pPr>
      <w:r>
        <w:rPr>
          <w:rFonts w:ascii="Courier New" w:cs="Courier New" w:eastAsia="Courier New" w:hAnsi="Courier New"/>
          <w:sz w:val="14"/>
          <w:szCs w:val="14"/>
          <w:color w:val="auto"/>
        </w:rPr>
        <w:t>Consolidated Statements of Cash Flows for the year ended October 31, 1996, the 3 months ended October 31, 1995 and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 . . . . . . . . . . . . .33-44</w:t>
      </w:r>
    </w:p>
    <w:p>
      <w:pPr>
        <w:spacing w:after="0" w:line="173" w:lineRule="exact"/>
        <w:rPr>
          <w:sz w:val="20"/>
          <w:szCs w:val="20"/>
          <w:color w:val="auto"/>
        </w:rPr>
      </w:pPr>
    </w:p>
    <w:p>
      <w:pPr>
        <w:ind w:right="5059" w:firstLine="8"/>
        <w:spacing w:after="0" w:line="501" w:lineRule="auto"/>
        <w:tabs>
          <w:tab w:leader="none" w:pos="43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INDEX TO CONSOLIDATED FINANCIAL STATEMENT SCHEDULES Included in Part IV of this report:</w:t>
      </w:r>
    </w:p>
    <w:p>
      <w:pPr>
        <w:ind w:left="260"/>
        <w:spacing w:after="0"/>
        <w:rPr>
          <w:sz w:val="20"/>
          <w:szCs w:val="20"/>
          <w:color w:val="auto"/>
        </w:rPr>
      </w:pPr>
      <w:r>
        <w:rPr>
          <w:rFonts w:ascii="Courier New" w:cs="Courier New" w:eastAsia="Courier New" w:hAnsi="Courier New"/>
          <w:sz w:val="14"/>
          <w:szCs w:val="14"/>
          <w:color w:val="auto"/>
        </w:rPr>
        <w:t>Independent Auditors' Report. . . . . . . . . . . . . . . . . . . . 18</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Schedule II - Valuation and Qualifying Accounts . . . . . . . . . . 19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other schedules are omitted as the required information is inapplicable or the information is presented in the consolidated financial statements or related notes to the consolidated financial statements.</w:t>
      </w:r>
    </w:p>
    <w:p>
      <w:pPr>
        <w:spacing w:after="0" w:line="163" w:lineRule="exact"/>
        <w:rPr>
          <w:sz w:val="20"/>
          <w:szCs w:val="20"/>
          <w:color w:val="auto"/>
        </w:rPr>
      </w:pPr>
    </w:p>
    <w:p>
      <w:pPr>
        <w:spacing w:after="0"/>
        <w:tabs>
          <w:tab w:leader="none" w:pos="420" w:val="left"/>
          <w:tab w:leader="none" w:pos="760" w:val="left"/>
        </w:tabs>
        <w:rPr>
          <w:sz w:val="20"/>
          <w:szCs w:val="20"/>
          <w:color w:val="auto"/>
        </w:rPr>
      </w:pPr>
      <w:r>
        <w:rPr>
          <w:rFonts w:ascii="Courier New" w:cs="Courier New" w:eastAsia="Courier New" w:hAnsi="Courier New"/>
          <w:sz w:val="14"/>
          <w:szCs w:val="14"/>
          <w:color w:val="auto"/>
        </w:rPr>
        <w:t>(a)</w:t>
        <w:tab/>
        <w:t>3.</w:t>
        <w:tab/>
        <w:t>EXHIBITS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 and 10(iii)(j)</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Purchase Agreement among The Toro Company, James Hardie (USA) Inc., James Hardie Industries Limited and RCI Pty. Ltd. (incorporated by reference to the Exhibit to Registrant's Current Report on Form 8-K dated September 18, 1996).</w:t>
      </w:r>
    </w:p>
    <w:p>
      <w:pPr>
        <w:spacing w:after="0" w:line="165" w:lineRule="exact"/>
        <w:rPr>
          <w:sz w:val="20"/>
          <w:szCs w:val="20"/>
          <w:color w:val="auto"/>
        </w:rPr>
      </w:pPr>
    </w:p>
    <w:p>
      <w:pPr>
        <w:sectPr>
          <w:pgSz w:w="11900" w:h="16838" w:orient="portrait"/>
          <w:cols w:equalWidth="0" w:num="2">
            <w:col w:w="1820" w:space="520"/>
            <w:col w:w="78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3(i)(a) and 4(a)</w:t>
      </w:r>
    </w:p>
    <w:p>
      <w:pPr>
        <w:spacing w:after="0" w:line="20" w:lineRule="exact"/>
        <w:rPr>
          <w:sz w:val="20"/>
          <w:szCs w:val="20"/>
          <w:color w:val="auto"/>
        </w:rPr>
      </w:pPr>
      <w:r>
        <w:rPr>
          <w:sz w:val="20"/>
          <w:szCs w:val="20"/>
          <w:color w:val="auto"/>
        </w:rPr>
        <w:br w:type="column"/>
      </w:r>
    </w:p>
    <w:p>
      <w:pPr>
        <w:ind w:right="3679"/>
        <w:spacing w:after="0" w:line="251" w:lineRule="auto"/>
        <w:rPr>
          <w:sz w:val="20"/>
          <w:szCs w:val="20"/>
          <w:color w:val="auto"/>
        </w:rPr>
      </w:pPr>
      <w:r>
        <w:rPr>
          <w:rFonts w:ascii="Courier New" w:cs="Courier New" w:eastAsia="Courier New" w:hAnsi="Courier New"/>
          <w:sz w:val="14"/>
          <w:szCs w:val="14"/>
          <w:color w:val="auto"/>
        </w:rPr>
        <w:t>Certificate of Incorporation of the Registrant as amended and corrected through May 18, 1987 (incorporated by reference to Exhibit 4.2 to the Registrant's Registration Statement on Form S-3, Registration No. 33-16125).</w:t>
      </w:r>
    </w:p>
    <w:p>
      <w:pPr>
        <w:spacing w:after="0" w:line="165" w:lineRule="exact"/>
        <w:rPr>
          <w:sz w:val="20"/>
          <w:szCs w:val="20"/>
          <w:color w:val="auto"/>
        </w:rPr>
      </w:pPr>
    </w:p>
    <w:p>
      <w:pPr>
        <w:sectPr>
          <w:pgSz w:w="11900" w:h="16838" w:orient="portrait"/>
          <w:cols w:equalWidth="0" w:num="2">
            <w:col w:w="1820" w:space="520"/>
            <w:col w:w="78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3(i)(b) and 4(b)</w:t>
      </w:r>
    </w:p>
    <w:p>
      <w:pPr>
        <w:spacing w:after="0" w:line="20" w:lineRule="exact"/>
        <w:rPr>
          <w:sz w:val="20"/>
          <w:szCs w:val="20"/>
          <w:color w:val="auto"/>
        </w:rPr>
      </w:pPr>
      <w:r>
        <w:rPr>
          <w:sz w:val="20"/>
          <w:szCs w:val="20"/>
          <w:color w:val="auto"/>
        </w:rPr>
        <w:br w:type="column"/>
      </w:r>
    </w:p>
    <w:p>
      <w:pPr>
        <w:ind w:right="3519"/>
        <w:spacing w:after="0" w:line="251" w:lineRule="auto"/>
        <w:rPr>
          <w:sz w:val="20"/>
          <w:szCs w:val="20"/>
          <w:color w:val="auto"/>
        </w:rPr>
      </w:pPr>
      <w:r>
        <w:rPr>
          <w:rFonts w:ascii="Courier New" w:cs="Courier New" w:eastAsia="Courier New" w:hAnsi="Courier New"/>
          <w:sz w:val="14"/>
          <w:szCs w:val="14"/>
          <w:color w:val="auto"/>
        </w:rPr>
        <w:t>Certificate of Amendment to Certificate of Incorporation of the Registrant dated December 8, 1987 (incorporated by reference to Exhibit 3 to the Registrant's Quarterly Report on Form 10-Q for the quarter ended January 29, 1988, Commission File No. 1-8649).</w:t>
      </w:r>
    </w:p>
    <w:p>
      <w:pPr>
        <w:spacing w:after="0" w:line="164" w:lineRule="exact"/>
        <w:rPr>
          <w:sz w:val="20"/>
          <w:szCs w:val="20"/>
          <w:color w:val="auto"/>
        </w:rPr>
      </w:pPr>
    </w:p>
    <w:p>
      <w:pPr>
        <w:sectPr>
          <w:pgSz w:w="11900" w:h="16838" w:orient="portrait"/>
          <w:cols w:equalWidth="0" w:num="2">
            <w:col w:w="1820" w:space="520"/>
            <w:col w:w="78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3(ii) and 4(c)</w:t>
      </w:r>
    </w:p>
    <w:p>
      <w:pPr>
        <w:spacing w:after="0" w:line="20" w:lineRule="exact"/>
        <w:rPr>
          <w:sz w:val="20"/>
          <w:szCs w:val="20"/>
          <w:color w:val="auto"/>
        </w:rPr>
      </w:pPr>
      <w:r>
        <w:rPr>
          <w:sz w:val="20"/>
          <w:szCs w:val="20"/>
          <w:color w:val="auto"/>
        </w:rPr>
        <w:br w:type="column"/>
      </w:r>
    </w:p>
    <w:p>
      <w:pPr>
        <w:ind w:right="3519"/>
        <w:spacing w:after="0" w:line="252" w:lineRule="auto"/>
        <w:rPr>
          <w:sz w:val="20"/>
          <w:szCs w:val="20"/>
          <w:color w:val="auto"/>
        </w:rPr>
      </w:pPr>
      <w:r>
        <w:rPr>
          <w:rFonts w:ascii="Courier New" w:cs="Courier New" w:eastAsia="Courier New" w:hAnsi="Courier New"/>
          <w:sz w:val="14"/>
          <w:szCs w:val="14"/>
          <w:color w:val="auto"/>
        </w:rPr>
        <w:t>Bylaws of the Registrant (incorporated by reference to Exhibit 3.3 to the Registrant's Annual Report on Form 10-K for the year ended July 31, 1991, Commission File No. 1-8649)</w:t>
      </w:r>
    </w:p>
    <w:p>
      <w:pPr>
        <w:spacing w:after="0" w:line="200" w:lineRule="exact"/>
        <w:rPr>
          <w:sz w:val="20"/>
          <w:szCs w:val="20"/>
          <w:color w:val="auto"/>
        </w:rPr>
      </w:pPr>
    </w:p>
    <w:p>
      <w:pPr>
        <w:sectPr>
          <w:pgSz w:w="11900" w:h="16838" w:orient="portrait"/>
          <w:cols w:equalWidth="0" w:num="2">
            <w:col w:w="1640" w:space="700"/>
            <w:col w:w="7899"/>
          </w:cols>
          <w:pgMar w:left="220" w:top="616" w:right="1440" w:bottom="1440" w:gutter="0" w:footer="0" w:header="0"/>
          <w:type w:val="continuous"/>
        </w:sectPr>
      </w:pPr>
    </w:p>
    <w:p>
      <w:pPr>
        <w:spacing w:after="0" w:line="1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type w:val="continuous"/>
        </w:sectPr>
      </w:pPr>
    </w:p>
    <w:bookmarkStart w:id="282" w:name="page283"/>
    <w:bookmarkEnd w:id="282"/>
    <w:p>
      <w:pPr>
        <w:ind w:left="432"/>
        <w:spacing w:after="0"/>
        <w:rPr>
          <w:sz w:val="20"/>
          <w:szCs w:val="20"/>
          <w:color w:val="auto"/>
        </w:rPr>
      </w:pPr>
      <w:r>
        <w:rPr>
          <w:rFonts w:ascii="Courier New" w:cs="Courier New" w:eastAsia="Courier New" w:hAnsi="Courier New"/>
          <w:sz w:val="14"/>
          <w:szCs w:val="14"/>
          <w:color w:val="auto"/>
        </w:rPr>
        <w:t>4(d)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Specimen form of Common Stock 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to Exhibit 4(c)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 Statement on Form S-8,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No. 2-94417).</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sectPr>
      </w:pPr>
    </w:p>
    <w:p>
      <w:pPr>
        <w:ind w:left="432"/>
        <w:spacing w:after="0"/>
        <w:rPr>
          <w:sz w:val="20"/>
          <w:szCs w:val="20"/>
          <w:color w:val="auto"/>
        </w:rPr>
      </w:pPr>
      <w:r>
        <w:rPr>
          <w:rFonts w:ascii="Courier New" w:cs="Courier New" w:eastAsia="Courier New" w:hAnsi="Courier New"/>
          <w:sz w:val="14"/>
          <w:szCs w:val="14"/>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Rights Agreement dated as of June 14, 1988, 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Registrant and Norwest Bank Minnesota,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relating to rights to purchase Series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Junior Participating Voting Preferred Stock,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(incorporated by reference to Exhibit 1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 Statement on Form 8-A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17, 1988, Commission File No. 1-8649,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4(f)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Indenture dated as of July 15, 1987, between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Manufacturers Hanover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relating to the Registrant's 11% Sinking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Debentures Due August 1, 2017 (incorporated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Exhibit 4 to the 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S-3, Registration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33-15385).</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10(iii)(a)</w:t>
      </w:r>
    </w:p>
    <w:p>
      <w:pPr>
        <w:spacing w:after="0" w:line="20" w:lineRule="exact"/>
        <w:rPr>
          <w:sz w:val="20"/>
          <w:szCs w:val="20"/>
          <w:color w:val="auto"/>
        </w:rPr>
      </w:pPr>
      <w:r>
        <w:rPr>
          <w:sz w:val="20"/>
          <w:szCs w:val="20"/>
          <w:color w:val="auto"/>
        </w:rPr>
        <w:br w:type="column"/>
      </w:r>
    </w:p>
    <w:p>
      <w:pPr>
        <w:jc w:val="both"/>
        <w:ind w:right="3419"/>
        <w:spacing w:after="0" w:line="252" w:lineRule="auto"/>
        <w:rPr>
          <w:sz w:val="20"/>
          <w:szCs w:val="20"/>
          <w:color w:val="auto"/>
        </w:rPr>
      </w:pPr>
      <w:r>
        <w:rPr>
          <w:rFonts w:ascii="Courier New" w:cs="Courier New" w:eastAsia="Courier New" w:hAnsi="Courier New"/>
          <w:sz w:val="14"/>
          <w:szCs w:val="14"/>
          <w:color w:val="auto"/>
        </w:rPr>
        <w:t>* Form of Employment Agreement in effect for certain officers of Registrant (incorporated by reference to Exhibit 10(b) to Registrant's Annual Report on Form 10-K for the year ended July 31, 1995).</w:t>
      </w:r>
    </w:p>
    <w:p>
      <w:pPr>
        <w:spacing w:after="0" w:line="162"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1992 Directors Stock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10(iii)(c)</w:t>
      </w:r>
    </w:p>
    <w:p>
      <w:pPr>
        <w:spacing w:after="0" w:line="20" w:lineRule="exact"/>
        <w:rPr>
          <w:sz w:val="20"/>
          <w:szCs w:val="20"/>
          <w:color w:val="auto"/>
        </w:rPr>
      </w:pPr>
      <w:r>
        <w:rPr>
          <w:sz w:val="20"/>
          <w:szCs w:val="20"/>
          <w:color w:val="auto"/>
        </w:rPr>
        <w:br w:type="column"/>
      </w:r>
    </w:p>
    <w:p>
      <w:pPr>
        <w:ind w:right="3339"/>
        <w:spacing w:after="0" w:line="252" w:lineRule="auto"/>
        <w:rPr>
          <w:sz w:val="20"/>
          <w:szCs w:val="20"/>
          <w:color w:val="auto"/>
        </w:rPr>
      </w:pPr>
      <w:r>
        <w:rPr>
          <w:rFonts w:ascii="Courier New" w:cs="Courier New" w:eastAsia="Courier New" w:hAnsi="Courier New"/>
          <w:sz w:val="14"/>
          <w:szCs w:val="14"/>
          <w:color w:val="auto"/>
        </w:rPr>
        <w:t>* Annual Management Incentive Plan for certain key employees and officers of Registrant (incorporated by reference to Exhibit A to Registrant's Proxy Statement dated February 5, 1996).</w:t>
      </w:r>
    </w:p>
    <w:p>
      <w:pPr>
        <w:spacing w:after="0" w:line="162"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10(iii)(d)</w:t>
      </w:r>
    </w:p>
    <w:p>
      <w:pPr>
        <w:spacing w:after="0" w:line="20" w:lineRule="exact"/>
        <w:rPr>
          <w:sz w:val="20"/>
          <w:szCs w:val="20"/>
          <w:color w:val="auto"/>
        </w:rPr>
      </w:pPr>
      <w:r>
        <w:rPr>
          <w:sz w:val="20"/>
          <w:szCs w:val="20"/>
          <w:color w:val="auto"/>
        </w:rPr>
        <w:br w:type="column"/>
      </w:r>
    </w:p>
    <w:p>
      <w:pPr>
        <w:ind w:right="3419"/>
        <w:spacing w:after="0" w:line="252" w:lineRule="auto"/>
        <w:rPr>
          <w:sz w:val="20"/>
          <w:szCs w:val="20"/>
          <w:color w:val="auto"/>
        </w:rPr>
      </w:pPr>
      <w:r>
        <w:rPr>
          <w:rFonts w:ascii="Courier New" w:cs="Courier New" w:eastAsia="Courier New" w:hAnsi="Courier New"/>
          <w:sz w:val="14"/>
          <w:szCs w:val="14"/>
          <w:color w:val="auto"/>
        </w:rPr>
        <w:t>* 1985 Incentive Stock Option Plan, as amended (incorporated by reference Exhibit 10(b) to Registrant's Annual Report on Form 10-K for the year ended July 31, 1993).</w:t>
      </w:r>
    </w:p>
    <w:p>
      <w:pPr>
        <w:spacing w:after="0" w:line="162"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1989 Stock Option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1993 Stock Option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Continuous Performance Award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10(iii)(h)</w:t>
      </w:r>
    </w:p>
    <w:p>
      <w:pPr>
        <w:spacing w:after="0" w:line="20" w:lineRule="exact"/>
        <w:rPr>
          <w:sz w:val="20"/>
          <w:szCs w:val="20"/>
          <w:color w:val="auto"/>
        </w:rPr>
      </w:pPr>
      <w:r>
        <w:rPr>
          <w:sz w:val="20"/>
          <w:szCs w:val="20"/>
          <w:color w:val="auto"/>
        </w:rPr>
        <w:br w:type="column"/>
      </w:r>
    </w:p>
    <w:p>
      <w:pPr>
        <w:ind w:right="3339"/>
        <w:spacing w:after="0" w:line="255" w:lineRule="auto"/>
        <w:rPr>
          <w:sz w:val="20"/>
          <w:szCs w:val="20"/>
          <w:color w:val="auto"/>
        </w:rPr>
      </w:pPr>
      <w:r>
        <w:rPr>
          <w:rFonts w:ascii="Courier New" w:cs="Courier New" w:eastAsia="Courier New" w:hAnsi="Courier New"/>
          <w:sz w:val="14"/>
          <w:szCs w:val="14"/>
          <w:color w:val="auto"/>
        </w:rPr>
        <w:t>* The Toro Company Supplemental Management Retirement Plan.</w:t>
      </w:r>
    </w:p>
    <w:p>
      <w:pPr>
        <w:spacing w:after="0" w:line="160"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Chief Executive Officer Succession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July 31, 1995.</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Computation of Earnings per Share of 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Equivalents (page 19 of this report).</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Registrant's Fiscal 1996 Annual Report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Subsidiaries of Registrant (page 20 of this report).</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Independent Auditors' Consent (page 21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Data Schedule; electronic filing only.</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8" w:right="3419" w:firstLine="8"/>
        <w:spacing w:after="0" w:line="255" w:lineRule="auto"/>
        <w:tabs>
          <w:tab w:leader="none" w:pos="16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arrangements required to be filed as an exhibit to this form 10-K pursuant to Item 14(c).</w:t>
      </w: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1"/>
          </w:cols>
          <w:pgMar w:left="228" w:top="616" w:right="1440" w:bottom="1440" w:gutter="0" w:footer="0" w:header="0"/>
          <w:type w:val="continuous"/>
        </w:sectPr>
      </w:pPr>
    </w:p>
    <w:bookmarkStart w:id="283" w:name="page284"/>
    <w:bookmarkEnd w:id="283"/>
    <w:p>
      <w:pPr>
        <w:ind w:left="440" w:hanging="432"/>
        <w:spacing w:after="0"/>
        <w:tabs>
          <w:tab w:leader="none" w:pos="44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Registrant filed its Current Report on Form 8-K dated October 17, 1996, reporting the September 18, 1996 agreement entered into with James Hardie Industries Limited of Australia and related companies, pursuant to which Registrant agreed to purchase the stock of James Hardie Irrigation, Inc. and certain related companies, all known as the James Hardie Irrigation Group, subject to certain terms and conditions.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Registrant filed its Current Report on Form 8-K dated December 16, 1996, reporting the completion of the acquisition of James Hardie Irrigation Group from James Hardie Industries Limited of Australia on December 2, 1996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Annual Report on Form 10-K for the fiscal year ended October 31, 1996, at the time of its filing with the Securities and Exchange Commission, shall modify and supersede all prior documents filed pursuant to Sections 13, 14 and 15(d) of the 1934 Act for purposes of any offers or sales of any securities after the date of such filing pursuant to any Registration Statement or Prospectus filed pursuant to the Securities Act of 1933 which incorporates by reference such Annual Report on Form 10-K.</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84" w:name="page285"/>
    <w:bookmarkEnd w:id="284"/>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caused this report to be signed on its behalf by the undersigned, thereunto duly authorized.</w:t>
      </w:r>
    </w:p>
    <w:p>
      <w:pPr>
        <w:spacing w:after="0" w:line="163"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(Registrant)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Dated: January 20, 1997</w:t>
      </w:r>
    </w:p>
    <w:p>
      <w:pPr>
        <w:spacing w:after="0" w:line="7"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/s/</w:t>
        <w:tab/>
        <w:t>Gerald T. Knight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tabs>
          <w:tab w:leader="none" w:pos="3440" w:val="left"/>
          <w:tab w:leader="none" w:pos="576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Chairman, Chief Executive</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Officer, and Director</w:t>
            </w: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(principal executive officer)</w:t>
            </w: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 Finance,</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Chief Financial Officer</w:t>
            </w: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(principal financial officer)</w:t>
            </w: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Controller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(principal accounting officer)</w:t>
            </w: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97"/>
        </w:trPr>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17</w:t>
            </w: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4"/>
          <w:szCs w:val="14"/>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date of December 16, 1996, we reported on the consolidated balance sheets of The Toro Company and subsidiaries as of October 31, 1996 and 1995, and the related consolidated statements of earnings and cash flows for the year ended October 31, 1996, the three-month period ended October 31, 1995 and the years ended July 31, 1995 and 1994, as contained in the 1996 annual report to stockholders. These consolidated financial statements and our report thereon are incorporated by reference in the annual report on Form 10-K for the fiscal year 1996.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1996</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1" w:right="1440" w:bottom="1440" w:gutter="0" w:footer="0" w:header="0"/>
        </w:sectPr>
      </w:pPr>
    </w:p>
    <w:bookmarkStart w:id="286" w:name="page287"/>
    <w:bookmarkEnd w:id="286"/>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740"/>
        <w:spacing w:after="0"/>
        <w:tabs>
          <w:tab w:leader="none" w:pos="584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1220"/>
        <w:spacing w:after="0"/>
        <w:tabs>
          <w:tab w:leader="none" w:pos="4460" w:val="left"/>
          <w:tab w:leader="none" w:pos="5840" w:val="left"/>
          <w:tab w:leader="none" w:pos="7220" w:val="left"/>
          <w:tab w:leader="none" w:pos="8520" w:val="left"/>
          <w:tab w:leader="none" w:pos="972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 (a)</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4740"/>
        <w:spacing w:after="0"/>
        <w:tabs>
          <w:tab w:leader="none" w:pos="5940" w:val="left"/>
          <w:tab w:leader="none" w:pos="8780" w:val="left"/>
          <w:tab w:leader="none" w:pos="9720" w:val="left"/>
        </w:tabs>
        <w:rPr>
          <w:sz w:val="20"/>
          <w:szCs w:val="20"/>
          <w:color w:val="auto"/>
        </w:rPr>
      </w:pP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END OF YEAR</w:t>
      </w:r>
    </w:p>
    <w:p>
      <w:pPr>
        <w:spacing w:after="0" w:line="7" w:lineRule="exact"/>
        <w:rPr>
          <w:sz w:val="20"/>
          <w:szCs w:val="20"/>
          <w:color w:val="auto"/>
        </w:rPr>
      </w:pP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1996</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480" w:val="left"/>
          <w:tab w:leader="none" w:pos="8340" w:val="left"/>
          <w:tab w:leader="none" w:pos="8600" w:val="left"/>
          <w:tab w:leader="none" w:pos="964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7,542,000</w:t>
      </w:r>
      <w:r>
        <w:rPr>
          <w:sz w:val="20"/>
          <w:szCs w:val="20"/>
          <w:color w:val="auto"/>
        </w:rPr>
        <w:tab/>
      </w:r>
      <w:r>
        <w:rPr>
          <w:rFonts w:ascii="Courier New" w:cs="Courier New" w:eastAsia="Courier New" w:hAnsi="Courier New"/>
          <w:sz w:val="14"/>
          <w:szCs w:val="14"/>
          <w:color w:val="auto"/>
        </w:rPr>
        <w:t>$</w:t>
        <w:tab/>
        <w:t>3,358,000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330,000</w:t>
      </w:r>
      <w:r>
        <w:rPr>
          <w:sz w:val="20"/>
          <w:szCs w:val="20"/>
          <w:color w:val="auto"/>
        </w:rPr>
        <w:tab/>
      </w:r>
      <w:r>
        <w:rPr>
          <w:rFonts w:ascii="Courier New" w:cs="Courier New" w:eastAsia="Courier New" w:hAnsi="Courier New"/>
          <w:sz w:val="14"/>
          <w:szCs w:val="14"/>
          <w:color w:val="auto"/>
        </w:rPr>
        <w:t>$</w:t>
        <w:tab/>
        <w:t>1,225,000</w:t>
      </w:r>
      <w:r>
        <w:rPr>
          <w:sz w:val="20"/>
          <w:szCs w:val="20"/>
          <w:color w:val="auto"/>
        </w:rPr>
        <w:tab/>
      </w:r>
      <w:r>
        <w:rPr>
          <w:rFonts w:ascii="Courier New" w:cs="Courier New" w:eastAsia="Courier New" w:hAnsi="Courier New"/>
          <w:sz w:val="14"/>
          <w:szCs w:val="14"/>
          <w:color w:val="auto"/>
        </w:rPr>
        <w:t>$ 10,005,000</w:t>
      </w:r>
    </w:p>
    <w:p>
      <w:pPr>
        <w:spacing w:after="0" w:line="7" w:lineRule="exact"/>
        <w:rPr>
          <w:sz w:val="20"/>
          <w:szCs w:val="20"/>
          <w:color w:val="auto"/>
        </w:rPr>
      </w:pPr>
    </w:p>
    <w:p>
      <w:pPr>
        <w:ind w:left="180" w:hanging="172"/>
        <w:spacing w:after="0"/>
        <w:tabs>
          <w:tab w:leader="none" w:pos="1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October 31, 1995</w:t>
      </w:r>
    </w:p>
    <w:p>
      <w:pPr>
        <w:spacing w:after="0" w:line="173" w:lineRule="exact"/>
        <w:rPr>
          <w:sz w:val="20"/>
          <w:szCs w:val="20"/>
          <w:color w:val="auto"/>
        </w:rPr>
      </w:pPr>
    </w:p>
    <w:p>
      <w:pPr>
        <w:spacing w:after="0"/>
        <w:tabs>
          <w:tab w:leader="none" w:pos="4460" w:val="left"/>
          <w:tab w:leader="none" w:pos="4720" w:val="left"/>
          <w:tab w:leader="none" w:pos="5760" w:val="left"/>
          <w:tab w:leader="none" w:pos="6200" w:val="left"/>
          <w:tab w:leader="none" w:pos="7140" w:val="left"/>
          <w:tab w:leader="none" w:pos="8000" w:val="left"/>
          <w:tab w:leader="none" w:pos="8340" w:val="left"/>
          <w:tab w:leader="none" w:pos="878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7,343,000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521,000</w:t>
      </w:r>
      <w:r>
        <w:rPr>
          <w:sz w:val="20"/>
          <w:szCs w:val="20"/>
          <w:color w:val="auto"/>
        </w:rPr>
        <w:tab/>
      </w:r>
      <w:r>
        <w:rPr>
          <w:rFonts w:ascii="Courier New" w:cs="Courier New" w:eastAsia="Courier New" w:hAnsi="Courier New"/>
          <w:sz w:val="14"/>
          <w:szCs w:val="14"/>
          <w:color w:val="auto"/>
        </w:rPr>
        <w:t>$</w:t>
        <w:tab/>
        <w:t>7,542,000</w:t>
      </w:r>
    </w:p>
    <w:p>
      <w:pPr>
        <w:spacing w:after="0" w:line="7" w:lineRule="exact"/>
        <w:rPr>
          <w:sz w:val="20"/>
          <w:szCs w:val="20"/>
          <w:color w:val="auto"/>
        </w:rPr>
      </w:pPr>
    </w:p>
    <w:p>
      <w:pPr>
        <w:ind w:left="180" w:hanging="172"/>
        <w:spacing w:after="0"/>
        <w:tabs>
          <w:tab w:leader="none" w:pos="1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July 31, 1995</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560" w:val="left"/>
          <w:tab w:leader="none" w:pos="8340" w:val="left"/>
          <w:tab w:leader="none" w:pos="860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7,702,000</w:t>
      </w:r>
      <w:r>
        <w:rPr>
          <w:sz w:val="20"/>
          <w:szCs w:val="20"/>
          <w:color w:val="auto"/>
        </w:rPr>
        <w:tab/>
      </w:r>
      <w:r>
        <w:rPr>
          <w:rFonts w:ascii="Courier New" w:cs="Courier New" w:eastAsia="Courier New" w:hAnsi="Courier New"/>
          <w:sz w:val="14"/>
          <w:szCs w:val="14"/>
          <w:color w:val="auto"/>
        </w:rPr>
        <w:t>$</w:t>
        <w:tab/>
        <w:t>1,543,000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20,000</w:t>
      </w:r>
      <w:r>
        <w:rPr>
          <w:sz w:val="20"/>
          <w:szCs w:val="20"/>
          <w:color w:val="auto"/>
        </w:rPr>
        <w:tab/>
      </w:r>
      <w:r>
        <w:rPr>
          <w:rFonts w:ascii="Courier New" w:cs="Courier New" w:eastAsia="Courier New" w:hAnsi="Courier New"/>
          <w:sz w:val="14"/>
          <w:szCs w:val="14"/>
          <w:color w:val="auto"/>
        </w:rPr>
        <w:t>$</w:t>
        <w:tab/>
        <w:t>1,922,000</w:t>
      </w:r>
      <w:r>
        <w:rPr>
          <w:sz w:val="20"/>
          <w:szCs w:val="20"/>
          <w:color w:val="auto"/>
        </w:rPr>
        <w:tab/>
      </w:r>
      <w:r>
        <w:rPr>
          <w:rFonts w:ascii="Courier New" w:cs="Courier New" w:eastAsia="Courier New" w:hAnsi="Courier New"/>
          <w:sz w:val="14"/>
          <w:szCs w:val="14"/>
          <w:color w:val="auto"/>
        </w:rPr>
        <w:t>$</w:t>
        <w:tab/>
        <w:t>7,343,000</w:t>
      </w:r>
    </w:p>
    <w:p>
      <w:pPr>
        <w:spacing w:after="0" w:line="7" w:lineRule="exact"/>
        <w:rPr>
          <w:sz w:val="20"/>
          <w:szCs w:val="20"/>
          <w:color w:val="auto"/>
        </w:rPr>
      </w:pPr>
    </w:p>
    <w:p>
      <w:pPr>
        <w:ind w:left="180" w:hanging="172"/>
        <w:spacing w:after="0"/>
        <w:tabs>
          <w:tab w:leader="none" w:pos="1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July 31, 1994</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480" w:val="left"/>
          <w:tab w:leader="none" w:pos="8340" w:val="left"/>
          <w:tab w:leader="none" w:pos="860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5,589,000</w:t>
      </w:r>
      <w:r>
        <w:rPr>
          <w:sz w:val="20"/>
          <w:szCs w:val="20"/>
          <w:color w:val="auto"/>
        </w:rPr>
        <w:tab/>
      </w:r>
      <w:r>
        <w:rPr>
          <w:rFonts w:ascii="Courier New" w:cs="Courier New" w:eastAsia="Courier New" w:hAnsi="Courier New"/>
          <w:sz w:val="14"/>
          <w:szCs w:val="14"/>
          <w:color w:val="auto"/>
        </w:rPr>
        <w:t>$</w:t>
        <w:tab/>
        <w:t>3,032,000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765,000</w:t>
      </w:r>
      <w:r>
        <w:rPr>
          <w:sz w:val="20"/>
          <w:szCs w:val="20"/>
          <w:color w:val="auto"/>
        </w:rPr>
        <w:tab/>
      </w:r>
      <w:r>
        <w:rPr>
          <w:rFonts w:ascii="Courier New" w:cs="Courier New" w:eastAsia="Courier New" w:hAnsi="Courier New"/>
          <w:sz w:val="14"/>
          <w:szCs w:val="14"/>
          <w:color w:val="auto"/>
        </w:rPr>
        <w:t>$</w:t>
        <w:tab/>
        <w:t>1,684,000</w:t>
      </w:r>
      <w:r>
        <w:rPr>
          <w:sz w:val="20"/>
          <w:szCs w:val="20"/>
          <w:color w:val="auto"/>
        </w:rPr>
        <w:tab/>
      </w:r>
      <w:r>
        <w:rPr>
          <w:rFonts w:ascii="Courier New" w:cs="Courier New" w:eastAsia="Courier New" w:hAnsi="Courier New"/>
          <w:sz w:val="14"/>
          <w:szCs w:val="14"/>
          <w:color w:val="auto"/>
        </w:rPr>
        <w:t>$</w:t>
        <w:tab/>
        <w:t>7,702,000</w:t>
      </w:r>
    </w:p>
    <w:p>
      <w:pPr>
        <w:spacing w:after="0" w:line="7" w:lineRule="exact"/>
        <w:rPr>
          <w:sz w:val="20"/>
          <w:szCs w:val="20"/>
          <w:color w:val="auto"/>
        </w:r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220" w:right="5520" w:hanging="436"/>
        <w:spacing w:after="0" w:line="250" w:lineRule="auto"/>
        <w:tabs>
          <w:tab w:leader="none" w:pos="122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due to reclassification and acquisitions.</w:t>
      </w:r>
    </w:p>
    <w:p>
      <w:pPr>
        <w:ind w:left="1220" w:hanging="436"/>
        <w:spacing w:after="0"/>
        <w:tabs>
          <w:tab w:leader="none" w:pos="122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off, net of recoveries.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120"/>
          </w:cols>
          <w:pgMar w:left="220" w:top="616" w:right="559" w:bottom="1440" w:gutter="0" w:footer="0" w:header="0"/>
        </w:sectPr>
      </w:pPr>
    </w:p>
    <w:bookmarkStart w:id="287" w:name="page288"/>
    <w:bookmarkEnd w:id="287"/>
    <w:p>
      <w:pPr>
        <w:ind w:left="2752"/>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1992 DIRECTORS STOCK PLAN</w:t>
      </w:r>
    </w:p>
    <w:p>
      <w:pPr>
        <w:spacing w:after="0" w:line="173" w:lineRule="exact"/>
        <w:rPr>
          <w:sz w:val="20"/>
          <w:szCs w:val="20"/>
          <w:color w:val="auto"/>
        </w:rPr>
      </w:pPr>
    </w:p>
    <w:p>
      <w:pPr>
        <w:ind w:left="432" w:right="3339" w:hanging="432"/>
        <w:spacing w:after="0" w:line="251" w:lineRule="auto"/>
        <w:tabs>
          <w:tab w:leader="none" w:pos="43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Toro Company 1992 Directors Stock Plan ("Plan") is to enable The Toro Company (the "Company") to attract and retain experienced and knowledgeable independent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to comply with Rule 16b-3 under the Securities Exchange Act of 1934, as amended (the "Exchange Act"), to the extent applicable.</w:t>
      </w:r>
    </w:p>
    <w:p>
      <w:pPr>
        <w:spacing w:after="0" w:line="163"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All members of the Company's Board of Directors who are not current employees of the Company or any of its subsidiaries ("Nonemployee Directors") are eligible to participate in the Plan.</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AWARDS.</w:t>
      </w:r>
    </w:p>
    <w:p>
      <w:pPr>
        <w:spacing w:after="0" w:line="17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provided, however, that the first award of Directors Shares made under the Plan shall be made on the date that the Plan is first approved by the Company's stockholders to Nonemployee Directors then serving.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162"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w:t>
      </w:r>
    </w:p>
    <w:p>
      <w:pPr>
        <w:spacing w:after="0" w:line="172" w:lineRule="exact"/>
        <w:rPr>
          <w:rFonts w:ascii="Courier New" w:cs="Courier New" w:eastAsia="Courier New" w:hAnsi="Courier New"/>
          <w:sz w:val="14"/>
          <w:szCs w:val="14"/>
          <w:color w:val="auto"/>
        </w:rPr>
      </w:pPr>
    </w:p>
    <w:p>
      <w:pPr>
        <w:ind w:left="1292" w:right="3339" w:hanging="430"/>
        <w:spacing w:after="0" w:line="251" w:lineRule="auto"/>
        <w:tabs>
          <w:tab w:leader="none" w:pos="1292" w:val="left"/>
        </w:tabs>
        <w:numPr>
          <w:ilvl w:val="2"/>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provided, however, that the first award of Directors Options made under the Plan shall be contingent on approval by the Company's</w:t>
      </w:r>
    </w:p>
    <w:p>
      <w:pPr>
        <w:sectPr>
          <w:pgSz w:w="11900" w:h="16838" w:orient="portrait"/>
          <w:cols w:equalWidth="0" w:num="1">
            <w:col w:w="10231"/>
          </w:cols>
          <w:pgMar w:left="228" w:top="616" w:right="1440" w:bottom="1440" w:gutter="0" w:footer="0" w:header="0"/>
        </w:sectPr>
      </w:pPr>
    </w:p>
    <w:bookmarkStart w:id="288" w:name="page289"/>
    <w:bookmarkEnd w:id="288"/>
    <w:p>
      <w:pPr>
        <w:ind w:left="430" w:right="3339"/>
        <w:spacing w:after="0" w:line="251" w:lineRule="auto"/>
        <w:rPr>
          <w:sz w:val="20"/>
          <w:szCs w:val="20"/>
          <w:color w:val="auto"/>
        </w:rPr>
      </w:pPr>
      <w:r>
        <w:rPr>
          <w:rFonts w:ascii="Courier New" w:cs="Courier New" w:eastAsia="Courier New" w:hAnsi="Courier New"/>
          <w:sz w:val="14"/>
          <w:szCs w:val="14"/>
          <w:color w:val="auto"/>
        </w:rPr>
        <w:t>stockholders of the grant of Directors Options. The "fair market value of one share of Common Stock" shall be the closing price of the Common Stock on the New York Stock Exchange on the first day of the Company's fiscal year with respect to which the grant is made, as reported in The Wall Street Journal.</w:t>
      </w:r>
    </w:p>
    <w:p>
      <w:pPr>
        <w:spacing w:after="0" w:line="165" w:lineRule="exact"/>
        <w:rPr>
          <w:sz w:val="20"/>
          <w:szCs w:val="20"/>
          <w:color w:val="auto"/>
        </w:rPr>
      </w:pPr>
    </w:p>
    <w:p>
      <w:pPr>
        <w:ind w:left="430" w:hanging="430"/>
        <w:spacing w:after="0"/>
        <w:tabs>
          <w:tab w:leader="none" w:pos="43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TERMS.</w:t>
      </w:r>
    </w:p>
    <w:p>
      <w:pPr>
        <w:spacing w:after="0" w:line="172" w:lineRule="exact"/>
        <w:rPr>
          <w:rFonts w:ascii="Courier New" w:cs="Courier New" w:eastAsia="Courier New" w:hAnsi="Courier New"/>
          <w:sz w:val="14"/>
          <w:szCs w:val="14"/>
          <w:color w:val="auto"/>
        </w:rPr>
      </w:pPr>
    </w:p>
    <w:p>
      <w:pPr>
        <w:ind w:left="870" w:right="3419" w:hanging="440"/>
        <w:spacing w:after="0" w:line="251" w:lineRule="auto"/>
        <w:tabs>
          <w:tab w:leader="none" w:pos="87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 shall be exercisable in whole or in part commencing six months following the date of grant and shall remain exercisable for a term of five years after the date of grant, except that the first Directors Options awarded contingent upon approval by the Company's stockholders of the grant of Directors Options shall expire on October 31, 2000.</w:t>
      </w:r>
    </w:p>
    <w:p>
      <w:pPr>
        <w:spacing w:after="0" w:line="164" w:lineRule="exact"/>
        <w:rPr>
          <w:rFonts w:ascii="Courier New" w:cs="Courier New" w:eastAsia="Courier New" w:hAnsi="Courier New"/>
          <w:sz w:val="14"/>
          <w:szCs w:val="14"/>
          <w:color w:val="auto"/>
        </w:rPr>
      </w:pPr>
    </w:p>
    <w:p>
      <w:pPr>
        <w:ind w:left="870" w:right="3339" w:hanging="440"/>
        <w:spacing w:after="0" w:line="251" w:lineRule="auto"/>
        <w:tabs>
          <w:tab w:leader="none" w:pos="87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870" w:right="3339" w:hanging="440"/>
        <w:spacing w:after="0" w:line="251" w:lineRule="auto"/>
        <w:tabs>
          <w:tab w:leader="none" w:pos="87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162" w:lineRule="exact"/>
        <w:rPr>
          <w:rFonts w:ascii="Courier New" w:cs="Courier New" w:eastAsia="Courier New" w:hAnsi="Courier New"/>
          <w:sz w:val="14"/>
          <w:szCs w:val="14"/>
          <w:color w:val="auto"/>
        </w:rPr>
      </w:pPr>
    </w:p>
    <w:p>
      <w:pPr>
        <w:ind w:left="870" w:right="3339" w:hanging="440"/>
        <w:spacing w:after="0" w:line="252" w:lineRule="auto"/>
        <w:tabs>
          <w:tab w:leader="none" w:pos="87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exercise price may be made in cash, in shares of Common Stock valued at fair market value on the date of exercise or in a combination of cash and Common Stock.</w:t>
      </w:r>
    </w:p>
    <w:p>
      <w:pPr>
        <w:sectPr>
          <w:pgSz w:w="11900" w:h="16838" w:orient="portrait"/>
          <w:cols w:equalWidth="0" w:num="1">
            <w:col w:w="9370"/>
          </w:cols>
          <w:pgMar w:left="1090" w:top="616" w:right="1440" w:bottom="1440" w:gutter="0" w:footer="0" w:header="0"/>
        </w:sectPr>
      </w:pPr>
    </w:p>
    <w:bookmarkStart w:id="289" w:name="page290"/>
    <w:bookmarkEnd w:id="289"/>
    <w:p>
      <w:pPr>
        <w:ind w:left="852" w:right="3339" w:hanging="421"/>
        <w:spacing w:after="0" w:line="251" w:lineRule="auto"/>
        <w:tabs>
          <w:tab w:leader="none" w:pos="852"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328" w:lineRule="exact"/>
        <w:rPr>
          <w:rFonts w:ascii="Courier New" w:cs="Courier New" w:eastAsia="Courier New" w:hAnsi="Courier New"/>
          <w:sz w:val="14"/>
          <w:szCs w:val="14"/>
          <w:color w:val="auto"/>
        </w:rPr>
      </w:pPr>
    </w:p>
    <w:p>
      <w:pPr>
        <w:ind w:left="852" w:right="3599" w:hanging="421"/>
        <w:spacing w:after="0" w:line="251" w:lineRule="auto"/>
        <w:tabs>
          <w:tab w:leader="none" w:pos="852"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BENEFIT. Directors Shares and Directors Options are a supplemental benefit and are not a component of the annual retainer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164"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 available for issuance as Directors Shares or pursuant to Directors Options granted under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ectPr>
          <w:pgSz w:w="11900" w:h="16838" w:orient="portrait"/>
          <w:cols w:equalWidth="0" w:num="1">
            <w:col w:w="10231"/>
          </w:cols>
          <w:pgMar w:left="228" w:top="616" w:right="1440" w:bottom="1440" w:gutter="0" w:footer="0" w:header="0"/>
        </w:sectPr>
      </w:pPr>
    </w:p>
    <w:bookmarkStart w:id="290" w:name="page291"/>
    <w:bookmarkEnd w:id="290"/>
    <w:p>
      <w:pPr>
        <w:ind w:left="432" w:right="3339" w:hanging="432"/>
        <w:spacing w:after="0" w:line="250" w:lineRule="auto"/>
        <w:tabs>
          <w:tab w:leader="none" w:pos="43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 all Directors Options shall fully vest, unless otherwise limited by the Committee at the time of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339"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163"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became effective on August 20, 1992 and shall terminate ten (10) years thereafter, unless sooner terminated by action of the Board of Directors.</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any amendment to the Plan shall be the date of its adoption by the Board of Directors; provided, however, that no amendment shall be effective unless and until the same is approved by the stockholders of the Company where the failure to obtain such approval would adversely affect the compliance of the Plan with any law or rule, including the Exchange Act and the Internal Revenue Code of 1986, as amended. In the event the stockholders do not approve such an amendment, the amendment shall be of no effect and the Plan shall continue in effect as if such amendment had not been adopted by the Board of Directors, unless the Board otherwise determines. No amendment of the Plan shall adversely affect in a material manner any right of any option</w:t>
      </w:r>
    </w:p>
    <w:p>
      <w:pPr>
        <w:sectPr>
          <w:pgSz w:w="11900" w:h="16838" w:orient="portrait"/>
          <w:cols w:equalWidth="0" w:num="1">
            <w:col w:w="10231"/>
          </w:cols>
          <w:pgMar w:left="228" w:top="616" w:right="1440" w:bottom="1440" w:gutter="0" w:footer="0" w:header="0"/>
        </w:sectPr>
      </w:pPr>
    </w:p>
    <w:bookmarkStart w:id="291" w:name="page292"/>
    <w:bookmarkEnd w:id="291"/>
    <w:p>
      <w:pPr>
        <w:ind w:left="421" w:right="3679"/>
        <w:spacing w:after="0" w:line="255" w:lineRule="auto"/>
        <w:rPr>
          <w:sz w:val="20"/>
          <w:szCs w:val="20"/>
          <w:color w:val="auto"/>
        </w:rPr>
      </w:pPr>
      <w:r>
        <w:rPr>
          <w:rFonts w:ascii="Courier New" w:cs="Courier New" w:eastAsia="Courier New" w:hAnsi="Courier New"/>
          <w:sz w:val="14"/>
          <w:szCs w:val="14"/>
          <w:color w:val="auto"/>
        </w:rPr>
        <w:t>holder with respect to any option theretofore granted without such option holder's written consent.</w:t>
      </w:r>
    </w:p>
    <w:p>
      <w:pPr>
        <w:spacing w:after="0" w:line="160" w:lineRule="exact"/>
        <w:rPr>
          <w:sz w:val="20"/>
          <w:szCs w:val="20"/>
          <w:color w:val="auto"/>
        </w:rPr>
      </w:pPr>
    </w:p>
    <w:p>
      <w:pPr>
        <w:ind w:left="421" w:right="3339" w:hanging="421"/>
        <w:spacing w:after="0" w:line="252" w:lineRule="auto"/>
        <w:tabs>
          <w:tab w:leader="none" w:pos="421"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3.a. and Section 3.b. shall not be amended more than once every six (6) months other than to comport with changes in the Code, the Employee Retirement Income Security Act, or the rules thereunder.</w:t>
      </w:r>
    </w:p>
    <w:p>
      <w:pPr>
        <w:sectPr>
          <w:pgSz w:w="11900" w:h="16838" w:orient="portrait"/>
          <w:cols w:equalWidth="0" w:num="1">
            <w:col w:w="9800"/>
          </w:cols>
          <w:pgMar w:left="659" w:top="616" w:right="1440" w:bottom="1440" w:gutter="0" w:footer="0" w:header="0"/>
        </w:sectPr>
      </w:pPr>
    </w:p>
    <w:bookmarkStart w:id="292" w:name="page293"/>
    <w:bookmarkEnd w:id="292"/>
    <w:p>
      <w:pPr>
        <w:jc w:val="center"/>
        <w:ind w:right="280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1989 STOCK OPTION PLAN</w:t>
      </w:r>
    </w:p>
    <w:p>
      <w:pPr>
        <w:spacing w:after="0" w:line="173" w:lineRule="exact"/>
        <w:rPr>
          <w:sz w:val="20"/>
          <w:szCs w:val="20"/>
          <w:color w:val="auto"/>
        </w:rPr>
      </w:pPr>
    </w:p>
    <w:p>
      <w:pPr>
        <w:ind w:left="352" w:right="3519" w:hanging="352"/>
        <w:spacing w:after="0" w:line="250" w:lineRule="auto"/>
        <w:tabs>
          <w:tab w:leader="none" w:pos="35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8, 1989.</w:t>
      </w:r>
    </w:p>
    <w:p>
      <w:pPr>
        <w:spacing w:after="0" w:line="172" w:lineRule="exact"/>
        <w:rPr>
          <w:rFonts w:ascii="Courier New" w:cs="Courier New" w:eastAsia="Courier New" w:hAnsi="Courier New"/>
          <w:sz w:val="14"/>
          <w:szCs w:val="14"/>
          <w:color w:val="auto"/>
        </w:rPr>
      </w:pPr>
    </w:p>
    <w:p>
      <w:pPr>
        <w:ind w:left="352" w:right="3419" w:hanging="352"/>
        <w:spacing w:after="0" w:line="250" w:lineRule="auto"/>
        <w:tabs>
          <w:tab w:leader="none" w:pos="35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3"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w:t>
      </w:r>
    </w:p>
    <w:p>
      <w:pPr>
        <w:sectPr>
          <w:pgSz w:w="11900" w:h="16838" w:orient="portrait"/>
          <w:cols w:equalWidth="0" w:num="1">
            <w:col w:w="10231"/>
          </w:cols>
          <w:pgMar w:left="228" w:top="782" w:right="1440" w:bottom="1440" w:gutter="0" w:footer="0" w:header="0"/>
        </w:sectPr>
      </w:pPr>
    </w:p>
    <w:bookmarkStart w:id="293" w:name="page294"/>
    <w:bookmarkEnd w:id="293"/>
    <w:p>
      <w:pPr>
        <w:ind w:left="352" w:right="3419"/>
        <w:spacing w:after="0" w:line="251" w:lineRule="auto"/>
        <w:rPr>
          <w:sz w:val="20"/>
          <w:szCs w:val="20"/>
          <w:color w:val="auto"/>
        </w:rPr>
      </w:pPr>
      <w:r>
        <w:rPr>
          <w:rFonts w:ascii="Courier New" w:cs="Courier New" w:eastAsia="Courier New" w:hAnsi="Courier New"/>
          <w:sz w:val="14"/>
          <w:szCs w:val="14"/>
          <w:color w:val="auto"/>
        </w:rPr>
        <w:t>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329" w:lineRule="exact"/>
        <w:rPr>
          <w:sz w:val="20"/>
          <w:szCs w:val="20"/>
          <w:color w:val="auto"/>
        </w:rPr>
      </w:pPr>
    </w:p>
    <w:p>
      <w:pPr>
        <w:ind w:left="352" w:right="3419" w:hanging="352"/>
        <w:spacing w:after="0" w:line="250" w:lineRule="auto"/>
        <w:tabs>
          <w:tab w:leader="none" w:pos="35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342" w:lineRule="exact"/>
        <w:rPr>
          <w:rFonts w:ascii="Courier New" w:cs="Courier New" w:eastAsia="Courier New" w:hAnsi="Courier New"/>
          <w:sz w:val="14"/>
          <w:szCs w:val="14"/>
          <w:color w:val="auto"/>
        </w:rPr>
      </w:pPr>
    </w:p>
    <w:p>
      <w:pPr>
        <w:ind w:left="352" w:right="3519" w:hanging="352"/>
        <w:spacing w:after="0" w:line="251" w:lineRule="auto"/>
        <w:tabs>
          <w:tab w:leader="none" w:pos="35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w:t>
      </w:r>
    </w:p>
    <w:p>
      <w:pPr>
        <w:sectPr>
          <w:pgSz w:w="11900" w:h="16838" w:orient="portrait"/>
          <w:cols w:equalWidth="0" w:num="1">
            <w:col w:w="10231"/>
          </w:cols>
          <w:pgMar w:left="228" w:top="616" w:right="1440" w:bottom="1440" w:gutter="0" w:footer="0" w:header="0"/>
        </w:sectPr>
      </w:pPr>
    </w:p>
    <w:bookmarkStart w:id="294" w:name="page295"/>
    <w:bookmarkEnd w:id="294"/>
    <w:p>
      <w:pPr>
        <w:ind w:left="352" w:right="3519"/>
        <w:spacing w:after="0" w:line="252" w:lineRule="auto"/>
        <w:rPr>
          <w:sz w:val="20"/>
          <w:szCs w:val="20"/>
          <w:color w:val="auto"/>
        </w:rPr>
      </w:pPr>
      <w:r>
        <w:rPr>
          <w:rFonts w:ascii="Courier New" w:cs="Courier New" w:eastAsia="Courier New" w:hAnsi="Courier New"/>
          <w:sz w:val="14"/>
          <w:szCs w:val="14"/>
          <w:color w:val="auto"/>
        </w:rPr>
        <w:t>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2" w:lineRule="exact"/>
        <w:rPr>
          <w:sz w:val="20"/>
          <w:szCs w:val="20"/>
          <w:color w:val="auto"/>
        </w:rPr>
      </w:pPr>
    </w:p>
    <w:p>
      <w:pPr>
        <w:ind w:left="352" w:right="3419" w:hanging="352"/>
        <w:spacing w:after="0" w:line="252" w:lineRule="auto"/>
        <w:tabs>
          <w:tab w:leader="none" w:pos="35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2"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772" w:right="3419" w:hanging="427"/>
        <w:spacing w:after="0" w:line="252" w:lineRule="auto"/>
        <w:tabs>
          <w:tab w:leader="none" w:pos="772"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4" w:lineRule="exact"/>
        <w:rPr>
          <w:rFonts w:ascii="Courier New" w:cs="Courier New" w:eastAsia="Courier New" w:hAnsi="Courier New"/>
          <w:sz w:val="14"/>
          <w:szCs w:val="14"/>
          <w:color w:val="auto"/>
        </w:rPr>
      </w:pPr>
    </w:p>
    <w:p>
      <w:pPr>
        <w:ind w:left="772" w:right="3519" w:hanging="427"/>
        <w:spacing w:after="0" w:line="251" w:lineRule="auto"/>
        <w:tabs>
          <w:tab w:leader="none" w:pos="772"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3" w:lineRule="exact"/>
        <w:rPr>
          <w:rFonts w:ascii="Courier New" w:cs="Courier New" w:eastAsia="Courier New" w:hAnsi="Courier New"/>
          <w:sz w:val="14"/>
          <w:szCs w:val="14"/>
          <w:color w:val="auto"/>
        </w:rPr>
      </w:pPr>
    </w:p>
    <w:p>
      <w:pPr>
        <w:ind w:left="772" w:right="4119" w:hanging="427"/>
        <w:spacing w:after="0" w:line="255" w:lineRule="auto"/>
        <w:tabs>
          <w:tab w:leader="none" w:pos="772"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772" w:hanging="427"/>
        <w:spacing w:after="0"/>
        <w:tabs>
          <w:tab w:leader="none" w:pos="772"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372" w:right="3419" w:hanging="596"/>
        <w:spacing w:after="0" w:line="251" w:lineRule="auto"/>
        <w:tabs>
          <w:tab w:leader="none" w:pos="1372" w:val="left"/>
        </w:tabs>
        <w:numPr>
          <w:ilvl w:val="2"/>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1"/>
          </w:cols>
          <w:pgMar w:left="228" w:top="616" w:right="1440" w:bottom="1440" w:gutter="0" w:footer="0" w:header="0"/>
        </w:sectPr>
      </w:pPr>
    </w:p>
    <w:bookmarkStart w:id="295" w:name="page296"/>
    <w:bookmarkEnd w:id="295"/>
    <w:p>
      <w:pPr>
        <w:ind w:left="596" w:right="3419" w:hanging="596"/>
        <w:spacing w:after="0" w:line="250" w:lineRule="auto"/>
        <w:tabs>
          <w:tab w:leader="none" w:pos="596"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348" w:lineRule="exact"/>
        <w:rPr>
          <w:rFonts w:ascii="Courier New" w:cs="Courier New" w:eastAsia="Courier New" w:hAnsi="Courier New"/>
          <w:sz w:val="14"/>
          <w:szCs w:val="14"/>
          <w:color w:val="auto"/>
        </w:rPr>
      </w:pPr>
    </w:p>
    <w:p>
      <w:pPr>
        <w:ind w:left="596" w:right="3519" w:hanging="596"/>
        <w:spacing w:after="0" w:line="251" w:lineRule="auto"/>
        <w:tabs>
          <w:tab w:leader="none" w:pos="596"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w:t>
      </w:r>
    </w:p>
    <w:p>
      <w:pPr>
        <w:sectPr>
          <w:pgSz w:w="11900" w:h="16838" w:orient="portrait"/>
          <w:cols w:equalWidth="0" w:num="1">
            <w:col w:w="9456"/>
          </w:cols>
          <w:pgMar w:left="1004" w:top="616" w:right="1440" w:bottom="1440" w:gutter="0" w:footer="0" w:header="0"/>
        </w:sectPr>
      </w:pPr>
    </w:p>
    <w:bookmarkStart w:id="296" w:name="page297"/>
    <w:bookmarkEnd w:id="296"/>
    <w:p>
      <w:pPr>
        <w:ind w:left="1027" w:right="3519"/>
        <w:spacing w:after="0" w:line="252" w:lineRule="auto"/>
        <w:rPr>
          <w:sz w:val="20"/>
          <w:szCs w:val="20"/>
          <w:color w:val="auto"/>
        </w:rPr>
      </w:pPr>
      <w:r>
        <w:rPr>
          <w:rFonts w:ascii="Courier New" w:cs="Courier New" w:eastAsia="Courier New" w:hAnsi="Courier New"/>
          <w:sz w:val="14"/>
          <w:szCs w:val="14"/>
          <w:color w:val="auto"/>
        </w:rPr>
        <w:t>option which was realized or obtained (measured at the date of exercise) by such individual at any time during the period beginning on the date which is twelve months prior to the date of termination.</w:t>
      </w:r>
    </w:p>
    <w:p>
      <w:pPr>
        <w:spacing w:after="0" w:line="162" w:lineRule="exact"/>
        <w:rPr>
          <w:sz w:val="20"/>
          <w:szCs w:val="20"/>
          <w:color w:val="auto"/>
        </w:rPr>
      </w:pPr>
    </w:p>
    <w:p>
      <w:pPr>
        <w:ind w:left="1027" w:right="3519" w:hanging="596"/>
        <w:spacing w:after="0" w:line="251" w:lineRule="auto"/>
        <w:tabs>
          <w:tab w:leader="none" w:pos="102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1027" w:right="3419" w:hanging="596"/>
        <w:spacing w:after="0" w:line="251" w:lineRule="auto"/>
        <w:tabs>
          <w:tab w:leader="none" w:pos="102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1027" w:right="3599" w:hanging="596"/>
        <w:spacing w:after="0" w:line="252" w:lineRule="auto"/>
        <w:tabs>
          <w:tab w:leader="none" w:pos="102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3" w:lineRule="exact"/>
        <w:rPr>
          <w:rFonts w:ascii="Courier New" w:cs="Courier New" w:eastAsia="Courier New" w:hAnsi="Courier New"/>
          <w:sz w:val="14"/>
          <w:szCs w:val="14"/>
          <w:color w:val="auto"/>
        </w:rPr>
      </w:pPr>
    </w:p>
    <w:p>
      <w:pPr>
        <w:ind w:left="427"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59" w:lineRule="exact"/>
        <w:rPr>
          <w:rFonts w:ascii="Courier New" w:cs="Courier New" w:eastAsia="Courier New" w:hAnsi="Courier New"/>
          <w:sz w:val="14"/>
          <w:szCs w:val="14"/>
          <w:color w:val="auto"/>
        </w:rPr>
      </w:pPr>
    </w:p>
    <w:p>
      <w:pPr>
        <w:ind w:left="427" w:right="3419" w:hanging="427"/>
        <w:spacing w:after="0" w:line="255" w:lineRule="auto"/>
        <w:tabs>
          <w:tab w:leader="none" w:pos="427"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w:t>
      </w:r>
    </w:p>
    <w:p>
      <w:pPr>
        <w:sectPr>
          <w:pgSz w:w="11900" w:h="16838" w:orient="portrait"/>
          <w:cols w:equalWidth="0" w:num="1">
            <w:col w:w="9886"/>
          </w:cols>
          <w:pgMar w:left="573" w:top="616" w:right="1440" w:bottom="1440" w:gutter="0" w:footer="0" w:header="0"/>
        </w:sectPr>
      </w:pPr>
    </w:p>
    <w:bookmarkStart w:id="297" w:name="page298"/>
    <w:bookmarkEnd w:id="297"/>
    <w:p>
      <w:pPr>
        <w:ind w:left="427" w:right="3419"/>
        <w:spacing w:after="0" w:line="251" w:lineRule="auto"/>
        <w:rPr>
          <w:sz w:val="20"/>
          <w:szCs w:val="20"/>
          <w:color w:val="auto"/>
        </w:rPr>
      </w:pPr>
      <w:r>
        <w:rPr>
          <w:rFonts w:ascii="Courier New" w:cs="Courier New" w:eastAsia="Courier New" w:hAnsi="Courier New"/>
          <w:sz w:val="14"/>
          <w:szCs w:val="14"/>
          <w:color w:val="auto"/>
        </w:rPr>
        <w:t>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63" w:lineRule="exact"/>
        <w:rPr>
          <w:sz w:val="20"/>
          <w:szCs w:val="20"/>
          <w:color w:val="auto"/>
        </w:rPr>
      </w:pPr>
    </w:p>
    <w:p>
      <w:pPr>
        <w:ind w:left="427" w:right="3419" w:hanging="427"/>
        <w:spacing w:after="0" w:line="250" w:lineRule="auto"/>
        <w:tabs>
          <w:tab w:leader="none" w:pos="4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4" w:lineRule="exact"/>
        <w:rPr>
          <w:rFonts w:ascii="Courier New" w:cs="Courier New" w:eastAsia="Courier New" w:hAnsi="Courier New"/>
          <w:sz w:val="14"/>
          <w:szCs w:val="14"/>
          <w:color w:val="auto"/>
        </w:rPr>
      </w:pPr>
    </w:p>
    <w:p>
      <w:pPr>
        <w:ind w:left="427" w:right="3599" w:hanging="427"/>
        <w:spacing w:after="0" w:line="251" w:lineRule="auto"/>
        <w:tabs>
          <w:tab w:leader="none" w:pos="4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64" w:lineRule="exact"/>
        <w:rPr>
          <w:rFonts w:ascii="Courier New" w:cs="Courier New" w:eastAsia="Courier New" w:hAnsi="Courier New"/>
          <w:sz w:val="14"/>
          <w:szCs w:val="14"/>
          <w:color w:val="auto"/>
        </w:rPr>
      </w:pPr>
    </w:p>
    <w:p>
      <w:pPr>
        <w:ind w:left="427" w:right="3519" w:hanging="427"/>
        <w:spacing w:after="0" w:line="251" w:lineRule="auto"/>
        <w:tabs>
          <w:tab w:leader="none" w:pos="4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w:t>
      </w:r>
    </w:p>
    <w:p>
      <w:pPr>
        <w:sectPr>
          <w:pgSz w:w="11900" w:h="16838" w:orient="portrait"/>
          <w:cols w:equalWidth="0" w:num="1">
            <w:col w:w="9886"/>
          </w:cols>
          <w:pgMar w:left="573" w:top="616" w:right="1440" w:bottom="1440" w:gutter="0" w:footer="0" w:header="0"/>
        </w:sectPr>
      </w:pPr>
    </w:p>
    <w:bookmarkStart w:id="298" w:name="page299"/>
    <w:bookmarkEnd w:id="298"/>
    <w:p>
      <w:pPr>
        <w:ind w:left="772" w:right="3679"/>
        <w:spacing w:after="0" w:line="255" w:lineRule="auto"/>
        <w:rPr>
          <w:sz w:val="20"/>
          <w:szCs w:val="20"/>
          <w:color w:val="auto"/>
        </w:rPr>
      </w:pPr>
      <w:r>
        <w:rPr>
          <w:rFonts w:ascii="Courier New" w:cs="Courier New" w:eastAsia="Courier New" w:hAnsi="Courier New"/>
          <w:sz w:val="14"/>
          <w:szCs w:val="14"/>
          <w:color w:val="auto"/>
        </w:rPr>
        <w:t>for dividends or other rights for which the record date is prior to issuance of the Common Stock.</w:t>
      </w:r>
    </w:p>
    <w:p>
      <w:pPr>
        <w:spacing w:after="0" w:line="160" w:lineRule="exact"/>
        <w:rPr>
          <w:sz w:val="20"/>
          <w:szCs w:val="20"/>
          <w:color w:val="auto"/>
        </w:rPr>
      </w:pPr>
    </w:p>
    <w:p>
      <w:pPr>
        <w:ind w:left="772" w:right="3419" w:hanging="427"/>
        <w:spacing w:after="0" w:line="251" w:lineRule="auto"/>
        <w:tabs>
          <w:tab w:leader="none" w:pos="772"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3"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1"/>
          </w:cols>
          <w:pgMar w:left="228" w:top="616" w:right="1440" w:bottom="1440" w:gutter="0" w:footer="0" w:header="0"/>
        </w:sectPr>
      </w:pPr>
    </w:p>
    <w:bookmarkStart w:id="299" w:name="page300"/>
    <w:bookmarkEnd w:id="299"/>
    <w:p>
      <w:pPr>
        <w:ind w:left="772" w:right="3519"/>
        <w:spacing w:after="0" w:line="255"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60" w:lineRule="exact"/>
        <w:rPr>
          <w:sz w:val="20"/>
          <w:szCs w:val="20"/>
          <w:color w:val="auto"/>
        </w:rPr>
      </w:pPr>
    </w:p>
    <w:p>
      <w:pPr>
        <w:ind w:left="772" w:right="3519" w:hanging="427"/>
        <w:spacing w:after="0" w:line="255" w:lineRule="auto"/>
        <w:tabs>
          <w:tab w:leader="none" w:pos="772"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772" w:right="3939" w:hanging="427"/>
        <w:spacing w:after="0" w:line="252" w:lineRule="auto"/>
        <w:tabs>
          <w:tab w:leader="none" w:pos="772"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2" w:lineRule="exact"/>
        <w:rPr>
          <w:rFonts w:ascii="Courier New" w:cs="Courier New" w:eastAsia="Courier New" w:hAnsi="Courier New"/>
          <w:sz w:val="14"/>
          <w:szCs w:val="14"/>
          <w:color w:val="auto"/>
        </w:rPr>
      </w:pPr>
    </w:p>
    <w:p>
      <w:pPr>
        <w:ind w:left="772" w:right="3779" w:hanging="427"/>
        <w:spacing w:after="0" w:line="252" w:lineRule="auto"/>
        <w:tabs>
          <w:tab w:leader="none" w:pos="772"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1"/>
          </w:cols>
          <w:pgMar w:left="228" w:top="616" w:right="1440" w:bottom="1440" w:gutter="0" w:footer="0" w:header="0"/>
        </w:sectPr>
      </w:pPr>
    </w:p>
    <w:bookmarkStart w:id="300" w:name="page301"/>
    <w:bookmarkEnd w:id="300"/>
    <w:p>
      <w:pPr>
        <w:jc w:val="center"/>
        <w:ind w:right="280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1993 STOCK OPTION PLAN</w:t>
      </w:r>
    </w:p>
    <w:p>
      <w:pPr>
        <w:spacing w:after="0" w:line="338" w:lineRule="exact"/>
        <w:rPr>
          <w:sz w:val="20"/>
          <w:szCs w:val="20"/>
          <w:color w:val="auto"/>
        </w:rPr>
      </w:pPr>
    </w:p>
    <w:p>
      <w:pPr>
        <w:ind w:left="352" w:right="3519" w:hanging="352"/>
        <w:spacing w:after="0" w:line="250" w:lineRule="auto"/>
        <w:tabs>
          <w:tab w:leader="none" w:pos="352"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17, 1993.</w:t>
      </w:r>
    </w:p>
    <w:p>
      <w:pPr>
        <w:spacing w:after="0" w:line="172" w:lineRule="exact"/>
        <w:rPr>
          <w:rFonts w:ascii="Courier New" w:cs="Courier New" w:eastAsia="Courier New" w:hAnsi="Courier New"/>
          <w:sz w:val="14"/>
          <w:szCs w:val="14"/>
          <w:color w:val="auto"/>
        </w:rPr>
      </w:pPr>
    </w:p>
    <w:p>
      <w:pPr>
        <w:ind w:left="352" w:right="3419" w:hanging="352"/>
        <w:spacing w:after="0" w:line="250" w:lineRule="auto"/>
        <w:tabs>
          <w:tab w:leader="none" w:pos="352"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3"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w:t>
      </w:r>
    </w:p>
    <w:p>
      <w:pPr>
        <w:sectPr>
          <w:pgSz w:w="11900" w:h="16838" w:orient="portrait"/>
          <w:cols w:equalWidth="0" w:num="1">
            <w:col w:w="10231"/>
          </w:cols>
          <w:pgMar w:left="228" w:top="616" w:right="1440" w:bottom="1440" w:gutter="0" w:footer="0" w:header="0"/>
        </w:sectPr>
      </w:pPr>
    </w:p>
    <w:bookmarkStart w:id="301" w:name="page302"/>
    <w:bookmarkEnd w:id="301"/>
    <w:p>
      <w:pPr>
        <w:ind w:left="352" w:right="3419"/>
        <w:spacing w:after="0" w:line="251" w:lineRule="auto"/>
        <w:rPr>
          <w:sz w:val="20"/>
          <w:szCs w:val="20"/>
          <w:color w:val="auto"/>
        </w:rPr>
      </w:pPr>
      <w:r>
        <w:rPr>
          <w:rFonts w:ascii="Courier New" w:cs="Courier New" w:eastAsia="Courier New" w:hAnsi="Courier New"/>
          <w:sz w:val="14"/>
          <w:szCs w:val="14"/>
          <w:color w:val="auto"/>
        </w:rPr>
        <w:t>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329" w:lineRule="exact"/>
        <w:rPr>
          <w:sz w:val="20"/>
          <w:szCs w:val="20"/>
          <w:color w:val="auto"/>
        </w:rPr>
      </w:pPr>
    </w:p>
    <w:p>
      <w:pPr>
        <w:ind w:left="352" w:right="3419" w:hanging="352"/>
        <w:spacing w:after="0" w:line="250" w:lineRule="auto"/>
        <w:tabs>
          <w:tab w:leader="none" w:pos="352"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342" w:lineRule="exact"/>
        <w:rPr>
          <w:rFonts w:ascii="Courier New" w:cs="Courier New" w:eastAsia="Courier New" w:hAnsi="Courier New"/>
          <w:sz w:val="14"/>
          <w:szCs w:val="14"/>
          <w:color w:val="auto"/>
        </w:rPr>
      </w:pPr>
    </w:p>
    <w:p>
      <w:pPr>
        <w:ind w:left="352" w:right="3519" w:hanging="352"/>
        <w:spacing w:after="0" w:line="251" w:lineRule="auto"/>
        <w:tabs>
          <w:tab w:leader="none" w:pos="352"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w:t>
      </w:r>
    </w:p>
    <w:p>
      <w:pPr>
        <w:sectPr>
          <w:pgSz w:w="11900" w:h="16838" w:orient="portrait"/>
          <w:cols w:equalWidth="0" w:num="1">
            <w:col w:w="10231"/>
          </w:cols>
          <w:pgMar w:left="228" w:top="782" w:right="1440" w:bottom="1440" w:gutter="0" w:footer="0" w:header="0"/>
        </w:sectPr>
      </w:pPr>
    </w:p>
    <w:bookmarkStart w:id="302" w:name="page303"/>
    <w:bookmarkEnd w:id="302"/>
    <w:p>
      <w:pPr>
        <w:ind w:left="352" w:right="3419"/>
        <w:spacing w:after="0" w:line="251" w:lineRule="auto"/>
        <w:rPr>
          <w:sz w:val="20"/>
          <w:szCs w:val="20"/>
          <w:color w:val="auto"/>
        </w:rPr>
      </w:pPr>
      <w:r>
        <w:rPr>
          <w:rFonts w:ascii="Courier New" w:cs="Courier New" w:eastAsia="Courier New" w:hAnsi="Courier New"/>
          <w:sz w:val="14"/>
          <w:szCs w:val="14"/>
          <w:color w:val="auto"/>
        </w:rPr>
        <w:t>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5" w:lineRule="exact"/>
        <w:rPr>
          <w:sz w:val="20"/>
          <w:szCs w:val="20"/>
          <w:color w:val="auto"/>
        </w:rPr>
      </w:pPr>
    </w:p>
    <w:p>
      <w:pPr>
        <w:ind w:left="352" w:right="3419" w:hanging="352"/>
        <w:spacing w:after="0" w:line="252" w:lineRule="auto"/>
        <w:tabs>
          <w:tab w:leader="none" w:pos="352"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2"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772" w:right="3419" w:hanging="427"/>
        <w:spacing w:after="0" w:line="252" w:lineRule="auto"/>
        <w:tabs>
          <w:tab w:leader="none" w:pos="772"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4" w:lineRule="exact"/>
        <w:rPr>
          <w:rFonts w:ascii="Courier New" w:cs="Courier New" w:eastAsia="Courier New" w:hAnsi="Courier New"/>
          <w:sz w:val="14"/>
          <w:szCs w:val="14"/>
          <w:color w:val="auto"/>
        </w:rPr>
      </w:pPr>
    </w:p>
    <w:p>
      <w:pPr>
        <w:ind w:left="772" w:right="3519" w:hanging="427"/>
        <w:spacing w:after="0" w:line="251" w:lineRule="auto"/>
        <w:tabs>
          <w:tab w:leader="none" w:pos="772"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3" w:lineRule="exact"/>
        <w:rPr>
          <w:rFonts w:ascii="Courier New" w:cs="Courier New" w:eastAsia="Courier New" w:hAnsi="Courier New"/>
          <w:sz w:val="14"/>
          <w:szCs w:val="14"/>
          <w:color w:val="auto"/>
        </w:rPr>
      </w:pPr>
    </w:p>
    <w:p>
      <w:pPr>
        <w:ind w:left="772" w:right="4119" w:hanging="427"/>
        <w:spacing w:after="0" w:line="255" w:lineRule="auto"/>
        <w:tabs>
          <w:tab w:leader="none" w:pos="772"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772" w:hanging="427"/>
        <w:spacing w:after="0"/>
        <w:tabs>
          <w:tab w:leader="none" w:pos="772"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472" w:right="3419" w:hanging="696"/>
        <w:spacing w:after="0" w:line="251" w:lineRule="auto"/>
        <w:tabs>
          <w:tab w:leader="none" w:pos="1472" w:val="left"/>
        </w:tabs>
        <w:numPr>
          <w:ilvl w:val="2"/>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1"/>
          </w:cols>
          <w:pgMar w:left="228" w:top="782" w:right="1440" w:bottom="1440" w:gutter="0" w:footer="0" w:header="0"/>
        </w:sectPr>
      </w:pPr>
    </w:p>
    <w:bookmarkStart w:id="303" w:name="page304"/>
    <w:bookmarkEnd w:id="303"/>
    <w:p>
      <w:pPr>
        <w:ind w:left="696" w:right="3419" w:hanging="696"/>
        <w:spacing w:after="0" w:line="250" w:lineRule="auto"/>
        <w:tabs>
          <w:tab w:leader="none" w:pos="696"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83" w:lineRule="exact"/>
        <w:rPr>
          <w:rFonts w:ascii="Courier New" w:cs="Courier New" w:eastAsia="Courier New" w:hAnsi="Courier New"/>
          <w:sz w:val="14"/>
          <w:szCs w:val="14"/>
          <w:color w:val="auto"/>
        </w:rPr>
      </w:pPr>
    </w:p>
    <w:p>
      <w:pPr>
        <w:ind w:left="696" w:right="3419" w:hanging="696"/>
        <w:spacing w:after="0" w:line="251" w:lineRule="auto"/>
        <w:tabs>
          <w:tab w:leader="none" w:pos="696"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w:t>
      </w:r>
    </w:p>
    <w:p>
      <w:pPr>
        <w:sectPr>
          <w:pgSz w:w="11900" w:h="16838" w:orient="portrait"/>
          <w:cols w:equalWidth="0" w:num="1">
            <w:col w:w="9456"/>
          </w:cols>
          <w:pgMar w:left="1004" w:top="782" w:right="1440" w:bottom="1440" w:gutter="0" w:footer="0" w:header="0"/>
        </w:sectPr>
      </w:pPr>
    </w:p>
    <w:bookmarkStart w:id="304" w:name="page305"/>
    <w:bookmarkEnd w:id="304"/>
    <w:p>
      <w:pPr>
        <w:ind w:left="1127" w:right="3419"/>
        <w:spacing w:after="0" w:line="251" w:lineRule="auto"/>
        <w:rPr>
          <w:sz w:val="20"/>
          <w:szCs w:val="20"/>
          <w:color w:val="auto"/>
        </w:rPr>
      </w:pPr>
      <w:r>
        <w:rPr>
          <w:rFonts w:ascii="Courier New" w:cs="Courier New" w:eastAsia="Courier New" w:hAnsi="Courier New"/>
          <w:sz w:val="14"/>
          <w:szCs w:val="14"/>
          <w:color w:val="auto"/>
        </w:rPr>
        <w:t>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5" w:lineRule="exact"/>
        <w:rPr>
          <w:sz w:val="20"/>
          <w:szCs w:val="20"/>
          <w:color w:val="auto"/>
        </w:rPr>
      </w:pPr>
    </w:p>
    <w:p>
      <w:pPr>
        <w:ind w:left="1127" w:right="3419" w:hanging="696"/>
        <w:spacing w:after="0" w:line="251" w:lineRule="auto"/>
        <w:tabs>
          <w:tab w:leader="none" w:pos="1127"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1127" w:right="3419" w:hanging="696"/>
        <w:spacing w:after="0" w:line="251" w:lineRule="auto"/>
        <w:tabs>
          <w:tab w:leader="none" w:pos="1127"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1127" w:right="3519" w:hanging="696"/>
        <w:spacing w:after="0" w:line="252" w:lineRule="auto"/>
        <w:tabs>
          <w:tab w:leader="none" w:pos="1127"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3" w:lineRule="exact"/>
        <w:rPr>
          <w:rFonts w:ascii="Courier New" w:cs="Courier New" w:eastAsia="Courier New" w:hAnsi="Courier New"/>
          <w:sz w:val="14"/>
          <w:szCs w:val="14"/>
          <w:color w:val="auto"/>
        </w:rPr>
      </w:pPr>
    </w:p>
    <w:p>
      <w:pPr>
        <w:ind w:left="427"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ectPr>
          <w:pgSz w:w="11900" w:h="16838" w:orient="portrait"/>
          <w:cols w:equalWidth="0" w:num="1">
            <w:col w:w="9886"/>
          </w:cols>
          <w:pgMar w:left="573" w:top="781" w:right="1440" w:bottom="1440" w:gutter="0" w:footer="0" w:header="0"/>
        </w:sectPr>
      </w:pPr>
    </w:p>
    <w:bookmarkStart w:id="305" w:name="page306"/>
    <w:bookmarkEnd w:id="305"/>
    <w:p>
      <w:pPr>
        <w:ind w:left="427" w:right="3419" w:hanging="427"/>
        <w:spacing w:after="0" w:line="250" w:lineRule="auto"/>
        <w:tabs>
          <w:tab w:leader="none" w:pos="42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4" w:lineRule="exact"/>
        <w:rPr>
          <w:rFonts w:ascii="Courier New" w:cs="Courier New" w:eastAsia="Courier New" w:hAnsi="Courier New"/>
          <w:sz w:val="14"/>
          <w:szCs w:val="14"/>
          <w:color w:val="auto"/>
        </w:rPr>
      </w:pPr>
    </w:p>
    <w:p>
      <w:pPr>
        <w:ind w:left="427" w:right="3599" w:hanging="427"/>
        <w:spacing w:after="0" w:line="250" w:lineRule="auto"/>
        <w:tabs>
          <w:tab w:leader="none" w:pos="42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2" w:lineRule="exact"/>
        <w:rPr>
          <w:rFonts w:ascii="Courier New" w:cs="Courier New" w:eastAsia="Courier New" w:hAnsi="Courier New"/>
          <w:sz w:val="14"/>
          <w:szCs w:val="14"/>
          <w:color w:val="auto"/>
        </w:rPr>
      </w:pPr>
    </w:p>
    <w:p>
      <w:pPr>
        <w:ind w:left="427" w:right="3519" w:hanging="427"/>
        <w:spacing w:after="0" w:line="252" w:lineRule="auto"/>
        <w:tabs>
          <w:tab w:leader="none" w:pos="42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w:t>
      </w:r>
    </w:p>
    <w:p>
      <w:pPr>
        <w:sectPr>
          <w:pgSz w:w="11900" w:h="16838" w:orient="portrait"/>
          <w:cols w:equalWidth="0" w:num="1">
            <w:col w:w="9886"/>
          </w:cols>
          <w:pgMar w:left="573" w:top="947" w:right="1440" w:bottom="1440" w:gutter="0" w:footer="0" w:header="0"/>
        </w:sectPr>
      </w:pPr>
    </w:p>
    <w:bookmarkStart w:id="306" w:name="page307"/>
    <w:bookmarkEnd w:id="306"/>
    <w:p>
      <w:pPr>
        <w:ind w:left="772" w:right="3519"/>
        <w:spacing w:after="0" w:line="252" w:lineRule="auto"/>
        <w:rPr>
          <w:sz w:val="20"/>
          <w:szCs w:val="20"/>
          <w:color w:val="auto"/>
        </w:rPr>
      </w:pPr>
      <w:r>
        <w:rPr>
          <w:rFonts w:ascii="Courier New" w:cs="Courier New" w:eastAsia="Courier New" w:hAnsi="Courier New"/>
          <w:sz w:val="14"/>
          <w:szCs w:val="14"/>
          <w:color w:val="auto"/>
        </w:rPr>
        <w:t>as otherwise expressly provided in the Plan, no adjustments shall be made for dividends or other rights for which the record date is prior to issuance of the Common Stock.</w:t>
      </w:r>
    </w:p>
    <w:p>
      <w:pPr>
        <w:spacing w:after="0" w:line="163" w:lineRule="exact"/>
        <w:rPr>
          <w:sz w:val="20"/>
          <w:szCs w:val="20"/>
          <w:color w:val="auto"/>
        </w:rPr>
      </w:pPr>
    </w:p>
    <w:p>
      <w:pPr>
        <w:ind w:left="772" w:right="3419" w:hanging="427"/>
        <w:spacing w:after="0" w:line="251" w:lineRule="auto"/>
        <w:tabs>
          <w:tab w:leader="none" w:pos="772"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3"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1"/>
          </w:cols>
          <w:pgMar w:left="228" w:top="781" w:right="1440" w:bottom="1440" w:gutter="0" w:footer="0" w:header="0"/>
        </w:sectPr>
      </w:pPr>
    </w:p>
    <w:bookmarkStart w:id="307" w:name="page308"/>
    <w:bookmarkEnd w:id="307"/>
    <w:p>
      <w:pPr>
        <w:ind w:left="772" w:right="3519"/>
        <w:spacing w:after="0" w:line="255"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60" w:lineRule="exact"/>
        <w:rPr>
          <w:sz w:val="20"/>
          <w:szCs w:val="20"/>
          <w:color w:val="auto"/>
        </w:rPr>
      </w:pPr>
    </w:p>
    <w:p>
      <w:pPr>
        <w:ind w:left="772" w:right="3519" w:hanging="427"/>
        <w:spacing w:after="0" w:line="255" w:lineRule="auto"/>
        <w:tabs>
          <w:tab w:leader="none" w:pos="772"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772" w:right="3939" w:hanging="427"/>
        <w:spacing w:after="0" w:line="252" w:lineRule="auto"/>
        <w:tabs>
          <w:tab w:leader="none" w:pos="772"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2" w:lineRule="exact"/>
        <w:rPr>
          <w:rFonts w:ascii="Courier New" w:cs="Courier New" w:eastAsia="Courier New" w:hAnsi="Courier New"/>
          <w:sz w:val="14"/>
          <w:szCs w:val="14"/>
          <w:color w:val="auto"/>
        </w:rPr>
      </w:pPr>
    </w:p>
    <w:p>
      <w:pPr>
        <w:ind w:left="772" w:right="3779" w:hanging="427"/>
        <w:spacing w:after="0" w:line="252" w:lineRule="auto"/>
        <w:tabs>
          <w:tab w:leader="none" w:pos="772"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1"/>
          </w:cols>
          <w:pgMar w:left="228" w:top="781" w:right="1440" w:bottom="1440" w:gutter="0" w:footer="0" w:header="0"/>
        </w:sectPr>
      </w:pPr>
    </w:p>
    <w:bookmarkStart w:id="308" w:name="page309"/>
    <w:bookmarkEnd w:id="308"/>
    <w:p>
      <w:pPr>
        <w:ind w:left="3012"/>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338" w:lineRule="exact"/>
        <w:rPr>
          <w:sz w:val="20"/>
          <w:szCs w:val="20"/>
          <w:color w:val="auto"/>
        </w:rPr>
      </w:pPr>
    </w:p>
    <w:p>
      <w:pPr>
        <w:ind w:left="352" w:right="3519" w:hanging="352"/>
        <w:spacing w:after="0" w:line="251" w:lineRule="auto"/>
        <w:tabs>
          <w:tab w:leader="none" w:pos="35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64" w:lineRule="exact"/>
        <w:rPr>
          <w:rFonts w:ascii="Courier New" w:cs="Courier New" w:eastAsia="Courier New" w:hAnsi="Courier New"/>
          <w:sz w:val="14"/>
          <w:szCs w:val="14"/>
          <w:color w:val="auto"/>
        </w:rPr>
      </w:pPr>
    </w:p>
    <w:p>
      <w:pPr>
        <w:ind w:left="352" w:right="3519" w:hanging="352"/>
        <w:spacing w:after="0" w:line="252" w:lineRule="auto"/>
        <w:tabs>
          <w:tab w:leader="none" w:pos="35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as of August 1, 1991, subject to the approval of the stockholders of the Company at its Annual Meeting of Stockholders on December 10, 1991, and shall continue in effect unless and until terminated by the Board of Directors of the Company.</w:t>
      </w:r>
    </w:p>
    <w:p>
      <w:pPr>
        <w:spacing w:after="0" w:line="162" w:lineRule="exact"/>
        <w:rPr>
          <w:rFonts w:ascii="Courier New" w:cs="Courier New" w:eastAsia="Courier New" w:hAnsi="Courier New"/>
          <w:sz w:val="14"/>
          <w:szCs w:val="14"/>
          <w:color w:val="auto"/>
        </w:rPr>
      </w:pPr>
    </w:p>
    <w:p>
      <w:pPr>
        <w:ind w:left="352" w:right="3859" w:hanging="352"/>
        <w:spacing w:after="0" w:line="250" w:lineRule="auto"/>
        <w:tabs>
          <w:tab w:leader="none" w:pos="35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w:t>
      </w:r>
    </w:p>
    <w:p>
      <w:pPr>
        <w:spacing w:after="0" w:line="1"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6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64" w:lineRule="exact"/>
        <w:rPr>
          <w:rFonts w:ascii="Courier New" w:cs="Courier New" w:eastAsia="Courier New" w:hAnsi="Courier New"/>
          <w:sz w:val="14"/>
          <w:szCs w:val="14"/>
          <w:color w:val="auto"/>
        </w:rPr>
      </w:pPr>
    </w:p>
    <w:p>
      <w:pPr>
        <w:ind w:left="352" w:right="3519" w:hanging="352"/>
        <w:spacing w:after="0" w:line="252" w:lineRule="auto"/>
        <w:tabs>
          <w:tab w:leader="none" w:pos="35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shall grant, in addition to a three year Performance Award, a</w:t>
      </w:r>
    </w:p>
    <w:p>
      <w:pPr>
        <w:sectPr>
          <w:pgSz w:w="11900" w:h="16838" w:orient="portrait"/>
          <w:cols w:equalWidth="0" w:num="1">
            <w:col w:w="10231"/>
          </w:cols>
          <w:pgMar w:left="228" w:top="781" w:right="1440" w:bottom="1440" w:gutter="0" w:footer="0" w:header="0"/>
        </w:sectPr>
      </w:pPr>
    </w:p>
    <w:bookmarkStart w:id="309" w:name="page310"/>
    <w:bookmarkEnd w:id="309"/>
    <w:p>
      <w:pPr>
        <w:ind w:left="427" w:right="3419"/>
        <w:spacing w:after="0" w:line="250" w:lineRule="auto"/>
        <w:rPr>
          <w:sz w:val="20"/>
          <w:szCs w:val="20"/>
          <w:color w:val="auto"/>
        </w:rPr>
      </w:pPr>
      <w:r>
        <w:rPr>
          <w:rFonts w:ascii="Courier New" w:cs="Courier New" w:eastAsia="Courier New" w:hAnsi="Courier New"/>
          <w:sz w:val="14"/>
          <w:szCs w:val="14"/>
          <w:color w:val="auto"/>
        </w:rPr>
        <w:t>Performance Award having a term of one fiscal year and a Performance Award having a term of two fiscal years, such that an award shall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172" w:lineRule="exact"/>
        <w:rPr>
          <w:sz w:val="20"/>
          <w:szCs w:val="20"/>
          <w:color w:val="auto"/>
        </w:rPr>
      </w:pPr>
    </w:p>
    <w:p>
      <w:pPr>
        <w:ind w:left="427" w:right="3519"/>
        <w:spacing w:after="0" w:line="251"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paragraph 5.c.ii hereof.</w:t>
      </w:r>
    </w:p>
    <w:p>
      <w:pPr>
        <w:spacing w:after="0" w:line="330" w:lineRule="exact"/>
        <w:rPr>
          <w:sz w:val="20"/>
          <w:szCs w:val="20"/>
          <w:color w:val="auto"/>
        </w:rPr>
      </w:pPr>
    </w:p>
    <w:p>
      <w:pPr>
        <w:ind w:left="427" w:right="3419" w:hanging="427"/>
        <w:spacing w:after="0" w:line="252" w:lineRule="auto"/>
        <w:tabs>
          <w:tab w:leader="none" w:pos="42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Except as otherwise permitted under this Plan, Performance Awards, whether one year, two year or three year awards, shall be granted as of the date which marks the first day of any Award Term.</w:t>
      </w:r>
    </w:p>
    <w:p>
      <w:pPr>
        <w:spacing w:after="0" w:line="162" w:lineRule="exact"/>
        <w:rPr>
          <w:rFonts w:ascii="Courier New" w:cs="Courier New" w:eastAsia="Courier New" w:hAnsi="Courier New"/>
          <w:sz w:val="14"/>
          <w:szCs w:val="14"/>
          <w:color w:val="auto"/>
        </w:rPr>
      </w:pPr>
    </w:p>
    <w:p>
      <w:pPr>
        <w:ind w:left="427" w:hanging="427"/>
        <w:spacing w:after="0"/>
        <w:tabs>
          <w:tab w:leader="none" w:pos="42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AWARD.</w:t>
      </w:r>
    </w:p>
    <w:p>
      <w:pPr>
        <w:spacing w:after="0" w:line="172" w:lineRule="exact"/>
        <w:rPr>
          <w:rFonts w:ascii="Courier New" w:cs="Courier New" w:eastAsia="Courier New" w:hAnsi="Courier New"/>
          <w:sz w:val="14"/>
          <w:szCs w:val="14"/>
          <w:color w:val="auto"/>
        </w:rPr>
      </w:pPr>
    </w:p>
    <w:p>
      <w:pPr>
        <w:ind w:left="867" w:right="3419" w:hanging="436"/>
        <w:spacing w:after="0" w:line="251" w:lineRule="auto"/>
        <w:tabs>
          <w:tab w:leader="none" w:pos="867"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performance factor (such as .25, .50, 1.0, etc.) determined by the Committee, which is intended to reflect the Participant's ability to influence the financial results of the Company and the Participant's relative seniority within management. The maximum dollar amount of the Award Maximum of each Performance Award shall be set by the Committee at the time of grant of such award.</w:t>
      </w:r>
    </w:p>
    <w:p>
      <w:pPr>
        <w:spacing w:after="0" w:line="162" w:lineRule="exact"/>
        <w:rPr>
          <w:rFonts w:ascii="Courier New" w:cs="Courier New" w:eastAsia="Courier New" w:hAnsi="Courier New"/>
          <w:sz w:val="14"/>
          <w:szCs w:val="14"/>
          <w:color w:val="auto"/>
        </w:rPr>
      </w:pPr>
    </w:p>
    <w:p>
      <w:pPr>
        <w:ind w:left="867"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The maximum amount that may be paid with respect to a Performance Award granted to a person referred tp om Section 162(m) shall be determined based on an estimate of such base compensation to be paid during a one-year Award Term or the last fiscal year of a multiple year Award Term, and the maximum dollar amount of the Award Maximum shall be set by the Committee at the time of grant of such award. Performance factors applicable to such persons shall be as follows:</w:t>
      </w:r>
    </w:p>
    <w:p>
      <w:pPr>
        <w:spacing w:after="0" w:line="329"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86"/>
          </w:cols>
          <w:pgMar w:left="573" w:top="616" w:right="1440" w:bottom="1440" w:gutter="0" w:footer="0" w:header="0"/>
        </w:sectPr>
      </w:pPr>
    </w:p>
    <w:bookmarkStart w:id="310" w:name="page311"/>
    <w:bookmarkEnd w:id="310"/>
    <w:tbl>
      <w:tblPr>
        <w:tblLayout w:type="fixed"/>
        <w:tblInd w:w="1287"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President and Chief Operating 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Officers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170" w:lineRule="exact"/>
        <w:rPr>
          <w:sz w:val="20"/>
          <w:szCs w:val="20"/>
          <w:color w:val="auto"/>
        </w:rPr>
      </w:pPr>
    </w:p>
    <w:p>
      <w:pPr>
        <w:ind w:left="867" w:right="3519" w:hanging="436"/>
        <w:spacing w:after="0" w:line="250" w:lineRule="auto"/>
        <w:tabs>
          <w:tab w:leader="none" w:pos="867"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and net income growth as compared with other similarly classified Fortune 500 companies (the "Performance Goal"), and the amount that shall be paid (the "Award Payment")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73" w:lineRule="exact"/>
        <w:rPr>
          <w:rFonts w:ascii="Courier New" w:cs="Courier New" w:eastAsia="Courier New" w:hAnsi="Courier New"/>
          <w:sz w:val="14"/>
          <w:szCs w:val="14"/>
          <w:color w:val="auto"/>
        </w:rPr>
      </w:pPr>
    </w:p>
    <w:p>
      <w:pPr>
        <w:ind w:left="427" w:hanging="427"/>
        <w:spacing w:after="0"/>
        <w:tabs>
          <w:tab w:leader="none" w:pos="42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AWARD PAYMENT.</w:t>
      </w:r>
    </w:p>
    <w:p>
      <w:pPr>
        <w:spacing w:after="0" w:line="172" w:lineRule="exact"/>
        <w:rPr>
          <w:rFonts w:ascii="Courier New" w:cs="Courier New" w:eastAsia="Courier New" w:hAnsi="Courier New"/>
          <w:sz w:val="14"/>
          <w:szCs w:val="14"/>
          <w:color w:val="auto"/>
        </w:rPr>
      </w:pPr>
    </w:p>
    <w:p>
      <w:pPr>
        <w:ind w:left="867" w:right="3419" w:hanging="436"/>
        <w:spacing w:after="0" w:line="250" w:lineRule="auto"/>
        <w:tabs>
          <w:tab w:leader="none" w:pos="867"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and net income growth for each fiscal year shall be converted to a percentile score (the Percentile Score) by comparing the ROBE and net income growth to comparable data for all companies in the Industrial and Farm Equipment Group of Fortune 500 (as reported for the calendar year ended during such fiscal year). The one year Percentile Score shall be used to determine the Award Payment with respect to a one year Award Term and the average of the Percentile Scores for a two or three year Award Term shall be used in determining the Award Payment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Payment with respect to a Performance Award covering two or three fiscal years shall not be earned or paid until the completion of the final fiscal year of the Award Term. However, no award payment will be earned or paid to any participant during the first six months of any Award Term.</w:t>
      </w:r>
    </w:p>
    <w:p>
      <w:pPr>
        <w:spacing w:after="0" w:line="343"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86"/>
          </w:cols>
          <w:pgMar w:left="573" w:top="615" w:right="1440" w:bottom="1440" w:gutter="0" w:footer="0" w:header="0"/>
        </w:sectPr>
      </w:pPr>
    </w:p>
    <w:bookmarkStart w:id="311" w:name="page312"/>
    <w:bookmarkEnd w:id="311"/>
    <w:p>
      <w:pPr>
        <w:ind w:left="867" w:right="3519" w:hanging="436"/>
        <w:spacing w:after="0" w:line="251" w:lineRule="auto"/>
        <w:tabs>
          <w:tab w:leader="none" w:pos="867"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5.d., any individual who has participated in the Plan for less than a full fiscal year during a one-year Award Term shall receive a payment only for that portion of the fiscal year during which the individual was a Participant (expressed as a percentage and based on a 360 day year).</w:t>
      </w:r>
    </w:p>
    <w:p>
      <w:pPr>
        <w:spacing w:after="0" w:line="164" w:lineRule="exact"/>
        <w:rPr>
          <w:rFonts w:ascii="Courier New" w:cs="Courier New" w:eastAsia="Courier New" w:hAnsi="Courier New"/>
          <w:sz w:val="14"/>
          <w:szCs w:val="14"/>
          <w:color w:val="auto"/>
        </w:rPr>
      </w:pPr>
    </w:p>
    <w:p>
      <w:pPr>
        <w:ind w:left="427" w:right="3519" w:hanging="427"/>
        <w:spacing w:after="0" w:line="252" w:lineRule="auto"/>
        <w:tabs>
          <w:tab w:leader="none" w:pos="42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Notwithstanding any other provision of this Plan, the Maximum Award Payment with respect to any Performance Award is $1,100,000.</w:t>
      </w:r>
    </w:p>
    <w:p>
      <w:pPr>
        <w:spacing w:after="0" w:line="16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Subject to the provisions of subparagraph 5.g.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 provided, however, that a Participant may elect to defer receipt of the cash payment for investment in a deferred compensation account in accordance with the Company's usual procedures, provided that such deferred compensation account shall be maintained in cash or cash equivalents and not in the equity securities of the Company. An election to defer shall be made by the Participant not later than 61 days prior to the last day of an applicable Award Term, and if deemed to be required by applicable securities laws or regulations, shall be made during a period that qualifies as a "window period" for purposes of rules and regulations under the Exchange Act.</w:t>
      </w:r>
    </w:p>
    <w:p>
      <w:pPr>
        <w:spacing w:after="0" w:line="173"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one-year Award Term, any such Performance Award shall become immediately payable and the calculation of the amount payable shall be based on the ROBE and net income growth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any parent of or successor to the Company."</w:t>
      </w:r>
    </w:p>
    <w:p>
      <w:pPr>
        <w:spacing w:after="0" w:line="340"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86"/>
          </w:cols>
          <w:pgMar w:left="573" w:top="616" w:right="1440" w:bottom="1440" w:gutter="0" w:footer="0" w:header="0"/>
        </w:sectPr>
      </w:pPr>
    </w:p>
    <w:bookmarkStart w:id="312" w:name="page313"/>
    <w:bookmarkEnd w:id="312"/>
    <w:p>
      <w:pPr>
        <w:ind w:left="772" w:right="3519" w:hanging="427"/>
        <w:spacing w:after="0" w:line="251" w:lineRule="auto"/>
        <w:tabs>
          <w:tab w:leader="none" w:pos="772"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64" w:lineRule="exact"/>
        <w:rPr>
          <w:rFonts w:ascii="Courier New" w:cs="Courier New" w:eastAsia="Courier New" w:hAnsi="Courier New"/>
          <w:sz w:val="14"/>
          <w:szCs w:val="14"/>
          <w:color w:val="auto"/>
        </w:rPr>
      </w:pPr>
    </w:p>
    <w:p>
      <w:pPr>
        <w:ind w:left="1212" w:right="3519" w:hanging="436"/>
        <w:spacing w:after="0" w:line="251" w:lineRule="auto"/>
        <w:tabs>
          <w:tab w:leader="none" w:pos="1212" w:val="left"/>
        </w:tabs>
        <w:numPr>
          <w:ilvl w:val="2"/>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Payment shall be paid if otherwise earned in accordance with subparagraph 5.d. hereof, with respect to the portion of the applicable Award Term completed at the date of such event (based on a 360 day year and expressed as a percentage). The amount shall be calculated and paid in accordance with the applicable provisions of subparagraphs 5.d. and 5.e., notwithstanding the earlier occurrence of such event.</w:t>
      </w:r>
    </w:p>
    <w:p>
      <w:pPr>
        <w:spacing w:after="0" w:line="163" w:lineRule="exact"/>
        <w:rPr>
          <w:rFonts w:ascii="Courier New" w:cs="Courier New" w:eastAsia="Courier New" w:hAnsi="Courier New"/>
          <w:sz w:val="14"/>
          <w:szCs w:val="14"/>
          <w:color w:val="auto"/>
        </w:rPr>
      </w:pPr>
    </w:p>
    <w:p>
      <w:pPr>
        <w:ind w:left="1212" w:right="3419" w:hanging="436"/>
        <w:spacing w:after="0" w:line="251" w:lineRule="auto"/>
        <w:tabs>
          <w:tab w:leader="none" w:pos="1212" w:val="left"/>
        </w:tabs>
        <w:numPr>
          <w:ilvl w:val="2"/>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Payment shall be paid, if otherwise earned in accordance with subparagraph 5.d. hereof, with respect to the portion of the applicable Award Term completed at the date of such event (based on a 360 day year and expressed as a percentage). Any payment made under this subparagraph 5.g. shall be based on the ROBE of the Company for the fiscal period then most recently ended and the most recent Fortune 500 publication then available.</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164" w:lineRule="exact"/>
        <w:rPr>
          <w:rFonts w:ascii="Courier New" w:cs="Courier New" w:eastAsia="Courier New" w:hAnsi="Courier New"/>
          <w:sz w:val="14"/>
          <w:szCs w:val="14"/>
          <w:color w:val="auto"/>
        </w:rPr>
      </w:pPr>
    </w:p>
    <w:p>
      <w:pPr>
        <w:ind w:left="772" w:right="3859" w:hanging="427"/>
        <w:spacing w:after="0" w:line="255" w:lineRule="auto"/>
        <w:tabs>
          <w:tab w:leader="none" w:pos="772"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59" w:lineRule="exact"/>
        <w:rPr>
          <w:rFonts w:ascii="Courier New" w:cs="Courier New" w:eastAsia="Courier New" w:hAnsi="Courier New"/>
          <w:sz w:val="14"/>
          <w:szCs w:val="14"/>
          <w:color w:val="auto"/>
        </w:rPr>
      </w:pPr>
    </w:p>
    <w:p>
      <w:pPr>
        <w:ind w:left="772" w:right="3519" w:hanging="427"/>
        <w:spacing w:after="0" w:line="250" w:lineRule="auto"/>
        <w:tabs>
          <w:tab w:leader="none" w:pos="772"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subject to an option granted to a Participant (the "Option Amount") shall be determined by: multiplying</w:t>
      </w:r>
    </w:p>
    <w:p>
      <w:pPr>
        <w:ind w:left="772"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estimated base compensation of the Participant during the first fiscal year of the Award Term, as determined by the Human Resources department of the Company, exclusive of any bonus or other incentive compensation but including deferred compensation; times (b) the performance factor described in subparagraph 5.c.i above; times</w:t>
      </w:r>
    </w:p>
    <w:p>
      <w:pPr>
        <w:spacing w:after="0" w:line="2" w:lineRule="exact"/>
        <w:rPr>
          <w:rFonts w:ascii="Courier New" w:cs="Courier New" w:eastAsia="Courier New" w:hAnsi="Courier New"/>
          <w:sz w:val="14"/>
          <w:szCs w:val="14"/>
          <w:color w:val="auto"/>
        </w:rPr>
      </w:pPr>
    </w:p>
    <w:p>
      <w:pPr>
        <w:ind w:left="77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1.0 for a one-year Award Term, 1.05 for a two-year Award Term, and 1.1 for a three-year Award Term; and dividing that result by (d) the Fair Market Value of one share of the Common Stock of the Company determined in accordance with subparagraph 6.d. hereof.</w:t>
      </w:r>
    </w:p>
    <w:p>
      <w:pPr>
        <w:spacing w:after="0" w:line="328"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1"/>
          </w:cols>
          <w:pgMar w:left="228" w:top="616" w:right="1440" w:bottom="1440" w:gutter="0" w:footer="0" w:header="0"/>
        </w:sectPr>
      </w:pPr>
    </w:p>
    <w:bookmarkStart w:id="313" w:name="page314"/>
    <w:bookmarkEnd w:id="313"/>
    <w:p>
      <w:pPr>
        <w:ind w:left="427" w:right="3419" w:hanging="427"/>
        <w:spacing w:after="0" w:line="250" w:lineRule="auto"/>
        <w:tabs>
          <w:tab w:leader="none" w:pos="42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6.b., the number of shares subject to an option shall be subject to reduction as follows: If the Company's Percentile Score (or average Percentile Score for a multiple year Award Term) as calculated in accordance with subparagraph 5.d.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5.d. above. Thus, if the Company does not achieve a performance equal to at least the 25th percentile as herein provided for the Award Term, the option shall expire automatically. The calculation required by this subparagraph shall be made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339" w:lineRule="exact"/>
        <w:rPr>
          <w:rFonts w:ascii="Courier New" w:cs="Courier New" w:eastAsia="Courier New" w:hAnsi="Courier New"/>
          <w:sz w:val="14"/>
          <w:szCs w:val="14"/>
          <w:color w:val="auto"/>
        </w:rPr>
      </w:pPr>
    </w:p>
    <w:p>
      <w:pPr>
        <w:ind w:left="427" w:right="3419" w:hanging="427"/>
        <w:spacing w:after="0" w:line="251" w:lineRule="auto"/>
        <w:tabs>
          <w:tab w:leader="none" w:pos="42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per share under any option shall be the Fair Market Value of one share of the Common Stock of the Company. The Fair Market Value of one share of the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63" w:lineRule="exact"/>
        <w:rPr>
          <w:rFonts w:ascii="Courier New" w:cs="Courier New" w:eastAsia="Courier New" w:hAnsi="Courier New"/>
          <w:sz w:val="14"/>
          <w:szCs w:val="14"/>
          <w:color w:val="auto"/>
        </w:rPr>
      </w:pPr>
    </w:p>
    <w:p>
      <w:pPr>
        <w:ind w:left="427" w:right="3419" w:hanging="427"/>
        <w:spacing w:after="0" w:line="251" w:lineRule="auto"/>
        <w:tabs>
          <w:tab w:leader="none" w:pos="42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with respect to any Performance Award, or the portion thereof which remains after application of subparagraph 6.c. above, shall become exercisable on the date the Committee notifies the Participants in accordance with subparagraph 6.c., and may be exercised until 90 days following the Company's public year-end earnings announcement.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6.c. shall not be applicable.</w:t>
      </w:r>
    </w:p>
    <w:p>
      <w:pPr>
        <w:spacing w:after="0" w:line="163" w:lineRule="exact"/>
        <w:rPr>
          <w:rFonts w:ascii="Courier New" w:cs="Courier New" w:eastAsia="Courier New" w:hAnsi="Courier New"/>
          <w:sz w:val="14"/>
          <w:szCs w:val="14"/>
          <w:color w:val="auto"/>
        </w:rPr>
      </w:pPr>
    </w:p>
    <w:p>
      <w:pPr>
        <w:ind w:left="427" w:right="3419" w:hanging="427"/>
        <w:spacing w:after="0" w:line="251" w:lineRule="auto"/>
        <w:tabs>
          <w:tab w:leader="none" w:pos="42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6.e. above.</w:t>
      </w:r>
    </w:p>
    <w:p>
      <w:pPr>
        <w:spacing w:after="0" w:line="330"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86"/>
          </w:cols>
          <w:pgMar w:left="573" w:top="616" w:right="1440" w:bottom="1440" w:gutter="0" w:footer="0" w:header="0"/>
        </w:sectPr>
      </w:pPr>
    </w:p>
    <w:bookmarkStart w:id="314" w:name="page315"/>
    <w:bookmarkEnd w:id="314"/>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MANAGEMENT RETIREMENT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Toro Company hereby amends and restates its Supplemental Management Retirement Plan originally effective as of August 1, 1989, and amended and restated on November 6, 1991. This amendment and restatement is effective as of January 1, 1996. The Supplemental Management Retirement Plan is maintained by The Toro Company for the purpose of providing benefits for certain of its employees who participate in The Toro Company's Pension Plan or Profit Sharing Plan or in both such plans in excess of the limitations on benefits and contributions imposed by Section 401(a)(17) or Section 415 of the Internal Revenue Code on plans to which those sections apply.</w:t>
      </w:r>
    </w:p>
    <w:p>
      <w:pPr>
        <w:spacing w:after="0" w:line="32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DEFINITIONS</w:t>
      </w:r>
    </w:p>
    <w:p>
      <w:pPr>
        <w:spacing w:after="0" w:line="33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1.1 When used in this Plan document, the following terms have the meanings indicated unless a different meaning is plainly required by the context.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"Affiliate or Associate", for purposes of the definition of Change of Control, shall have the respective meanings ascribed to such terms in Rule 12b-2 of the General Rules and Regulations under the Securities Exchange Act of 1934, as amended (hereinafter referred to as the "Exchange Act").</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"Beneficiary" means the person or persons selected by the Participant on a form provided by the Company to receive the benefits provided under this Plan in the event of the Participant's death.</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"Beneficial Owner", for purposes of the definition of Change of Control, a Person shall be deemed the "Beneficial Owner" of and shall be deemed to "beneficially own" any securities:</w:t>
      </w:r>
    </w:p>
    <w:p>
      <w:pPr>
        <w:spacing w:after="0" w:line="163" w:lineRule="exact"/>
        <w:rPr>
          <w:sz w:val="20"/>
          <w:szCs w:val="20"/>
          <w:color w:val="auto"/>
        </w:rPr>
      </w:pPr>
    </w:p>
    <w:p>
      <w:pPr>
        <w:ind w:left="360" w:right="4199" w:firstLine="424"/>
        <w:spacing w:after="0" w:line="255" w:lineRule="auto"/>
        <w:tabs>
          <w:tab w:leader="none" w:pos="1308"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beneficially owns, directly or indirectly;</w:t>
      </w:r>
    </w:p>
    <w:p>
      <w:pPr>
        <w:spacing w:after="0" w:line="159" w:lineRule="exact"/>
        <w:rPr>
          <w:rFonts w:ascii="Courier New" w:cs="Courier New" w:eastAsia="Courier New" w:hAnsi="Courier New"/>
          <w:sz w:val="14"/>
          <w:szCs w:val="14"/>
          <w:color w:val="auto"/>
        </w:rPr>
      </w:pPr>
    </w:p>
    <w:p>
      <w:pPr>
        <w:ind w:left="360" w:right="3419" w:firstLine="424"/>
        <w:spacing w:after="0" w:line="250" w:lineRule="auto"/>
        <w:tabs>
          <w:tab w:leader="none" w:pos="1308"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w:t>
      </w:r>
    </w:p>
    <w:p>
      <w:pPr>
        <w:spacing w:after="0" w:line="3"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w:t>
      </w:r>
    </w:p>
    <w:p>
      <w:pPr>
        <w:sectPr>
          <w:pgSz w:w="11900" w:h="16838" w:orient="portrait"/>
          <w:cols w:equalWidth="0" w:num="1">
            <w:col w:w="10239"/>
          </w:cols>
          <w:pgMar w:left="220" w:top="782" w:right="1440" w:bottom="1440" w:gutter="0" w:footer="0" w:header="0"/>
        </w:sectPr>
      </w:pPr>
    </w:p>
    <w:bookmarkStart w:id="315" w:name="page316"/>
    <w:bookmarkEnd w:id="315"/>
    <w:p>
      <w:pPr>
        <w:ind w:left="360" w:right="3599"/>
        <w:spacing w:after="0" w:line="251" w:lineRule="auto"/>
        <w:rPr>
          <w:sz w:val="20"/>
          <w:szCs w:val="20"/>
          <w:color w:val="auto"/>
        </w:rPr>
      </w:pPr>
      <w:r>
        <w:rPr>
          <w:rFonts w:ascii="Courier New" w:cs="Courier New" w:eastAsia="Courier New" w:hAnsi="Courier New"/>
          <w:sz w:val="14"/>
          <w:szCs w:val="14"/>
          <w:color w:val="auto"/>
        </w:rPr>
        <w:t>right to vote pursuant to any agreement, arrangement or understanding, provided, however, that a Person shall not be deemed the Beneficial Owner of, or to beneficially own, any security if the agreement, arrangement or understanding to vote such security (A) arises solely from a revocable proxy or consent given to such Person in response to a public proxy or consent solicitation made pursuant to, and in accordance with, the applicable rules and regulations of the Exchange Act and (B) is not also then reportable on Schedule 13D under the Exchange Act (or any comparable or successor report); or</w:t>
      </w:r>
    </w:p>
    <w:p>
      <w:pPr>
        <w:spacing w:after="0" w:line="164" w:lineRule="exact"/>
        <w:rPr>
          <w:sz w:val="20"/>
          <w:szCs w:val="20"/>
          <w:color w:val="auto"/>
        </w:rPr>
      </w:pPr>
    </w:p>
    <w:p>
      <w:pPr>
        <w:ind w:left="360" w:right="3519" w:firstLine="424"/>
        <w:spacing w:after="0" w:line="251" w:lineRule="auto"/>
        <w:tabs>
          <w:tab w:leader="none" w:pos="1308"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such Person's Affiliates or Associates has any agreement, arrangement or understanding for the purpose of acquiring, holding, voting (except to the extent contemplated by the proviso to subsection (b) herein) or disposing of any securities of the Company.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"Change of Control" shall mean the earliest to occur of (a) a public announcement that a Person and/or Affiliates and Associates of such Person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Person of</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of any parent of or successor to the Company.</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"Committee" means the Compensation Committee of the Board of Directors of the Company, or any successor committee.</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"Company" means The Toro Company.</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"Compensation" means compensation as defined in the Profit Sharing Plan plus any deferred compensation under The Toro Company Supplemental Retirement Plan.</w:t>
      </w:r>
    </w:p>
    <w:p>
      <w:pPr>
        <w:spacing w:after="0" w:line="16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"Eligibility Service" means eligibility service as defined in the Profit Sharing Plan.</w:t>
      </w:r>
    </w:p>
    <w:p>
      <w:pPr>
        <w:spacing w:after="0" w:line="160"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as amended.</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316" w:name="page317"/>
    <w:bookmarkEnd w:id="316"/>
    <w:p>
      <w:pPr>
        <w:ind w:left="360"/>
        <w:spacing w:after="0"/>
        <w:rPr>
          <w:sz w:val="20"/>
          <w:szCs w:val="20"/>
          <w:color w:val="auto"/>
        </w:rPr>
      </w:pPr>
      <w:r>
        <w:rPr>
          <w:rFonts w:ascii="Courier New" w:cs="Courier New" w:eastAsia="Courier New" w:hAnsi="Courier New"/>
          <w:sz w:val="14"/>
          <w:szCs w:val="14"/>
          <w:color w:val="auto"/>
        </w:rPr>
        <w:t>"Participant" means any key employee described in Article II of this Plan.</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"Pension Plan" means The Toro Company Retirement Plan for Office and Hourly Employees (the successor of The Toro Company Retirement Plan for Office Employees) or any successor or replacement plan.</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"Person" means, for purposes of the definition of Change of Control, any individual, corporation, partnership, trust or other entity, and shall include any successor (by merger or otherwise) of such entity. "Person" does not include the Company, any Subsidiary of the Company or any employee benefit plan of the Company or of any Subsidiary, or any entity holding shares of common stock of the Company for or pursuant to the terms of any such plan.</w:t>
      </w:r>
    </w:p>
    <w:p>
      <w:pPr>
        <w:spacing w:after="0" w:line="164"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"Plan" means The Toro Company Supplemental Management Retirement Plan, as of its original effective date, including any subsequent amendments thereto.</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"Plan Year" means the calendar year.</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"Profit Sharing Plan" means The Toro Company Investment and Savings Plan (prior to August 1, 1995, The Toro Company Profit-Sharing Plan for Office Employees) or any successor or replacement plan.</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"Subsidiary" shall mean, for purposes of the definition of Change of Control, any corporation which is a component member of the controlled group of corporations of which the Company is the common parent. Controlled group shall be determined by reference to Section 1563 of the Code but including any corporation described in Section 1563(b)(2) thereof.</w:t>
      </w:r>
    </w:p>
    <w:p>
      <w:pPr>
        <w:spacing w:after="0" w:line="165"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"Surviving Spouse" means the person who is married to a Participant at the date of his or her death and for at least one year prior thereto.</w:t>
      </w:r>
    </w:p>
    <w:p>
      <w:pPr>
        <w:spacing w:after="0" w:line="160"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"Trust" means the trust established or maintained by the Company which is used in connection with this Plan to assist the Company in meeting its obligations under the Plan and which is hereby incorporated into the Plan by this reference.</w:t>
      </w:r>
    </w:p>
    <w:p>
      <w:pPr>
        <w:spacing w:after="0" w:line="162"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"Trustee" means the corporation or individual selected by the Company to serve as Trustee for the Trust.</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Section 1.2 The Company agrees to perform its obligations in accordance with the Plan.</w:t>
      </w:r>
    </w:p>
    <w:p>
      <w:pPr>
        <w:spacing w:after="0" w:line="160"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1.3 Any term used in this Plan which is defined in the Plan shall have the meaning set forth in the Plan for all purposes of this Plan. The singular form of any word shall include</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17" w:name="page318"/>
    <w:bookmarkEnd w:id="317"/>
    <w:p>
      <w:pPr>
        <w:ind w:right="4119"/>
        <w:spacing w:after="0" w:line="255" w:lineRule="auto"/>
        <w:rPr>
          <w:sz w:val="20"/>
          <w:szCs w:val="20"/>
          <w:color w:val="auto"/>
        </w:rPr>
      </w:pPr>
      <w:r>
        <w:rPr>
          <w:rFonts w:ascii="Courier New" w:cs="Courier New" w:eastAsia="Courier New" w:hAnsi="Courier New"/>
          <w:sz w:val="14"/>
          <w:szCs w:val="14"/>
          <w:color w:val="auto"/>
        </w:rPr>
        <w:t>the plural and the masculine gender shall include the feminine wherever necessary for the proper interpretation of this Plan.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ELIGIBILITY AND PARTICIPATION</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Section 2.1 An employee who satisfies Section 2.2 and who is eligible to receive a benefit under the Company's Employee Stock Ownership Plan, the Pension Plan or the Profit Sharing Plan, the total amount of which is reduced by reason of the application of the limitations on contributions and benefits imposed by Section 401(a)(17) or Section 415 of the Code, as in effect on the date for either the allocation of contributions or the commencement of benefits, or as in effect at any time thereafter, shall be a Participant in the Plan.</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2.2 Prior to August 1, 1994, a Participant in the Plan must be an executive at the level of Vice President or above or receiving annual Compensation equal to or greater than $200,000. On and after August 1, 1994, a Participant in the Plan must be an executive at the level of Vice President or above or receiving annual Compensation equal or greater than $150,000.</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SUPPLEMENTAL ACCOUNT</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3.1 The Company shall establish and maintain an account for each Participant, or designated Beneficiary of the Participant upon the death of the Participant, and shall credit such account each Plan Year with an amount equal to the amount described in Section 3.2.</w:t>
      </w:r>
    </w:p>
    <w:p>
      <w:pPr>
        <w:spacing w:after="0" w:line="162" w:lineRule="exact"/>
        <w:rPr>
          <w:sz w:val="20"/>
          <w:szCs w:val="20"/>
          <w:color w:val="auto"/>
        </w:rPr>
      </w:pPr>
    </w:p>
    <w:p>
      <w:pPr>
        <w:ind w:left="360"/>
        <w:spacing w:after="0"/>
        <w:tabs>
          <w:tab w:leader="none" w:pos="1460" w:val="left"/>
        </w:tabs>
        <w:rPr>
          <w:sz w:val="20"/>
          <w:szCs w:val="20"/>
          <w:color w:val="auto"/>
        </w:rPr>
      </w:pPr>
      <w:r>
        <w:rPr>
          <w:rFonts w:ascii="Courier New" w:cs="Courier New" w:eastAsia="Courier New" w:hAnsi="Courier New"/>
          <w:sz w:val="14"/>
          <w:szCs w:val="14"/>
          <w:color w:val="auto"/>
        </w:rPr>
        <w:t>Section 3.2</w:t>
        <w:tab/>
        <w:t>The amount credited to each Participant's account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 shall be an amount equal to the difference between:</w:t>
      </w:r>
    </w:p>
    <w:p>
      <w:pPr>
        <w:spacing w:after="0" w:line="173" w:lineRule="exact"/>
        <w:rPr>
          <w:sz w:val="20"/>
          <w:szCs w:val="20"/>
          <w:color w:val="auto"/>
        </w:rPr>
      </w:pPr>
    </w:p>
    <w:p>
      <w:pPr>
        <w:ind w:left="360" w:right="3419" w:firstLine="424"/>
        <w:spacing w:after="0" w:line="251" w:lineRule="auto"/>
        <w:tabs>
          <w:tab w:leader="none" w:pos="122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contributions and forfeitures which would have been allocated or reallocated with respect to the Participant under the Profit Sharing Plan and any other qualified plans that are defined contribution plans (as defined in Section 414(i) of the Code) maintained by the Company, based on the Participant's Compensation, and without regard to the limitations imposed by Section 401(a)(17) or Section 415 of the Code on the Profit Sharing Plan and such other qualified plans, and</w:t>
      </w:r>
    </w:p>
    <w:p>
      <w:pPr>
        <w:spacing w:after="0" w:line="164" w:lineRule="exact"/>
        <w:rPr>
          <w:rFonts w:ascii="Courier New" w:cs="Courier New" w:eastAsia="Courier New" w:hAnsi="Courier New"/>
          <w:sz w:val="14"/>
          <w:szCs w:val="14"/>
          <w:color w:val="auto"/>
        </w:rPr>
      </w:pPr>
    </w:p>
    <w:p>
      <w:pPr>
        <w:ind w:left="360" w:right="3599" w:firstLine="424"/>
        <w:spacing w:after="0" w:line="251" w:lineRule="auto"/>
        <w:tabs>
          <w:tab w:leader="none" w:pos="122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contributions and forfeitures actually allocated or reallocated with respect to the Participant under such qualified plans and any credits made under a nonqualified deferred compensation plan maintained by the Company to replace amounts that would have been credited under such qualified plans had the Participant</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18" w:name="page319"/>
    <w:bookmarkEnd w:id="318"/>
    <w:p>
      <w:pPr>
        <w:ind w:left="360" w:right="3599"/>
        <w:spacing w:after="0" w:line="255" w:lineRule="auto"/>
        <w:rPr>
          <w:sz w:val="20"/>
          <w:szCs w:val="20"/>
          <w:color w:val="auto"/>
        </w:rPr>
      </w:pPr>
      <w:r>
        <w:rPr>
          <w:rFonts w:ascii="Courier New" w:cs="Courier New" w:eastAsia="Courier New" w:hAnsi="Courier New"/>
          <w:sz w:val="14"/>
          <w:szCs w:val="14"/>
          <w:color w:val="auto"/>
        </w:rPr>
        <w:t>not deferred compensation under such a nonqualified deferred compensation plan.</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3.3 For purposes of determining the amount which would have been allocated with respect to a Participant under a qualified defined contribution plan that contains a contribution formula, that formula will be used for purposes of determining the amount to be credited to the Participant under Section 3.2 above. For purposes of determining the amount which would have been allocated with respect to a Participant under a qualified defined contribution plan, other than the Company's Employee Stock Ownership Plan, pursuant to a plan contribution and allocation feature which does not specify the amount to be contributed on behalf of the Participant and under which allocations are made in proportion to compensation, such amount shall be deemed to be proportionate to the ratio of the actual contribution made to such plan over the compensation taken into account under such plan, provided, however, if such plan is integrated with social security, separate calculations should be made with respect to compensation above and below the integration level. For purposes of determining the amount which is to be credited with respect to the Company's Employee Stock Ownership Plan (the "ESOP"), such amount, which shall be based on the value of the Company's common stock and shall not require an allocation of stock, shall be determined by multiplying the difference (which shall not be less than zero) between the Participant's Compensation for the Plan Year and the compensation limit under Section 401(a)(17) of the Code, indexed for cost of living increases, by the actual rate of ESOP allocations calculated each year for Participants.</w:t>
      </w:r>
    </w:p>
    <w:p>
      <w:pPr>
        <w:spacing w:after="0" w:line="340" w:lineRule="exact"/>
        <w:rPr>
          <w:sz w:val="20"/>
          <w:szCs w:val="20"/>
          <w:color w:val="auto"/>
        </w:rPr>
      </w:pPr>
    </w:p>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Section 3.4 Amounts credited to a Participant's account for any Plan Year pursuant to the terms of the Plan shall be credited as of the end of such Plan Year to the account maintained under the Plan in the name of such Participant.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3.5 Amounts credited under the terms of the Plan to an account maintained for a Participant shall be credited with interest at a rate and in the manner determined by the Company to be consistent with that credited under the Company's deferred compensation agreements with its executive personnel and as described in the Trust, and such interest shall be credited to the account of each Participant as of the end of each calendar year quarter or at any other time as determined by the Chief Financial Officer of the Company or other officer authorized to act on behalf of the Company. However, at any time on or after the date on which the sum of a Participant's age and the Participant's years of Eligibility Service with the Company equals sixty (60), the Participant may, by providing written instructions to the Company, request that the Trustee invest a certain percentage of his or her account in one of the investment vehicles made available by the Company under the Trust. The Participant may change his or her investment preference on the first day of a calendar year and on</w:t>
      </w: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19" w:name="page320"/>
    <w:bookmarkEnd w:id="319"/>
    <w:p>
      <w:pPr>
        <w:ind w:right="3339"/>
        <w:spacing w:after="0" w:line="251" w:lineRule="auto"/>
        <w:rPr>
          <w:sz w:val="20"/>
          <w:szCs w:val="20"/>
          <w:color w:val="auto"/>
        </w:rPr>
      </w:pPr>
      <w:r>
        <w:rPr>
          <w:rFonts w:ascii="Courier New" w:cs="Courier New" w:eastAsia="Courier New" w:hAnsi="Courier New"/>
          <w:sz w:val="14"/>
          <w:szCs w:val="14"/>
          <w:color w:val="auto"/>
        </w:rPr>
        <w:t>the first day of the seventh month of a calendar year and more frequently as so permitted by the Company. The investment vehicles which shall be made available to the Participants shall be selected by the Chief Financial Officer or other officer authorized to act on behalf of the Company. A Participant's investment preference shall remain in effect until receipt by the Trust from the Company of a Participant's request changing or revoking the investment preference then in effect. Any expense incurred in connection with the investment option shall be charged against the Participant's account. The investment vehicles made available by the Company under the Trust shall be determined by the Company in its sole discretion, except that the one such investment vehicle shall provide a fixed rate of interest through investment in fixed income mutual funds or common trust funds, U.S. Bonds, certificates of deposit, annuity contracts, or such other similar investments.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3.6 If a Participant participates in the investment of amounts in his or her account under the Trust as permitted under the Plan and the Trust, that portion of the Participant's accounts will be credited with earnings or losses based entirely upon the earnings or losses attributable to such investments. The Company shall not be required to credit that portion of the account subject to such investment election with interest, as described in Section 3.5, and the Company shall not be required to credit that portion of the account subject to such investment election with an amount equal to the difference obtained from subtracting the earnings or losses on such investments from the interest rate described in Section 3.5. If a Participant does not participate in the investment of the entire amount in his or her account, the portion not subject to such Participant involvement shall be credited with interest at a rate and in the manner determined by the Company to be consistent with that credited under the Company's deferred compensation agreements as described in Section 3.5, or with earnings or losses of investments made pursuant to the terms of the Trust if the amounts credited to the Participant's account under the Plan are credited to an account or accounts under the Trust pursuant to Section 9.13.</w:t>
      </w:r>
    </w:p>
    <w:p>
      <w:pPr>
        <w:spacing w:after="0" w:line="33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RETIREMENT BENEFIT</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4.1 A supplemental retirement benefit shall be payable to a Participant under this Article IV in the form of a straight life annuity over the lifetime of the Participant, commencing on the Participant's normal retirement date as defined under the Pension Plan. The monthly amount of that benefit, which shall not be less than zero, shall be equal to the difference between:</w:t>
      </w:r>
    </w:p>
    <w:p>
      <w:pPr>
        <w:spacing w:after="0" w:line="164" w:lineRule="exact"/>
        <w:rPr>
          <w:sz w:val="20"/>
          <w:szCs w:val="20"/>
          <w:color w:val="auto"/>
        </w:rPr>
      </w:pPr>
    </w:p>
    <w:p>
      <w:pPr>
        <w:ind w:left="360" w:right="3419" w:firstLine="424"/>
        <w:spacing w:after="0" w:line="252" w:lineRule="auto"/>
        <w:tabs>
          <w:tab w:leader="none" w:pos="122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which the Participant would have been entitled to under the Pension Plan and any other qualified plants that are defined benefit plans (as defined</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5" w:right="1440" w:bottom="1440" w:gutter="0" w:footer="0" w:header="0"/>
        </w:sectPr>
      </w:pPr>
    </w:p>
    <w:bookmarkStart w:id="320" w:name="page321"/>
    <w:bookmarkEnd w:id="320"/>
    <w:p>
      <w:pPr>
        <w:ind w:left="360" w:right="3519"/>
        <w:spacing w:after="0" w:line="251" w:lineRule="auto"/>
        <w:rPr>
          <w:sz w:val="20"/>
          <w:szCs w:val="20"/>
          <w:color w:val="auto"/>
        </w:rPr>
      </w:pPr>
      <w:r>
        <w:rPr>
          <w:rFonts w:ascii="Courier New" w:cs="Courier New" w:eastAsia="Courier New" w:hAnsi="Courier New"/>
          <w:sz w:val="14"/>
          <w:szCs w:val="14"/>
          <w:color w:val="auto"/>
        </w:rPr>
        <w:t>under Section 414(j) of the Code) maintained by the Company if such amount were determined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 by the Company to replace amounts that would have been credited under such qualified plans had the Participant not deferred compensation under such a nonqualified deferred compensation plan, and</w:t>
      </w:r>
    </w:p>
    <w:p>
      <w:pPr>
        <w:spacing w:after="0" w:line="163" w:lineRule="exact"/>
        <w:rPr>
          <w:sz w:val="20"/>
          <w:szCs w:val="20"/>
          <w:color w:val="auto"/>
        </w:rPr>
      </w:pPr>
    </w:p>
    <w:p>
      <w:pPr>
        <w:ind w:left="360" w:right="3419" w:firstLine="424"/>
        <w:spacing w:after="0" w:line="252" w:lineRule="auto"/>
        <w:tabs>
          <w:tab w:leader="none" w:pos="122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Participant under the Pension Plan and such other qualified defined benefit plans.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4.2 The amount described in Section 4.1 will be computed as of the date of retirement or termination of employment of the Participant with the Company in the form of a straight life annuity payable over the lifetime of the Participant commencing on the Participant's normal retirement date, as defined under the Pension Plan.</w:t>
      </w:r>
    </w:p>
    <w:p>
      <w:pPr>
        <w:spacing w:after="0" w:line="16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4.3 If the Pension Plan is terminated by the Company, the benefit payable to a Participant under this Article IV, if any, shall be determined as of the termination date of the Pension Plan and no other benefit shall be provided under this Article IV.</w:t>
      </w:r>
    </w:p>
    <w:p>
      <w:pPr>
        <w:spacing w:after="0" w:line="16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SURVIVING SPOUSE BENEFIT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5.1 If a Participant dies prior to commencement of payment of his or her benefit under the Pension Plan under circumstances in which a benefit payable to the Surviving Spouse of the Participant pursuant to the Pension Plan is payable to such Surviving Spouse, then a supplemental benefit is payable to the Surviving Spouse under this Plan. The monthly amount of such benefit payable to the Surviving Spouse shall be an amount, not less than zero, equal to the difference between:</w:t>
      </w:r>
    </w:p>
    <w:p>
      <w:pPr>
        <w:spacing w:after="0" w:line="164" w:lineRule="exact"/>
        <w:rPr>
          <w:sz w:val="20"/>
          <w:szCs w:val="20"/>
          <w:color w:val="auto"/>
        </w:rPr>
      </w:pPr>
    </w:p>
    <w:p>
      <w:pPr>
        <w:ind w:left="360" w:right="3419" w:hanging="7"/>
        <w:spacing w:after="0" w:line="251" w:lineRule="auto"/>
        <w:tabs>
          <w:tab w:leader="none" w:pos="791"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payable to the Surviving Spouse under the Pension Plan and any other qualified defined benefit plans maintained by the Company to which the Surviving Spouse would have been entitled under such plan or plans if such benefit were computed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w:t>
      </w: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21" w:name="page322"/>
    <w:bookmarkEnd w:id="321"/>
    <w:p>
      <w:pPr>
        <w:jc w:val="both"/>
        <w:ind w:left="360" w:right="3519"/>
        <w:spacing w:after="0" w:line="252" w:lineRule="auto"/>
        <w:rPr>
          <w:sz w:val="20"/>
          <w:szCs w:val="20"/>
          <w:color w:val="auto"/>
        </w:rPr>
      </w:pPr>
      <w:r>
        <w:rPr>
          <w:rFonts w:ascii="Courier New" w:cs="Courier New" w:eastAsia="Courier New" w:hAnsi="Courier New"/>
          <w:sz w:val="14"/>
          <w:szCs w:val="14"/>
          <w:color w:val="auto"/>
        </w:rPr>
        <w:t>by the Company to replace amounts that would have been credited under such qualified plans had the Participant not deferred compensation under such a nonqualified deferred compensation plan, and</w:t>
      </w:r>
    </w:p>
    <w:p>
      <w:pPr>
        <w:spacing w:after="0" w:line="163" w:lineRule="exact"/>
        <w:rPr>
          <w:sz w:val="20"/>
          <w:szCs w:val="20"/>
          <w:color w:val="auto"/>
        </w:rPr>
      </w:pPr>
    </w:p>
    <w:p>
      <w:pPr>
        <w:ind w:left="360" w:right="3939" w:firstLine="424"/>
        <w:spacing w:after="0" w:line="255" w:lineRule="auto"/>
        <w:tabs>
          <w:tab w:leader="none" w:pos="122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Surviving Spouse under the Pension Plan and such other plan or plans.</w:t>
      </w:r>
    </w:p>
    <w:p>
      <w:pPr>
        <w:spacing w:after="0" w:line="160"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Section 5.2 Provided that a benefit is payable under this Article V to the Surviving Spouse of a Participant and subject to Section 9.7, a benefit payable under this Article V shall be payable over the lifetime of the Surviving Spouse in monthly installments commencing on the date for commencement of payment of the benefit payable to the Surviving Spouse under the Pension Plan and terminating on the date of the last payment of the benefit payable to the Surviving Spouse under the Pension Plan made before the Surviving Spouse's death. However, a Participant may elect on an election form described in Section 6.2 to have the actuarial equivalent of the benefit described herein distributed in a lump sum. In the event the lump sum option is selected in the election form, the benefit payable to the Surviving Spouse shall be made as of the first day of the first month immediately following the month in which the Participant's death occurred, or as soon thereafter as administratively feasible. A Participant may also change the form of payment in the manner described in Section 6.2. The actuarial equivalent of the benefit described in this Section 5.2 shall be determined by the same actuarial adjustments as those specified in the Pension Plan.</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5.3 If the Pension Plan is terminated by the Company, the benefit payable to a Surviving Spouse under this Article V, if any, shall be determined as of the termination date of the Pension Plan and no other benefit shall be provided under this Article V.</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DISTRIBUTIONS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6.1 All amounts credited to a Participant's account in accordance with Article III, including gains or losses credited in accordance with Article III, shall be distributed to or with respect to a Participant only upon termination of the Participant's employment with the Company for any reason including death. All such amounts shall be distributed in accordance with Section 6.2.</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22" w:name="page323"/>
    <w:bookmarkEnd w:id="322"/>
    <w:p>
      <w:pPr>
        <w:spacing w:after="0"/>
        <w:rPr>
          <w:sz w:val="20"/>
          <w:szCs w:val="20"/>
          <w:color w:val="auto"/>
        </w:rPr>
      </w:pPr>
      <w:r>
        <w:rPr>
          <w:rFonts w:ascii="Courier New" w:cs="Courier New" w:eastAsia="Courier New" w:hAnsi="Courier New"/>
          <w:sz w:val="14"/>
          <w:szCs w:val="14"/>
          <w:color w:val="auto"/>
        </w:rPr>
        <w:t>Section 6.2</w:t>
      </w:r>
    </w:p>
    <w:p>
      <w:pPr>
        <w:spacing w:after="0" w:line="173" w:lineRule="exact"/>
        <w:rPr>
          <w:sz w:val="20"/>
          <w:szCs w:val="20"/>
          <w:color w:val="auto"/>
        </w:rPr>
      </w:pPr>
    </w:p>
    <w:p>
      <w:pPr>
        <w:ind w:right="3599" w:firstLine="353"/>
        <w:spacing w:after="0" w:line="250" w:lineRule="auto"/>
        <w:tabs>
          <w:tab w:leader="none" w:pos="77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in the event of a termination of employment described in Section 6.1, all amounts distributable under the Plan that have been credited to a Participant's account in accordance with Article III shall be distributed to the Participant in accordance with one of the options selected by the Participant and available under an election form used in connection with this Plan, which form shall be provided to the Participant by the Company (hereinafter referred to as the "Election Form"). Each Participant in the Plan can make his or her initial elections during the calendar year in which this provision becomes effective and thereafter a Participant can make his or her initial elections at the time the Participant first becomes eligible to participate in the Plan. However, a Participant may change the form of payment by electing another option available in said Election Form, but such change in the form of payment will not be effective until the calendar year following the calendar year in which the change was elected. Further, in no event will any such change in the form of payment be effective if such change is elected after the Participant's employment with the Company is terminated for any reason. Such distribution election shall apply to all amounts credited to a Participant's account in accordance with Article III, except that any payment required to be made in the year prior to the year any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amounts credited to a Participant's account pursuant to Article III in accordance with the distribution provision contained in the Participant's prior effective Election Form or, if no such election has been made, then in accordance with the selections made under The Toro Company Supplemental Retirement Plan or The Toro Company Supplemental Retirement Plan II, whichever is applicable with respect to the Participant, or if such elections have not been made or are not in effect, then in a lump sum payment. In addition, the Committee may, in its sole discretion, determine the method of distribution of the amounts credited under Article III.</w:t>
      </w:r>
    </w:p>
    <w:p>
      <w:pPr>
        <w:spacing w:after="0" w:line="345" w:lineRule="exact"/>
        <w:rPr>
          <w:rFonts w:ascii="Courier New" w:cs="Courier New" w:eastAsia="Courier New" w:hAnsi="Courier New"/>
          <w:sz w:val="14"/>
          <w:szCs w:val="14"/>
          <w:color w:val="auto"/>
        </w:rPr>
      </w:pPr>
    </w:p>
    <w:p>
      <w:pPr>
        <w:ind w:right="3419" w:firstLine="353"/>
        <w:spacing w:after="0" w:line="251" w:lineRule="auto"/>
        <w:tabs>
          <w:tab w:leader="none" w:pos="77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an amount credited to a Participant's account under Article III is payable to the Participant, except in the event of the Participant's death or disability, such benefit shall be distributed in accordance with the provisions of this Section 6.2 beginning as of the first day of the first month of the calendar year immediately following the calendar year</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5" w:right="1440" w:bottom="1440" w:gutter="0" w:footer="0" w:header="0"/>
        </w:sectPr>
      </w:pPr>
    </w:p>
    <w:bookmarkStart w:id="323" w:name="page324"/>
    <w:bookmarkEnd w:id="323"/>
    <w:p>
      <w:pPr>
        <w:ind w:left="440" w:right="3519"/>
        <w:spacing w:after="0" w:line="251" w:lineRule="auto"/>
        <w:rPr>
          <w:sz w:val="20"/>
          <w:szCs w:val="20"/>
          <w:color w:val="auto"/>
        </w:rPr>
      </w:pPr>
      <w:r>
        <w:rPr>
          <w:rFonts w:ascii="Courier New" w:cs="Courier New" w:eastAsia="Courier New" w:hAnsi="Courier New"/>
          <w:sz w:val="14"/>
          <w:szCs w:val="14"/>
          <w:color w:val="auto"/>
        </w:rPr>
        <w:t>in which the Participant's distributable event occurs. In the event of a Participant's death or disability, such benefit shall be distributed in accordance with the provisions of this Section 6.2 beginning as of the first day of the first month immediately following the month in which the Participant's death occurred or the determination of such disability is made.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6.3 If a Participant should die before distribution of the full amount of the account described in Article III has been made to him or her, any remaining amounts shall be distributed to the Participant's Beneficiary and by a method designated by the Participant in his or her Election Form. If a Participant has not designated a Beneficiary, or method of distribution, or if no designated Beneficiary is living on the date of distribution, such amounts shall be distributed to the Participant's beneficiary as described under the Profit Sharing Plan in a lump sum distribution as soon as administratively feasible following the Participant's death.</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6.4</w:t>
      </w:r>
    </w:p>
    <w:p>
      <w:pPr>
        <w:spacing w:after="0" w:line="173" w:lineRule="exact"/>
        <w:rPr>
          <w:sz w:val="20"/>
          <w:szCs w:val="20"/>
          <w:color w:val="auto"/>
        </w:rPr>
      </w:pPr>
    </w:p>
    <w:p>
      <w:pPr>
        <w:ind w:left="440" w:right="3339" w:firstLine="430"/>
        <w:spacing w:after="0" w:line="250" w:lineRule="auto"/>
        <w:tabs>
          <w:tab w:leader="none" w:pos="130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and subject to Section 9.7, in the event the Participant incurs a termination of employment with the Company as described in Section 6.5, the benefit described in Article IV shall be distributed to the Participant in accordance with one of the options available under the Participant's Election Form as selected by the Participant in the manner described in Section 6.2. However, a Participant may change the form of payment by electing another option available under the Election Form, but such change in the form of payment will not be effective until the calendar year in which the change was elected. Further, in no event will any such change in the form of payment be effective if such change is elected after the Participant's employment with the Company is terminated for any reason. Such distribution election shall apply to the benefit described in Article IV, except that any payment required to be made in the year prior to the year a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benefit described in Article IV in accordance with the distribution provision contained in the Participant's prior effective Election Form or, if no such distribution provision exists, in a life annuity on the life of the Participant.</w:t>
      </w:r>
    </w:p>
    <w:p>
      <w:pPr>
        <w:spacing w:after="0" w:line="340" w:lineRule="exact"/>
        <w:rPr>
          <w:rFonts w:ascii="Courier New" w:cs="Courier New" w:eastAsia="Courier New" w:hAnsi="Courier New"/>
          <w:sz w:val="14"/>
          <w:szCs w:val="14"/>
          <w:color w:val="auto"/>
        </w:rPr>
      </w:pPr>
    </w:p>
    <w:p>
      <w:pPr>
        <w:ind w:left="440" w:right="3519" w:firstLine="430"/>
        <w:spacing w:after="0" w:line="255" w:lineRule="auto"/>
        <w:tabs>
          <w:tab w:leader="none" w:pos="130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 benefit described in Article IV is payable to</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5" w:right="1440" w:bottom="1440" w:gutter="0" w:footer="0" w:header="0"/>
        </w:sectPr>
      </w:pPr>
    </w:p>
    <w:bookmarkStart w:id="324" w:name="page325"/>
    <w:bookmarkEnd w:id="324"/>
    <w:p>
      <w:pPr>
        <w:ind w:left="440" w:right="3339"/>
        <w:spacing w:after="0" w:line="250" w:lineRule="auto"/>
        <w:rPr>
          <w:sz w:val="20"/>
          <w:szCs w:val="20"/>
          <w:color w:val="auto"/>
        </w:rPr>
      </w:pPr>
      <w:r>
        <w:rPr>
          <w:rFonts w:ascii="Courier New" w:cs="Courier New" w:eastAsia="Courier New" w:hAnsi="Courier New"/>
          <w:sz w:val="14"/>
          <w:szCs w:val="14"/>
          <w:color w:val="auto"/>
        </w:rPr>
        <w:t>a Participant, except in the event of the Participant's death or disability, such benefit shall be distributed in accordance with the provisions of this Section 6.4 beginning as of the first day of the first month of the calendar year immediately following the calendar year in which the Participant's distributable event occurs. In the event of a Participant's disability, such benefit shall be distributed in accordance with the provisions of this Section 6.4 beginning as of the first day of the first month immediately following the month in which</w:t>
      </w:r>
    </w:p>
    <w:p>
      <w:pPr>
        <w:spacing w:after="0" w:line="3" w:lineRule="exact"/>
        <w:rPr>
          <w:sz w:val="20"/>
          <w:szCs w:val="20"/>
          <w:color w:val="auto"/>
        </w:rPr>
      </w:pPr>
    </w:p>
    <w:p>
      <w:pPr>
        <w:ind w:left="440" w:right="3679"/>
        <w:spacing w:after="0" w:line="252" w:lineRule="auto"/>
        <w:rPr>
          <w:sz w:val="20"/>
          <w:szCs w:val="20"/>
          <w:color w:val="auto"/>
        </w:rPr>
      </w:pPr>
      <w:r>
        <w:rPr>
          <w:rFonts w:ascii="Courier New" w:cs="Courier New" w:eastAsia="Courier New" w:hAnsi="Courier New"/>
          <w:sz w:val="14"/>
          <w:szCs w:val="14"/>
          <w:color w:val="auto"/>
        </w:rPr>
        <w:t>the determination of such disability is made. If a Participant dies before a benefit is payable to the Participant, then no benefit is payable under Acticle IV, but a benefit may be payable under Article V.</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6.5 The benefit described in Article IV shall be distributed, unless otherwise stated in the Plan, to or with respect to a Participant only upon termination of the Participant's employment with the Company for any reason other than death; if a Participant dies before such benefit is payable to the Participant, no benefit is payable under Article IV (but a benefit may be payable under Article V).</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6.6 A benefit under Article IV of this Plan which is payable in any form other than a straight life annuity over the lifetime of the Participant, or which commences at any time other than the Participant's normal retirement date, as defined in the Pension Plan, shall be the actuarial equivalent of the benefit described under Sections 4.1 and 4.2 as determined by the same actuarial adjustments as those specified in the Pension Plan with respect to the determination of the amount of the benefit payable under the Pension Plan on the date for commencement of payment under this Plan.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6.7 Anything herein to the contrary notwithstanding, if, at any time, a court or the Internal Revenue Service determines that an amount in a Participant's account under the Trust is includable in the gross income of the Participant and subject to tax, the Committee may, in its sole discretion, permit a lump sum distribution of an amount equal to the amount determined to be includable in the Participant's gross income.</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ADMINISTRATION OF THE PLAN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7.1 The Plan shall be administered by the Company, which shall have the authority, duty and power to interpret and construe the provisions of the Plan as it deems appropriate. The Company shall have the duty and responsibility of maintaining records, making the requisite calculations and disbursing the payment hereunder. The Company's interpretations, determinations, regulations and calculations shall be final and binding on all persons and parties concerned.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325" w:name="page326"/>
    <w:bookmarkEnd w:id="325"/>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Section 7.2</w:t>
        <w:tab/>
        <w:t>All provisions set forth in the Profit Sharing Plan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administrative powers and duties of the Company, and expenses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 shall be applicable with respect to the Plan; unless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powers and duties apply specifically with respect to the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in Article IV or Article V, then all provisions set forth in the</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Pension Plan shall apply.</w:t>
        <w:tab/>
        <w:t>The Company shall be entitled to rely conclusively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all tables, valuations, certificates, opinions and reports furnished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actuary, accountant, controller, counsel or other person employed or engaged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Company with respect to the Plan.</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Section 7.3 The Company shall furnish individual annual statements of accrued benefits to each Participant, or current Beneficiary or Surviving Spouse, in such form as determined by the Company or as required by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7.4 The employee benefit plan procedures in this section are intended to comply with Section 503 of ERISA and Section 2560.503-1 of the Department of Labor Regulations and pertain to claims by the Participants and Beneficiaries ("claimants") for Plan benefits, consideration of such claims, and review of claim denials. For purposes of these procedures, a "claim" is a request for a benefit by a Participant or Beneficiary under the Plan or an Agreement. A claim is filed when the requirements of these procedures have been met.</w:t>
      </w:r>
    </w:p>
    <w:p>
      <w:pPr>
        <w:spacing w:after="0" w:line="330" w:lineRule="exact"/>
        <w:rPr>
          <w:sz w:val="20"/>
          <w:szCs w:val="20"/>
          <w:color w:val="auto"/>
        </w:rPr>
      </w:pPr>
    </w:p>
    <w:p>
      <w:pPr>
        <w:ind w:right="3599" w:firstLine="870"/>
        <w:spacing w:after="0" w:line="250" w:lineRule="auto"/>
        <w:tabs>
          <w:tab w:leader="none" w:pos="129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wholly or partially denied, notice of the decision, meeting the requirements of subsection (b) of these procedures, shall be furnished to the claimant within a reasonable period of time after the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338"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to every claimant who is denied a claim for benefits written notice setting forth in a manner calculated to be understood by the claimant: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326" w:name="page327"/>
    <w:bookmarkEnd w:id="326"/>
    <w:p>
      <w:pPr>
        <w:ind w:left="1300" w:hanging="440"/>
        <w:spacing w:after="0"/>
        <w:tabs>
          <w:tab w:leader="none" w:pos="130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specific reason or reasons for the denial;</w:t>
      </w:r>
    </w:p>
    <w:p>
      <w:pPr>
        <w:spacing w:after="0" w:line="172" w:lineRule="exact"/>
        <w:rPr>
          <w:rFonts w:ascii="Courier New" w:cs="Courier New" w:eastAsia="Courier New" w:hAnsi="Courier New"/>
          <w:sz w:val="14"/>
          <w:szCs w:val="14"/>
          <w:color w:val="auto"/>
        </w:rPr>
      </w:pPr>
    </w:p>
    <w:p>
      <w:pPr>
        <w:ind w:left="420" w:right="3779" w:firstLine="440"/>
        <w:spacing w:after="0" w:line="255" w:lineRule="auto"/>
        <w:tabs>
          <w:tab w:leader="none" w:pos="1368"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reference to pertinent provisions of the Plan or Agreement on which the denial is based;</w:t>
      </w:r>
    </w:p>
    <w:p>
      <w:pPr>
        <w:spacing w:after="0" w:line="159" w:lineRule="exact"/>
        <w:rPr>
          <w:rFonts w:ascii="Courier New" w:cs="Courier New" w:eastAsia="Courier New" w:hAnsi="Courier New"/>
          <w:sz w:val="14"/>
          <w:szCs w:val="14"/>
          <w:color w:val="auto"/>
        </w:rPr>
      </w:pPr>
    </w:p>
    <w:p>
      <w:pPr>
        <w:ind w:left="420" w:right="3599" w:firstLine="440"/>
        <w:spacing w:after="0" w:line="252" w:lineRule="auto"/>
        <w:tabs>
          <w:tab w:leader="none" w:pos="1454"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any additional material or information necessary for the claimant to perfect the claim and an explanation of why such material or information is necessary; and</w:t>
      </w:r>
    </w:p>
    <w:p>
      <w:pPr>
        <w:spacing w:after="0" w:line="162" w:lineRule="exact"/>
        <w:rPr>
          <w:rFonts w:ascii="Courier New" w:cs="Courier New" w:eastAsia="Courier New" w:hAnsi="Courier New"/>
          <w:sz w:val="14"/>
          <w:szCs w:val="14"/>
          <w:color w:val="auto"/>
        </w:rPr>
      </w:pPr>
    </w:p>
    <w:p>
      <w:pPr>
        <w:ind w:left="420" w:right="3779" w:firstLine="440"/>
        <w:spacing w:after="0" w:line="252" w:lineRule="auto"/>
        <w:tabs>
          <w:tab w:leader="none" w:pos="1368"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information as to the steps to be taken if the Participant or Beneficiary wishes to submit his or her claim for review.</w:t>
      </w:r>
    </w:p>
    <w:p>
      <w:pPr>
        <w:spacing w:after="0" w:line="162" w:lineRule="exact"/>
        <w:rPr>
          <w:rFonts w:ascii="Courier New" w:cs="Courier New" w:eastAsia="Courier New" w:hAnsi="Courier New"/>
          <w:sz w:val="14"/>
          <w:szCs w:val="14"/>
          <w:color w:val="auto"/>
        </w:rPr>
      </w:pPr>
    </w:p>
    <w:p>
      <w:pPr>
        <w:ind w:left="80" w:right="3679" w:firstLine="350"/>
        <w:spacing w:after="0" w:line="251" w:lineRule="auto"/>
        <w:tabs>
          <w:tab w:leader="none" w:pos="855"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denied in whole or in part and if the claimant is dissatisfied with the disposition of the claimant's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164" w:lineRule="exact"/>
        <w:rPr>
          <w:rFonts w:ascii="Courier New" w:cs="Courier New" w:eastAsia="Courier New" w:hAnsi="Courier New"/>
          <w:sz w:val="14"/>
          <w:szCs w:val="14"/>
          <w:color w:val="auto"/>
        </w:rPr>
      </w:pPr>
    </w:p>
    <w:p>
      <w:pPr>
        <w:ind w:left="1300" w:hanging="440"/>
        <w:spacing w:after="0"/>
        <w:tabs>
          <w:tab w:leader="none" w:pos="130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a review upon written application to the Company;</w:t>
      </w:r>
    </w:p>
    <w:p>
      <w:pPr>
        <w:spacing w:after="0" w:line="172" w:lineRule="exact"/>
        <w:rPr>
          <w:rFonts w:ascii="Courier New" w:cs="Courier New" w:eastAsia="Courier New" w:hAnsi="Courier New"/>
          <w:sz w:val="14"/>
          <w:szCs w:val="14"/>
          <w:color w:val="auto"/>
        </w:rPr>
      </w:pPr>
    </w:p>
    <w:p>
      <w:pPr>
        <w:ind w:left="1380" w:hanging="520"/>
        <w:spacing w:after="0"/>
        <w:tabs>
          <w:tab w:leader="none" w:pos="138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pertinent documents; and</w:t>
      </w:r>
    </w:p>
    <w:p>
      <w:pPr>
        <w:spacing w:after="0" w:line="172" w:lineRule="exact"/>
        <w:rPr>
          <w:rFonts w:ascii="Courier New" w:cs="Courier New" w:eastAsia="Courier New" w:hAnsi="Courier New"/>
          <w:sz w:val="14"/>
          <w:szCs w:val="14"/>
          <w:color w:val="auto"/>
        </w:rPr>
      </w:pPr>
    </w:p>
    <w:p>
      <w:pPr>
        <w:ind w:left="1460" w:hanging="600"/>
        <w:spacing w:after="0"/>
        <w:tabs>
          <w:tab w:leader="none" w:pos="146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 issues and comments in writing.</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 claimant must file such a request for review of a denied claim within a reasonable period of time, not to exceed 60 days, after receipt by the claimant of written notification of denial of a claim.</w:t>
      </w:r>
    </w:p>
    <w:p>
      <w:pPr>
        <w:spacing w:after="0" w:line="163" w:lineRule="exact"/>
        <w:rPr>
          <w:sz w:val="20"/>
          <w:szCs w:val="20"/>
          <w:color w:val="auto"/>
        </w:rPr>
      </w:pPr>
    </w:p>
    <w:p>
      <w:pPr>
        <w:ind w:right="3599" w:firstLine="430"/>
        <w:spacing w:after="0" w:line="250" w:lineRule="auto"/>
        <w:tabs>
          <w:tab w:leader="none" w:pos="86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decision by the Company shall be made promptly and shall not ordinarily be made later than 60 days after the receipt by the Company of a request for 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 Agreement on which the decision is based. The decision on review shall be furnished to the claimant within the period of time described in this subsection (d). If the decision on</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99"/>
          </w:cols>
          <w:pgMar w:left="660" w:top="616" w:right="1440" w:bottom="1440" w:gutter="0" w:footer="0" w:header="0"/>
        </w:sectPr>
      </w:pPr>
    </w:p>
    <w:bookmarkStart w:id="327" w:name="page328"/>
    <w:bookmarkEnd w:id="327"/>
    <w:p>
      <w:pPr>
        <w:ind w:left="440" w:right="3419"/>
        <w:spacing w:after="0" w:line="255" w:lineRule="auto"/>
        <w:rPr>
          <w:sz w:val="20"/>
          <w:szCs w:val="20"/>
          <w:color w:val="auto"/>
        </w:rPr>
      </w:pPr>
      <w:r>
        <w:rPr>
          <w:rFonts w:ascii="Courier New" w:cs="Courier New" w:eastAsia="Courier New" w:hAnsi="Courier New"/>
          <w:sz w:val="14"/>
          <w:szCs w:val="14"/>
          <w:color w:val="auto"/>
        </w:rPr>
        <w:t>review is not furnished within such time, the claim shall be deemed denied on review.</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VIII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AMENDMENT OR TERMINATION</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Section 8.1 The Company intends the Plan to be permanent but reserves the right to amend or terminate the Plan at any time. Any such amendment or termination shall be made in accordance with the amendment or termination provision contained in the Profit Sharing Plan.</w:t>
      </w:r>
    </w:p>
    <w:p>
      <w:pPr>
        <w:spacing w:after="0" w:line="162"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Section 8.2 No amendment or termination of the Plan shall directly or indirectly reduce the balance of any account described in Article III as of the effective date of such amendment or termination. Upon termination of the Plan, distribution of amounts credited to such account shall be made to the Participant or his or her Beneficiary in accordance with Article VI. No additional credits or contributions will be made to any account under the Plan after termination of the Plan, but gains or losses will continue to be credited to the Participant's account under the Plan until all benefits are distributed to the Participants or to their Beneficiaries. 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17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ARTICLE IX</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9.1 The Company has established a Trust which may be used to pay benefits arising under this Plan and all costs, charges and expenses relating thereto; except that, to the extent that the funds held in the Trust are insufficient to pay such benefits, costs, charges and expenses, the Company shall pay such benefits, costs, charges and expenses.</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9.2 The benefits payable hereunder or the right to receive future benefits under the Plan may not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9.3 The Plan at all times shall be considered entirely unfunded both for tax purposes and for purposes of Title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328" w:name="page329"/>
    <w:bookmarkEnd w:id="328"/>
    <w:p>
      <w:pPr>
        <w:ind w:right="3599"/>
        <w:spacing w:after="0" w:line="250" w:lineRule="auto"/>
        <w:rPr>
          <w:sz w:val="20"/>
          <w:szCs w:val="20"/>
          <w:color w:val="auto"/>
        </w:rPr>
      </w:pPr>
      <w:r>
        <w:rPr>
          <w:rFonts w:ascii="Courier New" w:cs="Courier New" w:eastAsia="Courier New" w:hAnsi="Courier New"/>
          <w:sz w:val="14"/>
          <w:szCs w:val="14"/>
          <w:color w:val="auto"/>
        </w:rPr>
        <w:t>I of ERISA. Funds invested hereunder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Company's Board of Directors and chief executive officer are required to notify the Trustee and each Participant in writing of such an occurrence within one (1) day of the Company's knowledge of such occurrence. No Participant, Surviving Spouse or any other person shall have any interest in any particular assets of the Company by reason of the right to receive a benefit under the Plan and to the extent the Participant, Surviving Spouse or any other person acquires a right to receive benefits under this Plan, such right shall be no greater than the right of any general unsecured creditor of the Company. The Plan constitutes a mere promise by the Company to make payments to the Participants, Surviving Spouses, or Beneficiaries in the future.</w:t>
      </w:r>
    </w:p>
    <w:p>
      <w:pPr>
        <w:spacing w:after="0" w:line="338"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Section 9.4 Except as otherwise provided herein, the terms and conditions of the Profit Sharing Plan shall apply to the contributions described in Article III and the terms and conditions of the Pension Plan shall apply to the benefits described in Articles IV and V. Any benefit payable under the Company's Employee Stock Ownership Plan, the Pension Plan or the Profit Sharing Plan shall be paid in accordance with the terms and conditions of such plan and nothing in this Plan shall operate or be construed in any way to modify, amend or affect the terms and provisions of the Company's Employee Stock Ownership Plan, the Pension Plan or the Profit Sharing Plan.</w:t>
      </w:r>
    </w:p>
    <w:p>
      <w:pPr>
        <w:spacing w:after="0" w:line="163" w:lineRule="exact"/>
        <w:rPr>
          <w:sz w:val="20"/>
          <w:szCs w:val="20"/>
          <w:color w:val="auto"/>
        </w:rPr>
      </w:pPr>
    </w:p>
    <w:p>
      <w:pPr>
        <w:jc w:val="both"/>
        <w:ind w:right="3779" w:firstLine="431"/>
        <w:spacing w:after="0" w:line="252" w:lineRule="auto"/>
        <w:rPr>
          <w:sz w:val="20"/>
          <w:szCs w:val="20"/>
          <w:color w:val="auto"/>
        </w:rPr>
      </w:pPr>
      <w:r>
        <w:rPr>
          <w:rFonts w:ascii="Courier New" w:cs="Courier New" w:eastAsia="Courier New" w:hAnsi="Courier New"/>
          <w:sz w:val="14"/>
          <w:szCs w:val="14"/>
          <w:color w:val="auto"/>
        </w:rPr>
        <w:t>Section 9.5 Nothing contained in the Plan shall constitute a guaranty by the Company or any other person or entity that any funds in the Trust or the assets of the Company will be sufficient to pay any benefit hereunder.</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Section 9.6 No Participant or Surviving Spouse shall have any right to a benefit under this Plan except in accordance with the terms of the Plan. Establishment of the Plan shall not be construed to give any Participant the right to be retained in the service of the Company.</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9.7 Notwithstanding anything in this Plan or a Participant's Election Form to the contrary, if the value or actuarial value of any benefit payable to or on behalf of the Participant under the Plan is $25,000 or less, the Company shall pay such value or actuarial value of such benefit to the Participant, Beneficiary, or Surviving Spouse in a single lump sum in lieu of any further benefit payments under the Plan.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329" w:name="page330"/>
    <w:bookmarkEnd w:id="329"/>
    <w:p>
      <w:pPr>
        <w:ind w:right="3599" w:firstLine="431"/>
        <w:spacing w:after="0" w:line="251" w:lineRule="auto"/>
        <w:rPr>
          <w:sz w:val="20"/>
          <w:szCs w:val="20"/>
          <w:color w:val="auto"/>
        </w:rPr>
      </w:pPr>
      <w:r>
        <w:rPr>
          <w:rFonts w:ascii="Courier New" w:cs="Courier New" w:eastAsia="Courier New" w:hAnsi="Courier New"/>
          <w:sz w:val="14"/>
          <w:szCs w:val="14"/>
          <w:color w:val="auto"/>
        </w:rPr>
        <w:t>Section 9.8 If any person entitled to a benefit payment under the Plan is declared incompetent and a conservator or other person legally charged with the care of his or her person or his or her estate is appointed, any benefits under the Plan to which such person is entitled shall be paid to such conservator or other person legally charged with the care of his or her person or his or her estate. Except as provided above, when the Company determines that such person is unable to manage his or her financial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329"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Section 9.9 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9.10 Each Participant shall keep the Company informed of his or her current address and the current address of his or her spouse or designated Beneficiary. The Company shall not be obligated to search for any person. If the location of a Participant is not made known to the Company within three (3) years after the date on which payment of the Participant's benefits payable under this Plan may first be made, payment may be made as through the Participant had died at the end of the three-year period. If, within one additional year after such three-year period has elapsed, or, within three (3) years after the actual death of a Participant, the Company is unable to locate any Surviving Spouse or designated Beneficiary of the Participant, then the Company shall have no further obligation to pay any benefit hereunder to such Participant, Surviving Spouse or designated Beneficiary and such benefits shall be irrevocably forfeited.</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9.11 Notwithstanding any of the preceding provisions of the Plan, neither the Company nor any individual acting as an employee or agent of the Company shall be liable to any Participant, former Participant, Surviving Spouse, or any other person for any claim, loss, liability or expense incurred in connection with the Plan, unless attributable to fraud or willful misconduct on the part of the Company or any such employee or agent of the Company.</w:t>
      </w:r>
    </w:p>
    <w:p>
      <w:pPr>
        <w:spacing w:after="0" w:line="330" w:lineRule="exact"/>
        <w:rPr>
          <w:sz w:val="20"/>
          <w:szCs w:val="20"/>
          <w:color w:val="auto"/>
        </w:rPr>
      </w:pPr>
    </w:p>
    <w:p>
      <w:pPr>
        <w:ind w:right="4279" w:firstLine="431"/>
        <w:spacing w:after="0" w:line="255" w:lineRule="auto"/>
        <w:rPr>
          <w:sz w:val="20"/>
          <w:szCs w:val="20"/>
          <w:color w:val="auto"/>
        </w:rPr>
      </w:pPr>
      <w:r>
        <w:rPr>
          <w:rFonts w:ascii="Courier New" w:cs="Courier New" w:eastAsia="Courier New" w:hAnsi="Courier New"/>
          <w:sz w:val="14"/>
          <w:szCs w:val="14"/>
          <w:color w:val="auto"/>
        </w:rPr>
        <w:t>Section 9.12 In the event a Participant incurs an unforeseeable emergency, the Participant may make a written request</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330" w:name="page331"/>
    <w:bookmarkEnd w:id="330"/>
    <w:p>
      <w:pPr>
        <w:ind w:right="3599"/>
        <w:spacing w:after="0" w:line="251" w:lineRule="auto"/>
        <w:rPr>
          <w:sz w:val="20"/>
          <w:szCs w:val="20"/>
          <w:color w:val="auto"/>
        </w:rPr>
      </w:pPr>
      <w:r>
        <w:rPr>
          <w:rFonts w:ascii="Courier New" w:cs="Courier New" w:eastAsia="Courier New" w:hAnsi="Courier New"/>
          <w:sz w:val="14"/>
          <w:szCs w:val="14"/>
          <w:color w:val="auto"/>
        </w:rPr>
        <w:t>to the Company for a hardship withdrawal from his or her account established under Article III. An unforeseeable emergency is a severe financial hardship to the Participant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Withdrawals of amounts because of an unforeseeable emergency are only permitted to the extent reasonably needed to satisfy the emergency need. This section shall be interpreted in a manner consistent with Sections 1.457-2(h)(4) and 1.457-2(h)(5) of the Treasury Regulations.</w:t>
      </w:r>
    </w:p>
    <w:p>
      <w:pPr>
        <w:spacing w:after="0" w:line="16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Section 9.13 If there is a threat of a Change of Control or if a Participant elects to direct the investment of amounts credited to his or her account pursuant to Section 3.5, then, upon the occurrence of such threat of a Change of Control or at the time the Participant makes such an investment election or at any other time as determined by the Company, the Company shall transfer cash or property to the Trust in an amount equal to the present value of all accumulated or accrued benefits then payable to or on behalf of such Participant or Participants under this Plan, plus any applicable fees. The Company may also transfer cash or property to the Trust in an amount equal to the present value of all accumulated or accrued benefits then payable to or on behalf of any Participant under this Plan on any date designated in the sole discretion of the Company. If a transfer of cash or property occurs, the amounts transferred with respect to the benefits payable under Articles IV and V shall be, for each Participant or Surviving Spouse, the actuarial equivalent, as determined by using the actuarial assumptions described in the Pension Plan, of the benefits payable to or on behalf of each such individual under said Articles IV and V. Thereafter, the Company shall, for each Plan Year, transfer cash or property no later than thirty</w:t>
      </w:r>
    </w:p>
    <w:p>
      <w:pPr>
        <w:spacing w:after="0" w:line="8" w:lineRule="exact"/>
        <w:rPr>
          <w:sz w:val="20"/>
          <w:szCs w:val="20"/>
          <w:color w:val="auto"/>
        </w:rPr>
      </w:pPr>
    </w:p>
    <w:p>
      <w:pPr>
        <w:ind w:right="3599" w:firstLine="8"/>
        <w:spacing w:after="0" w:line="251" w:lineRule="auto"/>
        <w:tabs>
          <w:tab w:leader="none" w:pos="43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end of the Plan Year in which the initial transfer occurs, and thereafter on each anniversary thereof, to the Trust for the benefit of each affected individual in an amount equal to the additional benefit accrued under the terms of this Plan during and in relation to the most recent Plan Year then ended. In the event of a transfer, the accounts of the Participants, established pursuant to Article III, shall be credited with interest, or earnings and losses in accordance with the provisions under Sections 3.5 and 3.6. A Change of Control shall be deemed "threatened' at such time as the Company becomes aware that any individual(s) or entity(s) or combinations thereof intend(s) to or has commenced a course of conduct which, if successful, would or could result in a Change of Control.</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Section 9.14 Each Participant shall receive a copy of the Plan and the Company will make available for inspection by any Participant or designated Beneficiary a copy of the rules and regulations used by the Company in administering the Plan.</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31" w:name="page332"/>
    <w:bookmarkEnd w:id="331"/>
    <w:p>
      <w:pPr>
        <w:ind w:right="3599" w:firstLine="431"/>
        <w:spacing w:after="0" w:line="252" w:lineRule="auto"/>
        <w:rPr>
          <w:sz w:val="20"/>
          <w:szCs w:val="20"/>
          <w:color w:val="auto"/>
        </w:rPr>
      </w:pPr>
      <w:r>
        <w:rPr>
          <w:rFonts w:ascii="Courier New" w:cs="Courier New" w:eastAsia="Courier New" w:hAnsi="Courier New"/>
          <w:sz w:val="14"/>
          <w:szCs w:val="14"/>
          <w:color w:val="auto"/>
        </w:rPr>
        <w:t>Section 9.15 All questions pertaining to the construction, validity and effect of the Plan shall be determined in accordance with the laws of the United States and to the extent not preempted by such laws, by the laws of the State of Minnesota.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18th day of September, 1996.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K. B. Melrose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Title: Chairman, CEO and President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32" w:name="page333"/>
    <w:bookmarkEnd w:id="332"/>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CHIEF EXECUTIVE OFFICER INCENTIVE AWARD AGREEMENT</w:t>
      </w:r>
    </w:p>
    <w:p>
      <w:pPr>
        <w:spacing w:after="0" w:line="33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AGREEMENT ("Agreement") dated as of July 31, 1995, by and between The Toro Company, a Delaware corporation (the "Company"), and Kendrick B. Melrose, its Chief Executive Officer ("Mr. Melrose").</w:t>
      </w:r>
    </w:p>
    <w:p>
      <w:pPr>
        <w:spacing w:after="0" w:line="163" w:lineRule="exact"/>
        <w:rPr>
          <w:sz w:val="20"/>
          <w:szCs w:val="20"/>
          <w:color w:val="auto"/>
        </w:rPr>
      </w:pPr>
    </w:p>
    <w:p>
      <w:pPr>
        <w:ind w:right="3419" w:firstLine="8"/>
        <w:spacing w:after="0" w:line="251" w:lineRule="auto"/>
        <w:tabs>
          <w:tab w:leader="none" w:pos="344"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Agreement is to implement The Toro Company Chief Executive Officer Succession Plan (the "Plan") pursuant to which the Company will grant to Mr. Melrose a Restricted Stock and Performance Unit award and enter into a post-retirement and noncompetition agreement with Mr. Melrose, subject to the terms and conditions of the Plan and to Mr. Melrose's acceptance of the terms and conditions thereof.</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AWARD.</w:t>
      </w:r>
    </w:p>
    <w:p>
      <w:pPr>
        <w:spacing w:after="0" w:line="172"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hereby grants to Mr. Melrose the number of whole shares of Common Stock having an aggregate fair market value of $500,000 on July 31, 1995 (the "Restricted Stock"), subject to forfeiture or reduction of the number of shares in the event performance goals set forth in Section 2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62" w:lineRule="exact"/>
        <w:rPr>
          <w:rFonts w:ascii="Courier New" w:cs="Courier New" w:eastAsia="Courier New" w:hAnsi="Courier New"/>
          <w:sz w:val="14"/>
          <w:szCs w:val="14"/>
          <w:color w:val="auto"/>
        </w:rPr>
      </w:pPr>
    </w:p>
    <w:p>
      <w:pPr>
        <w:ind w:right="3339" w:firstLine="353"/>
        <w:spacing w:after="0" w:line="250" w:lineRule="auto"/>
        <w:tabs>
          <w:tab w:leader="none" w:pos="775"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 "Performance Units"), which Performance Units shall be subject to forfeiture or reduction in the event the Performance Goals set forth in the Plan and in Section 2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Section 1.c. and 2.b. hereof.</w:t>
      </w:r>
    </w:p>
    <w:p>
      <w:pPr>
        <w:sectPr>
          <w:pgSz w:w="11900" w:h="16838" w:orient="portrait"/>
          <w:cols w:equalWidth="0" w:num="1">
            <w:col w:w="10239"/>
          </w:cols>
          <w:pgMar w:left="220" w:top="616" w:right="1440" w:bottom="1440" w:gutter="0" w:footer="0" w:header="0"/>
        </w:sectPr>
      </w:pPr>
    </w:p>
    <w:bookmarkStart w:id="333" w:name="page334"/>
    <w:bookmarkEnd w:id="333"/>
    <w:p>
      <w:pPr>
        <w:ind w:left="-8" w:right="3339" w:firstLine="353"/>
        <w:spacing w:after="0" w:line="251" w:lineRule="auto"/>
        <w:tabs>
          <w:tab w:leader="none" w:pos="767"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RESTRICTIONS.</w:t>
      </w:r>
    </w:p>
    <w:p>
      <w:pPr>
        <w:spacing w:after="0" w:line="172" w:lineRule="exact"/>
        <w:rPr>
          <w:rFonts w:ascii="Courier New" w:cs="Courier New" w:eastAsia="Courier New" w:hAnsi="Courier New"/>
          <w:sz w:val="14"/>
          <w:szCs w:val="14"/>
          <w:color w:val="auto"/>
        </w:rPr>
      </w:pPr>
    </w:p>
    <w:p>
      <w:pPr>
        <w:ind w:left="-8" w:right="3599" w:firstLine="353"/>
        <w:spacing w:after="0" w:line="251" w:lineRule="auto"/>
        <w:tabs>
          <w:tab w:leader="none" w:pos="767"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Section 2.a.</w:t>
      </w:r>
    </w:p>
    <w:p>
      <w:pPr>
        <w:spacing w:after="0" w:line="164" w:lineRule="exact"/>
        <w:rPr>
          <w:rFonts w:ascii="Courier New" w:cs="Courier New" w:eastAsia="Courier New" w:hAnsi="Courier New"/>
          <w:sz w:val="14"/>
          <w:szCs w:val="14"/>
          <w:color w:val="auto"/>
        </w:rPr>
      </w:pPr>
    </w:p>
    <w:p>
      <w:pPr>
        <w:ind w:left="-8" w:right="3339" w:firstLine="784"/>
        <w:spacing w:after="0" w:line="250" w:lineRule="auto"/>
        <w:tabs>
          <w:tab w:leader="none" w:pos="1197" w:val="left"/>
        </w:tabs>
        <w:numPr>
          <w:ilvl w:val="2"/>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Section 2.a.i. and to the achievement by Mr. Melrose of the Performance Goals set forth in Section 2.a.i.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Section 2.b.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173" w:lineRule="exact"/>
        <w:rPr>
          <w:rFonts w:ascii="Courier New" w:cs="Courier New" w:eastAsia="Courier New" w:hAnsi="Courier New"/>
          <w:sz w:val="14"/>
          <w:szCs w:val="14"/>
          <w:color w:val="auto"/>
        </w:rPr>
      </w:pPr>
    </w:p>
    <w:p>
      <w:pPr>
        <w:ind w:left="-8" w:right="3419" w:firstLine="1214"/>
        <w:spacing w:after="0" w:line="252" w:lineRule="auto"/>
        <w:tabs>
          <w:tab w:leader="none" w:pos="1628" w:val="left"/>
        </w:tabs>
        <w:numPr>
          <w:ilvl w:val="3"/>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163"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6" w:right="1440"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Performance Goal</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Restricted Period</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Portion of</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Portion of</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 be Achieved</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1995</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Shares of Re-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w w:val="99"/>
              </w:rPr>
              <w:t>Performance</w:t>
            </w: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through earlier of</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stricted Stock</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Units to</w:t>
            </w: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date shown 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to Vest Upon</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Vest Upon</w:t>
            </w: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Goal Achievement)</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Achievement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w w:val="99"/>
              </w:rPr>
              <w:t>Achievement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1:</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CEO and senior management</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succession plan developed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and progress towards fulfill-</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ment of the plan, approved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by Board of Directors</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1998</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2:</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Potential CEO successor</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identified with approval</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 Board of Directors</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and continued development</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 senior management team</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1999</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3:</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CEO successor who was</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identified and developed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by Mr. Melrose is elected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as CEO by Board of</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2000</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70%</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r>
    </w:tbl>
    <w:p>
      <w:pPr>
        <w:spacing w:after="0" w:line="200" w:lineRule="exact"/>
        <w:rPr>
          <w:sz w:val="20"/>
          <w:szCs w:val="20"/>
          <w:color w:val="auto"/>
        </w:rPr>
      </w:pPr>
    </w:p>
    <w:p>
      <w:pPr>
        <w:spacing w:after="0" w:line="301" w:lineRule="exact"/>
        <w:rPr>
          <w:sz w:val="20"/>
          <w:szCs w:val="20"/>
          <w:color w:val="auto"/>
        </w:rPr>
      </w:pPr>
    </w:p>
    <w:p>
      <w:pPr>
        <w:ind w:right="3339" w:firstLine="1214"/>
        <w:spacing w:after="0" w:line="251" w:lineRule="auto"/>
        <w:tabs>
          <w:tab w:leader="none" w:pos="1636"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 and conditions of a noncompetition agreement in accordance with Section 2.b.</w:t>
      </w:r>
    </w:p>
    <w:p>
      <w:pPr>
        <w:spacing w:after="0" w:line="329" w:lineRule="exact"/>
        <w:rPr>
          <w:rFonts w:ascii="Courier New" w:cs="Courier New" w:eastAsia="Courier New" w:hAnsi="Courier New"/>
          <w:sz w:val="14"/>
          <w:szCs w:val="14"/>
          <w:color w:val="auto"/>
        </w:rPr>
      </w:pPr>
    </w:p>
    <w:p>
      <w:pPr>
        <w:ind w:right="3519" w:firstLine="1214"/>
        <w:spacing w:after="0" w:line="251" w:lineRule="auto"/>
        <w:tabs>
          <w:tab w:leader="none" w:pos="1636"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CEO Succession Subcommittee of the Compensation Committee of the Board of Directors (the "Committee") shall be responsible for certifying in writing to the Company that an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200" w:lineRule="exact"/>
        <w:rPr>
          <w:sz w:val="20"/>
          <w:szCs w:val="20"/>
          <w:color w:val="auto"/>
        </w:rPr>
      </w:pPr>
    </w:p>
    <w:p>
      <w:pPr>
        <w:spacing w:after="0" w:line="29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7" w:right="1440" w:bottom="1440" w:gutter="0" w:footer="0" w:header="0"/>
        </w:sectPr>
      </w:pPr>
    </w:p>
    <w:bookmarkStart w:id="335" w:name="page336"/>
    <w:bookmarkEnd w:id="335"/>
    <w:p>
      <w:pPr>
        <w:ind w:right="3339" w:firstLine="784"/>
        <w:spacing w:after="0" w:line="251" w:lineRule="auto"/>
        <w:tabs>
          <w:tab w:leader="none" w:pos="1206"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of Section 2.a.i. hereof may not be sold, transferred, pledged, assigned or otherwise encumbered. Performance Units may not be sold, transferred, pledged, assigned or otherwise encumbered at any time and the value of Performance Units may be utilized only for the purpose of purchasing the retirement annuity referred to the Section 1.b. hereof.</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Section 2.c. hereof)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vest in full, notwithstanding that Mr. Melrose does not enter into a noncompetition agreement in accordance with Section 2.b., and shall become nonforfeitable in the fiscal year following the year of the date of such event, and on the first day that such vesting would not cause the compensation to be deemed compensation with respect to the prior fiscal year.</w:t>
      </w:r>
    </w:p>
    <w:p>
      <w:pPr>
        <w:spacing w:after="0" w:line="163" w:lineRule="exact"/>
        <w:rPr>
          <w:rFonts w:ascii="Courier New" w:cs="Courier New" w:eastAsia="Courier New" w:hAnsi="Courier New"/>
          <w:sz w:val="14"/>
          <w:szCs w:val="14"/>
          <w:color w:val="auto"/>
        </w:rPr>
      </w:pPr>
    </w:p>
    <w:p>
      <w:pPr>
        <w:ind w:right="3339" w:firstLine="353"/>
        <w:spacing w:after="0" w:line="250" w:lineRule="auto"/>
        <w:tabs>
          <w:tab w:leader="none" w:pos="689"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 consulting services to be provided by Mr. Melrose and its payment of the value of Performance Units for the purchase of a retirement annuity payable to Mr. Melrose pursuant to Section 1.b. shall be subject to and in consideration of 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Section 1.c. not then expended for Mr. Melrose's benefit shall be paid to Mr. Melrose over the remainder of the five year period. Mr. Melrose shall not have any right to receive payments pursuant to Section 1.c. or this Section 2.b. until and unless he shall have executed an agreement not to compete with the Company and delivered a fully executed copy thereof to the Company, and otherwise complied with the then applicable terms and conditions of the Plan, except as provided in Section 2.a.iii.</w:t>
      </w:r>
    </w:p>
    <w:p>
      <w:pPr>
        <w:spacing w:after="0" w:line="175"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Section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For purposes of this Agreement, "Cause" shall mean:</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1" w:right="1440" w:bottom="1440" w:gutter="0" w:footer="0" w:header="0"/>
        </w:sectPr>
      </w:pPr>
    </w:p>
    <w:bookmarkStart w:id="336" w:name="page337"/>
    <w:bookmarkEnd w:id="336"/>
    <w:p>
      <w:pPr>
        <w:ind w:left="360" w:right="3519" w:hanging="7"/>
        <w:spacing w:after="0" w:line="251" w:lineRule="auto"/>
        <w:tabs>
          <w:tab w:leader="none" w:pos="79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w:t>
      </w:r>
    </w:p>
    <w:p>
      <w:pPr>
        <w:spacing w:after="0" w:line="164" w:lineRule="exact"/>
        <w:rPr>
          <w:rFonts w:ascii="Courier New" w:cs="Courier New" w:eastAsia="Courier New" w:hAnsi="Courier New"/>
          <w:sz w:val="14"/>
          <w:szCs w:val="14"/>
          <w:color w:val="auto"/>
        </w:rPr>
      </w:pPr>
    </w:p>
    <w:p>
      <w:pPr>
        <w:ind w:left="360" w:right="3599" w:hanging="7"/>
        <w:spacing w:after="0" w:line="255" w:lineRule="auto"/>
        <w:tabs>
          <w:tab w:leader="none" w:pos="877"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engaging by Mr. Melrose in illegal conduct or gross misconduct which is materially and demonstrably injurious to the Company.</w:t>
      </w:r>
    </w:p>
    <w:p>
      <w:pPr>
        <w:spacing w:after="0" w:line="160" w:lineRule="exact"/>
        <w:rPr>
          <w:sz w:val="20"/>
          <w:szCs w:val="20"/>
          <w:color w:val="auto"/>
        </w:rPr>
      </w:pPr>
    </w:p>
    <w:p>
      <w:pPr>
        <w:ind w:right="3339" w:firstLine="86"/>
        <w:spacing w:after="0" w:line="250"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subparagraph (i) or (ii) above, and specifying the particulars thereof in detail.</w:t>
      </w:r>
    </w:p>
    <w:p>
      <w:pPr>
        <w:spacing w:after="0" w:line="173" w:lineRule="exact"/>
        <w:rPr>
          <w:sz w:val="20"/>
          <w:szCs w:val="20"/>
          <w:color w:val="auto"/>
        </w:rPr>
      </w:pPr>
    </w:p>
    <w:p>
      <w:pPr>
        <w:ind w:left="780" w:hanging="427"/>
        <w:spacing w:after="0"/>
        <w:tabs>
          <w:tab w:leader="none" w:pos="7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   ISSUANCE.  The Company shall issue a stock certificate or</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162"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164" w:lineRule="exact"/>
        <w:rPr>
          <w:sz w:val="20"/>
          <w:szCs w:val="20"/>
          <w:color w:val="auto"/>
        </w:rPr>
      </w:pPr>
    </w:p>
    <w:p>
      <w:pPr>
        <w:ind w:right="3419" w:firstLine="784"/>
        <w:spacing w:after="0" w:line="251" w:lineRule="auto"/>
        <w:tabs>
          <w:tab w:leader="none" w:pos="1206"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1" w:right="1440" w:bottom="1440" w:gutter="0" w:footer="0" w:header="0"/>
        </w:sectPr>
      </w:pPr>
    </w:p>
    <w:bookmarkStart w:id="337" w:name="page338"/>
    <w:bookmarkEnd w:id="337"/>
    <w:p>
      <w:pPr>
        <w:ind w:right="3339"/>
        <w:spacing w:after="0" w:line="251" w:lineRule="auto"/>
        <w:rPr>
          <w:sz w:val="20"/>
          <w:szCs w:val="20"/>
          <w:color w:val="auto"/>
        </w:rPr>
      </w:pPr>
      <w:r>
        <w:rPr>
          <w:rFonts w:ascii="Courier New" w:cs="Courier New" w:eastAsia="Courier New" w:hAnsi="Courier New"/>
          <w:sz w:val="14"/>
          <w:szCs w:val="14"/>
          <w:color w:val="auto"/>
        </w:rPr>
        <w:t>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164" w:lineRule="exact"/>
        <w:rPr>
          <w:sz w:val="20"/>
          <w:szCs w:val="20"/>
          <w:color w:val="auto"/>
        </w:rPr>
      </w:pPr>
    </w:p>
    <w:p>
      <w:pPr>
        <w:ind w:right="3339" w:firstLine="784"/>
        <w:spacing w:after="0" w:line="251" w:lineRule="auto"/>
        <w:tabs>
          <w:tab w:leader="none" w:pos="1206"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Section 2.a.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Section 2.d.i. hereof. The number of shares of Common Stock to be released shall be the same number as to which the Performance Goals have been achieved in accordance with Section 2.a.</w:t>
      </w:r>
    </w:p>
    <w:p>
      <w:pPr>
        <w:spacing w:after="0" w:line="163"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STOCKHOLDER.</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VOTE AND DIVIDENDS. Except as provided in Section 1 and this Section 2, Mr. Melrose shall have, with respect to the shares of Restricted Stock, all of the rights of a stockholder of the Company, including the right to vote the shares and the right to receive cash dividends with respect to the shares.</w:t>
      </w:r>
    </w:p>
    <w:p>
      <w:pPr>
        <w:spacing w:after="0" w:line="165" w:lineRule="exact"/>
        <w:rPr>
          <w:sz w:val="20"/>
          <w:szCs w:val="20"/>
          <w:color w:val="auto"/>
        </w:rPr>
      </w:pPr>
    </w:p>
    <w:p>
      <w:pPr>
        <w:ind w:right="3419" w:firstLine="784"/>
        <w:spacing w:after="0" w:line="251" w:lineRule="auto"/>
        <w:tabs>
          <w:tab w:leader="none" w:pos="1206" w:val="left"/>
        </w:tabs>
        <w:numPr>
          <w:ilvl w:val="2"/>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the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63" w:lineRule="exact"/>
        <w:rPr>
          <w:rFonts w:ascii="Courier New" w:cs="Courier New" w:eastAsia="Courier New" w:hAnsi="Courier New"/>
          <w:sz w:val="14"/>
          <w:szCs w:val="14"/>
          <w:color w:val="auto"/>
        </w:rPr>
      </w:pPr>
    </w:p>
    <w:p>
      <w:pPr>
        <w:jc w:val="both"/>
        <w:ind w:right="3419" w:firstLine="353"/>
        <w:spacing w:after="0" w:line="250" w:lineRule="auto"/>
        <w:tabs>
          <w:tab w:leader="none" w:pos="775"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threatened or actual Change of Control of the Company as hereinafter defined, whether or not approved by the Board of Directors, all shares of Restricted Stock shall immediately fully vest and be freely transferable. A Change of Control means the earliest to occur of</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38" w:name="page339"/>
    <w:bookmarkEnd w:id="338"/>
    <w:p>
      <w:pPr>
        <w:ind w:right="3419"/>
        <w:spacing w:after="0" w:line="255" w:lineRule="auto"/>
        <w:rPr>
          <w:sz w:val="20"/>
          <w:szCs w:val="20"/>
          <w:color w:val="auto"/>
        </w:rPr>
      </w:pPr>
      <w:r>
        <w:rPr>
          <w:rFonts w:ascii="Courier New" w:cs="Courier New" w:eastAsia="Courier New" w:hAnsi="Courier New"/>
          <w:sz w:val="14"/>
          <w:szCs w:val="14"/>
          <w:color w:val="auto"/>
        </w:rPr>
        <w:t>before such Change of Control to cease to constitute a majority of the Board of Directors of the Company or any parent of or successor to the Company.</w:t>
      </w:r>
    </w:p>
    <w:p>
      <w:pPr>
        <w:spacing w:after="0" w:line="160" w:lineRule="exact"/>
        <w:rPr>
          <w:sz w:val="20"/>
          <w:szCs w:val="20"/>
          <w:color w:val="auto"/>
        </w:rPr>
      </w:pPr>
    </w:p>
    <w:p>
      <w:pPr>
        <w:ind w:right="3339" w:firstLine="8"/>
        <w:spacing w:after="0" w:line="251" w:lineRule="auto"/>
        <w:tabs>
          <w:tab w:leader="none" w:pos="34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 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 Anything in the Plan or this Agreement to the contrary notwithstanding, to the extent any provision of the Plan or this Agreement or action by the Committee fails to so comply or to avoid the loss of such deduction, it shall be deemed null and void to the extent permitted by law and deemed advisable by the Committee.</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the Plan or this Agreement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5" w:right="1440" w:bottom="1440" w:gutter="0" w:footer="0" w:header="0"/>
        </w:sectPr>
      </w:pPr>
    </w:p>
    <w:bookmarkStart w:id="339" w:name="page340"/>
    <w:bookmarkEnd w:id="339"/>
    <w:p>
      <w:pPr>
        <w:ind w:right="3519" w:firstLine="8"/>
        <w:spacing w:after="0" w:line="251" w:lineRule="auto"/>
        <w:tabs>
          <w:tab w:leader="none" w:pos="34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FROM PENSION, PROFIT SHARING AND OTHER BENEFIT CALCULATIONS. By acceptance of the award made by this Agreement, Mr. Melrose agrees that the award or vesting of Restricted Stock and Performance Units constitute special incentive compensation that is not taken into account as "salary" or "compensation"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be amended, modified or terminated from time to time, to reflect any amendments, modifications or the termination of the Plan; provided however that no amendment may be adopted without the approval of the stockholders of the Company if such amendment requires stockholder approval pursuant to Rule 16b-3 or Section 162(m), and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63" w:lineRule="exact"/>
        <w:rPr>
          <w:rFonts w:ascii="Courier New" w:cs="Courier New" w:eastAsia="Courier New" w:hAnsi="Courier New"/>
          <w:sz w:val="14"/>
          <w:szCs w:val="14"/>
          <w:color w:val="auto"/>
        </w:rPr>
      </w:pPr>
    </w:p>
    <w:p>
      <w:pPr>
        <w:ind w:right="3679" w:firstLine="8"/>
        <w:spacing w:after="0" w:line="255" w:lineRule="auto"/>
        <w:tabs>
          <w:tab w:leader="none" w:pos="34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construed in accordance with and governed by the laws of the State of Delaware.</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the Plan or this Agreement,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Plan and this Agreement shall be binding upon and inure to the benefit of the Company, its successors and assigns and Mr. Melrose, his beneficiaries, heirs, executors, administrators and legal representatives.</w:t>
      </w:r>
    </w:p>
    <w:p>
      <w:pPr>
        <w:spacing w:after="0" w:line="16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IN WITNESS WHEREOF, the Agreement has been executed and delivered by the Company as of the date first above set forth.</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By /s/ J. Lawrence McIntyre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spacing w:after="0"/>
        <w:tabs>
          <w:tab w:leader="none" w:pos="3080" w:val="left"/>
        </w:tabs>
        <w:rPr>
          <w:sz w:val="20"/>
          <w:szCs w:val="20"/>
          <w:color w:val="auto"/>
        </w:rPr>
      </w:pPr>
      <w:r>
        <w:rPr>
          <w:rFonts w:ascii="Courier New" w:cs="Courier New" w:eastAsia="Courier New" w:hAnsi="Courier New"/>
          <w:sz w:val="14"/>
          <w:szCs w:val="14"/>
          <w:color w:val="auto"/>
        </w:rPr>
        <w:t>Title</w:t>
        <w:tab/>
        <w:t>Vice President &amp; Secretary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I hereby agree to the terms and conditions of this Restricted Stock and Performance Unit Award grant made to me as of July 31, 1995.</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KENDRICK B. MELROSE</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5" w:right="1440" w:bottom="1440" w:gutter="0" w:footer="0" w:header="0"/>
        </w:sectPr>
      </w:pPr>
    </w:p>
    <w:bookmarkStart w:id="340" w:name="page341"/>
    <w:bookmarkEnd w:id="340"/>
    <w:p>
      <w:pPr>
        <w:ind w:left="5960"/>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1740" w:right="4640" w:hanging="1636"/>
        <w:spacing w:after="0" w:line="255" w:lineRule="auto"/>
        <w:rPr>
          <w:sz w:val="20"/>
          <w:szCs w:val="20"/>
          <w:color w:val="auto"/>
        </w:rPr>
      </w:pPr>
      <w:r>
        <w:rPr>
          <w:rFonts w:ascii="Courier New" w:cs="Courier New" w:eastAsia="Courier New" w:hAnsi="Courier New"/>
          <w:sz w:val="14"/>
          <w:szCs w:val="14"/>
          <w:color w:val="auto"/>
        </w:rPr>
        <w:t>Computation of Earnings per Share of Common Stock and Common Stock Equivalents (Not Covered by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4"/>
          <w:szCs w:val="14"/>
          <w:color w:val="auto"/>
        </w:rPr>
        <w:t>3 MONTHS</w:t>
      </w:r>
    </w:p>
    <w:p>
      <w:pPr>
        <w:spacing w:after="0" w:line="7" w:lineRule="exact"/>
        <w:rPr>
          <w:sz w:val="20"/>
          <w:szCs w:val="20"/>
          <w:color w:val="auto"/>
        </w:rPr>
      </w:pPr>
    </w:p>
    <w:p>
      <w:pPr>
        <w:jc w:val="center"/>
        <w:ind w:left="5440"/>
        <w:spacing w:after="0"/>
        <w:tabs>
          <w:tab w:leader="none" w:pos="680" w:val="left"/>
          <w:tab w:leader="none" w:pos="118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YEARS ENDED</w:t>
      </w:r>
    </w:p>
    <w:p>
      <w:pPr>
        <w:spacing w:after="0" w:line="7" w:lineRule="exact"/>
        <w:rPr>
          <w:sz w:val="20"/>
          <w:szCs w:val="20"/>
          <w:color w:val="auto"/>
        </w:rPr>
      </w:pPr>
    </w:p>
    <w:p>
      <w:pPr>
        <w:jc w:val="cente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5940"/>
        <w:spacing w:after="0"/>
        <w:tabs>
          <w:tab w:leader="none" w:pos="660" w:val="left"/>
          <w:tab w:leader="none" w:pos="580" w:val="left"/>
          <w:tab w:leader="none" w:pos="580" w:val="left"/>
        </w:tabs>
        <w:rPr>
          <w:sz w:val="20"/>
          <w:szCs w:val="20"/>
          <w:color w:val="auto"/>
        </w:rPr>
      </w:pPr>
      <w:r>
        <w:rPr>
          <w:rFonts w:ascii="Courier New" w:cs="Courier New" w:eastAsia="Courier New" w:hAnsi="Courier New"/>
          <w:sz w:val="14"/>
          <w:szCs w:val="14"/>
          <w:color w:val="auto"/>
        </w:rPr>
        <w:t>10/31/96</w:t>
      </w:r>
      <w:r>
        <w:rPr>
          <w:sz w:val="20"/>
          <w:szCs w:val="20"/>
          <w:color w:val="auto"/>
        </w:rPr>
        <w:tab/>
      </w:r>
      <w:r>
        <w:rPr>
          <w:rFonts w:ascii="Courier New" w:cs="Courier New" w:eastAsia="Courier New" w:hAnsi="Courier New"/>
          <w:sz w:val="14"/>
          <w:szCs w:val="14"/>
          <w:color w:val="auto"/>
        </w:rPr>
        <w:t>10/31/95</w:t>
      </w:r>
      <w:r>
        <w:rPr>
          <w:sz w:val="20"/>
          <w:szCs w:val="20"/>
          <w:color w:val="auto"/>
        </w:rPr>
        <w:tab/>
      </w:r>
      <w:r>
        <w:rPr>
          <w:rFonts w:ascii="Courier New" w:cs="Courier New" w:eastAsia="Courier New" w:hAnsi="Courier New"/>
          <w:sz w:val="14"/>
          <w:szCs w:val="14"/>
          <w:color w:val="auto"/>
        </w:rPr>
        <w:t>7/31/95</w:t>
      </w:r>
      <w:r>
        <w:rPr>
          <w:sz w:val="20"/>
          <w:szCs w:val="20"/>
          <w:color w:val="auto"/>
        </w:rPr>
        <w:tab/>
      </w:r>
      <w:r>
        <w:rPr>
          <w:rFonts w:ascii="Courier New" w:cs="Courier New" w:eastAsia="Courier New" w:hAnsi="Courier New"/>
          <w:sz w:val="14"/>
          <w:szCs w:val="14"/>
          <w:color w:val="auto"/>
        </w:rPr>
        <w:t>7/31/94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$36,409,000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$ 3,997,000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$36,667,000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$22,230,000</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12,140,689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12,117,815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12,556,039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12,472,828</w:t>
            </w: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Dilutive effect of outstanding stock options (1)</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414,026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424,225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476,374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509,538</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12,554,715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12,542,040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13,032,413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12,982,366</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4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420" w:type="dxa"/>
            <w:vAlign w:val="bottom"/>
          </w:tcPr>
          <w:p>
            <w:pPr>
              <w:spacing w:after="0"/>
              <w:rPr>
                <w:sz w:val="20"/>
                <w:szCs w:val="20"/>
                <w:color w:val="auto"/>
              </w:rPr>
            </w:pPr>
            <w:r>
              <w:rPr>
                <w:rFonts w:ascii="Courier New" w:cs="Courier New" w:eastAsia="Courier New" w:hAnsi="Courier New"/>
                <w:sz w:val="14"/>
                <w:szCs w:val="14"/>
                <w:color w:val="auto"/>
              </w:rPr>
              <w:t>equivalents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0.32</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bl>
    <w:p>
      <w:pPr>
        <w:spacing w:after="0" w:line="4" w:lineRule="exact"/>
        <w:rPr>
          <w:sz w:val="20"/>
          <w:szCs w:val="20"/>
          <w:color w:val="auto"/>
        </w:rPr>
      </w:pPr>
    </w:p>
    <w:p>
      <w:pPr>
        <w:ind w:left="180" w:hanging="172"/>
        <w:spacing w:after="0"/>
        <w:tabs>
          <w:tab w:leader="none" w:pos="1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Fully Diluted:</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12,140,689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12,117,815</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12,556,039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12,472,828</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stock options (2)</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414,026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424,225</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511,133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509,538</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12,554,715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12,542,040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13,067,172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12,982,366</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w:t>
      </w:r>
    </w:p>
    <w:p>
      <w:pPr>
        <w:spacing w:after="0" w:line="7" w:lineRule="exact"/>
        <w:rPr>
          <w:sz w:val="20"/>
          <w:szCs w:val="20"/>
          <w:color w:val="auto"/>
        </w:rPr>
      </w:pPr>
    </w:p>
    <w:p>
      <w:pPr>
        <w:ind w:left="180"/>
        <w:spacing w:after="0"/>
        <w:tabs>
          <w:tab w:leader="none" w:pos="6200" w:val="left"/>
          <w:tab w:leader="none" w:pos="6800" w:val="left"/>
          <w:tab w:leader="none" w:pos="7480" w:val="left"/>
          <w:tab w:leader="none" w:pos="8180" w:val="left"/>
          <w:tab w:leader="none" w:pos="8860" w:val="left"/>
          <w:tab w:leader="none" w:pos="9460" w:val="left"/>
          <w:tab w:leader="none" w:pos="10160" w:val="left"/>
          <w:tab w:leader="none" w:pos="10760" w:val="left"/>
        </w:tabs>
        <w:rPr>
          <w:sz w:val="20"/>
          <w:szCs w:val="20"/>
          <w:color w:val="auto"/>
        </w:rPr>
      </w:pPr>
      <w:r>
        <w:rPr>
          <w:rFonts w:ascii="Courier New" w:cs="Courier New" w:eastAsia="Courier New" w:hAnsi="Courier New"/>
          <w:sz w:val="14"/>
          <w:szCs w:val="14"/>
          <w:color w:val="auto"/>
        </w:rPr>
        <w:t>equivalents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780" w:right="4640" w:hanging="772"/>
        <w:spacing w:after="0" w:line="252" w:lineRule="auto"/>
        <w:tabs>
          <w:tab w:leader="none" w:pos="7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average market price of the company's stock during each period.</w:t>
      </w:r>
    </w:p>
    <w:p>
      <w:pPr>
        <w:spacing w:after="0" w:line="162" w:lineRule="exact"/>
        <w:rPr>
          <w:rFonts w:ascii="Courier New" w:cs="Courier New" w:eastAsia="Courier New" w:hAnsi="Courier New"/>
          <w:sz w:val="14"/>
          <w:szCs w:val="14"/>
          <w:color w:val="auto"/>
        </w:rPr>
      </w:pPr>
    </w:p>
    <w:p>
      <w:pPr>
        <w:ind w:left="780" w:right="4640" w:hanging="772"/>
        <w:spacing w:after="0" w:line="252" w:lineRule="auto"/>
        <w:tabs>
          <w:tab w:leader="none" w:pos="7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greater of the average market price or the year-end market price of the company's shares during each period.</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460"/>
          </w:cols>
          <w:pgMar w:left="220" w:top="947" w:right="219" w:bottom="1440" w:gutter="0" w:footer="0" w:header="0"/>
        </w:sectPr>
      </w:pPr>
    </w:p>
    <w:bookmarkStart w:id="341" w:name="page342"/>
    <w:bookmarkEnd w:id="341"/>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GLANCE</w:t>
      </w:r>
    </w:p>
    <w:p>
      <w:pPr>
        <w:spacing w:after="0" w:line="7" w:lineRule="exact"/>
        <w:rPr>
          <w:sz w:val="20"/>
          <w:szCs w:val="20"/>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right="3339" w:hanging="352"/>
        <w:spacing w:after="0" w:line="255" w:lineRule="auto"/>
        <w:tabs>
          <w:tab w:leader="none" w:pos="188"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TORO CONTINUED TO DEMONSTRATE LEVERAGED OPERATING PERFORMANCE POSTING A 16 PERCENT INCREASE IN EARNINGS PER SHARE ON A SLIGHT SALES INCREASE.</w:t>
      </w:r>
    </w:p>
    <w:p>
      <w:pPr>
        <w:spacing w:after="0" w:line="159" w:lineRule="exact"/>
        <w:rPr>
          <w:rFonts w:ascii="Courier New" w:cs="Courier New" w:eastAsia="Courier New" w:hAnsi="Courier New"/>
          <w:sz w:val="14"/>
          <w:szCs w:val="14"/>
          <w:color w:val="auto"/>
        </w:rPr>
      </w:pPr>
    </w:p>
    <w:p>
      <w:pPr>
        <w:ind w:left="360" w:right="3519" w:hanging="352"/>
        <w:spacing w:after="0" w:line="252" w:lineRule="auto"/>
        <w:tabs>
          <w:tab w:leader="none" w:pos="188"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EXCELLENT SNOWTHROWER SALES COMBINED WITH STRONG GROWTH IN INTERNATIONAL PROFESSIONAL TURN MAINTENANCE PRODUCTS HIGHLIGHTED TORO'S SALES PERFORMANCE.</w:t>
      </w:r>
    </w:p>
    <w:p>
      <w:pPr>
        <w:spacing w:after="0" w:line="162" w:lineRule="exact"/>
        <w:rPr>
          <w:rFonts w:ascii="Courier New" w:cs="Courier New" w:eastAsia="Courier New" w:hAnsi="Courier New"/>
          <w:sz w:val="14"/>
          <w:szCs w:val="14"/>
          <w:color w:val="auto"/>
        </w:rPr>
      </w:pPr>
    </w:p>
    <w:p>
      <w:pPr>
        <w:ind w:left="360" w:right="3519" w:hanging="352"/>
        <w:spacing w:after="0" w:line="255" w:lineRule="auto"/>
        <w:tabs>
          <w:tab w:leader="none" w:pos="188"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PROFESSIONAL TURN MAINTENANCE SALES CONTINUED TO GROW FASTER THAN RESIDENTIAL SALES AND HELPED OFFSET THE SLUGGISH LAWN AND GARDEN BUSINESS.</w:t>
      </w:r>
    </w:p>
    <w:p>
      <w:pPr>
        <w:spacing w:after="0" w:line="159" w:lineRule="exact"/>
        <w:rPr>
          <w:rFonts w:ascii="Courier New" w:cs="Courier New" w:eastAsia="Courier New" w:hAnsi="Courier New"/>
          <w:sz w:val="14"/>
          <w:szCs w:val="14"/>
          <w:color w:val="auto"/>
        </w:rPr>
      </w:pPr>
    </w:p>
    <w:p>
      <w:pPr>
        <w:ind w:left="360" w:right="3339" w:hanging="352"/>
        <w:spacing w:after="0" w:line="255" w:lineRule="auto"/>
        <w:tabs>
          <w:tab w:leader="none" w:pos="188"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CONTINUED TO BUILD FOR THE FUTURE BY INVESTING IN RESEARCH AND DEVELOPMENT, NEW BUSINESSES AND STRATEGIC INITIATIVES.</w:t>
      </w:r>
    </w:p>
    <w:p>
      <w:pPr>
        <w:spacing w:after="0" w:line="159" w:lineRule="exact"/>
        <w:rPr>
          <w:rFonts w:ascii="Courier New" w:cs="Courier New" w:eastAsia="Courier New" w:hAnsi="Courier New"/>
          <w:sz w:val="14"/>
          <w:szCs w:val="14"/>
          <w:color w:val="auto"/>
        </w:rPr>
      </w:pPr>
    </w:p>
    <w:p>
      <w:pPr>
        <w:ind w:left="360" w:right="3419" w:hanging="352"/>
        <w:spacing w:after="0" w:line="255" w:lineRule="auto"/>
        <w:tabs>
          <w:tab w:leader="none" w:pos="188"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SEVERAL ACQUISITIONS AND ALLIANCES TOOK PLACE IN FISCAL 1996 THAT PROVIDE GROWTH MOMENTUM FOR THE FUTURE.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80" w:hanging="172"/>
        <w:spacing w:after="0"/>
        <w:tabs>
          <w:tab w:leader="none" w:pos="1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tabs>
          <w:tab w:leader="none" w:pos="3860" w:val="left"/>
          <w:tab w:leader="none" w:pos="4980" w:val="left"/>
          <w:tab w:leader="none" w:pos="5680" w:val="left"/>
        </w:tabs>
        <w:rPr>
          <w:sz w:val="20"/>
          <w:szCs w:val="20"/>
          <w:color w:val="auto"/>
        </w:rPr>
      </w:pPr>
      <w:r>
        <w:rPr>
          <w:rFonts w:ascii="Courier New" w:cs="Courier New" w:eastAsia="Courier New" w:hAnsi="Courier New"/>
          <w:sz w:val="14"/>
          <w:szCs w:val="14"/>
          <w:color w:val="auto"/>
        </w:rPr>
        <w:t>Years ended October 31</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$930,909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$919,427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36,409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32,362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Percent of net sales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7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common stock equivalent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Dividends paid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per share of</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0.48</w:t>
            </w:r>
          </w:p>
        </w:tc>
        <w:tc>
          <w:tcPr>
            <w:tcW w:w="6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19.1%</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18.1%</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18.0</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17.5</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Average invested 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15.2</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AT YEAR</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Working</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$197,144</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$165,086</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472,653</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Total debt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94,390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110,274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stockholders' equity</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213,567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190,892</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15.69</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6,841</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7,243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number of employees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3,509</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3,638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ind w:left="180" w:hanging="172"/>
        <w:spacing w:after="0"/>
        <w:tabs>
          <w:tab w:leader="none" w:pos="1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report is the first reflecting Toro's change of fiscal year from July 31 to October 31. For comparative purposes, financial information for years previously ended in July has been restated in portions of this report to reflect the new fiscal year ending in October. Financial information for the year ended October 31, 1996, the three month transition period ended October 31, 1995 and the years ended July 31, 1995 and 1994 has been derived from the audited financial statements for the applicable period. Financial information related to the October 31, 1995 balance sheet has been derived from the October 31, 1995 audited balance sheet. All other financial information for years ending in October is unaudited.</w:t>
      </w:r>
    </w:p>
    <w:p>
      <w:pPr>
        <w:spacing w:after="0" w:line="200" w:lineRule="exact"/>
        <w:rPr>
          <w:sz w:val="20"/>
          <w:szCs w:val="20"/>
          <w:color w:val="auto"/>
        </w:rPr>
      </w:pPr>
    </w:p>
    <w:p>
      <w:pPr>
        <w:spacing w:after="0" w:line="29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TORO'S PURPOSE is to help customers beautify and preserve outdoor landscapes with environmentally responsible products of customer-valued quality and innovation.</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TORO'S MISSION is to be the leading worldwide provider of outdoor landscaping products, support services and integrated systems. Toro will explore new opportunities that build revenue growth and sustainability using our core competencies to gain a leading market position.</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ON THE COVER - Toro is the exclusive provider of turf maintenance equipment to the Valderrama Club de Golf, Spain, site of the 1997 Ryder Cup of golf.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CONTENTS</w:t>
            </w:r>
          </w:p>
        </w:tc>
        <w:tc>
          <w:tcPr>
            <w:tcW w:w="124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Letter to Shareholders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Review of Operations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Eleven-Year Selected</w:t>
            </w:r>
          </w:p>
        </w:tc>
        <w:tc>
          <w:tcPr>
            <w:tcW w:w="12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Financial Data</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1996</w:t>
      </w:r>
    </w:p>
    <w:p>
      <w:pPr>
        <w:spacing w:after="0" w:line="7" w:lineRule="exact"/>
        <w:rPr>
          <w:sz w:val="20"/>
          <w:szCs w:val="20"/>
          <w:color w:val="auto"/>
        </w:rPr>
      </w:pPr>
    </w:p>
    <w:p>
      <w:pPr>
        <w:ind w:left="180" w:hanging="172"/>
        <w:spacing w:after="0"/>
        <w:tabs>
          <w:tab w:leader="none" w:pos="1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ectPr>
          <w:pgSz w:w="11900" w:h="16879" w:orient="portrait"/>
          <w:cols w:equalWidth="0" w:num="1">
            <w:col w:w="10239"/>
          </w:cols>
          <w:pgMar w:left="220" w:top="616" w:right="1440" w:bottom="0" w:gutter="0" w:footer="0" w:header="0"/>
        </w:sectPr>
      </w:pPr>
    </w:p>
    <w:bookmarkStart w:id="342" w:name="page343"/>
    <w:bookmarkEnd w:id="342"/>
    <w:p>
      <w:pPr>
        <w:spacing w:after="0"/>
        <w:rPr>
          <w:sz w:val="20"/>
          <w:szCs w:val="20"/>
          <w:color w:val="auto"/>
        </w:rPr>
      </w:pPr>
      <w:r>
        <w:rPr>
          <w:rFonts w:ascii="Courier New" w:cs="Courier New" w:eastAsia="Courier New" w:hAnsi="Courier New"/>
          <w:sz w:val="14"/>
          <w:szCs w:val="14"/>
          <w:color w:val="auto"/>
        </w:rPr>
        <w:t>3 months ended October 31, 1995 and Fiscal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1995 and July 31, 1994.</w:t>
      </w:r>
    </w:p>
    <w:p>
      <w:pPr>
        <w:spacing w:after="0" w:line="7" w:lineRule="exact"/>
        <w:rPr>
          <w:sz w:val="20"/>
          <w:szCs w:val="20"/>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132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Directors, Officers and</w:t>
            </w:r>
          </w:p>
        </w:tc>
        <w:tc>
          <w:tcPr>
            <w:tcW w:w="132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Stockholders' Information</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663"/>
        </w:trPr>
        <w:tc>
          <w:tcPr>
            <w:tcW w:w="2900" w:type="dxa"/>
            <w:vAlign w:val="bottom"/>
          </w:tcPr>
          <w:p>
            <w:pPr>
              <w:spacing w:after="0"/>
              <w:rPr>
                <w:sz w:val="24"/>
                <w:szCs w:val="24"/>
                <w:color w:val="auto"/>
              </w:rPr>
            </w:pP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w:t>
            </w:r>
          </w:p>
        </w:tc>
      </w:tr>
    </w:tbl>
    <w:p>
      <w:pPr>
        <w:sectPr>
          <w:pgSz w:w="11900" w:h="16838" w:orient="portrait"/>
          <w:cols w:equalWidth="0" w:num="1">
            <w:col w:w="10239"/>
          </w:cols>
          <w:pgMar w:left="220" w:top="472" w:right="1440" w:bottom="1440" w:gutter="0" w:footer="0" w:header="0"/>
        </w:sectPr>
      </w:pPr>
    </w:p>
    <w:bookmarkStart w:id="343" w:name="page344"/>
    <w:bookmarkEnd w:id="343"/>
    <w:p>
      <w:pPr>
        <w:spacing w:after="0"/>
        <w:tabs>
          <w:tab w:leader="none" w:pos="3180" w:val="left"/>
        </w:tabs>
        <w:rPr>
          <w:sz w:val="20"/>
          <w:szCs w:val="20"/>
          <w:color w:val="auto"/>
        </w:rPr>
      </w:pPr>
      <w:r>
        <w:rPr>
          <w:rFonts w:ascii="Courier New" w:cs="Courier New" w:eastAsia="Courier New" w:hAnsi="Courier New"/>
          <w:sz w:val="14"/>
          <w:szCs w:val="14"/>
          <w:color w:val="auto"/>
        </w:rPr>
        <w:t>ELEVEN-YEAR SELECTED FINANCIAL DATA</w:t>
        <w:tab/>
        <w:t>The Toro Company</w:t>
      </w:r>
    </w:p>
    <w:p>
      <w:pPr>
        <w:spacing w:after="0" w:line="7" w:lineRule="exact"/>
        <w:rPr>
          <w:sz w:val="20"/>
          <w:szCs w:val="20"/>
          <w:color w:val="auto"/>
        </w:rPr>
      </w:pPr>
    </w:p>
    <w:p>
      <w:pPr>
        <w:ind w:left="180" w:hanging="172"/>
        <w:spacing w:after="0"/>
        <w:tabs>
          <w:tab w:leader="none" w:pos="1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930,909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919,400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864,300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706,600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638,700</w:t>
            </w:r>
          </w:p>
        </w:tc>
        <w:tc>
          <w:tcPr>
            <w:tcW w:w="3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$706,200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32,426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15,282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(21,726)</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stock equivalent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$ 0.77</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5,765</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5,710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(14.2)%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405,001</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386,259</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373,400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326,100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324,200</w:t>
            </w:r>
          </w:p>
        </w:tc>
        <w:tc>
          <w:tcPr>
            <w:tcW w:w="3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$322,000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207,857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221,173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169,200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132,500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103,800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197,144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165,086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176,200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156,900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191,700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218,200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91,876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86,394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496,877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472,653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451,600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399,800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409,300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415,400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147,900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154,100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213,567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190,892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178,700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141,900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126,400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153,400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266,582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244,257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249,100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229,200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274,300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307,500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12.84</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11,950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3/4</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1/2</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3/8</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1/8</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3/4</w:t>
            </w:r>
          </w:p>
        </w:tc>
      </w:tr>
    </w:tbl>
    <w:p>
      <w:pPr>
        <w:spacing w:after="0" w:line="4" w:lineRule="exact"/>
        <w:rPr>
          <w:sz w:val="20"/>
          <w:szCs w:val="20"/>
          <w:color w:val="auto"/>
        </w:rPr>
      </w:pPr>
    </w:p>
    <w:p>
      <w:pPr>
        <w:ind w:left="180" w:hanging="172"/>
        <w:spacing w:after="0"/>
        <w:tabs>
          <w:tab w:leader="none" w:pos="18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w:t>
      </w:r>
    </w:p>
    <w:p>
      <w:pPr>
        <w:sectPr>
          <w:pgSz w:w="11900" w:h="16838" w:orient="portrait"/>
          <w:cols w:equalWidth="0" w:num="1">
            <w:col w:w="11380"/>
          </w:cols>
          <w:pgMar w:left="220" w:top="782" w:right="299" w:bottom="1440" w:gutter="0" w:footer="0" w:header="0"/>
        </w:sectPr>
      </w:pPr>
    </w:p>
    <w:bookmarkStart w:id="344" w:name="page345"/>
    <w:bookmarkEnd w:id="344"/>
    <w:p>
      <w:pPr>
        <w:ind w:left="180" w:hanging="172"/>
        <w:spacing w:after="0"/>
        <w:tabs>
          <w:tab w:leader="none" w:pos="1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1990**</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1988</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747,300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639,200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626,200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551,600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422,300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stock equivalent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4,613</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3,135</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306,800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271,200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296,400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262,600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216,600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133,000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121,800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114,700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173,800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140,800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101,900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103,900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410,700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328,300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352,200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315,400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243,900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125,300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109,800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146,300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271,600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200,900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206,300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192,500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127,100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11,859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9,946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10,059</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3/4</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1/8</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3/8</w:t>
            </w:r>
          </w:p>
        </w:tc>
      </w:tr>
    </w:tbl>
    <w:p>
      <w:pPr>
        <w:spacing w:after="0" w:line="4" w:lineRule="exact"/>
        <w:rPr>
          <w:sz w:val="20"/>
          <w:szCs w:val="20"/>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Includes restructuring costs of $24.9 million, or $1.41 per share.</w:t>
      </w:r>
    </w:p>
    <w:p>
      <w:pPr>
        <w:spacing w:after="0" w:line="7" w:lineRule="exact"/>
        <w:rPr>
          <w:rFonts w:ascii="Courier New" w:cs="Courier New" w:eastAsia="Courier New" w:hAnsi="Courier New"/>
          <w:sz w:val="14"/>
          <w:szCs w:val="14"/>
          <w:color w:val="auto"/>
        </w:rPr>
      </w:pPr>
    </w:p>
    <w:p>
      <w:pPr>
        <w:ind w:left="440" w:right="3440" w:hanging="259"/>
        <w:spacing w:after="0" w:line="250" w:lineRule="auto"/>
        <w:tabs>
          <w:tab w:leader="none" w:pos="44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Lawn-Boy Inc. from November 7, 1989, the date of acquisition.</w:t>
      </w:r>
    </w:p>
    <w:p>
      <w:pPr>
        <w:ind w:left="440" w:right="3620" w:hanging="346"/>
        <w:spacing w:after="0" w:line="250" w:lineRule="auto"/>
        <w:tabs>
          <w:tab w:leader="none" w:pos="440" w:val="left"/>
        </w:tabs>
        <w:numPr>
          <w:ilvl w:val="1"/>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Wheel Horse Products, Inc. from December 19, 1986, the date of acquisition.</w:t>
      </w:r>
    </w:p>
    <w:p>
      <w:pPr>
        <w:spacing w:after="0" w:line="1" w:lineRule="exact"/>
        <w:rPr>
          <w:rFonts w:ascii="Courier New" w:cs="Courier New" w:eastAsia="Courier New" w:hAnsi="Courier New"/>
          <w:sz w:val="14"/>
          <w:szCs w:val="14"/>
          <w:color w:val="auto"/>
        </w:rPr>
      </w:pPr>
    </w:p>
    <w:p>
      <w:pPr>
        <w:ind w:left="440" w:right="3880" w:hanging="432"/>
        <w:spacing w:after="0" w:line="255" w:lineRule="auto"/>
        <w:tabs>
          <w:tab w:leader="none" w:pos="440"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date of the year end for years prior to 1995 was the Friday closest to October 31.</w:t>
      </w:r>
    </w:p>
    <w:p>
      <w:pPr>
        <w:spacing w:after="0" w:line="326" w:lineRule="exact"/>
        <w:rPr>
          <w:sz w:val="20"/>
          <w:szCs w:val="20"/>
          <w:color w:val="auto"/>
        </w:rPr>
      </w:pPr>
    </w:p>
    <w:p>
      <w:pPr>
        <w:spacing w:after="0"/>
        <w:tabs>
          <w:tab w:leader="none" w:pos="1200" w:val="left"/>
          <w:tab w:leader="none" w:pos="2400" w:val="left"/>
          <w:tab w:leader="none" w:pos="3600" w:val="left"/>
          <w:tab w:leader="none" w:pos="4820" w:val="left"/>
          <w:tab w:leader="none" w:pos="6020" w:val="left"/>
        </w:tabs>
        <w:rPr>
          <w:sz w:val="20"/>
          <w:szCs w:val="20"/>
          <w:color w:val="auto"/>
        </w:rPr>
      </w:pP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340"/>
          </w:cols>
          <w:pgMar w:left="220" w:top="781" w:right="1339" w:bottom="1440" w:gutter="0" w:footer="0" w:header="0"/>
        </w:sectPr>
      </w:pPr>
    </w:p>
    <w:bookmarkStart w:id="345" w:name="page346"/>
    <w:bookmarkEnd w:id="345"/>
    <w:p>
      <w:pPr>
        <w:spacing w:after="0"/>
        <w:rPr>
          <w:sz w:val="20"/>
          <w:szCs w:val="20"/>
          <w:color w:val="auto"/>
        </w:rPr>
      </w:pPr>
      <w:r>
        <w:rPr>
          <w:rFonts w:ascii="Courier New" w:cs="Courier New" w:eastAsia="Courier New" w:hAnsi="Courier New"/>
          <w:sz w:val="14"/>
          <w:szCs w:val="14"/>
          <w:color w:val="auto"/>
        </w:rPr>
        <w:t>1996 Annual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FINANCIAL CONDITION AND RESULTS OF OPERATIONS The Toro Company</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The following comparisons are based on the company's new fiscal year end. The 3 month transition period ended October 31, 1995 bridges the gap between the company's old and new fiscal year ends. A comparison of this transition period to the same period in 1994 is presented beginning on page 25. In addition, a comparison of the years ended July 31, 1995 and 1994 is also presented beginning on page 25.</w:t>
      </w:r>
    </w:p>
    <w:p>
      <w:pPr>
        <w:spacing w:after="0" w:line="164"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Financial information relating to the year ended October 31, 1996 has been derived from the audited financial statements. The results of operations for fiscal years ended in October 1995 and 1994 have been restated from the previous July 31 year end to the new fiscal year basis and are unaudited. The October 31, 1995 balance sheet information has been derived from the October 31, 1995 audited balance sheet. Financial information for the year ended October 28, 1994 is unaudited and is presented for informational purposes only.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In 1996, the company increased net earnings by 12.3% over the previous year in spite of only a modest increase in worldwide net sales. The company continues to focus on implementing operational strategies which improve production flexibility and efficiency and aggressive expense control measures which result in increased margins. Weather patterns have a major impact on the company's sales; however, the company has entered into a number of strategic alliances and acquisitions in 1996, and continues to seek other opportunities to diversify both the product categories and the global markets where products are sold. This has and will continue to reduce the impact of localized weather patterns and economic conditions on the company's sales and earnings. See "Acquisitions and Strategic Alliances" included in this MD&amp;A.</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 ENDED</w:t>
            </w: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1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422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OCTOBER 31</w:t>
            </w: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October 31</w:t>
            </w:r>
          </w:p>
        </w:tc>
        <w:tc>
          <w:tcPr>
            <w:tcW w:w="1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$919.4</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589.2</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Gross profit</w:t>
            </w:r>
          </w:p>
        </w:tc>
        <w:tc>
          <w:tcPr>
            <w:tcW w:w="298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w:t>
            </w:r>
          </w:p>
        </w:tc>
        <w:tc>
          <w:tcPr>
            <w:tcW w:w="2980" w:type="dxa"/>
            <w:vAlign w:val="bottom"/>
          </w:tcPr>
          <w:p>
            <w:pPr>
              <w:ind w:left="60"/>
              <w:spacing w:after="0"/>
              <w:rPr>
                <w:sz w:val="20"/>
                <w:szCs w:val="20"/>
                <w:color w:val="auto"/>
              </w:rPr>
            </w:pPr>
            <w:r>
              <w:rPr>
                <w:rFonts w:ascii="Courier New" w:cs="Courier New" w:eastAsia="Courier New" w:hAnsi="Courier New"/>
                <w:sz w:val="14"/>
                <w:szCs w:val="14"/>
                <w:color w:val="auto"/>
              </w:rPr>
              <w:t>and administrative expense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278.3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Earnings from operations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63.4</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58.1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59.0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13.4</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11.9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12.8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(7.7)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700" w:type="dxa"/>
            <w:vAlign w:val="bottom"/>
          </w:tcPr>
          <w:p>
            <w:pPr>
              <w:ind w:left="220"/>
              <w:spacing w:after="0"/>
              <w:rPr>
                <w:sz w:val="20"/>
                <w:szCs w:val="20"/>
                <w:color w:val="auto"/>
              </w:rPr>
            </w:pPr>
            <w:r>
              <w:rPr>
                <w:rFonts w:ascii="Courier New" w:cs="Courier New" w:eastAsia="Courier New" w:hAnsi="Courier New"/>
                <w:sz w:val="14"/>
                <w:szCs w:val="14"/>
                <w:color w:val="auto"/>
              </w:rPr>
              <w:t>Earning before income taxes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60.2</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11.7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23.8</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10.7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700" w:type="dxa"/>
            <w:vAlign w:val="bottom"/>
          </w:tcPr>
          <w:p>
            <w:pPr>
              <w:ind w:left="220"/>
              <w:spacing w:after="0"/>
              <w:rPr>
                <w:sz w:val="20"/>
                <w:szCs w:val="20"/>
                <w:color w:val="auto"/>
              </w:rPr>
            </w:pPr>
            <w:r>
              <w:rPr>
                <w:rFonts w:ascii="Courier New" w:cs="Courier New" w:eastAsia="Courier New" w:hAnsi="Courier New"/>
                <w:sz w:val="14"/>
                <w:szCs w:val="14"/>
                <w:color w:val="auto"/>
              </w:rPr>
              <w:t>Net earnings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$ 36.4</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12.3%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$ 32.4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$ 32.4</w:t>
            </w:r>
          </w:p>
        </w:tc>
      </w:tr>
    </w:tbl>
    <w:p>
      <w:pPr>
        <w:spacing w:after="0" w:line="4" w:lineRule="exact"/>
        <w:rPr>
          <w:sz w:val="20"/>
          <w:szCs w:val="20"/>
          <w:color w:val="auto"/>
        </w:rPr>
      </w:pPr>
    </w:p>
    <w:p>
      <w:pPr>
        <w:ind w:left="180" w:hanging="172"/>
        <w:spacing w:after="0"/>
        <w:tabs>
          <w:tab w:leader="none" w:pos="1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$ 2.90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$ 2.50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bl>
    <w:p>
      <w:pPr>
        <w:spacing w:after="0" w:line="4" w:lineRule="exact"/>
        <w:rPr>
          <w:sz w:val="20"/>
          <w:szCs w:val="20"/>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BY PRODUCT LINE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$467.2</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$476.2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322.0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310.8</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18.5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262.3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141.4</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12.4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bl>
    <w:p>
      <w:pPr>
        <w:spacing w:after="0" w:line="4" w:lineRule="exact"/>
        <w:rPr>
          <w:sz w:val="20"/>
          <w:szCs w:val="20"/>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$149.6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$140.7</w:t>
            </w:r>
          </w:p>
        </w:tc>
      </w:tr>
    </w:tbl>
    <w:p>
      <w:pPr>
        <w:spacing w:after="0" w:line="4" w:lineRule="exact"/>
        <w:rPr>
          <w:sz w:val="20"/>
          <w:szCs w:val="20"/>
          <w:color w:val="auto"/>
        </w:rPr>
      </w:pPr>
    </w:p>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80"/>
          </w:cols>
          <w:pgMar w:left="220" w:top="616" w:right="299" w:bottom="1440" w:gutter="0" w:footer="0" w:header="0"/>
        </w:sectPr>
      </w:pPr>
    </w:p>
    <w:bookmarkStart w:id="346" w:name="page347"/>
    <w:bookmarkEnd w:id="346"/>
    <w:p>
      <w:pPr>
        <w:spacing w:after="0"/>
        <w:rPr>
          <w:sz w:val="20"/>
          <w:szCs w:val="20"/>
          <w:color w:val="auto"/>
        </w:rPr>
      </w:pPr>
      <w:r>
        <w:rPr>
          <w:rFonts w:ascii="Courier New" w:cs="Courier New" w:eastAsia="Courier New" w:hAnsi="Courier New"/>
          <w:sz w:val="14"/>
          <w:szCs w:val="14"/>
          <w:color w:val="auto"/>
        </w:rPr>
        <w:t>In fiscal 1996, net earnings increased by $4.0 million to $36.4 million from</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$32.4 million in the prior fiscal year. Worldwide net sales increased by $11.5 million to $930.9 million in 1996 versus $919.4 million in 1995. The following is a discussion of the sales by product group:</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CONSUMER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consumer product sales in 1996 fell by 1.3% to $461.0 million from</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$467.2 million in 1995. The decrease was primarily the result of a slow start to the lawn and garden season due to cold, wet weather throughout most of the United States during the spring season. This decline was offset partially by increased snowthrower shipments. Snowthrower demand, especially in the northeast, was high in anticipation of strong retail activity and abnormally low field inventory levels. For the year, snowthrower sales were up 31.0%, primarily the result of sales volume increases. International sales included in the worldwide consumer totals declined by 1% from the prior year. Walk behind mower sales were lower, but this decline was partially offset by strong riding product sales.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Worldwide commercial product sales increased $11.2 million or 3.6% over the prior year to $322.0 million. International sales were strong, up 30.4% due primarily to a strong golf market in Europe and Asia. The late spring had an adverse effect on sales to the domestic golf course market. Many golf courses were forced to cut their equipment budgets due to loss of income from fewer rounds played during the inclement spring weather. In addition, the market saw increased competitive actions among the major equipment manufacturers.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irrigation sales totaled $147.9 million representing an increase of $6.5 million or 4.6% over the prior year. International irrigation sales were strong, up 15.3% from the prior year, fueled by strong golf market sales. This was partially offset by lower sales to the residential/commercial markets which were impacted by the cold, wet spring.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international sales, included in the preceding net sales table, increased by 16.4% over the previous year to $174.2 million. This was primarily the result of increased sales volumes in the European and Asian golf markets. International sales are principally denominated in U.S. dollars; however, a portion of the company's international sales are denominated in foreign currencies. To reduce the uncertainty of foreign currency exchange rate movements on these sales commitments, the company enters into foreign exchange and range forward contracts. See Note 11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7" w:lineRule="exact"/>
        <w:rPr>
          <w:sz w:val="20"/>
          <w:szCs w:val="20"/>
          <w:color w:val="auto"/>
        </w:rPr>
      </w:pPr>
    </w:p>
    <w:p>
      <w:pPr>
        <w:ind w:left="180" w:hanging="172"/>
        <w:spacing w:after="0"/>
        <w:tabs>
          <w:tab w:leader="none" w:pos="1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Year Ended   Year Ended</w:t>
      </w:r>
    </w:p>
    <w:p>
      <w:pPr>
        <w:spacing w:after="0" w:line="7" w:lineRule="exact"/>
        <w:rPr>
          <w:sz w:val="20"/>
          <w:szCs w:val="20"/>
          <w:color w:val="auto"/>
        </w:rPr>
      </w:pPr>
    </w:p>
    <w:p>
      <w:pPr>
        <w:jc w:val="right"/>
        <w:ind w:right="3599"/>
        <w:spacing w:after="0"/>
        <w:tabs>
          <w:tab w:leader="none" w:pos="2400" w:val="left"/>
          <w:tab w:leader="none" w:pos="128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28</w:t>
      </w:r>
    </w:p>
    <w:p>
      <w:pPr>
        <w:spacing w:after="0" w:line="7" w:lineRule="exact"/>
        <w:rPr>
          <w:sz w:val="20"/>
          <w:szCs w:val="20"/>
          <w:color w:val="auto"/>
        </w:rPr>
      </w:pPr>
    </w:p>
    <w:p>
      <w:pPr>
        <w:jc w:val="right"/>
        <w:ind w:right="3599"/>
        <w:spacing w:after="0"/>
        <w:tabs>
          <w:tab w:leader="none" w:pos="3000" w:val="left"/>
          <w:tab w:leader="none" w:pos="1880" w:val="left"/>
          <w:tab w:leader="none" w:pos="760" w:val="left"/>
        </w:tabs>
        <w:rPr>
          <w:sz w:val="20"/>
          <w:szCs w:val="20"/>
          <w:color w:val="auto"/>
        </w:rPr>
      </w:pPr>
      <w:r>
        <w:rPr>
          <w:rFonts w:ascii="Courier New" w:cs="Courier New" w:eastAsia="Courier New" w:hAnsi="Courier New"/>
          <w:sz w:val="14"/>
          <w:szCs w:val="14"/>
          <w:color w:val="auto"/>
        </w:rPr>
        <w:t>Margins (Percent of net sales)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gross profit of $341.7 million represents an $11.5 million or 3.5% increase over the gross profit of $330.2 million in 1995. As a percent of net sales, gross profit rose to 36.7% from 35.9% in the prior year. The percentage margin improvement resulted primarily from reduced production costs, notably materials and product mix. This improvement was offset partially by costs resulting from lowered production levels in selected plants to match market needs.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47" w:name="page348"/>
    <w:bookmarkEnd w:id="347"/>
    <w:p>
      <w:pPr>
        <w:ind w:right="3599" w:firstLine="344"/>
        <w:spacing w:after="0" w:line="252" w:lineRule="auto"/>
        <w:rPr>
          <w:sz w:val="20"/>
          <w:szCs w:val="20"/>
          <w:color w:val="auto"/>
        </w:rPr>
      </w:pPr>
      <w:r>
        <w:rPr>
          <w:rFonts w:ascii="Courier New" w:cs="Courier New" w:eastAsia="Courier New" w:hAnsi="Courier New"/>
          <w:sz w:val="14"/>
          <w:szCs w:val="14"/>
          <w:color w:val="auto"/>
        </w:rPr>
        <w:t>Operating profit rose to $63.4 million or 6.8% of net sales, from $58.1 million or 6.3% of net sales in 1995. The improvement in operating profit resulted from an increase in gross profit margins of $11.5 million, partially offset by a $6.2 million increase in SG&amp;A expenses.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338" w:lineRule="exact"/>
        <w:rPr>
          <w:sz w:val="20"/>
          <w:szCs w:val="20"/>
          <w:color w:val="auto"/>
        </w:rPr>
      </w:pPr>
    </w:p>
    <w:p>
      <w:pPr>
        <w:ind w:left="180" w:hanging="172"/>
        <w:spacing w:after="0"/>
        <w:tabs>
          <w:tab w:leader="none" w:pos="18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YEAR ENDED</w:t>
            </w:r>
          </w:p>
        </w:tc>
        <w:tc>
          <w:tcPr>
            <w:tcW w:w="10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 Ended</w:t>
            </w:r>
          </w:p>
        </w:tc>
        <w:tc>
          <w:tcPr>
            <w:tcW w:w="96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OCTOBER 31</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OF</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of</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SG&amp;A Expense (Dollars in millions)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97.5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92.7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ind w:left="180" w:hanging="172"/>
        <w:spacing w:after="0"/>
        <w:tabs>
          <w:tab w:leader="none" w:pos="18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019" w:firstLine="344"/>
        <w:spacing w:after="0" w:line="250" w:lineRule="auto"/>
        <w:rPr>
          <w:sz w:val="20"/>
          <w:szCs w:val="20"/>
          <w:color w:val="auto"/>
        </w:rPr>
      </w:pPr>
      <w:r>
        <w:rPr>
          <w:rFonts w:ascii="Courier New" w:cs="Courier New" w:eastAsia="Courier New" w:hAnsi="Courier New"/>
          <w:sz w:val="14"/>
          <w:szCs w:val="14"/>
          <w:color w:val="auto"/>
        </w:rPr>
        <w:t>For 1996, SG&amp;A expenses totaled $278.3 million or 29.9% of net sales compared to $272.1 million or 29.6% of net sales in 1995.</w:t>
      </w:r>
    </w:p>
    <w:p>
      <w:pPr>
        <w:spacing w:after="0" w:line="1"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increase in administrative expense of $4.8 million was comprised primarily of additional operating expenses associated with new businesses acquired in 1996. See "Acquisitions and Strategic Alliances included in this MD&amp;A.</w:t>
      </w:r>
    </w:p>
    <w:p>
      <w:pPr>
        <w:spacing w:after="0" w:line="162"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Sales and marketing expense was down $1.5 million due to reduced direct expenses from the decrease in consumer lawn and garden sales combined with savings from added expense controls.</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Warranty expense was down $3.4 million from the prior year as a result of lower warranty reserve requirements due to continuing product quality improvements and experience factors.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Distribution/dealer financing expense increased by $0.4 million and was flat as a percent of sales. Distributor/dealer financing expense represents the cost incurred by the company to contract with a third party financing source to finance dealer inventory purchases. The $10.3 million charge reflected in SG&amp;A expense represents credit facility origination costs and interest charged for a pre-established length of time. Interest is charged at market rates based on prime plus a negotiated markup. These financing arrangements are used by the company as a marketing tool to enable customers to buy inventory.</w:t>
      </w:r>
    </w:p>
    <w:p>
      <w:pPr>
        <w:spacing w:after="0" w:line="164"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Research and development expenditures increased by $3.9 million reflecting the company's commitment to invest in product innovation and development.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Warehousing expense increased nominally by $0.5 million as the result of warehousing costs for new businesses.</w:t>
      </w:r>
    </w:p>
    <w:p>
      <w:pPr>
        <w:spacing w:after="0" w:line="160"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Service/quality assurance increased 23.1% from 1995 as a result of additional quality assurance and customer service spending for the company's new ventures.</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Interest expense in 1996 increased by $1.6 million to $13.5 million. Although the average cost of funds declined from the prior year, the benefit was diminished by higher overall debt levels resulting from higher levels of average working capital. In addition to working capital needs, the company</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purchased $13.3 million of its own common stock during the year which was funded with short-term borrowings. This cash outflow was offset partially by $12.1 million received as a result of an interest rate swap entered into during 1996. The company anticipates a significant increase in interest expense in 1997 as a result of the additional debt associated with the acquisition of James Hardie Irrigation Group. See "Acquisitions and Strategic Alliances" in this MD&amp;A.</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48" w:name="page349"/>
    <w:bookmarkEnd w:id="348"/>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income, net totaled $10.3 million in 1996 versus $7.7 million for 1995. The increase is primarily the result of favorable patent infringement litigation settlements.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TAXES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effective tax rate for 1996 was 39.5% compared to 39.9% in 1995. In accordance with Financial Accounting Standards No. 109, the company has determined that it is not necessary to establish a valuation reserve for the deferred income tax benefit because it is more likely than not that the net deferred income tax benefit of $31.5 million will be principally realized through carry back to taxable income in prior years, future reversals of existing taxable temporary differences, and to a lesser extent, future taxable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earnings for 1996 were $36.4 million, representing a 12.3% increase over 1995 earnings of $32.4 million. The increase is primarily the result of improved operating margins. On a per share basis, earnings increased 16% to $2.90 from $2.50 in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at October 31, 1996 increased by 5.1% to $496.9 million compared to $472.7 million for the prior year. The increase was primarily comprised of a $40.8 million increase in accounts receivable resulting from third and fourth quarter lawn and garden, and snow sales, new business receivables and dealer direct financing. This increase was offset partially by a reduction in cash and cash equivalents and inventories resulting from production management strategies.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Working capital at 1996 year end was $197.1 million which represents an increase of $32.0 million from the $165.1 million reported for 1995. The current ratio for 1996 was 1.95 versus 1.75 in 1995. Working capital as a percent of sales was 21.2% in 1996 and 18.0% for 1995.</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increase in working capital resulted from the $18.7 million increase in current assets, primarily accounts receivable, which was partially offset by reduced inventories. In addition, current liabilities declined by $13.3 million, due to a combination of a $15.0 million decline in the current portion of long term debt, and a $8.2 million decrease in accounts payable. This was offset partially by a $9.6 million increase in other accrued liabilities, primarily caused by a change in benefit plan year ends which impacted the timing of company payments to these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includes:</w:t>
      </w:r>
    </w:p>
    <w:p>
      <w:pPr>
        <w:spacing w:after="0" w:line="173" w:lineRule="exact"/>
        <w:rPr>
          <w:sz w:val="20"/>
          <w:szCs w:val="20"/>
          <w:color w:val="auto"/>
        </w:rPr>
      </w:pPr>
    </w:p>
    <w:p>
      <w:pPr>
        <w:ind w:right="3519" w:firstLine="8"/>
        <w:spacing w:after="0" w:line="255" w:lineRule="auto"/>
        <w:tabs>
          <w:tab w:leader="none" w:pos="172"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million of 11% sinking fund debentures, due August 2017 with sinking fund payments due annually August 1998 through August 2017.</w:t>
      </w:r>
    </w:p>
    <w:p>
      <w:pPr>
        <w:spacing w:after="0" w:line="159" w:lineRule="exact"/>
        <w:rPr>
          <w:rFonts w:ascii="Courier New" w:cs="Courier New" w:eastAsia="Courier New" w:hAnsi="Courier New"/>
          <w:sz w:val="14"/>
          <w:szCs w:val="14"/>
          <w:color w:val="auto"/>
        </w:rPr>
      </w:pPr>
    </w:p>
    <w:p>
      <w:pPr>
        <w:ind w:right="3159" w:firstLine="8"/>
        <w:spacing w:after="0" w:line="255" w:lineRule="auto"/>
        <w:tabs>
          <w:tab w:leader="none" w:pos="172"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$3.4 million variable rate industrial revenue bond, due June 2004 with sinking fund payments due annually June 1997 through June 2004.</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Long-term debt at October 31, 1996 was $53.4 million, down $15.3 million from $68.7 million at October 31, 1995. The amount of total long-term debt attributable to Toro Credit Company, the company's consolidated finance subsidiary, was zero at October 31, 1996 compared to $15.0 million at October 31, 1995. Toro Credit Company is now funded by the parent. The company's capital structure is managed on a consolidated basis.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5" w:right="1440" w:bottom="1440" w:gutter="0" w:footer="0" w:header="0"/>
        </w:sectPr>
      </w:pPr>
    </w:p>
    <w:bookmarkStart w:id="349" w:name="page350"/>
    <w:bookmarkEnd w:id="349"/>
    <w:p>
      <w:pPr>
        <w:ind w:right="3599" w:firstLine="344"/>
        <w:spacing w:after="0" w:line="252" w:lineRule="auto"/>
        <w:rPr>
          <w:sz w:val="20"/>
          <w:szCs w:val="20"/>
          <w:color w:val="auto"/>
        </w:rPr>
      </w:pPr>
      <w:r>
        <w:rPr>
          <w:rFonts w:ascii="Courier New" w:cs="Courier New" w:eastAsia="Courier New" w:hAnsi="Courier New"/>
          <w:sz w:val="14"/>
          <w:szCs w:val="14"/>
          <w:color w:val="auto"/>
        </w:rPr>
        <w:t>Total debt at October 31, 1996 was $94.4 million, down $15.9 million from $110.3 million at October 31, 1995. The total debt to total capital ratio decreased from 36.6% in 1995 to 30.7% in 1996 as the result of decreased long-term debt and an increase in current year earnings.</w:t>
      </w:r>
    </w:p>
    <w:p>
      <w:pPr>
        <w:spacing w:after="0" w:line="162"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Total capitalization at October 31, 1996 consisted of $53.4 million of long-term debt, $41.0 million of short-term borrowing and $213.6 million of stockholders' equity.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1996, the company continued to improve its liquidity through cash management strategies which included the continued replacement of long-term debt with short term borrowings at more favorable interest rates, combined with prudent management of inventory levels.</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options, coupled with forecasted cash flows as well as the anticipated issuance of public debt described below will provide the capital resources for its anticipated needs.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CASH FLOW</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and cash equivalents declined by $7.6 million from 1995 to 1996. This decline in cash was primarily driven by repayment of debt and stock repurchases. At October 31, 1996 the company had $4,908,000 included in trade payables that represented the reclassification of outstanding checks in excess of related bank balances.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Cash provided by operating activities increased by $12.5 million as a result of a reduction in inventories and increased earnings. This was offset by increased accounts receivable attributed to timing of snowthrower and lawn and garden sales late in the year, expanded dealer direct financing programs through Toro Credit Company, and receivables resulting from Toro's new businesses.</w:t>
      </w:r>
    </w:p>
    <w:p>
      <w:pPr>
        <w:spacing w:after="0" w:line="165"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Cash used in investing activities declined slightly in 1996 from 1995. Investing activities consisted primarily of initial purchases of tooling components used to manufacture new products and a variety of expenditures to improve and modernize the manufacturing plants and administrative offices.</w:t>
      </w:r>
    </w:p>
    <w:p>
      <w:pPr>
        <w:spacing w:after="0" w:line="16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Cash used in financing activities was primarily for retirement of debt and purchases of Toro stock. The company purchased the stock for use in employee benefit plans and for potential acquisitions. The major source of cash from financing activities was cash received from the forward starting interest rate exchange agreement. See Note 3 to the Consolidated Financial Statements.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CREDIT LINES AND OTHER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seasonal working capital requirements are funded with $194.0 million of unsecured bank credit lines. Average borrowings under these lines were $95.2 million in 1996 and $44.6 million in 1995. The increase in the average borrowings was the result of the reduction in long-term debt, the addition of dealer direct financing through Toro Credit Company, the purchase of the company's stock and the increase in seasonal working capital. At October 31, 1996, the company had $153.0 million of unutilized availability under these credit lines. Subsequent to the year end, the company executed an agreement for an additional $150.0 million unsecured bank credit line expiring in December 1997.</w:t>
      </w:r>
    </w:p>
    <w:p>
      <w:pPr>
        <w:spacing w:after="0" w:line="329"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Additionally, the company's resources included two bankers' acceptance financing agreements totaling $40.0 million. There were no amounts outstanding under these agreements at October 31, 1996 or 1995.</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company's business is seasonal, with accounts receivable balances historically increasing between January and March as a result of extended payment terms made available to the company's customers, and decreasing between April and June when payments become due. The company's peak borrowing usually occurs between February and May. The seasonal working capital requirements are financed primarily with the short-term financing arrangements described above.</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ACQUISITION FINANCING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December 1996, the company completed the acquisition of James Hardie Irrigation Group. The purchase price of approximately $119.0 million has been initially financed with temporary bank debt. The company intends to file a shelf registration for public debt to facilitate the issuance of long-term</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50" w:name="page351"/>
    <w:bookmarkEnd w:id="350"/>
    <w:p>
      <w:pPr>
        <w:ind w:right="3519"/>
        <w:spacing w:after="0" w:line="251" w:lineRule="auto"/>
        <w:rPr>
          <w:sz w:val="20"/>
          <w:szCs w:val="20"/>
          <w:color w:val="auto"/>
        </w:rPr>
      </w:pPr>
      <w:r>
        <w:rPr>
          <w:rFonts w:ascii="Courier New" w:cs="Courier New" w:eastAsia="Courier New" w:hAnsi="Courier New"/>
          <w:sz w:val="14"/>
          <w:szCs w:val="14"/>
          <w:color w:val="auto"/>
        </w:rPr>
        <w:t>debt to replace the temporary bank debt. The company also believes that financing is available through other resources. Management believes that the capital resources available under existing arrangements are sufficient to meet the company's needs through fiscal 1997. See "Acquisitions and Strategic Alliances" included in this MD&amp;A.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STRATEGIC ALLIANCES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3, 1996, the company announced that it completed the acquisition of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company intends to file a shelf registration for public debt which would facilitate the issuance of long-term debt to replace the temporary bank debt. The company expects the purchase to have a modest dilutive effect on earnings per share in 1997. JHI is a worldwide leader in the production of irrigation systems to the commercial landscape market. See Note 14 to the Consolidated Financial Statements.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In addition, the company completed the acquisitions of Liquid Ag Systems and National Service Network in 1996, and joined Walt Disney Wide World of Sports, Ryobi Outdoor Products, and Maruyama Manufacturing, Inc., in alliances that provide enhanced visibility and expanded product lines into emerging markets such as the landscape contractor business.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continued to increase earnings by leveraging a slight sales gain. Strong sales performance in several product categories offset slower performance in others. The increase in net earnings resulted from improvements in operating margin offset partially by added expenses for new businesses and product research and development. In addition, an increase in other income more than offset an increase in interest expense resulting from higher working capital levels during the year. The company strengthened its balance sheet through cash management, inventory strategies and reduced long-term debt.</w:t>
      </w:r>
    </w:p>
    <w:p>
      <w:pPr>
        <w:spacing w:after="0" w:line="164"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CONSOLIDATED STATEMENTS OF EARNINGS</w:t>
        <w:tab/>
        <w:t>The Toro Company</w:t>
      </w:r>
    </w:p>
    <w:p>
      <w:pPr>
        <w:spacing w:after="0" w:line="338" w:lineRule="exact"/>
        <w:rPr>
          <w:sz w:val="20"/>
          <w:szCs w:val="20"/>
          <w:color w:val="auto"/>
        </w:rPr>
      </w:pPr>
    </w:p>
    <w:p>
      <w:pPr>
        <w:ind w:left="180" w:hanging="172"/>
        <w:spacing w:after="0"/>
        <w:tabs>
          <w:tab w:leader="none" w:pos="1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42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$930,909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$919,427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$864,284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589,186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589,211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549,728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341,723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330,216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314,556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278,284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272,128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255,625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Earnings from operations</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63,439</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58,088</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58,931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13,590</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11,954</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12,705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(10,331)</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(7,747)</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(7,819)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Earnings before income taxes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60,180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53,881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54,045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23,771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21,519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21,619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Net earnings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$ 36,409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$ 32,362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$ 32,426</w:t>
            </w:r>
          </w:p>
        </w:tc>
      </w:tr>
    </w:tbl>
    <w:p>
      <w:pPr>
        <w:spacing w:after="0" w:line="4" w:lineRule="exact"/>
        <w:rPr>
          <w:sz w:val="20"/>
          <w:szCs w:val="20"/>
          <w:color w:val="auto"/>
        </w:rPr>
      </w:pPr>
    </w:p>
    <w:p>
      <w:pPr>
        <w:ind w:left="180" w:hanging="172"/>
        <w:spacing w:after="0"/>
        <w:tabs>
          <w:tab w:leader="none" w:pos="18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w:t>
      </w:r>
    </w:p>
    <w:p>
      <w:pPr>
        <w:spacing w:after="0" w:line="7" w:lineRule="exact"/>
        <w:rPr>
          <w:sz w:val="20"/>
          <w:szCs w:val="20"/>
          <w:color w:val="auto"/>
        </w:rPr>
      </w:pPr>
    </w:p>
    <w:p>
      <w:pPr>
        <w:ind w:left="180"/>
        <w:spacing w:after="0"/>
        <w:tabs>
          <w:tab w:leader="none" w:pos="4820" w:val="left"/>
          <w:tab w:leader="none" w:pos="5160" w:val="left"/>
          <w:tab w:leader="none" w:pos="6100" w:val="left"/>
          <w:tab w:leader="none" w:pos="6440" w:val="left"/>
          <w:tab w:leader="none" w:pos="7400" w:val="left"/>
          <w:tab w:leader="none" w:pos="7740" w:val="left"/>
        </w:tabs>
        <w:rPr>
          <w:sz w:val="20"/>
          <w:szCs w:val="20"/>
          <w:color w:val="auto"/>
        </w:rPr>
      </w:pPr>
      <w:r>
        <w:rPr>
          <w:rFonts w:ascii="Courier New" w:cs="Courier New" w:eastAsia="Courier New" w:hAnsi="Courier New"/>
          <w:sz w:val="14"/>
          <w:szCs w:val="14"/>
          <w:color w:val="auto"/>
        </w:rPr>
        <w:t>common stock equivalent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tab/>
        <w:t>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2.49</w:t>
      </w:r>
    </w:p>
    <w:p>
      <w:pPr>
        <w:spacing w:after="0" w:line="7" w:lineRule="exact"/>
        <w:rPr>
          <w:sz w:val="20"/>
          <w:szCs w:val="20"/>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51" w:name="page352"/>
    <w:bookmarkEnd w:id="351"/>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SHEETS</w:t>
        <w:tab/>
        <w:t>The Toro Company</w:t>
      </w:r>
    </w:p>
    <w:p>
      <w:pPr>
        <w:spacing w:after="0" w:line="338" w:lineRule="exact"/>
        <w:rPr>
          <w:sz w:val="20"/>
          <w:szCs w:val="20"/>
          <w:color w:val="auto"/>
        </w:rPr>
      </w:pPr>
    </w:p>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2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7,702</w:t>
            </w:r>
          </w:p>
        </w:tc>
      </w:tr>
      <w:tr>
        <w:trPr>
          <w:trHeight w:val="166"/>
        </w:trPr>
        <w:tc>
          <w:tcPr>
            <w:tcW w:w="466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Receivables:</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66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Customers</w:t>
            </w:r>
          </w:p>
        </w:tc>
        <w:tc>
          <w:tcPr>
            <w:tcW w:w="24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244,434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201,571</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4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249,642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206,358</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239,637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130,288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145,862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29,877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spacing w:after="0" w:line="4" w:lineRule="exact"/>
        <w:rPr>
          <w:sz w:val="20"/>
          <w:szCs w:val="20"/>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Land and land improvements</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6,569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and leasehold improvements</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4180" w:type="dxa"/>
            <w:vAlign w:val="bottom"/>
          </w:tcPr>
          <w:p>
            <w:pPr>
              <w:spacing w:after="0"/>
              <w:rPr>
                <w:sz w:val="14"/>
                <w:szCs w:val="14"/>
                <w:color w:val="auto"/>
              </w:rPr>
            </w:pP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176,157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1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229,080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211,681</w:t>
            </w:r>
          </w:p>
        </w:tc>
      </w:tr>
      <w:tr>
        <w:trPr>
          <w:trHeight w:val="166"/>
        </w:trPr>
        <w:tc>
          <w:tcPr>
            <w:tcW w:w="51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155,270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73,810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16,466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14,055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Total assets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$472,653</w:t>
            </w:r>
          </w:p>
        </w:tc>
      </w:tr>
    </w:tbl>
    <w:p>
      <w:pPr>
        <w:spacing w:after="0" w:line="4" w:lineRule="exact"/>
        <w:rPr>
          <w:sz w:val="20"/>
          <w:szCs w:val="20"/>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LIABILITIES AND COMMON STOCKHOLDERS'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$ 15,334</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43,524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Accrued warranty</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34,722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Accrued marketing programs</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Other accrued liabilities</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65,636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207,857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Long-term debt, less</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current portion</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liabilities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Common stockholders'</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and outstanding</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12,032,143 shares in 1996 (net of 877,861 treasury shares)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12,168</w:t>
            </w: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Additional paid-in</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51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173,630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6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7060" w:val="left"/>
          <w:tab w:leader="none" w:pos="8340" w:val="left"/>
        </w:tabs>
        <w:rPr>
          <w:sz w:val="20"/>
          <w:szCs w:val="20"/>
          <w:color w:val="auto"/>
        </w:rPr>
      </w:pPr>
      <w:r>
        <w:rPr>
          <w:rFonts w:ascii="Courier New" w:cs="Courier New" w:eastAsia="Courier New" w:hAnsi="Courier New"/>
          <w:sz w:val="14"/>
          <w:szCs w:val="14"/>
          <w:color w:val="auto"/>
        </w:rPr>
        <w:t>Total common stockholders' equity</w:t>
      </w:r>
      <w:r>
        <w:rPr>
          <w:sz w:val="20"/>
          <w:szCs w:val="20"/>
          <w:color w:val="auto"/>
        </w:rPr>
        <w:tab/>
      </w:r>
      <w:r>
        <w:rPr>
          <w:rFonts w:ascii="Courier New" w:cs="Courier New" w:eastAsia="Courier New" w:hAnsi="Courier New"/>
          <w:sz w:val="14"/>
          <w:szCs w:val="14"/>
          <w:color w:val="auto"/>
        </w:rPr>
        <w:t>213,567</w:t>
      </w:r>
      <w:r>
        <w:rPr>
          <w:sz w:val="20"/>
          <w:szCs w:val="20"/>
          <w:color w:val="auto"/>
        </w:rPr>
        <w:tab/>
      </w:r>
      <w:r>
        <w:rPr>
          <w:rFonts w:ascii="Courier New" w:cs="Courier New" w:eastAsia="Courier New" w:hAnsi="Courier New"/>
          <w:sz w:val="14"/>
          <w:szCs w:val="14"/>
          <w:color w:val="auto"/>
        </w:rPr>
        <w:t>190,892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6960" w:val="left"/>
          <w:tab w:leader="none" w:pos="8260" w:val="left"/>
        </w:tabs>
        <w:rPr>
          <w:sz w:val="20"/>
          <w:szCs w:val="20"/>
          <w:color w:val="auto"/>
        </w:rPr>
      </w:pPr>
      <w:r>
        <w:rPr>
          <w:rFonts w:ascii="Courier New" w:cs="Courier New" w:eastAsia="Courier New" w:hAnsi="Courier New"/>
          <w:sz w:val="14"/>
          <w:szCs w:val="14"/>
          <w:color w:val="auto"/>
        </w:rPr>
        <w:t>Total liabilities and common stockholders' equity</w:t>
      </w:r>
      <w:r>
        <w:rPr>
          <w:sz w:val="20"/>
          <w:szCs w:val="20"/>
          <w:color w:val="auto"/>
        </w:rPr>
        <w:tab/>
      </w:r>
      <w:r>
        <w:rPr>
          <w:rFonts w:ascii="Courier New" w:cs="Courier New" w:eastAsia="Courier New" w:hAnsi="Courier New"/>
          <w:sz w:val="14"/>
          <w:szCs w:val="14"/>
          <w:color w:val="auto"/>
        </w:rPr>
        <w:t>$496,877</w:t>
      </w:r>
      <w:r>
        <w:rPr>
          <w:sz w:val="20"/>
          <w:szCs w:val="20"/>
          <w:color w:val="auto"/>
        </w:rPr>
        <w:tab/>
      </w:r>
      <w:r>
        <w:rPr>
          <w:rFonts w:ascii="Courier New" w:cs="Courier New" w:eastAsia="Courier New" w:hAnsi="Courier New"/>
          <w:sz w:val="14"/>
          <w:szCs w:val="14"/>
          <w:color w:val="auto"/>
        </w:rPr>
        <w:t>$472,653</w:t>
      </w:r>
    </w:p>
    <w:p>
      <w:pPr>
        <w:spacing w:after="0" w:line="7" w:lineRule="exact"/>
        <w:rPr>
          <w:sz w:val="20"/>
          <w:szCs w:val="20"/>
          <w:color w:val="auto"/>
        </w:rPr>
      </w:pPr>
    </w:p>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5" w:right="1440" w:bottom="1440" w:gutter="0" w:footer="0" w:header="0"/>
        </w:sectPr>
      </w:pPr>
    </w:p>
    <w:bookmarkStart w:id="352" w:name="page353"/>
    <w:bookmarkEnd w:id="352"/>
    <w:p>
      <w:pPr>
        <w:spacing w:after="0"/>
        <w:tabs>
          <w:tab w:leader="none" w:pos="3340" w:val="left"/>
        </w:tabs>
        <w:rPr>
          <w:sz w:val="20"/>
          <w:szCs w:val="20"/>
          <w:color w:val="auto"/>
        </w:rPr>
      </w:pPr>
      <w:r>
        <w:rPr>
          <w:rFonts w:ascii="Courier New" w:cs="Courier New" w:eastAsia="Courier New" w:hAnsi="Courier New"/>
          <w:sz w:val="14"/>
          <w:szCs w:val="14"/>
          <w:color w:val="auto"/>
        </w:rPr>
        <w:t>CONSOLIDATED STATEMENTS OF CASH FLOWS</w:t>
        <w:tab/>
        <w:t>The Toro Company</w:t>
      </w:r>
    </w:p>
    <w:p>
      <w:pPr>
        <w:spacing w:after="0" w:line="338" w:lineRule="exact"/>
        <w:rPr>
          <w:sz w:val="20"/>
          <w:szCs w:val="20"/>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720" w:type="dxa"/>
            <w:vAlign w:val="bottom"/>
          </w:tcPr>
          <w:p>
            <w:pPr>
              <w:spacing w:after="0"/>
              <w:rPr>
                <w:sz w:val="14"/>
                <w:szCs w:val="14"/>
                <w:color w:val="auto"/>
              </w:rPr>
            </w:pP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31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36,409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32,362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32,426</w:t>
            </w: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provided by operating activities: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18,170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17,115</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18,646</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(Gain) loss on disposal</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of property, plant and equipment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1,244</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31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(2,667)</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Tax benefits related to</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employee stock option transactions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953</w:t>
            </w: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Net receivables</w:t>
            </w:r>
          </w:p>
        </w:tc>
        <w:tc>
          <w:tcPr>
            <w:tcW w:w="31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(40,821)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(39,115)</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31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(20,041)</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deferred income tax benefits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(3,918)</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accrued expenses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32,433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30,645</w:t>
            </w:r>
          </w:p>
        </w:tc>
      </w:tr>
    </w:tbl>
    <w:p>
      <w:pPr>
        <w:spacing w:after="0" w:line="4" w:lineRule="exact"/>
        <w:rPr>
          <w:sz w:val="20"/>
          <w:szCs w:val="20"/>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Purchases of property, plant and equipment</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(21,389)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(26,987)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(21,036)</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Proceeds from asset disposals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(Increase) decrease in other assets/liabilities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(21,703)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(23,059)</w:t>
            </w:r>
          </w:p>
        </w:tc>
      </w:tr>
    </w:tbl>
    <w:p>
      <w:pPr>
        <w:spacing w:after="0" w:line="4" w:lineRule="exact"/>
        <w:rPr>
          <w:sz w:val="20"/>
          <w:szCs w:val="20"/>
          <w:color w:val="auto"/>
        </w:rPr>
      </w:pPr>
    </w:p>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(Decrease) increase in</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41,575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Proceeds from issuance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Repayments of long-term debt</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(36,077)</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deferred income</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12,742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5,250</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4,627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7,632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8,518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common stock</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(13,339)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(2,814)</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common stock</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(6,022)</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Repayments from ESOP</w:t>
            </w:r>
          </w:p>
        </w:tc>
        <w:tc>
          <w:tcPr>
            <w:tcW w:w="2720" w:type="dxa"/>
            <w:vAlign w:val="bottom"/>
          </w:tcPr>
          <w:p>
            <w:pPr>
              <w:spacing w:after="0"/>
              <w:rPr>
                <w:sz w:val="14"/>
                <w:szCs w:val="14"/>
                <w:color w:val="auto"/>
              </w:rPr>
            </w:pP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(17,688)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(24,534)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1,151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0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(7,636)</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(15,797)</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0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12,402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28,199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12,402</w:t>
            </w:r>
          </w:p>
        </w:tc>
      </w:tr>
    </w:tbl>
    <w:p>
      <w:pPr>
        <w:spacing w:after="0" w:line="4" w:lineRule="exact"/>
        <w:rPr>
          <w:sz w:val="20"/>
          <w:szCs w:val="20"/>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5" w:right="1440" w:bottom="1440" w:gutter="0" w:footer="0" w:header="0"/>
        </w:sectPr>
      </w:pPr>
    </w:p>
    <w:bookmarkStart w:id="353" w:name="page354"/>
    <w:bookmarkEnd w:id="353"/>
    <w:p>
      <w:pPr>
        <w:spacing w:after="0"/>
        <w:tabs>
          <w:tab w:leader="none" w:pos="2140" w:val="left"/>
        </w:tabs>
        <w:rPr>
          <w:sz w:val="20"/>
          <w:szCs w:val="20"/>
          <w:color w:val="auto"/>
        </w:rPr>
      </w:pPr>
      <w:r>
        <w:rPr>
          <w:rFonts w:ascii="Courier New" w:cs="Courier New" w:eastAsia="Courier New" w:hAnsi="Courier New"/>
          <w:sz w:val="14"/>
          <w:szCs w:val="14"/>
          <w:color w:val="auto"/>
        </w:rPr>
        <w:t>SELECTED FINANCIAL DATA</w:t>
        <w:tab/>
        <w:t>The Toro Company</w:t>
      </w:r>
    </w:p>
    <w:p>
      <w:pPr>
        <w:spacing w:after="0" w:line="338" w:lineRule="exact"/>
        <w:rPr>
          <w:sz w:val="20"/>
          <w:szCs w:val="20"/>
          <w:color w:val="auto"/>
        </w:rPr>
      </w:pPr>
    </w:p>
    <w:p>
      <w:pPr>
        <w:ind w:left="180" w:hanging="172"/>
        <w:spacing w:after="0"/>
        <w:tabs>
          <w:tab w:leader="none" w:pos="18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 Months</w:t>
            </w:r>
          </w:p>
        </w:tc>
        <w:tc>
          <w:tcPr>
            <w:tcW w:w="1800" w:type="dxa"/>
            <w:vAlign w:val="bottom"/>
          </w:tcPr>
          <w:p>
            <w:pPr>
              <w:spacing w:after="0"/>
              <w:rPr>
                <w:sz w:val="14"/>
                <w:szCs w:val="14"/>
                <w:color w:val="auto"/>
              </w:rPr>
            </w:pP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Years Ended</w:t>
            </w:r>
          </w:p>
        </w:tc>
        <w:tc>
          <w:tcPr>
            <w:tcW w:w="10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Ended</w:t>
            </w:r>
          </w:p>
        </w:tc>
        <w:tc>
          <w:tcPr>
            <w:tcW w:w="2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October 31</w:t>
            </w:r>
          </w:p>
        </w:tc>
        <w:tc>
          <w:tcPr>
            <w:tcW w:w="1800" w:type="dxa"/>
            <w:vAlign w:val="bottom"/>
          </w:tcPr>
          <w:p>
            <w:pPr>
              <w:jc w:val="right"/>
              <w:ind w:right="615"/>
              <w:spacing w:after="0"/>
              <w:rPr>
                <w:sz w:val="20"/>
                <w:szCs w:val="20"/>
                <w:color w:val="auto"/>
              </w:rPr>
            </w:pPr>
            <w:r>
              <w:rPr>
                <w:rFonts w:ascii="Courier New" w:cs="Courier New" w:eastAsia="Courier New" w:hAnsi="Courier New"/>
                <w:sz w:val="14"/>
                <w:szCs w:val="14"/>
                <w:color w:val="auto"/>
              </w:rPr>
              <w:t>July 31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July 31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July 31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except per share data)</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800" w:type="dxa"/>
            <w:vAlign w:val="bottom"/>
          </w:tcPr>
          <w:p>
            <w:pPr>
              <w:jc w:val="right"/>
              <w:ind w:right="615"/>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930,909</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192,278</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932,853</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794,341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684,324</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643,748</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36,409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36,667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22,230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(23,753)</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0.32</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5,834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5,993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5,753</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 share of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 outstanding</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Beginning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(16.2)%</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405,001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386,259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381,610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364,495</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344,130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332,517</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207,857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221,173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212,659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188,712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150,260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122,087</w:t>
            </w: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197,144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165,086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168,951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175,783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193,870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210,430</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91,876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86,394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86,705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79,144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75,073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88,793</w:t>
            </w: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496,877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472,653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468,315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443,639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419,203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421,310</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excluding long-term debt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22,438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2,509</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64,935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81,025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122,970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164,100</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213,567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190,892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185,471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168,652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144,601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132,614</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266,582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244,257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250,406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249,677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267,571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296,714</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11.01</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of common 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12,032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12,561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12,042</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Number of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8,386</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1/2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5/8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costs of $24.9 million, or $1.41 per share.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80"/>
          </w:cols>
          <w:pgMar w:left="220" w:top="616" w:right="299" w:bottom="1440" w:gutter="0" w:footer="0" w:header="0"/>
        </w:sectPr>
      </w:pPr>
    </w:p>
    <w:bookmarkStart w:id="354" w:name="page355"/>
    <w:bookmarkEnd w:id="354"/>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OF FINANCIAL CONDITION AND RESULTS OF OPERATIONS</w:t>
        <w:tab/>
        <w:t>The Toro Company</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A comparison of the year ended October 31, 1996 to the year ended October 31, 1995 is presented beginning on page 16. The 3 month transition period ended October 31, 1995 bridges the gap between the company's old and new fiscal year ends. A comparison of this transition period to the same period in 1994 is presented below. In addition, a comparison of the years ended July 31, 1995 and 1994 is also presented below.</w:t>
      </w:r>
    </w:p>
    <w:p>
      <w:pPr>
        <w:spacing w:after="0" w:line="164" w:lineRule="exact"/>
        <w:rPr>
          <w:sz w:val="20"/>
          <w:szCs w:val="20"/>
          <w:color w:val="auto"/>
        </w:rPr>
      </w:pPr>
    </w:p>
    <w:p>
      <w:pPr>
        <w:ind w:right="4820" w:firstLine="172"/>
        <w:spacing w:after="0" w:line="252" w:lineRule="auto"/>
        <w:rPr>
          <w:sz w:val="20"/>
          <w:szCs w:val="20"/>
          <w:color w:val="auto"/>
        </w:rPr>
      </w:pPr>
      <w:r>
        <w:rPr>
          <w:rFonts w:ascii="Courier New" w:cs="Courier New" w:eastAsia="Courier New" w:hAnsi="Courier New"/>
          <w:sz w:val="14"/>
          <w:szCs w:val="14"/>
          <w:color w:val="auto"/>
        </w:rPr>
        <w:t>Financial information related to the 3 month transition period ended October 31, 1995, and the years ended July 31, 1995 and 1994 has been derived from the audited financial statements. Financial information related to the 3 month period ended October 28, 1994 is unaudited.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The sales for the 3 month transition period ended October 31, 1995 were $192.3 million versus $205.7 million in the same period of the prior year. The decline was due to extraordinary snow product sales in 1994. Earnings for the period were $4.0 million versus $8.3 million in the prior year.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7" w:lineRule="exact"/>
        <w:rPr>
          <w:sz w:val="20"/>
          <w:szCs w:val="20"/>
          <w:color w:val="auto"/>
        </w:rPr>
      </w:pPr>
    </w:p>
    <w:p>
      <w:pPr>
        <w:ind w:left="180" w:hanging="172"/>
        <w:spacing w:after="0"/>
        <w:tabs>
          <w:tab w:leader="none" w:pos="1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 Months Ended</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 Months Ended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84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October 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 Change</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 Change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$932.9</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120.6</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(6.9)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598.3</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Gross</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w:t>
            </w: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(5.8)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287.5</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Selling,</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 expense</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Earnings from</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operations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(50.0)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64.8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52.1</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42.6</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216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12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11.9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13.6</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(17.2)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(8.2)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(8.0)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Earnings before income taxes</w:t>
            </w:r>
          </w:p>
        </w:tc>
        <w:tc>
          <w:tcPr>
            <w:tcW w:w="1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(52.2)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65.1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1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(52.7)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64.9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Net earnings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(51.8)%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$ 36.7</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65.3%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22.2</w:t>
            </w:r>
          </w:p>
        </w:tc>
      </w:tr>
    </w:tbl>
    <w:p>
      <w:pPr>
        <w:spacing w:after="0" w:line="4" w:lineRule="exact"/>
        <w:rPr>
          <w:sz w:val="20"/>
          <w:szCs w:val="20"/>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0.32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0.64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spacing w:after="0" w:line="4" w:lineRule="exact"/>
        <w:rPr>
          <w:sz w:val="20"/>
          <w:szCs w:val="20"/>
          <w:color w:val="auto"/>
        </w:rPr>
      </w:pPr>
    </w:p>
    <w:p>
      <w:pPr>
        <w:ind w:left="180" w:hanging="172"/>
        <w:spacing w:after="0"/>
        <w:tabs>
          <w:tab w:leader="none" w:pos="18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BY PRODUCT LINE</w:t>
      </w:r>
    </w:p>
    <w:p>
      <w:pPr>
        <w:spacing w:after="0" w:line="7" w:lineRule="exact"/>
        <w:rPr>
          <w:sz w:val="20"/>
          <w:szCs w:val="20"/>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 Months Ended</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 Months Ended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w:t>
            </w:r>
          </w:p>
        </w:tc>
        <w:tc>
          <w:tcPr>
            <w:tcW w:w="10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October 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10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 Change</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 Change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$488.1</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$425.8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305.3</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253.2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139.5</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bl>
    <w:p>
      <w:pPr>
        <w:spacing w:after="0" w:line="4" w:lineRule="exact"/>
        <w:rPr>
          <w:sz w:val="20"/>
          <w:szCs w:val="20"/>
          <w:color w:val="auto"/>
        </w:rPr>
      </w:pPr>
    </w:p>
    <w:p>
      <w:pPr>
        <w:ind w:left="180" w:hanging="172"/>
        <w:spacing w:after="0"/>
        <w:tabs>
          <w:tab w:leader="none" w:pos="18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23.7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$130.1</w:t>
            </w:r>
          </w:p>
        </w:tc>
      </w:tr>
    </w:tbl>
    <w:p>
      <w:pPr>
        <w:spacing w:after="0" w:line="4" w:lineRule="exact"/>
        <w:rPr>
          <w:sz w:val="20"/>
          <w:szCs w:val="20"/>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540"/>
          </w:cols>
          <w:pgMar w:left="220" w:top="616" w:right="139" w:bottom="1440" w:gutter="0" w:footer="0" w:header="0"/>
        </w:sectPr>
      </w:pPr>
    </w:p>
    <w:bookmarkStart w:id="355" w:name="page356"/>
    <w:bookmarkEnd w:id="355"/>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Worldwide net sales for the 3 months ended October 31, 1995, of $192.3 million decreased by $13.4 million from the prior year primarily as a result of decreased sales of snow removal equipment. The decline in the quarter was offset partially by an increase in commercial and irrigation product sales. The increase in commercial product sales was the result of new product introductions, golf course openings, increased sales of equipment to landscape contractors and increased sales in the municipal markets. Irrigation sales increased because of new product introductions and increased demand for do-it-yourself products. International sales included in the table on the previous page declined from the prior year because of a temporary business interruption in the irrigation product line as a result of distribution changes as well as decreased sales of snow removal equipment.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Worldwide sales increased $138.6 million in fiscal 1995 to $932.9 million with increases in all product lines as discussed below:</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Worldwide consumer product sales rose 14.6% to $488.1 million in 1995. Consumer product sales represented 52.3% and 53.6% of consolidated net sales for 1995 and 1994, respectively. International sales included in consumer product sales increased $5.6 million from the prior year.</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Exceptional sales of snow removal equipment as well as increased sales of riding products and Toro-Registered Trademark-brand walk power mowers contributed to the increase over the prior year. This increase was offset partially by a decline in Lawn-Boy-Registered Trademark- walk power mower sales as a result of reduced shipments in response to a delayed spring season as well as actions to reduce excess retail inventory.</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Worldwide commercial product sales increased $52.1 million over the prior year. International sales included in commercial product sales increased $9.0 million from the prior year.</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Sales were strong in both the golf and municipal markets because of new golf course openings and increased spending in the municipal market. Sales of equipment to landscape contractors and sales of recycling equipment products also contributed to the increase.</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irrigation product sales increased 21.0% to $139.5 million in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sales included in irrigation product sales increased $6.0 million.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Increased sales of irrigation products in the golf industry as well as an improved market share for do-it-yourself products contributed to the sales increase. The company's change to direct distribution through irrigation product wholesale dealers in the California and Texas markets, made in 1994 to better respond to customer needs, was favorably received in the marketplace. Improved international economies and weather conditions also resulted in increased sales.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International sales are included in the preceding net sales table. International sales increased 17.1% to $152.4 million in 1995. Sales in Canada improved over the prior year because of the strengthened economy. The drought in Australia curtailed sales slightly, but was offset by increased sales in Europe because of the weak U.S. dollar.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356" w:name="page357"/>
    <w:bookmarkEnd w:id="356"/>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Months Ended</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 Months Ended</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Year Ended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7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31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October 28</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July 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Margins (Percent of net sales)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37.3%</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37.0%</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6.7</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2.1</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4.0</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of $71.7 million decreased $4.4 million from the prior year because of the decline in sales. As a percent of sales, gross profit for the period ended October 31, 1995 was 37.3% compared with 37.0% for the period ended October 28, 1994 primarily due to increased sales of commercial and irrigation products, offset partially by reduced sales of snow removal equipment.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4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of $334.6 million increased 16.4% over the $287.5 million in 1994. As a percent of net sales, gross profit decreased slightly to 35.9% for 1995 compared with 36.2% in 1994. The percentage decrease resulted from the mix of product sales and increased costs of raw material. Gross profit increased $47.1 million to $334.6 million. This was the result of the increased sales volume which was offset by the items mentioned above.</w:t>
      </w:r>
    </w:p>
    <w:p>
      <w:pPr>
        <w:spacing w:after="0" w:line="164" w:lineRule="exact"/>
        <w:rPr>
          <w:sz w:val="20"/>
          <w:szCs w:val="20"/>
          <w:color w:val="auto"/>
        </w:rPr>
      </w:pPr>
    </w:p>
    <w:p>
      <w:pPr>
        <w:ind w:right="4740" w:firstLine="431"/>
        <w:spacing w:after="0" w:line="255" w:lineRule="auto"/>
        <w:rPr>
          <w:sz w:val="20"/>
          <w:szCs w:val="20"/>
          <w:color w:val="auto"/>
        </w:rPr>
      </w:pPr>
      <w:r>
        <w:rPr>
          <w:rFonts w:ascii="Courier New" w:cs="Courier New" w:eastAsia="Courier New" w:hAnsi="Courier New"/>
          <w:sz w:val="14"/>
          <w:szCs w:val="14"/>
          <w:color w:val="auto"/>
        </w:rPr>
        <w:t>Operating profit improved from the prior year by $22.2 million because of improved operating leverage as a result of increased sales.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7" w:lineRule="exact"/>
        <w:rPr>
          <w:sz w:val="20"/>
          <w:szCs w:val="20"/>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Months Ended</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Months Ended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 of</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SG&amp;A Expense</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31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28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July 31</w:t>
            </w:r>
          </w:p>
        </w:tc>
        <w:tc>
          <w:tcPr>
            <w:tcW w:w="860" w:type="dxa"/>
            <w:vAlign w:val="bottom"/>
          </w:tcPr>
          <w:p>
            <w:pPr>
              <w:ind w:left="3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July 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Sales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Sales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Sales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89.5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80.2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$269.8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bl>
    <w:p>
      <w:pPr>
        <w:spacing w:after="0" w:line="4" w:lineRule="exact"/>
        <w:rPr>
          <w:sz w:val="20"/>
          <w:szCs w:val="20"/>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4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SG&amp;A increased $2.3 million from the prior year and as a percent of sales increased to 33.8%. Administrative expense increased from the prior year as the company continued its implementation of a company-wide information system as well as an overall increase in spending. Warranty increased from the prior year as a result of a change in the sales mix of products. Research and development expenditures were above the prior year reflecting the company's continued commitment to product innovation. These increases were offset partially by a decrease in sales and marketing expense primarily because of reduced sales.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460"/>
          </w:cols>
          <w:pgMar w:left="220" w:top="947" w:right="219" w:bottom="1440" w:gutter="0" w:footer="0" w:header="0"/>
        </w:sectPr>
      </w:pPr>
    </w:p>
    <w:bookmarkStart w:id="357" w:name="page358"/>
    <w:bookmarkEnd w:id="357"/>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SG&amp;A was up $24.9 million from 1994 and was 28.9% of net sales in 1995 compared with 30.8% in 1994. The decline as a percent of sales was the result of improved leverage and expense control. The increase in administrative expense of $9.3 million occurred principally as a result of a company-wide initiative to replace existing information systems, increased payouts in various employee incentive and profit sharing plans, the addition of a joint venture with a distributor, the addition of dealer direct financing through Toro Credit Company, and distribution support.</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Sales and marketing expense was up $7.7 million from the prior year. As a percent of net sales, sales and marketing was 9.9%, a decrease from 10.6% in 1994. The dollar increase reflected the company's increased sales volume as well as an increase in brand advertising.</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Warranty expense increased by $2.0 million and as a percent of net sales was 3.3% in 1995 compared with 3.6% in 1994. The $2.0 million increase was primarily the result of increased sales volume, and new product introductions.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Distributor/dealer financing expense represents the cost incurred by the company to contract with a third party financing source to finance dealer inventory purchases. The $9.7 million charge reflected in SG&amp;A represents credit facility origination costs and interest charges for a pre-established length of time. Interest is charged at market rates based on prime plus a negotiated mark-up. These financing arrangements are used by the company as a marketing tool to enable customers to buy inventory. This expense increased $1.1 million in 1995 because of the increased sales volume and was offset partially by the reduction of third party financing expense which was taken on through the addition of dealer direct financing through Toro Credit Company.</w:t>
      </w:r>
    </w:p>
    <w:p>
      <w:pPr>
        <w:spacing w:after="0" w:line="329"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Research and development expense was up $1.9 million primarily as the result of continued investment in product innovation.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for the 3 months ended October 31, 1995 was $2.5 million which was unchanged from the amount reported in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for 1995 decreased to $11.9 million from the $13.6 million reported in 1994 as the result of the company's continued reduction in long-term debt and utilization of short-term borrowing at lower interest rates.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 at October 31, 1995 was $2.4 million versus $2.9 million in 1994. The decrease in other income, net was due to a decline in financing revenue for the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 was $0.2 million greater than the $8.0 million reported in 1994. Excluding the effect of two lawsuit settlements and the sale of the portable heater business in the prior year, other income increased because of gains on fixed asset disposals versus losses in the prior year, favorable foreign currency activity, and income resulting from joint venture activity.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358" w:name="page359"/>
    <w:bookmarkEnd w:id="358"/>
    <w:p>
      <w:pPr>
        <w:spacing w:after="0"/>
        <w:rPr>
          <w:sz w:val="20"/>
          <w:szCs w:val="20"/>
          <w:color w:val="auto"/>
        </w:rPr>
      </w:pPr>
      <w:r>
        <w:rPr>
          <w:rFonts w:ascii="Courier New" w:cs="Courier New" w:eastAsia="Courier New" w:hAnsi="Courier New"/>
          <w:sz w:val="14"/>
          <w:szCs w:val="14"/>
          <w:color w:val="auto"/>
        </w:rPr>
        <w:t>PROVISION FOR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effective tax rate for the period ended October 31, 1995 was 39.5% compared to 40.0% for the 3 month period ended October 28,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tax rate remained at 40% of pretax earnings in 1995. In accordance with Financial Accounting Standards No. 109, the company has determined that it is not necessary to establish a valuation reserve for the deferred income tax benefit because it is more likely than not that the net deferred income tax benefit of $30.9 million will be principally realized through carry back to taxable income in prior years, and future reversals of existing taxable temporary differences, and, to a lesser extent, future taxable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for the 3 months ended October 31, 1995 was $4.0 million versus</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$8.3 million a year prior. The decrease in earnings was primarily the result of extraordinary snow product sales in the prior 3 month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Net earnings for 1995 were $36.7 million or $2.81 per share, as compared with net earnings of $22.2 million or $1.71 per share in 1994. The increase in earnings was primarily the result of increased sales, improved operating leverage, and cost control measures such as lower borrowing costs.</w:t>
      </w: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59" w:name="page360"/>
    <w:bookmarkEnd w:id="359"/>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700"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October 31, 1996 and 1995, and the related consolidated statements of earnings and cash flows for the year ended October 31, 1996, the three month period ended October 31, 1995 and the years ended July 31, 1995 and 1994.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700"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780" w:firstLine="344"/>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October 31, 1996 and 1995, and the results of their operations and their cash flows for the year ended October 31, 1996, the three month period ended October 31, 1995 and the years ended July 31, 1995 and 1994 in conformity with generally accepted accounting principles.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KPMG Peat Marwick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1996</w:t>
      </w:r>
    </w:p>
    <w:p>
      <w:pPr>
        <w:spacing w:after="0" w:line="200" w:lineRule="exact"/>
        <w:rPr>
          <w:sz w:val="20"/>
          <w:szCs w:val="20"/>
          <w:color w:val="auto"/>
        </w:rPr>
      </w:pPr>
    </w:p>
    <w:p>
      <w:pPr>
        <w:spacing w:after="0" w:line="304"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CONSOLIDATED STATEMENTS OF EARNINGS</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520"/>
        <w:spacing w:after="0"/>
        <w:tabs>
          <w:tab w:leader="none" w:pos="6540" w:val="left"/>
          <w:tab w:leader="none" w:pos="7920" w:val="left"/>
        </w:tabs>
        <w:rPr>
          <w:sz w:val="20"/>
          <w:szCs w:val="20"/>
          <w:color w:val="auto"/>
        </w:rPr>
      </w:pPr>
      <w:r>
        <w:rPr>
          <w:rFonts w:ascii="Courier New" w:cs="Courier New" w:eastAsia="Courier New" w:hAnsi="Courier New"/>
          <w:sz w:val="14"/>
          <w:szCs w:val="14"/>
          <w:color w:val="auto"/>
        </w:rPr>
        <w:t>YEAR ENDED</w:t>
        <w:tab/>
        <w:t>3 Months Ended</w:t>
        <w:tab/>
        <w:t>----------------------------</w:t>
      </w:r>
    </w:p>
    <w:p>
      <w:pPr>
        <w:spacing w:after="0" w:line="7" w:lineRule="exact"/>
        <w:rPr>
          <w:sz w:val="20"/>
          <w:szCs w:val="20"/>
          <w:color w:val="auto"/>
        </w:rPr>
      </w:pPr>
    </w:p>
    <w:p>
      <w:pPr>
        <w:ind w:left="5520"/>
        <w:spacing w:after="0"/>
        <w:tabs>
          <w:tab w:leader="none" w:pos="6800" w:val="left"/>
          <w:tab w:leader="none" w:pos="8340" w:val="left"/>
          <w:tab w:leader="none" w:pos="96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6020" w:val="left"/>
          <w:tab w:leader="none" w:pos="7300" w:val="left"/>
          <w:tab w:leader="none" w:pos="8600" w:val="left"/>
          <w:tab w:leader="none" w:pos="990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$ 930,909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$192,278</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$ 932,853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$794,341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589,186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120,575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598,275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506,816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Gross profit</w:t>
            </w:r>
          </w:p>
        </w:tc>
        <w:tc>
          <w:tcPr>
            <w:tcW w:w="3320" w:type="dxa"/>
            <w:vAlign w:val="bottom"/>
          </w:tcPr>
          <w:p>
            <w:pPr>
              <w:spacing w:after="0"/>
              <w:rPr>
                <w:sz w:val="14"/>
                <w:szCs w:val="14"/>
                <w:color w:val="auto"/>
              </w:rPr>
            </w:pP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341,723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71,703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334,578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287,525</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and administrative expense</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278,284</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65,048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269,757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244,943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4"/>
                <w:szCs w:val="14"/>
                <w:color w:val="auto"/>
              </w:rPr>
              <w:t>Earnings from operations</w:t>
            </w:r>
          </w:p>
        </w:tc>
        <w:tc>
          <w:tcPr>
            <w:tcW w:w="2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63,439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6,655</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64,821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42,582</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2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13,590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2,532</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11,902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13,562</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2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(10,331)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(2,483)</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(8,193)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(8,030)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Earnings before income taxes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60,180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6,606</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61,112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37,050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23,771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24,445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14,820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Net earnings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36,409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3,997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36,667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$ 22,230</w:t>
            </w:r>
          </w:p>
        </w:tc>
      </w:tr>
    </w:tbl>
    <w:p>
      <w:pPr>
        <w:spacing w:after="0" w:line="4" w:lineRule="exact"/>
        <w:rPr>
          <w:sz w:val="20"/>
          <w:szCs w:val="20"/>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Net earnings per</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share of common stock and</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equivalent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0.32</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spacing w:after="0" w:line="170" w:lineRule="exact"/>
        <w:rPr>
          <w:sz w:val="20"/>
          <w:szCs w:val="20"/>
          <w:color w:val="auto"/>
        </w:rPr>
      </w:pPr>
    </w:p>
    <w:p>
      <w:pPr>
        <w:ind w:left="180" w:hanging="172"/>
        <w:spacing w:after="0"/>
        <w:tabs>
          <w:tab w:leader="none" w:pos="1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600"/>
          </w:cols>
          <w:pgMar w:left="220" w:top="616" w:right="1079" w:bottom="1440" w:gutter="0" w:footer="0" w:header="0"/>
        </w:sectPr>
      </w:pPr>
    </w:p>
    <w:bookmarkStart w:id="360" w:name="page361"/>
    <w:bookmarkEnd w:id="360"/>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SHEETS</w:t>
        <w:tab/>
        <w:t>The Toro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1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7,702</w:t>
            </w: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Receivables:</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Customers</w:t>
            </w:r>
          </w:p>
        </w:tc>
        <w:tc>
          <w:tcPr>
            <w:tcW w:w="23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244,434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201,571</w:t>
            </w:r>
          </w:p>
        </w:tc>
      </w:tr>
      <w:tr>
        <w:trPr>
          <w:trHeight w:val="166"/>
        </w:trPr>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249,642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206,358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239,637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145,862</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405,001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spacing w:after="0" w:line="4" w:lineRule="exact"/>
        <w:rPr>
          <w:sz w:val="20"/>
          <w:szCs w:val="20"/>
          <w:color w:val="auto"/>
        </w:rPr>
      </w:pPr>
    </w:p>
    <w:p>
      <w:pPr>
        <w:ind w:left="180" w:hanging="172"/>
        <w:spacing w:after="0"/>
        <w:tabs>
          <w:tab w:leader="none" w:pos="1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Land and land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6,569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leasehold improvements</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176,157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90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211,681</w:t>
            </w:r>
          </w:p>
        </w:tc>
      </w:tr>
      <w:tr>
        <w:trPr>
          <w:trHeight w:val="166"/>
        </w:trPr>
        <w:tc>
          <w:tcPr>
            <w:tcW w:w="49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155,270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73,810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1,600</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16,466</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14,055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480" w:type="dxa"/>
            <w:vAlign w:val="bottom"/>
          </w:tcPr>
          <w:p>
            <w:pPr>
              <w:ind w:left="1080"/>
              <w:spacing w:after="0"/>
              <w:rPr>
                <w:sz w:val="20"/>
                <w:szCs w:val="20"/>
                <w:color w:val="auto"/>
              </w:rPr>
            </w:pPr>
            <w:r>
              <w:rPr>
                <w:rFonts w:ascii="Courier New" w:cs="Courier New" w:eastAsia="Courier New" w:hAnsi="Courier New"/>
                <w:sz w:val="14"/>
                <w:szCs w:val="14"/>
                <w:color w:val="auto"/>
              </w:rPr>
              <w:t>Total assets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$496,877</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$ 472,653</w:t>
            </w:r>
          </w:p>
        </w:tc>
      </w:tr>
    </w:tbl>
    <w:p>
      <w:pPr>
        <w:spacing w:after="0" w:line="4" w:lineRule="exact"/>
        <w:rPr>
          <w:sz w:val="20"/>
          <w:szCs w:val="20"/>
          <w:color w:val="auto"/>
        </w:rPr>
      </w:pPr>
    </w:p>
    <w:p>
      <w:pPr>
        <w:ind w:left="180" w:hanging="172"/>
        <w:spacing w:after="0"/>
        <w:tabs>
          <w:tab w:leader="none" w:pos="1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COMMON STOCKHOLDERS' EQUITY Current liabilities:</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15,334</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41,025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43,524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Accrued warranty</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34,722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Accrued marketing programs</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Other accrued liabilities</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65,636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207,857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and outstanding 12,032,143 shares in 1996 (net of 877,861 treasury shares)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12,168</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173,630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r>
      <w:tr>
        <w:trPr>
          <w:trHeight w:val="0"/>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220"/>
        <w:spacing w:after="0"/>
        <w:tabs>
          <w:tab w:leader="none" w:pos="7060" w:val="left"/>
          <w:tab w:leader="none" w:pos="8260" w:val="left"/>
        </w:tabs>
        <w:rPr>
          <w:sz w:val="20"/>
          <w:szCs w:val="20"/>
          <w:color w:val="auto"/>
        </w:rPr>
      </w:pPr>
      <w:r>
        <w:rPr>
          <w:rFonts w:ascii="Courier New" w:cs="Courier New" w:eastAsia="Courier New" w:hAnsi="Courier New"/>
          <w:sz w:val="14"/>
          <w:szCs w:val="14"/>
          <w:color w:val="auto"/>
        </w:rPr>
        <w:t>Total common stockholders' equity</w:t>
      </w:r>
      <w:r>
        <w:rPr>
          <w:sz w:val="20"/>
          <w:szCs w:val="20"/>
          <w:color w:val="auto"/>
        </w:rPr>
        <w:tab/>
      </w:r>
      <w:r>
        <w:rPr>
          <w:rFonts w:ascii="Courier New" w:cs="Courier New" w:eastAsia="Courier New" w:hAnsi="Courier New"/>
          <w:sz w:val="14"/>
          <w:szCs w:val="14"/>
          <w:color w:val="auto"/>
        </w:rPr>
        <w:t>213,567</w:t>
      </w:r>
      <w:r>
        <w:rPr>
          <w:sz w:val="20"/>
          <w:szCs w:val="20"/>
          <w:color w:val="auto"/>
        </w:rPr>
        <w:tab/>
      </w:r>
      <w:r>
        <w:rPr>
          <w:rFonts w:ascii="Courier New" w:cs="Courier New" w:eastAsia="Courier New" w:hAnsi="Courier New"/>
          <w:sz w:val="14"/>
          <w:szCs w:val="14"/>
          <w:color w:val="auto"/>
        </w:rPr>
        <w:t>190,892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220"/>
        <w:spacing w:after="0"/>
        <w:tabs>
          <w:tab w:leader="none" w:pos="6960" w:val="left"/>
          <w:tab w:leader="none" w:pos="8180" w:val="left"/>
        </w:tabs>
        <w:rPr>
          <w:sz w:val="20"/>
          <w:szCs w:val="20"/>
          <w:color w:val="auto"/>
        </w:rPr>
      </w:pPr>
      <w:r>
        <w:rPr>
          <w:rFonts w:ascii="Courier New" w:cs="Courier New" w:eastAsia="Courier New" w:hAnsi="Courier New"/>
          <w:sz w:val="14"/>
          <w:szCs w:val="14"/>
          <w:color w:val="auto"/>
        </w:rPr>
        <w:t>Total liabilities and common stockholders' equity</w:t>
      </w:r>
      <w:r>
        <w:rPr>
          <w:sz w:val="20"/>
          <w:szCs w:val="20"/>
          <w:color w:val="auto"/>
        </w:rPr>
        <w:tab/>
      </w:r>
      <w:r>
        <w:rPr>
          <w:rFonts w:ascii="Courier New" w:cs="Courier New" w:eastAsia="Courier New" w:hAnsi="Courier New"/>
          <w:sz w:val="14"/>
          <w:szCs w:val="14"/>
          <w:color w:val="auto"/>
        </w:rPr>
        <w:t>$496,877</w:t>
      </w:r>
      <w:r>
        <w:rPr>
          <w:sz w:val="20"/>
          <w:szCs w:val="20"/>
          <w:color w:val="auto"/>
        </w:rPr>
        <w:tab/>
      </w:r>
      <w:r>
        <w:rPr>
          <w:rFonts w:ascii="Courier New" w:cs="Courier New" w:eastAsia="Courier New" w:hAnsi="Courier New"/>
          <w:sz w:val="14"/>
          <w:szCs w:val="14"/>
          <w:color w:val="auto"/>
        </w:rPr>
        <w:t>$472,653</w:t>
      </w:r>
    </w:p>
    <w:p>
      <w:pPr>
        <w:spacing w:after="0" w:line="7" w:lineRule="exact"/>
        <w:rPr>
          <w:sz w:val="20"/>
          <w:szCs w:val="20"/>
          <w:color w:val="auto"/>
        </w:rPr>
      </w:pPr>
    </w:p>
    <w:p>
      <w:pPr>
        <w:ind w:left="180" w:hanging="172"/>
        <w:spacing w:after="0"/>
        <w:tabs>
          <w:tab w:leader="none" w:pos="18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5" w:right="1440" w:bottom="1440" w:gutter="0" w:footer="0" w:header="0"/>
        </w:sectPr>
      </w:pPr>
    </w:p>
    <w:bookmarkStart w:id="361" w:name="page362"/>
    <w:bookmarkEnd w:id="361"/>
    <w:p>
      <w:pPr>
        <w:ind w:left="180" w:hanging="172"/>
        <w:spacing w:after="0"/>
        <w:tabs>
          <w:tab w:leader="none" w:pos="18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 ENDED</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 Months Ended</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July 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July 31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Net earnings</w:t>
            </w:r>
          </w:p>
        </w:tc>
        <w:tc>
          <w:tcPr>
            <w:tcW w:w="38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36,409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36,667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22,230</w:t>
            </w: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cash provided by</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(used in) operating activities: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18,170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17,240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18,839</w:t>
            </w:r>
          </w:p>
        </w:tc>
      </w:tr>
      <w:tr>
        <w:trPr>
          <w:trHeight w:val="166"/>
        </w:trPr>
        <w:tc>
          <w:tcPr>
            <w:tcW w:w="60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(Gain) loss on disposal of property, plant and equipment</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w:t>
            </w: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8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(2,668)</w:t>
            </w: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w:t>
            </w: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Net receivables</w:t>
            </w:r>
          </w:p>
        </w:tc>
        <w:tc>
          <w:tcPr>
            <w:tcW w:w="380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(40,821)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(28,773)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(3,320)</w:t>
            </w: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38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15,574</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(22,142)</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(40,056)</w:t>
            </w: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Prepaid expenses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deferred income tax benefits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(2,551)</w:t>
            </w: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accrued expenses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(9,770)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32,433</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4"/>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 of property,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plant</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and equipment</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(21,389)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(28,162)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(18,173)</w:t>
            </w: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Proceeds from asset</w:t>
            </w:r>
          </w:p>
        </w:tc>
        <w:tc>
          <w:tcPr>
            <w:tcW w:w="3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disposals</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w:t>
            </w: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(Increase) decrease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assets/liabilities</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(21,703)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(22,879)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4"/>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Increase (decrease)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83"/>
              </w:rPr>
              <w:t>in</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sale of receivables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(Decrease) increase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83"/>
              </w:rPr>
              <w:t>in</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19,040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22,535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issuance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Repayments of</w:t>
            </w:r>
          </w:p>
        </w:tc>
        <w:tc>
          <w:tcPr>
            <w:tcW w:w="3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long-term debt</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(15,334)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(12,326)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(40,645)</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deferred</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12,742</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4,627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3,586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8,251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6,144</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 of common</w:t>
            </w:r>
          </w:p>
        </w:tc>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(13,339)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(2,284)</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on common</w:t>
            </w:r>
          </w:p>
        </w:tc>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(5,834)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(5,993)</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Repayments from ESOP</w:t>
            </w:r>
          </w:p>
        </w:tc>
        <w:tc>
          <w:tcPr>
            <w:tcW w:w="2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2,612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9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(17,688)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(30,917)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(7,636)</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(24,307)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(25,562)</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1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11,924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36,231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61,793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11,924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36,231</w:t>
            </w:r>
          </w:p>
        </w:tc>
      </w:tr>
    </w:tbl>
    <w:p>
      <w:pPr>
        <w:spacing w:after="0" w:line="4" w:lineRule="exact"/>
        <w:rPr>
          <w:sz w:val="20"/>
          <w:szCs w:val="20"/>
          <w:color w:val="auto"/>
        </w:rPr>
      </w:pPr>
    </w:p>
    <w:p>
      <w:pPr>
        <w:ind w:left="180" w:hanging="172"/>
        <w:spacing w:after="0"/>
        <w:tabs>
          <w:tab w:leader="none" w:pos="1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7140"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disclosures of cash flow information: Cash paid during the period for:</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15,335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4,694</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14,092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20,447</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4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34,936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19,498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524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460"/>
          </w:cols>
          <w:pgMar w:left="220" w:top="947" w:right="219" w:bottom="1440" w:gutter="0" w:footer="0" w:header="0"/>
        </w:sectPr>
      </w:pPr>
    </w:p>
    <w:bookmarkStart w:id="362" w:name="page363"/>
    <w:bookmarkEnd w:id="362"/>
    <w:p>
      <w:pPr>
        <w:spacing w:after="0"/>
        <w:tabs>
          <w:tab w:leader="none" w:pos="3780" w:val="left"/>
        </w:tabs>
        <w:rPr>
          <w:sz w:val="20"/>
          <w:szCs w:val="20"/>
          <w:color w:val="auto"/>
        </w:rPr>
      </w:pPr>
      <w:r>
        <w:rPr>
          <w:rFonts w:ascii="Courier New" w:cs="Courier New" w:eastAsia="Courier New" w:hAnsi="Courier New"/>
          <w:sz w:val="14"/>
          <w:szCs w:val="14"/>
          <w:color w:val="auto"/>
        </w:rPr>
        <w:t>NOTES TO CONSOLIDATED FINANCIAL STATEMENTS</w:t>
        <w:tab/>
        <w:t>The Toro Company</w:t>
      </w:r>
    </w:p>
    <w:p>
      <w:pPr>
        <w:spacing w:after="0" w:line="7" w:lineRule="exact"/>
        <w:rPr>
          <w:sz w:val="20"/>
          <w:szCs w:val="20"/>
          <w:color w:val="auto"/>
        </w:rPr>
      </w:pPr>
    </w:p>
    <w:p>
      <w:pPr>
        <w:ind w:left="180" w:hanging="172"/>
        <w:spacing w:after="0"/>
        <w:tabs>
          <w:tab w:leader="none" w:pos="18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SUMMARY OF SIGNIFICANT ACCOUNTING POLICIES AND RELATED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Effective November 1995, the company changed its fiscal year ended July 31 to a fiscal year ended October 31. The 3 month transition period ended October 31, 1995 bridges the gap between the company's old and new fiscal year ends.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Toro Company and all wholly-owned and majority-owned domestic and foreign subsidiaries (the company). Investments in 50% or less owned companies are accounted for by the equity method. The accounts of foreign subsidiaries, which are not material, have been adjusted to conform to U.S. accounting principles and practices and have been translated to appropriate U.S. dollar equivalents. All material intercompany accounts and transactions have been eliminated from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considers all highly liquid investments purchased with a maturity of three months or less to be cash equivalents. At October 31, 1996 the Company had $4,908,000 included in trade payables that represented the reclassification of outstanding checks in excess of related bank balances.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doubtful accounts included in selling, general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 was $3,358,000 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$720,000 for the 3 months ended October 31, 1995, $1,543,000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1995, and $3,032,000 for the year ended July 31,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majority of all inventories are valued at the lower of cost or net realizable value with cost determined by the last-in, first-out (LIFO) method. Had the first-in, first-out (FIFO) method of cost determination been used, inventories would have been $25,642,000 and $24,841,000 higher than reported at October 31, 1996, and 1995, respectively. Under the FIFO method, work-in-process inventories were $69,182,000 and $86,285,000 and finished goods inventories were $86,748,000 and $84,418,000 at October 31, 1996 and 1995,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DEPRECIATION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The cost and related accumulated depreciation of all plant and equipment disposed of are removed from the accounts, and any gain or loss from such disposal is included in current period earnings.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WARRANTY</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provides an accrual for estimated future warranty costs based upon the historical relationship of warranty costs to sales.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63" w:name="page364"/>
    <w:bookmarkEnd w:id="363"/>
    <w:p>
      <w:pPr>
        <w:spacing w:after="0"/>
        <w:rPr>
          <w:sz w:val="20"/>
          <w:szCs w:val="20"/>
          <w:color w:val="auto"/>
        </w:rPr>
      </w:pPr>
      <w:r>
        <w:rPr>
          <w:rFonts w:ascii="Courier New" w:cs="Courier New" w:eastAsia="Courier New" w:hAnsi="Courier New"/>
          <w:sz w:val="14"/>
          <w:szCs w:val="14"/>
          <w:color w:val="auto"/>
        </w:rPr>
        <w:t>DEFERRED INCOME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has recorded deferred income related to a forward starting interest rate exchange agreement. The deferred income will be recognized commencing August 1, 1997 as an adjustment to interest expense over the term of the agreement. See Note 3 to the Consolidated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functional currency of the company's foreign operations is the applicable local currency. The functional currency is translated into U.S. dollars in accordance with Statement of Financial Accounting Standards No. 52, "Foreign Currency Translation" which is performed for balance sheet accounts using current exchange rates in effect at the balance sheet date and for revenue and expense accounts using a weighted average exchange rate during the period. The gains or losses resulting from such translations are included in stockholders' equity. Gains or losses resulting from foreign currency transactions are included in other income, net.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REVENUES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Revenue is recognized at the time products are shipped to distributors, dealers or mass merchandisers.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FINANCING DISTRIBUTOR/DEALER INVENTORY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various programs in which the company shares costs of financing distributor and dealer inventories. These costs of $10,252,000 for the year ended October 31, 1996, $2,063,000 for the 3 months ended October 31, 1995, $9,675,000 for the year ended July 31, 1995, and $8,587,000 for the year ended July 31, 1994, are charged against operations as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Expenditures for research and development, including engineering, of $31,343,000 for the year ended October 31, 1996, $6,864,000 for the 3 months ended October 31, 1995, $26,513,000 for the year ended July 31, 1995 and $24,581,000 for the year ended July 31, 1994 are charged against operations as incurred.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changes to the company's distribution channels. These costs were $6,682,000 for the year ended October 31, 1996, $823,000 for the 3 months ended October 31, 1995, $3,400,000 for the year ended July 31, 1995 and $4,300,000 for the year ended July 31, 1994. Those costs associated with business changes are accrued on the basis of historical experience, while costs related to specific changes to the company's distribution system are recorded when authorized.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accordance with Statement of Financial Accounting Standards No. 109, "Accounting for Income Taxes," (FAS 109),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rates is recognized in income in the period that includes the enactment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The company has reflected the necessary deferred tax asset/liability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balance sheets. Management believes the future tax deductions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realized principally through carry back to taxable income in prior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future reversals of existing taxable temporary differences, and 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extent,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taxable income.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64" w:name="page365"/>
    <w:bookmarkEnd w:id="364"/>
    <w:p>
      <w:pPr>
        <w:spacing w:after="0"/>
        <w:rPr>
          <w:sz w:val="20"/>
          <w:szCs w:val="20"/>
          <w:color w:val="auto"/>
        </w:rPr>
      </w:pPr>
      <w:r>
        <w:rPr>
          <w:rFonts w:ascii="Courier New" w:cs="Courier New" w:eastAsia="Courier New" w:hAnsi="Courier New"/>
          <w:sz w:val="14"/>
          <w:szCs w:val="14"/>
          <w:color w:val="auto"/>
        </w:rPr>
        <w:t>NET EARNINGS PER SHARE OF COMMON STOCK AND COMMON STOCK EQUIVALENTS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earnings per share of common stock and common stock equivalents are computed by dividing net earnings by the weighted average number of common shares and common stock equivalents outstanding during the respective periods. Common stock equivalents include potentially dilutive stock options. These shares are included under the treasury stock method using the average market price of the company's stock during each period. The effect of full dilution using the year-end price of the company's stock was immaterial.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released Statement of Financial Accounting Standard No. 123, "Accounting for Stock-Based Compensation," (FAS 123). The company accounts for its stock options and employee stock ownership plan in accordance with the provisions of the Accounting Principles Board Opinion No. 25, "Accounting for Stock Issued to Employees," (APB 25). FAS 123 provides an alternative to APB 25 and is effective for fiscal years beginning after December 15, 1995. The company expects to continue to account for its employee stock plans in accordance with the provisions of APB 25. Accordingly, FAS 123 is not expected to have any material impact on the company's financial position or results of operations. Effective with the issuance of the company's fiscal 1997 financial statements, the company will disclose proforma net income and per share amounts as if FAS 123 were applied.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Certain prior period amounts have been reclassified to conform with the current year presentation.</w:t>
      </w:r>
    </w:p>
    <w:p>
      <w:pPr>
        <w:spacing w:after="0" w:line="326" w:lineRule="exact"/>
        <w:rPr>
          <w:sz w:val="20"/>
          <w:szCs w:val="20"/>
          <w:color w:val="auto"/>
        </w:rPr>
      </w:pPr>
    </w:p>
    <w:p>
      <w:pPr>
        <w:ind w:left="360" w:hanging="352"/>
        <w:spacing w:after="0"/>
        <w:tabs>
          <w:tab w:leader="none" w:pos="36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599"/>
        <w:spacing w:after="0" w:line="250" w:lineRule="auto"/>
        <w:rPr>
          <w:sz w:val="20"/>
          <w:szCs w:val="20"/>
          <w:color w:val="auto"/>
        </w:rPr>
      </w:pPr>
      <w:r>
        <w:rPr>
          <w:rFonts w:ascii="Courier New" w:cs="Courier New" w:eastAsia="Courier New" w:hAnsi="Courier New"/>
          <w:sz w:val="14"/>
          <w:szCs w:val="14"/>
          <w:color w:val="auto"/>
        </w:rPr>
        <w:t>At October 31, 1996, the company had available unsecured lines of credit with five banks in the aggregate of $194,000,000. Most of these agreements require the company to pay a fee of 0.175% per year on the available lines of credit. This fee is recorded by the company as interest expense.</w:t>
      </w:r>
    </w:p>
    <w:p>
      <w:pPr>
        <w:spacing w:after="0" w:line="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had $41,025,000 outstanding at October 31, 1996, and $41,575,000 outstanding at October 31, 1995. The weighted average interest rate on short-term borrowing for 1996 was 6.0% (6.0% for the 3 months ended October 31, 1995, 7.7% for the year ended July 31, 1995 and 6.5% for the year ended July 31, 1994). Interest expense was $7,036,000 in 1996 ($695,000 for the 3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1995, $2,498,000 for the year ended July 31, 1995 and $822,000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July 31, 1994), including facility fees. The weighted average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borrowing was $117,080,000 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($11,496,000 for the 3 months ended October 31, 1995, $32,335,000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1995 and $12,755,000 for the year ended July 31, 1994).</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addition, the company's capital resources include two $20,000,000 bankers' acceptance financing agreements in 1996 and 1995. The company had no amount outstanding under these agreements at October 31, 1996, and 1995.</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5" w:right="1440" w:bottom="1440" w:gutter="0" w:footer="0" w:header="0"/>
        </w:sectPr>
      </w:pPr>
    </w:p>
    <w:bookmarkStart w:id="365" w:name="page366"/>
    <w:bookmarkEnd w:id="365"/>
    <w:p>
      <w:pPr>
        <w:ind w:left="360" w:hanging="352"/>
        <w:spacing w:after="0"/>
        <w:tabs>
          <w:tab w:leader="none" w:pos="36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long-term debt is as follows: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11% Sinking Fund Debentures due annually</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August 1998-2017 callable August 1, 1997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Industrial Revenue Bond due annually</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June 1997-2004 with various interest rates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9.57%</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January 1996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August 1996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4" w:lineRule="exact"/>
        <w:rPr>
          <w:sz w:val="20"/>
          <w:szCs w:val="20"/>
          <w:color w:val="auto"/>
        </w:rPr>
      </w:pPr>
    </w:p>
    <w:p>
      <w:pPr>
        <w:ind w:left="180" w:hanging="172"/>
        <w:spacing w:after="0"/>
        <w:tabs>
          <w:tab w:leader="none" w:pos="18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53,36568,699</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bl>
    <w:p>
      <w:pPr>
        <w:spacing w:after="0" w:line="4" w:lineRule="exact"/>
        <w:rPr>
          <w:sz w:val="20"/>
          <w:szCs w:val="20"/>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weighted average interest rate on long-term debt for 1996 was 10.5%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(10.5% for the 3 months ended October 31, 1995, 9.9% for the year ended July 31, 1995 and 9.8% for the year ended July 31, 1994). Interest expense was $6,555,000 in 1996 ($1,837,000 for the 3 months ended October 31, 1995, $8,673,000 for the year ended July 31, 1995 and $12,236,000 for the year ended July 31, 1994), including commitment and facility fees. The weighted average long-term debt outstanding was $62,366,000 in 1996 ($17,557,000 for the 3 months ended October 31, 1995, $87,330,000 for the year ended July 31, 1995 and $125,388,000 for the year ended July 31, 1994).</w:t>
      </w:r>
    </w:p>
    <w:p>
      <w:pPr>
        <w:spacing w:after="0" w:line="164"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The company entered into a forward starting interest rate exchange agreement with a bank on March 6, 1996 to hedge the anticipated refinancing of its $50 million, 11% long-term sinking fund debentures callable August 1, 1997, and to realize the benefit of favorable interest rates. Simultaneously with entering into this interest rate exchange agreement, the company terminated its interest rate exchange agreement entered into during February 1994. The effect of this transaction was to extend the original forward starting interest rate exchange agreement from 5 years to 30 years. As a result of this transaction, the deferred income balance was increased from $5.25 million in 1994 to $17.3 million in March of 1996. The net additional cash received in March 1996 was $12.1 million. In return for the net proceeds, the company will pay the bank</w:t>
      </w:r>
    </w:p>
    <w:p>
      <w:pPr>
        <w:spacing w:after="0" w:line="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10.55% on a notational amount of $50 million from August 1, 1997 through August 2, 2027 and the company will receive payments based on a floating rate equal to the London Interbank Offered Rate (LIBOR) on the notational amount over the same period.</w:t>
      </w:r>
    </w:p>
    <w:p>
      <w:pPr>
        <w:spacing w:after="0" w:line="162" w:lineRule="exact"/>
        <w:rPr>
          <w:sz w:val="20"/>
          <w:szCs w:val="20"/>
          <w:color w:val="auto"/>
        </w:rPr>
      </w:pPr>
    </w:p>
    <w:p>
      <w:pPr>
        <w:ind w:right="3779" w:firstLine="344"/>
        <w:spacing w:after="0" w:line="253" w:lineRule="auto"/>
        <w:rPr>
          <w:sz w:val="20"/>
          <w:szCs w:val="20"/>
          <w:color w:val="auto"/>
        </w:rPr>
      </w:pPr>
      <w:r>
        <w:rPr>
          <w:rFonts w:ascii="Courier New" w:cs="Courier New" w:eastAsia="Courier New" w:hAnsi="Courier New"/>
          <w:sz w:val="14"/>
          <w:szCs w:val="14"/>
          <w:color w:val="auto"/>
        </w:rPr>
        <w:t>The net interest rate differential to be received or paid and the $17.3 million deferred income will be recognized commencing August 1, 1997 as an adjustment to interest expense over the term of the agreement.</w:t>
      </w:r>
    </w:p>
    <w:p>
      <w:pPr>
        <w:spacing w:after="0" w:line="327"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August 12, 1996 the company entered into another forward starting interest rate exchange agreement with a bank to additionally hedge the anticipated refinancing of the $50 million currently financed under short-term credit agreements. The company received or paid no cash as a result of this transaction.</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Under the terms of the long-term debt agreements and the interest rate exchange agreements, the company is subject to certain covenants. At October 31, 1996, the company was in compliance with all such covenants.</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terms of certain agreements of Toro Credit Company restrict the payment of dividends and loans or advances to the parent company. Of the Toro Credit Company's retained earnings of $63,584,000, all were available for distribution to the parent at October 31, 1996.</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October 31 are as follows: 1997, $350,000; 1998, $2,865,000; 1999, $2,885,000; 2000, $2,905,000; 2001, $2,925,000; and after 2001, $41,435,000.</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5" w:right="1440" w:bottom="1440" w:gutter="0" w:footer="0" w:header="0"/>
        </w:sectPr>
      </w:pPr>
    </w:p>
    <w:bookmarkStart w:id="366" w:name="page367"/>
    <w:bookmarkEnd w:id="366"/>
    <w:p>
      <w:pPr>
        <w:ind w:left="360" w:hanging="352"/>
        <w:spacing w:after="0"/>
        <w:tabs>
          <w:tab w:leader="none" w:pos="36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left="180" w:hanging="172"/>
        <w:spacing w:after="0"/>
        <w:tabs>
          <w:tab w:leader="none" w:pos="18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reconciliation of the statutory federal income tax rate to the company's consolidated effective tax rate is summarized as follows:</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020"/>
        <w:spacing w:after="0"/>
        <w:tabs>
          <w:tab w:leader="none" w:pos="4360" w:val="left"/>
          <w:tab w:leader="none" w:pos="18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00"/>
        <w:spacing w:after="0"/>
        <w:tabs>
          <w:tab w:leader="none" w:pos="4200" w:val="left"/>
          <w:tab w:leader="none" w:pos="2380" w:val="left"/>
          <w:tab w:leader="none" w:pos="11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jc w:val="both"/>
        <w:ind w:left="5520"/>
        <w:spacing w:after="0"/>
        <w:tabs>
          <w:tab w:leader="none" w:pos="7220" w:val="left"/>
          <w:tab w:leader="none" w:pos="8780" w:val="left"/>
          <w:tab w:leader="none" w:pos="100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35.0%</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35.0%</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Increase (reduction) in income taxes resulting from:</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Benefits from foreign sales corporation</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(0.2)</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State and local income taxes, net of federal</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income tax benefit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Effect of foreign source income</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Consolidated effective tax rate</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39.5%</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39.5%</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4" w:lineRule="exact"/>
        <w:rPr>
          <w:sz w:val="20"/>
          <w:szCs w:val="20"/>
          <w:color w:val="auto"/>
        </w:rPr>
      </w:pPr>
    </w:p>
    <w:p>
      <w:pPr>
        <w:ind w:left="180" w:hanging="172"/>
        <w:spacing w:after="0"/>
        <w:tabs>
          <w:tab w:leader="none" w:pos="1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the provision for income taxes are as follows:</w:t>
      </w:r>
    </w:p>
    <w:p>
      <w:pPr>
        <w:spacing w:after="0" w:line="7" w:lineRule="exact"/>
        <w:rPr>
          <w:sz w:val="20"/>
          <w:szCs w:val="20"/>
          <w:color w:val="auto"/>
        </w:rPr>
      </w:pPr>
    </w:p>
    <w:p>
      <w:pPr>
        <w:ind w:left="180" w:hanging="172"/>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940"/>
        <w:spacing w:after="0"/>
        <w:tabs>
          <w:tab w:leader="none" w:pos="4280" w:val="left"/>
          <w:tab w:leader="none" w:pos="178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20"/>
        <w:spacing w:after="0"/>
        <w:tabs>
          <w:tab w:leader="none" w:pos="4100" w:val="left"/>
          <w:tab w:leader="none" w:pos="2300" w:val="left"/>
          <w:tab w:leader="none" w:pos="10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jc w:val="both"/>
        <w:ind w:left="5600"/>
        <w:spacing w:after="0"/>
        <w:tabs>
          <w:tab w:leader="none" w:pos="7300" w:val="left"/>
          <w:tab w:leader="none" w:pos="8860" w:val="left"/>
          <w:tab w:leader="none" w:pos="101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Federal</w:t>
            </w:r>
          </w:p>
        </w:tc>
        <w:tc>
          <w:tcPr>
            <w:tcW w:w="31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$22,479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731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$24,878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$18,487</w:t>
            </w: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31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2,754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2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25,233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21,097</w:t>
            </w:r>
          </w:p>
        </w:tc>
      </w:tr>
    </w:tbl>
    <w:p>
      <w:pPr>
        <w:spacing w:after="0" w:line="4" w:lineRule="exact"/>
        <w:rPr>
          <w:sz w:val="20"/>
          <w:szCs w:val="20"/>
          <w:color w:val="auto"/>
        </w:rPr>
      </w:pPr>
    </w:p>
    <w:p>
      <w:pPr>
        <w:ind w:left="180" w:hanging="172"/>
        <w:spacing w:after="0"/>
        <w:tabs>
          <w:tab w:leader="none" w:pos="1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(1,051)</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1,414</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(5,059)</w:t>
            </w:r>
          </w:p>
        </w:tc>
      </w:tr>
      <w:tr>
        <w:trPr>
          <w:trHeight w:val="166"/>
        </w:trPr>
        <w:tc>
          <w:tcPr>
            <w:tcW w:w="27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(411)</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5160" w:val="left"/>
          <w:tab w:leader="none" w:pos="6800" w:val="left"/>
          <w:tab w:leader="none" w:pos="8420" w:val="left"/>
          <w:tab w:leader="none" w:pos="9800" w:val="left"/>
        </w:tabs>
        <w:rPr>
          <w:sz w:val="20"/>
          <w:szCs w:val="20"/>
          <w:color w:val="auto"/>
        </w:rPr>
      </w:pPr>
      <w:r>
        <w:rPr>
          <w:rFonts w:ascii="Courier New" w:cs="Courier New" w:eastAsia="Courier New" w:hAnsi="Courier New"/>
          <w:sz w:val="14"/>
          <w:szCs w:val="14"/>
          <w:color w:val="auto"/>
        </w:rPr>
        <w:t>Deferred provision</w:t>
      </w:r>
      <w:r>
        <w:rPr>
          <w:sz w:val="20"/>
          <w:szCs w:val="20"/>
          <w:color w:val="auto"/>
        </w:rPr>
        <w:tab/>
      </w:r>
      <w:r>
        <w:rPr>
          <w:rFonts w:ascii="Courier New" w:cs="Courier New" w:eastAsia="Courier New" w:hAnsi="Courier New"/>
          <w:sz w:val="14"/>
          <w:szCs w:val="14"/>
          <w:color w:val="auto"/>
        </w:rPr>
        <w:t>(1,462)</w:t>
      </w:r>
      <w:r>
        <w:rPr>
          <w:sz w:val="20"/>
          <w:szCs w:val="20"/>
          <w:color w:val="auto"/>
        </w:rPr>
        <w:tab/>
      </w:r>
      <w:r>
        <w:rPr>
          <w:rFonts w:ascii="Courier New" w:cs="Courier New" w:eastAsia="Courier New" w:hAnsi="Courier New"/>
          <w:sz w:val="14"/>
          <w:szCs w:val="14"/>
          <w:color w:val="auto"/>
        </w:rPr>
        <w:t>1,640</w:t>
      </w:r>
      <w:r>
        <w:rPr>
          <w:sz w:val="20"/>
          <w:szCs w:val="20"/>
          <w:color w:val="auto"/>
        </w:rPr>
        <w:tab/>
      </w:r>
      <w:r>
        <w:rPr>
          <w:rFonts w:ascii="Courier New" w:cs="Courier New" w:eastAsia="Courier New" w:hAnsi="Courier New"/>
          <w:sz w:val="14"/>
          <w:szCs w:val="14"/>
          <w:color w:val="auto"/>
        </w:rPr>
        <w:t>(3,375)</w:t>
      </w:r>
      <w:r>
        <w:rPr>
          <w:sz w:val="20"/>
          <w:szCs w:val="20"/>
          <w:color w:val="auto"/>
        </w:rPr>
        <w:tab/>
      </w:r>
      <w:r>
        <w:rPr>
          <w:rFonts w:ascii="Courier New" w:cs="Courier New" w:eastAsia="Courier New" w:hAnsi="Courier New"/>
          <w:sz w:val="14"/>
          <w:szCs w:val="14"/>
          <w:color w:val="auto"/>
        </w:rPr>
        <w:t>(6,277)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080" w:val="left"/>
          <w:tab w:leader="none" w:pos="6700" w:val="left"/>
          <w:tab w:leader="none" w:pos="8340" w:val="left"/>
          <w:tab w:leader="none" w:pos="9720" w:val="left"/>
        </w:tabs>
        <w:rPr>
          <w:sz w:val="20"/>
          <w:szCs w:val="20"/>
          <w:color w:val="auto"/>
        </w:rPr>
      </w:pPr>
      <w:r>
        <w:rPr>
          <w:rFonts w:ascii="Courier New" w:cs="Courier New" w:eastAsia="Courier New" w:hAnsi="Courier New"/>
          <w:sz w:val="14"/>
          <w:szCs w:val="14"/>
          <w:color w:val="auto"/>
        </w:rPr>
        <w:t>Total provision for income taxes</w:t>
      </w:r>
      <w:r>
        <w:rPr>
          <w:sz w:val="20"/>
          <w:szCs w:val="20"/>
          <w:color w:val="auto"/>
        </w:rPr>
        <w:tab/>
      </w:r>
      <w:r>
        <w:rPr>
          <w:rFonts w:ascii="Courier New" w:cs="Courier New" w:eastAsia="Courier New" w:hAnsi="Courier New"/>
          <w:sz w:val="14"/>
          <w:szCs w:val="14"/>
          <w:color w:val="auto"/>
        </w:rPr>
        <w:t>$23,771</w:t>
      </w:r>
      <w:r>
        <w:rPr>
          <w:sz w:val="20"/>
          <w:szCs w:val="20"/>
          <w:color w:val="auto"/>
        </w:rPr>
        <w:tab/>
      </w:r>
      <w:r>
        <w:rPr>
          <w:rFonts w:ascii="Courier New" w:cs="Courier New" w:eastAsia="Courier New" w:hAnsi="Courier New"/>
          <w:sz w:val="14"/>
          <w:szCs w:val="14"/>
          <w:color w:val="auto"/>
        </w:rPr>
        <w:t>$2,609</w:t>
      </w:r>
      <w:r>
        <w:rPr>
          <w:sz w:val="20"/>
          <w:szCs w:val="20"/>
          <w:color w:val="auto"/>
        </w:rPr>
        <w:tab/>
      </w:r>
      <w:r>
        <w:rPr>
          <w:rFonts w:ascii="Courier New" w:cs="Courier New" w:eastAsia="Courier New" w:hAnsi="Courier New"/>
          <w:sz w:val="14"/>
          <w:szCs w:val="14"/>
          <w:color w:val="auto"/>
        </w:rPr>
        <w:t>$24,445</w:t>
      </w:r>
      <w:r>
        <w:rPr>
          <w:sz w:val="20"/>
          <w:szCs w:val="20"/>
          <w:color w:val="auto"/>
        </w:rPr>
        <w:tab/>
      </w:r>
      <w:r>
        <w:rPr>
          <w:rFonts w:ascii="Courier New" w:cs="Courier New" w:eastAsia="Courier New" w:hAnsi="Courier New"/>
          <w:sz w:val="14"/>
          <w:szCs w:val="14"/>
          <w:color w:val="auto"/>
        </w:rPr>
        <w:t>$14,820</w:t>
      </w:r>
    </w:p>
    <w:p>
      <w:pPr>
        <w:spacing w:after="0" w:line="7" w:lineRule="exact"/>
        <w:rPr>
          <w:sz w:val="20"/>
          <w:szCs w:val="20"/>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4980" w:firstLine="258"/>
        <w:spacing w:after="0" w:line="255" w:lineRule="auto"/>
        <w:rPr>
          <w:sz w:val="20"/>
          <w:szCs w:val="20"/>
          <w:color w:val="auto"/>
        </w:rPr>
      </w:pPr>
      <w:r>
        <w:rPr>
          <w:rFonts w:ascii="Courier New" w:cs="Courier New" w:eastAsia="Courier New" w:hAnsi="Courier New"/>
          <w:sz w:val="14"/>
          <w:szCs w:val="14"/>
          <w:color w:val="auto"/>
        </w:rPr>
        <w:t>The tax effects of temporary differences that give rise to the net deferred tax assets at October 31, 1996 and 1995 are presented below.</w:t>
      </w:r>
    </w:p>
    <w:p>
      <w:pPr>
        <w:spacing w:after="0" w:line="160" w:lineRule="exact"/>
        <w:rPr>
          <w:sz w:val="20"/>
          <w:szCs w:val="20"/>
          <w:color w:val="auto"/>
        </w:rPr>
      </w:pPr>
    </w:p>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5,151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4,254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Inventory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Uniform capitalization</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2,252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12,881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Marketing programs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2,018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Distributor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Restructuring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Accrued retirement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3,410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Consolidated deferred income tax assets  $31,477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$29,846</w:t>
            </w:r>
          </w:p>
        </w:tc>
      </w:tr>
    </w:tbl>
    <w:p>
      <w:pPr>
        <w:spacing w:after="0" w:line="4" w:lineRule="exact"/>
        <w:rPr>
          <w:sz w:val="20"/>
          <w:szCs w:val="20"/>
          <w:color w:val="auto"/>
        </w:rPr>
      </w:pPr>
    </w:p>
    <w:p>
      <w:pPr>
        <w:ind w:left="180" w:hanging="172"/>
        <w:spacing w:after="0"/>
        <w:tabs>
          <w:tab w:leader="none" w:pos="18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During the years ended October 31, 1996 and July 31, 1995,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$1,490,000 and $1,178,000 was added to additional paid-in capital in accordance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Accounting Principal Board opinion 25 reflecting the permanent book to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difference in accounting for tax benefits related to employee stock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940"/>
          </w:cols>
          <w:pgMar w:left="220" w:top="616" w:right="739" w:bottom="922" w:gutter="0" w:footer="0" w:header="0"/>
        </w:sectPr>
      </w:pPr>
    </w:p>
    <w:bookmarkStart w:id="367" w:name="page368"/>
    <w:bookmarkEnd w:id="367"/>
    <w:p>
      <w:pPr>
        <w:ind w:left="360" w:hanging="352"/>
        <w:spacing w:after="0"/>
        <w:tabs>
          <w:tab w:leader="none" w:pos="36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STOCKHOLDERS EQUITY</w:t>
      </w:r>
    </w:p>
    <w:p>
      <w:pPr>
        <w:spacing w:after="0" w:line="7" w:lineRule="exact"/>
        <w:rPr>
          <w:sz w:val="20"/>
          <w:szCs w:val="20"/>
          <w:color w:val="auto"/>
        </w:rPr>
      </w:pPr>
    </w:p>
    <w:p>
      <w:pPr>
        <w:ind w:left="180" w:hanging="172"/>
        <w:spacing w:after="0"/>
        <w:tabs>
          <w:tab w:leader="none" w:pos="1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components of common stockholders' equity during the fiscal year ended October 31, 1996, the 3 months ended October 31, 1995, and the fiscal years ended July 31, 1995 and 1994 were as follows:</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Currency</w:t>
      </w:r>
    </w:p>
    <w:p>
      <w:pPr>
        <w:spacing w:after="0" w:line="7" w:lineRule="exact"/>
        <w:rPr>
          <w:sz w:val="20"/>
          <w:szCs w:val="20"/>
          <w:color w:val="auto"/>
        </w:rPr>
      </w:pPr>
    </w:p>
    <w:p>
      <w:pPr>
        <w:jc w:val="both"/>
        <w:ind w:left="4220"/>
        <w:spacing w:after="0"/>
        <w:tabs>
          <w:tab w:leader="none" w:pos="5680" w:val="left"/>
          <w:tab w:leader="none" w:pos="7220" w:val="left"/>
          <w:tab w:leader="none" w:pos="8520" w:val="left"/>
          <w:tab w:leader="none" w:pos="9980" w:val="left"/>
        </w:tabs>
        <w:rPr>
          <w:sz w:val="20"/>
          <w:szCs w:val="20"/>
          <w:color w:val="auto"/>
        </w:rPr>
      </w:pP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Receivable</w:t>
      </w:r>
      <w:r>
        <w:rPr>
          <w:sz w:val="20"/>
          <w:szCs w:val="20"/>
          <w:color w:val="auto"/>
        </w:rPr>
        <w:tab/>
      </w:r>
      <w:r>
        <w:rPr>
          <w:rFonts w:ascii="Courier New" w:cs="Courier New" w:eastAsia="Courier New" w:hAnsi="Courier New"/>
          <w:sz w:val="14"/>
          <w:szCs w:val="14"/>
          <w:color w:val="auto"/>
        </w:rPr>
        <w:t>Translation</w:t>
      </w:r>
    </w:p>
    <w:p>
      <w:pPr>
        <w:spacing w:after="0" w:line="7" w:lineRule="exact"/>
        <w:rPr>
          <w:sz w:val="20"/>
          <w:szCs w:val="20"/>
          <w:color w:val="auto"/>
        </w:rPr>
      </w:pPr>
    </w:p>
    <w:p>
      <w:pPr>
        <w:jc w:val="right"/>
        <w:ind w:right="440"/>
        <w:spacing w:after="0"/>
        <w:tabs>
          <w:tab w:leader="none" w:pos="7040" w:val="left"/>
          <w:tab w:leader="none" w:pos="6100" w:val="left"/>
          <w:tab w:leader="none" w:pos="4120" w:val="left"/>
          <w:tab w:leader="none" w:pos="2820" w:val="left"/>
          <w:tab w:leader="none" w:pos="12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Paid-In 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from ESOP</w:t>
      </w:r>
      <w:r>
        <w:rPr>
          <w:sz w:val="20"/>
          <w:szCs w:val="20"/>
          <w:color w:val="auto"/>
        </w:rPr>
        <w:tab/>
      </w:r>
      <w:r>
        <w:rPr>
          <w:rFonts w:ascii="Courier New" w:cs="Courier New" w:eastAsia="Courier New" w:hAnsi="Courier New"/>
          <w:sz w:val="14"/>
          <w:szCs w:val="14"/>
          <w:color w:val="auto"/>
        </w:rPr>
        <w:t>Adjustment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July 31, 1993</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44,898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93,451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$(795)</w:t>
            </w:r>
          </w:p>
        </w:tc>
      </w:tr>
    </w:tbl>
    <w:p>
      <w:pPr>
        <w:spacing w:after="0" w:line="4" w:lineRule="exact"/>
        <w:rPr>
          <w:sz w:val="20"/>
          <w:szCs w:val="20"/>
          <w:color w:val="auto"/>
        </w:rPr>
      </w:pPr>
    </w:p>
    <w:p>
      <w:pPr>
        <w:ind w:left="180" w:hanging="172"/>
        <w:spacing w:after="0"/>
        <w:tabs>
          <w:tab w:leader="none" w:pos="1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Common dividends paid ($0.48 per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(5,993)</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Issuance of 388,588 shares under</w:t>
            </w: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stock option plans</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388</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5,756</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Purchase of 97,758 common shares</w:t>
            </w:r>
          </w:p>
        </w:tc>
        <w:tc>
          <w:tcPr>
            <w:tcW w:w="112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(2,187)</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Payment received from ESOP</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953</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22,230</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July 31, 1994</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$12,561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49,420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$109,688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(2,612)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bl>
    <w:p>
      <w:pPr>
        <w:spacing w:after="0" w:line="4" w:lineRule="exact"/>
        <w:rPr>
          <w:sz w:val="20"/>
          <w:szCs w:val="20"/>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Common dividends paid ($0.48 per share)</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(6,002)</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444,783</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shares under</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stock option plans</w:t>
            </w:r>
          </w:p>
        </w:tc>
        <w:tc>
          <w:tcPr>
            <w:tcW w:w="22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445</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7,806</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965,757</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common shares</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(966)</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(25,259)</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Payment received from ESOP</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1,178</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2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36,667</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420" w:val="left"/>
          <w:tab w:leader="none" w:pos="10660" w:val="left"/>
        </w:tabs>
        <w:rPr>
          <w:sz w:val="20"/>
          <w:szCs w:val="20"/>
          <w:color w:val="auto"/>
        </w:rPr>
      </w:pPr>
      <w:r>
        <w:rPr>
          <w:rFonts w:ascii="Courier New" w:cs="Courier New" w:eastAsia="Courier New" w:hAnsi="Courier New"/>
          <w:sz w:val="14"/>
          <w:szCs w:val="14"/>
          <w:color w:val="auto"/>
        </w:rPr>
        <w:t>Balance at July 31, 1995</w:t>
      </w:r>
      <w:r>
        <w:rPr>
          <w:sz w:val="20"/>
          <w:szCs w:val="20"/>
          <w:color w:val="auto"/>
        </w:rPr>
        <w:tab/>
      </w:r>
      <w:r>
        <w:rPr>
          <w:rFonts w:ascii="Courier New" w:cs="Courier New" w:eastAsia="Courier New" w:hAnsi="Courier New"/>
          <w:sz w:val="14"/>
          <w:szCs w:val="14"/>
          <w:color w:val="auto"/>
        </w:rPr>
        <w:t>$12,040</w:t>
      </w:r>
      <w:r>
        <w:rPr>
          <w:sz w:val="20"/>
          <w:szCs w:val="20"/>
          <w:color w:val="auto"/>
        </w:rPr>
        <w:tab/>
      </w:r>
      <w:r>
        <w:rPr>
          <w:rFonts w:ascii="Courier New" w:cs="Courier New" w:eastAsia="Courier New" w:hAnsi="Courier New"/>
          <w:sz w:val="14"/>
          <w:szCs w:val="14"/>
          <w:color w:val="auto"/>
        </w:rPr>
        <w:t>$</w:t>
        <w:tab/>
        <w:t>33,145</w:t>
      </w:r>
      <w:r>
        <w:rPr>
          <w:sz w:val="20"/>
          <w:szCs w:val="20"/>
          <w:color w:val="auto"/>
        </w:rPr>
        <w:tab/>
      </w:r>
      <w:r>
        <w:rPr>
          <w:rFonts w:ascii="Courier New" w:cs="Courier New" w:eastAsia="Courier New" w:hAnsi="Courier New"/>
          <w:sz w:val="14"/>
          <w:szCs w:val="14"/>
          <w:color w:val="auto"/>
        </w:rPr>
        <w:t>$140,353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(67)</w:t>
      </w:r>
    </w:p>
    <w:p>
      <w:pPr>
        <w:spacing w:after="0" w:line="7" w:lineRule="exact"/>
        <w:rPr>
          <w:sz w:val="20"/>
          <w:szCs w:val="20"/>
          <w:color w:val="auto"/>
        </w:rPr>
      </w:pPr>
    </w:p>
    <w:p>
      <w:pPr>
        <w:ind w:left="180" w:hanging="172"/>
        <w:spacing w:after="0"/>
        <w:tabs>
          <w:tab w:leader="none" w:pos="1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Common dividends paid ($0.12 per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(1,459)</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Issuance of 156,263 shares under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option plans</w:t>
            </w:r>
          </w:p>
        </w:tc>
        <w:tc>
          <w:tcPr>
            <w:tcW w:w="1120" w:type="dxa"/>
            <w:vAlign w:val="bottom"/>
          </w:tcPr>
          <w:p>
            <w:pPr>
              <w:spacing w:after="0"/>
              <w:rPr>
                <w:sz w:val="14"/>
                <w:szCs w:val="14"/>
                <w:color w:val="auto"/>
              </w:rPr>
            </w:pP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156</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3,431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Purchase of 28,204 common shares</w:t>
            </w:r>
          </w:p>
        </w:tc>
        <w:tc>
          <w:tcPr>
            <w:tcW w:w="1120" w:type="dxa"/>
            <w:vAlign w:val="bottom"/>
          </w:tcPr>
          <w:p>
            <w:pPr>
              <w:spacing w:after="0"/>
              <w:rPr>
                <w:sz w:val="14"/>
                <w:szCs w:val="14"/>
                <w:color w:val="auto"/>
              </w:rPr>
            </w:pP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(864)</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spacing w:after="0"/>
              <w:rPr>
                <w:sz w:val="14"/>
                <w:szCs w:val="14"/>
                <w:color w:val="auto"/>
              </w:rPr>
            </w:pP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3,997</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500" w:val="left"/>
        </w:tabs>
        <w:rPr>
          <w:sz w:val="20"/>
          <w:szCs w:val="20"/>
          <w:color w:val="auto"/>
        </w:rPr>
      </w:pPr>
      <w:r>
        <w:rPr>
          <w:rFonts w:ascii="Courier New" w:cs="Courier New" w:eastAsia="Courier New" w:hAnsi="Courier New"/>
          <w:sz w:val="14"/>
          <w:szCs w:val="14"/>
          <w:color w:val="auto"/>
        </w:rPr>
        <w:t>Balance at October 31, 1995</w:t>
      </w:r>
      <w:r>
        <w:rPr>
          <w:sz w:val="20"/>
          <w:szCs w:val="20"/>
          <w:color w:val="auto"/>
        </w:rPr>
        <w:tab/>
      </w:r>
      <w:r>
        <w:rPr>
          <w:rFonts w:ascii="Courier New" w:cs="Courier New" w:eastAsia="Courier New" w:hAnsi="Courier New"/>
          <w:sz w:val="14"/>
          <w:szCs w:val="14"/>
          <w:color w:val="auto"/>
        </w:rPr>
        <w:t>$12,168</w:t>
      </w:r>
      <w:r>
        <w:rPr>
          <w:sz w:val="20"/>
          <w:szCs w:val="20"/>
          <w:color w:val="auto"/>
        </w:rPr>
        <w:tab/>
      </w:r>
      <w:r>
        <w:rPr>
          <w:rFonts w:ascii="Courier New" w:cs="Courier New" w:eastAsia="Courier New" w:hAnsi="Courier New"/>
          <w:sz w:val="14"/>
          <w:szCs w:val="14"/>
          <w:color w:val="auto"/>
        </w:rPr>
        <w:t>$</w:t>
        <w:tab/>
        <w:t>35,712</w:t>
      </w:r>
      <w:r>
        <w:rPr>
          <w:sz w:val="20"/>
          <w:szCs w:val="20"/>
          <w:color w:val="auto"/>
        </w:rPr>
        <w:tab/>
      </w:r>
      <w:r>
        <w:rPr>
          <w:rFonts w:ascii="Courier New" w:cs="Courier New" w:eastAsia="Courier New" w:hAnsi="Courier New"/>
          <w:sz w:val="14"/>
          <w:szCs w:val="14"/>
          <w:color w:val="auto"/>
        </w:rPr>
        <w:t>$142,891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$ 121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Common dividends paid ($0.48 per share)</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(5,834)</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Issuance of 294,324 shares under stock</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80" w:type="dxa"/>
            <w:vAlign w:val="bottom"/>
          </w:tcPr>
          <w:p>
            <w:pPr>
              <w:ind w:left="100"/>
              <w:spacing w:after="0"/>
              <w:rPr>
                <w:sz w:val="20"/>
                <w:szCs w:val="20"/>
                <w:color w:val="auto"/>
              </w:rPr>
            </w:pPr>
            <w:r>
              <w:rPr>
                <w:rFonts w:ascii="Courier New" w:cs="Courier New" w:eastAsia="Courier New" w:hAnsi="Courier New"/>
                <w:sz w:val="14"/>
                <w:szCs w:val="14"/>
                <w:color w:val="auto"/>
              </w:rPr>
              <w:t>option plans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294</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4.333</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Purchase of 429,692 common shares</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(430)</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(13,073)</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80" w:type="dxa"/>
            <w:vAlign w:val="bottom"/>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1,490</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164</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36,409</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500" w:val="left"/>
        </w:tabs>
        <w:rPr>
          <w:sz w:val="20"/>
          <w:szCs w:val="20"/>
          <w:color w:val="auto"/>
        </w:rPr>
      </w:pPr>
      <w:r>
        <w:rPr>
          <w:rFonts w:ascii="Courier New" w:cs="Courier New" w:eastAsia="Courier New" w:hAnsi="Courier New"/>
          <w:sz w:val="14"/>
          <w:szCs w:val="14"/>
          <w:color w:val="auto"/>
        </w:rPr>
        <w:t>BALANCE AT OCTOBER 31, 1996</w:t>
      </w:r>
      <w:r>
        <w:rPr>
          <w:sz w:val="20"/>
          <w:szCs w:val="20"/>
          <w:color w:val="auto"/>
        </w:rPr>
        <w:tab/>
      </w:r>
      <w:r>
        <w:rPr>
          <w:rFonts w:ascii="Courier New" w:cs="Courier New" w:eastAsia="Courier New" w:hAnsi="Courier New"/>
          <w:sz w:val="14"/>
          <w:szCs w:val="14"/>
          <w:color w:val="auto"/>
        </w:rPr>
        <w:t>$12,032</w:t>
      </w:r>
      <w:r>
        <w:rPr>
          <w:sz w:val="20"/>
          <w:szCs w:val="20"/>
          <w:color w:val="auto"/>
        </w:rPr>
        <w:tab/>
      </w:r>
      <w:r>
        <w:rPr>
          <w:rFonts w:ascii="Courier New" w:cs="Courier New" w:eastAsia="Courier New" w:hAnsi="Courier New"/>
          <w:sz w:val="14"/>
          <w:szCs w:val="14"/>
          <w:color w:val="auto"/>
        </w:rPr>
        <w:t>$</w:t>
        <w:tab/>
        <w:t>28,462</w:t>
      </w:r>
      <w:r>
        <w:rPr>
          <w:sz w:val="20"/>
          <w:szCs w:val="20"/>
          <w:color w:val="auto"/>
        </w:rPr>
        <w:tab/>
      </w:r>
      <w:r>
        <w:rPr>
          <w:rFonts w:ascii="Courier New" w:cs="Courier New" w:eastAsia="Courier New" w:hAnsi="Courier New"/>
          <w:sz w:val="14"/>
          <w:szCs w:val="14"/>
          <w:color w:val="auto"/>
        </w:rPr>
        <w:t>$173,630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$(557)</w:t>
      </w:r>
    </w:p>
    <w:p>
      <w:pPr>
        <w:spacing w:after="0" w:line="7" w:lineRule="exact"/>
        <w:rPr>
          <w:sz w:val="20"/>
          <w:szCs w:val="20"/>
          <w:color w:val="auto"/>
        </w:rPr>
      </w:pPr>
    </w:p>
    <w:p>
      <w:pPr>
        <w:ind w:left="180" w:hanging="172"/>
        <w:spacing w:after="0"/>
        <w:tabs>
          <w:tab w:leader="none" w:pos="18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Under the terms of a Rights Agreement established June 14, 1988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$85 per one one-hundredth of a Preferred Share. The rights become exercisable and tradable 10 days after a person or a group acquires 20% or more, or makes an offer to acquire 20% or more, of the company's outstanding common stock. At no time do the rights have any voting power. The rights may be redeemed by the company for $0.01 per right at any time prior to the time that a person or group has acquired beneficial ownership of 20% or more of the common shares.</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380"/>
          </w:cols>
          <w:pgMar w:left="220" w:top="616" w:right="299" w:bottom="1440" w:gutter="0" w:footer="0" w:header="0"/>
        </w:sectPr>
      </w:pPr>
    </w:p>
    <w:bookmarkStart w:id="368" w:name="page369"/>
    <w:bookmarkEnd w:id="368"/>
    <w:p>
      <w:pPr>
        <w:ind w:left="360" w:hanging="352"/>
        <w:spacing w:after="0"/>
        <w:tabs>
          <w:tab w:leader="none" w:pos="36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w:t>
      </w:r>
    </w:p>
    <w:p>
      <w:pPr>
        <w:spacing w:after="0" w:line="7" w:lineRule="exact"/>
        <w:rPr>
          <w:sz w:val="20"/>
          <w:szCs w:val="20"/>
          <w:color w:val="auto"/>
        </w:rPr>
      </w:pPr>
    </w:p>
    <w:p>
      <w:pPr>
        <w:ind w:left="180" w:hanging="172"/>
        <w:spacing w:after="0"/>
        <w:tabs>
          <w:tab w:leader="none" w:pos="18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and nonqualified options may be granted under the terms of the stockholder approved 1989 Stock Option Plan and the 1993 Stock Option Plan (the "Plans"). Each incentive stock option and nonqualified stock option is granted at an exercise price equal to 100% of the fair market value of the Common Stock on the date of the grant, except for performance based stock options, such as those granted in connection with the Continuous Performance Award Plan for which the exercise price is an average of the closing stock prices for the three months preceding the grant date. Stock options granted under the Plans may be exercised in whole or in part from time to time, not later than 10 years from the date of grant or other period, as specified in the option agreement. Most stock options are subject to cancellation upon termination of the option holder's employment. However, some nonqualified options granted under the Plans can be exercised for up to four years after retirement, at or after age 60, but not beyond the date the option originally expires. Only nonqualified stock options may be granted under the terms of the 1992 Directors Stock Plan (the "Director Plan"). The Director Plan is a formula plan. Each option granted under the Director Plan is granted at an exercise price equal to 100% of the fair market value of the Common Stock on the date of the grant. Stock options granted under the Director Plan may be exercised only while serving as a member of the Board of Directors of the company, except in the event of death or disability. Stock option transactions are summarized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020"/>
        <w:spacing w:after="0"/>
        <w:tabs>
          <w:tab w:leader="none" w:pos="4360" w:val="left"/>
          <w:tab w:leader="none" w:pos="18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00"/>
        <w:spacing w:after="0"/>
        <w:tabs>
          <w:tab w:leader="none" w:pos="4200" w:val="left"/>
          <w:tab w:leader="none" w:pos="2380" w:val="left"/>
          <w:tab w:leader="none" w:pos="11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jc w:val="both"/>
        <w:ind w:left="5520"/>
        <w:spacing w:after="0"/>
        <w:tabs>
          <w:tab w:leader="none" w:pos="7220" w:val="left"/>
          <w:tab w:leader="none" w:pos="8780" w:val="left"/>
          <w:tab w:leader="none" w:pos="100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at beginning of period</w:t>
            </w: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1,253,311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1,166,579</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1,259,509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1,421,923</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Granted</w:t>
            </w:r>
          </w:p>
        </w:tc>
        <w:tc>
          <w:tcPr>
            <w:tcW w:w="2920" w:type="dxa"/>
            <w:vAlign w:val="bottom"/>
          </w:tcPr>
          <w:p>
            <w:pPr>
              <w:spacing w:after="0"/>
              <w:rPr>
                <w:sz w:val="14"/>
                <w:szCs w:val="14"/>
                <w:color w:val="auto"/>
              </w:rPr>
            </w:pP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48,768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256,496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323,474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264,217</w:t>
            </w:r>
          </w:p>
        </w:tc>
      </w:tr>
      <w:tr>
        <w:trPr>
          <w:trHeight w:val="166"/>
        </w:trPr>
        <w:tc>
          <w:tcPr>
            <w:tcW w:w="3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Exercised or cancelled</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(194,221)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(169,764)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(416,404)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(426,631)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6440" w:val="left"/>
          <w:tab w:leader="none" w:pos="8180" w:val="left"/>
          <w:tab w:leader="none" w:pos="9540" w:val="left"/>
        </w:tabs>
        <w:rPr>
          <w:sz w:val="20"/>
          <w:szCs w:val="20"/>
          <w:color w:val="auto"/>
        </w:rPr>
      </w:pPr>
      <w:r>
        <w:rPr>
          <w:rFonts w:ascii="Courier New" w:cs="Courier New" w:eastAsia="Courier New" w:hAnsi="Courier New"/>
          <w:sz w:val="14"/>
          <w:szCs w:val="14"/>
          <w:color w:val="auto"/>
        </w:rPr>
        <w:t>Outstanding at end of period</w:t>
      </w:r>
      <w:r>
        <w:rPr>
          <w:sz w:val="20"/>
          <w:szCs w:val="20"/>
          <w:color w:val="auto"/>
        </w:rPr>
        <w:tab/>
      </w:r>
      <w:r>
        <w:rPr>
          <w:rFonts w:ascii="Courier New" w:cs="Courier New" w:eastAsia="Courier New" w:hAnsi="Courier New"/>
          <w:sz w:val="14"/>
          <w:szCs w:val="14"/>
          <w:color w:val="auto"/>
        </w:rPr>
        <w:t>1,107,858</w:t>
      </w:r>
      <w:r>
        <w:rPr>
          <w:sz w:val="20"/>
          <w:szCs w:val="20"/>
          <w:color w:val="auto"/>
        </w:rPr>
        <w:tab/>
      </w:r>
      <w:r>
        <w:rPr>
          <w:rFonts w:ascii="Courier New" w:cs="Courier New" w:eastAsia="Courier New" w:hAnsi="Courier New"/>
          <w:sz w:val="14"/>
          <w:szCs w:val="14"/>
          <w:color w:val="auto"/>
        </w:rPr>
        <w:t>1,253,311</w:t>
      </w:r>
      <w:r>
        <w:rPr>
          <w:sz w:val="20"/>
          <w:szCs w:val="20"/>
          <w:color w:val="auto"/>
        </w:rPr>
        <w:tab/>
      </w:r>
      <w:r>
        <w:rPr>
          <w:rFonts w:ascii="Courier New" w:cs="Courier New" w:eastAsia="Courier New" w:hAnsi="Courier New"/>
          <w:sz w:val="14"/>
          <w:szCs w:val="14"/>
          <w:color w:val="auto"/>
        </w:rPr>
        <w:t>1,166,579</w:t>
      </w:r>
      <w:r>
        <w:rPr>
          <w:sz w:val="20"/>
          <w:szCs w:val="20"/>
          <w:color w:val="auto"/>
        </w:rPr>
        <w:tab/>
      </w:r>
      <w:r>
        <w:rPr>
          <w:rFonts w:ascii="Courier New" w:cs="Courier New" w:eastAsia="Courier New" w:hAnsi="Courier New"/>
          <w:sz w:val="14"/>
          <w:szCs w:val="14"/>
          <w:color w:val="auto"/>
        </w:rPr>
        <w:t>1,259,509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6200" w:val="left"/>
          <w:tab w:leader="none" w:pos="6800" w:val="left"/>
          <w:tab w:leader="none" w:pos="7740" w:val="left"/>
          <w:tab w:leader="none" w:pos="9200" w:val="left"/>
        </w:tabs>
        <w:rPr>
          <w:sz w:val="20"/>
          <w:szCs w:val="20"/>
          <w:color w:val="auto"/>
        </w:rPr>
      </w:pPr>
      <w:r>
        <w:rPr>
          <w:rFonts w:ascii="Courier New" w:cs="Courier New" w:eastAsia="Courier New" w:hAnsi="Courier New"/>
          <w:sz w:val="14"/>
          <w:szCs w:val="14"/>
          <w:color w:val="auto"/>
        </w:rPr>
        <w:t>Price range of granted options</w:t>
      </w:r>
      <w:r>
        <w:rPr>
          <w:sz w:val="20"/>
          <w:szCs w:val="20"/>
          <w:color w:val="auto"/>
        </w:rPr>
        <w:tab/>
      </w:r>
      <w:r>
        <w:rPr>
          <w:rFonts w:ascii="Courier New" w:cs="Courier New" w:eastAsia="Courier New" w:hAnsi="Courier New"/>
          <w:sz w:val="14"/>
          <w:szCs w:val="14"/>
          <w:color w:val="auto"/>
        </w:rPr>
        <w:t>$29.125-32.50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29.00</w:t>
      </w:r>
      <w:r>
        <w:rPr>
          <w:sz w:val="20"/>
          <w:szCs w:val="20"/>
          <w:color w:val="auto"/>
        </w:rPr>
        <w:tab/>
      </w:r>
      <w:r>
        <w:rPr>
          <w:rFonts w:ascii="Courier New" w:cs="Courier New" w:eastAsia="Courier New" w:hAnsi="Courier New"/>
          <w:sz w:val="14"/>
          <w:szCs w:val="14"/>
          <w:color w:val="auto"/>
        </w:rPr>
        <w:t>$ 23.625-29.50</w:t>
      </w:r>
      <w:r>
        <w:rPr>
          <w:sz w:val="20"/>
          <w:szCs w:val="20"/>
          <w:color w:val="auto"/>
        </w:rPr>
        <w:tab/>
      </w:r>
      <w:r>
        <w:rPr>
          <w:rFonts w:ascii="Courier New" w:cs="Courier New" w:eastAsia="Courier New" w:hAnsi="Courier New"/>
          <w:sz w:val="14"/>
          <w:szCs w:val="14"/>
          <w:color w:val="auto"/>
        </w:rPr>
        <w:t>$ 18.75-25.50</w:t>
      </w:r>
    </w:p>
    <w:p>
      <w:pPr>
        <w:spacing w:after="0" w:line="7" w:lineRule="exact"/>
        <w:rPr>
          <w:sz w:val="20"/>
          <w:szCs w:val="20"/>
          <w:color w:val="auto"/>
        </w:rPr>
      </w:pPr>
    </w:p>
    <w:p>
      <w:pPr>
        <w:ind w:left="180" w:hanging="172"/>
        <w:spacing w:after="0"/>
        <w:tabs>
          <w:tab w:leader="none" w:pos="18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reserved for granting future stock</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options at end of period</w:t>
            </w: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1,009,868</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1,040,877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621,738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923,240</w:t>
            </w:r>
          </w:p>
        </w:tc>
      </w:tr>
    </w:tbl>
    <w:p>
      <w:pPr>
        <w:spacing w:after="0" w:line="4" w:lineRule="exact"/>
        <w:rPr>
          <w:sz w:val="20"/>
          <w:szCs w:val="20"/>
          <w:color w:val="auto"/>
        </w:rPr>
      </w:pPr>
    </w:p>
    <w:p>
      <w:pPr>
        <w:ind w:left="180" w:hanging="172"/>
        <w:spacing w:after="0"/>
        <w:tabs>
          <w:tab w:leader="none" w:pos="18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period</w:t>
            </w:r>
          </w:p>
        </w:tc>
        <w:tc>
          <w:tcPr>
            <w:tcW w:w="2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882,670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843,476</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780,169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765,510</w:t>
            </w:r>
          </w:p>
        </w:tc>
      </w:tr>
    </w:tbl>
    <w:p>
      <w:pPr>
        <w:spacing w:after="0" w:line="4" w:lineRule="exact"/>
        <w:rPr>
          <w:sz w:val="20"/>
          <w:szCs w:val="20"/>
          <w:color w:val="auto"/>
        </w:rPr>
      </w:pPr>
    </w:p>
    <w:p>
      <w:pPr>
        <w:ind w:left="180" w:hanging="172"/>
        <w:spacing w:after="0"/>
        <w:tabs>
          <w:tab w:leader="none" w:pos="18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Price range of exercisable options</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$ 10.90-32.50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$10.90-29.50</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$ 10.70-29.50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$10.70-25.875</w:t>
            </w:r>
          </w:p>
        </w:tc>
      </w:tr>
    </w:tbl>
    <w:p>
      <w:pPr>
        <w:spacing w:after="0" w:line="4" w:lineRule="exact"/>
        <w:rPr>
          <w:sz w:val="20"/>
          <w:szCs w:val="20"/>
          <w:color w:val="auto"/>
        </w:rPr>
      </w:pPr>
    </w:p>
    <w:p>
      <w:pPr>
        <w:ind w:left="180" w:hanging="172"/>
        <w:spacing w:after="0"/>
        <w:tabs>
          <w:tab w:leader="none" w:pos="18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40"/>
        <w:spacing w:after="0" w:line="252" w:lineRule="auto"/>
        <w:rPr>
          <w:sz w:val="20"/>
          <w:szCs w:val="20"/>
          <w:color w:val="auto"/>
        </w:rPr>
      </w:pPr>
      <w:r>
        <w:rPr>
          <w:rFonts w:ascii="Courier New" w:cs="Courier New" w:eastAsia="Courier New" w:hAnsi="Courier New"/>
          <w:sz w:val="14"/>
          <w:szCs w:val="14"/>
          <w:color w:val="auto"/>
        </w:rPr>
        <w:t>The options outstanding at October 31, 1996 were granted in 1992 (305,000 shares); 1993 (130,195 shares); 1994 (179,068 shares); and 1995 (209,606 shares); the 3 months ended October 31, 1995 (237,721 shares) and the year ended October 31, 1996 (46,268 shares).</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940"/>
          </w:cols>
          <w:pgMar w:left="220" w:top="616" w:right="739" w:bottom="1440" w:gutter="0" w:footer="0" w:header="0"/>
        </w:sectPr>
      </w:pPr>
    </w:p>
    <w:bookmarkStart w:id="369" w:name="page370"/>
    <w:bookmarkEnd w:id="369"/>
    <w:p>
      <w:pPr>
        <w:ind w:left="360" w:hanging="352"/>
        <w:spacing w:after="0"/>
        <w:tabs>
          <w:tab w:leader="none" w:pos="36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PROGRAMS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an Employee Stock Ownership Plan (ESOP) which covers substantially all employees of the company and its subsidiaries. The plan was a leveraged ESOP which means funds were borrowed to purchase the shares. At July 31, 1995, ESOP indebtedness to the company was paid in full and funding of the ESOP was completed. Principal payments of ESOP debt were $2,612,000 for the year ended July 31, 1995 and $2,611,000 for the year ended July 31, 1994. Interest incurred on ESOP debt and interest received by the company was $258,000 for the year ended July 31, 1995 and $512,000 for the year ended July 31, 1994. Dividends on the ESOP shares used for debt service by the ESOP were $107,000 for the year ended July 31, 1995 and $195,000 for the year ended July 31, 1994.</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expenses recognized related to the ESOP were $2,504,000 for the year ended July 31, 1995 and $2,417,000 for the year ended July 31, 1994. There were no principal payments of ESOP debt, interest incurred or received, dividends or expenses related to the ESOP for the year ended October 31, 1996 or the 3 months ended October 31, 1995.</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August 1, 1995, the ESOP plan year end was changed to December 31.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contributions to the plan, net of dividends, were $639,000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1996, zero for the 3 months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$2,762,000 for the year ended July 31, 1995 and $2,929,000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1994.</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August 1, 1995, the company adopted a new employee benefit program which replaces the ESOP, profit sharing, and matching stock plans. The current ESOP was replaced with a new Employee Stock Ownership Plan. The employee profit sharing plans and the matching stock plan were merged into the Toro Company Investment and Savings Plan which has a plan year end of December 31. Under this plan, eligible employees receive a pre-established percentage of their salary. Contributions to this plan for the year ended October 31, 1996 were $2,539,000. In addition, this plan includes a 401(k) which provides for company matching contributions of up to two percent of salary. Matching contributions to the Toro 401(k) Employee Savings and Toro Matching Plan for the year ended October 31, 1996 were $1,679,000.</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Contributions to the company's former employee profit sharing plans which covered substantially all employees of the company and its subsidiaries were made annually, immediately following the fiscal year end. The contribution made in the 3 months ended October 31, 1995, which pertained to the year ended July 31, 1995, was $3,833,000. For the years ended July 31, 1995 and 1994 the contributions paid totaled $4,100,000 and $4,150,000, respectively, and pertained to the preceding fiscal years. Such amounts are based upon annual earnings before income taxes and minimum contributions required under the plans.</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Under the company's former matching stock plan, shares of common stock were acquired by employees through payroll deductions and employer matching contributions pursuant to the plan. Contributions were $660,000 for the year ended July 31, 1995 and $485,000 for the year ended July 31, 1994.</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addition, the company and its subsidiaries have supplemental and other retirement plans covering certain employees. Pension expense under these plans in 1996, 1995 and 1994 was not significant.</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370" w:name="page371"/>
    <w:bookmarkEnd w:id="370"/>
    <w:p>
      <w:pPr>
        <w:ind w:left="360" w:hanging="352"/>
        <w:spacing w:after="0"/>
        <w:tabs>
          <w:tab w:leader="none" w:pos="360"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International sales were $174,249,000 for the year ended October 31, 1996, $20,935,000 for the 3 months ended October 31, 1995, $152,409,000 for the year ended July 31, 1995 and $130,053,000 for the year ended July 31, 1994. Of these amounts, export sales were $154,716,000 for the year ended October 31, 1996, $18,557,000 for the 3 months ended October 31, 1995, $126,560,000 for the year ended July 31, 1995 and $109,344,000 for the year ended July 31, 1994. Export sales by geographic area are as follows:</w:t>
      </w:r>
    </w:p>
    <w:p>
      <w:pPr>
        <w:spacing w:after="0" w:line="164" w:lineRule="exact"/>
        <w:rPr>
          <w:sz w:val="20"/>
          <w:szCs w:val="20"/>
          <w:color w:val="auto"/>
        </w:rPr>
      </w:pPr>
    </w:p>
    <w:p>
      <w:pPr>
        <w:ind w:left="180" w:hanging="172"/>
        <w:spacing w:after="0"/>
        <w:tabs>
          <w:tab w:leader="none" w:pos="18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 Ended</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 Months Ended</w:t>
            </w: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October 31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October 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July 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$ 80,986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$ 6,098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$ 60,239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$ 48,976</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26,322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28,039</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Pacific Rim</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42,976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27,535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4,432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export sales</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$154,716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$18,557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$126,560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$109,344</w:t>
            </w:r>
          </w:p>
        </w:tc>
      </w:tr>
    </w:tbl>
    <w:p>
      <w:pPr>
        <w:spacing w:after="0" w:line="4" w:lineRule="exact"/>
        <w:rPr>
          <w:sz w:val="20"/>
          <w:szCs w:val="20"/>
          <w:color w:val="auto"/>
        </w:rPr>
      </w:pPr>
    </w:p>
    <w:p>
      <w:pPr>
        <w:ind w:left="180" w:hanging="172"/>
        <w:spacing w:after="0"/>
        <w:tabs>
          <w:tab w:leader="none" w:pos="18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Sales to any particular customer were not significant.</w:t>
      </w:r>
    </w:p>
    <w:p>
      <w:pPr>
        <w:spacing w:after="0" w:line="173" w:lineRule="exact"/>
        <w:rPr>
          <w:sz w:val="20"/>
          <w:szCs w:val="20"/>
          <w:color w:val="auto"/>
        </w:rPr>
      </w:pPr>
    </w:p>
    <w:p>
      <w:pPr>
        <w:ind w:left="360" w:hanging="352"/>
        <w:spacing w:after="0"/>
        <w:tabs>
          <w:tab w:leader="none" w:pos="36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Minimum lease commitments in future years under noncancelable operating leases are as follows: 1997, $6,333,000; 1998, $4,147,000; 1999, $2,782,000; 2000, $1,916,000; 2001, $1,457,000; and after 2001, $1,687,000.</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Total lease expense was as follows:</w:t>
      </w:r>
    </w:p>
    <w:p>
      <w:pPr>
        <w:spacing w:after="0" w:line="7" w:lineRule="exact"/>
        <w:rPr>
          <w:sz w:val="20"/>
          <w:szCs w:val="20"/>
          <w:color w:val="auto"/>
        </w:rPr>
      </w:pPr>
    </w:p>
    <w:p>
      <w:pPr>
        <w:ind w:left="180" w:hanging="172"/>
        <w:spacing w:after="0"/>
        <w:tabs>
          <w:tab w:leader="none" w:pos="18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3520" w:val="left"/>
          <w:tab w:leader="none" w:pos="5420" w:val="left"/>
        </w:tabs>
        <w:rPr>
          <w:sz w:val="20"/>
          <w:szCs w:val="20"/>
          <w:color w:val="auto"/>
        </w:rPr>
      </w:pPr>
      <w:r>
        <w:rPr>
          <w:rFonts w:ascii="Courier New" w:cs="Courier New" w:eastAsia="Courier New" w:hAnsi="Courier New"/>
          <w:sz w:val="14"/>
          <w:szCs w:val="14"/>
          <w:color w:val="auto"/>
        </w:rPr>
        <w:t>YEAR ENDED</w:t>
        <w:tab/>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3860" w:val="left"/>
          <w:tab w:leader="none" w:pos="4980" w:val="left"/>
          <w:tab w:leader="none" w:pos="61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3000" w:val="left"/>
          <w:tab w:leader="none" w:pos="4380" w:val="left"/>
          <w:tab w:leader="none" w:pos="5240" w:val="left"/>
          <w:tab w:leader="none" w:pos="63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Warehouse and office space</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905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Trucks and autos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2,039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3,933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$7,281</w:t>
            </w:r>
          </w:p>
        </w:tc>
      </w:tr>
    </w:tbl>
    <w:p>
      <w:pPr>
        <w:spacing w:after="0" w:line="4" w:lineRule="exact"/>
        <w:rPr>
          <w:sz w:val="20"/>
          <w:szCs w:val="20"/>
          <w:color w:val="auto"/>
        </w:rPr>
      </w:pPr>
    </w:p>
    <w:p>
      <w:pPr>
        <w:ind w:left="180" w:hanging="172"/>
        <w:spacing w:after="0"/>
        <w:tabs>
          <w:tab w:leader="none" w:pos="18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10</w:t>
        <w:tab/>
        <w:t>COMMITMENTS AND CONTINGENT LIABILITIES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was contingently liable to repurchase $10,578,000 at October 31, 1996 and $10,442,000 at October 31, 1995, of inventory relating to receivables under dealer financing arrangements. Additionally, debts incurred by certain distributors, aggregating $1,008,000 at October 31, 1996, and $1,176,000 at October 31, 1995, have been guaranteed by the company.</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the ordinary course of business, the company may become liable with respect to pending and threatened litigation, taxes,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371" w:name="page372"/>
    <w:bookmarkEnd w:id="371"/>
    <w:p>
      <w:pPr>
        <w:ind w:right="8079" w:firstLine="8"/>
        <w:spacing w:after="0" w:line="501" w:lineRule="auto"/>
        <w:tabs>
          <w:tab w:leader="none" w:pos="344"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OFF-BALANCE SHEET RISK</w:t>
      </w:r>
    </w:p>
    <w:p>
      <w:pPr>
        <w:jc w:val="both"/>
        <w:ind w:right="3939"/>
        <w:spacing w:after="0" w:line="252" w:lineRule="auto"/>
        <w:rPr>
          <w:sz w:val="20"/>
          <w:szCs w:val="20"/>
          <w:color w:val="auto"/>
        </w:rPr>
      </w:pPr>
      <w:r>
        <w:rPr>
          <w:rFonts w:ascii="Courier New" w:cs="Courier New" w:eastAsia="Courier New" w:hAnsi="Courier New"/>
          <w:sz w:val="14"/>
          <w:szCs w:val="14"/>
          <w:color w:val="auto"/>
        </w:rPr>
        <w:t>Letters of credit are issued by the company during the ordinary course of business, as required by certain vendor contracts, through major domestic banks. As of October 31, 1996, and 1995, the company had $19,705,000 and $14,735,000, respectively, in outstanding letters of credit.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a single business segment, outdoor maintenance equipment. The credit risk associated with this segment is limited because of the large number of customers in the company's customer base and their geographic dispersion.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INVESTMENTS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anticipated foreign currency transactions.</w:t>
      </w:r>
    </w:p>
    <w:p>
      <w:pPr>
        <w:spacing w:after="0" w:line="327"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At October 31, 1996, the company had contracts maturing at various dates to purchase $1,196,000 in foreign currencies and to sell $29,198,000 in foreign currencies at the contract rates. In addition, the company had range forward options of $1,343,000 at October 31, 1996.</w:t>
      </w:r>
    </w:p>
    <w:p>
      <w:pPr>
        <w:spacing w:after="0" w:line="162"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Changes in the market value of the foreign currency instruments are recognized in the financial statements upon settlement of the hedged transaction.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following disclosure of the estimated fair value of financial instruments is made in accordance with the requirements of FAS Statement 107, "Disclosures about Fair Value of Financial Instruments." Estimated fair value amounts have been determined using available information and appropriate valuation methodologies. Because considerable judgement is required in developing the estimates of fair value, these estimates are not necessarily indicative of the amounts that could be realized in a current market exchange.</w:t>
      </w:r>
    </w:p>
    <w:p>
      <w:pPr>
        <w:spacing w:after="0" w:line="164"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The carrying and estimated fair values of the company's financial instruments at October 31, 1996, are as follows:</w:t>
      </w:r>
    </w:p>
    <w:p>
      <w:pPr>
        <w:spacing w:after="0" w:line="160" w:lineRule="exact"/>
        <w:rPr>
          <w:sz w:val="20"/>
          <w:szCs w:val="20"/>
          <w:color w:val="auto"/>
        </w:rPr>
      </w:pPr>
    </w:p>
    <w:p>
      <w:pPr>
        <w:ind w:left="180" w:hanging="172"/>
        <w:spacing w:after="0"/>
        <w:tabs>
          <w:tab w:leader="none" w:pos="18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Carrying  Estimated Fair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(Dollars</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in millions)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Value</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gridSpan w:val="3"/>
          </w:tcPr>
          <w:p>
            <w:pPr>
              <w:spacing w:after="0"/>
              <w:rPr>
                <w:sz w:val="20"/>
                <w:szCs w:val="20"/>
                <w:color w:val="auto"/>
              </w:rPr>
            </w:pPr>
            <w:r>
              <w:rPr>
                <w:rFonts w:ascii="Courier New" w:cs="Courier New" w:eastAsia="Courier New" w:hAnsi="Courier New"/>
                <w:sz w:val="14"/>
                <w:szCs w:val="14"/>
                <w:color w:val="auto"/>
              </w:rPr>
              <w:t>Long-term debt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$53,365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$62,887</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Deferred</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income (interest rate exchange agreements)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17,992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22,969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For cash and cash equivalents, receivables, and accounts payable, carrying value is a reasonable estimate of fair value.</w:t>
      </w:r>
    </w:p>
    <w:p>
      <w:pPr>
        <w:spacing w:after="0" w:line="160"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For long-term debt with fixed interest rates, fair value is estimated by discounting the projected cash flows using the rate at which similar amounts could currently be borrowed.</w:t>
      </w:r>
    </w:p>
    <w:p>
      <w:pPr>
        <w:spacing w:after="0" w:line="163" w:lineRule="exact"/>
        <w:rPr>
          <w:sz w:val="20"/>
          <w:szCs w:val="20"/>
          <w:color w:val="auto"/>
        </w:rPr>
      </w:pPr>
    </w:p>
    <w:p>
      <w:pPr>
        <w:jc w:val="both"/>
        <w:ind w:right="3859" w:firstLine="344"/>
        <w:spacing w:after="0" w:line="252" w:lineRule="auto"/>
        <w:rPr>
          <w:sz w:val="20"/>
          <w:szCs w:val="20"/>
          <w:color w:val="auto"/>
        </w:rPr>
      </w:pPr>
      <w:r>
        <w:rPr>
          <w:rFonts w:ascii="Courier New" w:cs="Courier New" w:eastAsia="Courier New" w:hAnsi="Courier New"/>
          <w:sz w:val="14"/>
          <w:szCs w:val="14"/>
          <w:color w:val="auto"/>
        </w:rPr>
        <w:t>The estimated fair value of the 11% sinking fund debentures represents the amount the company would pay to redeem the notes based on the terms of the debenture.</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estimated fair value of the deferred income represents the cost to terminate the interest rate exchange agreements, had management elected to do so, which would have resulted in a loss of approximately $4,977,000.</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372" w:name="page373"/>
    <w:bookmarkEnd w:id="372"/>
    <w:p>
      <w:pPr>
        <w:spacing w:after="0"/>
        <w:tabs>
          <w:tab w:leader="none" w:pos="340" w:val="left"/>
        </w:tabs>
        <w:rPr>
          <w:sz w:val="20"/>
          <w:szCs w:val="20"/>
          <w:color w:val="auto"/>
        </w:rPr>
      </w:pPr>
      <w:r>
        <w:rPr>
          <w:rFonts w:ascii="Courier New" w:cs="Courier New" w:eastAsia="Courier New" w:hAnsi="Courier New"/>
          <w:sz w:val="14"/>
          <w:szCs w:val="14"/>
          <w:color w:val="auto"/>
        </w:rPr>
        <w:t>12</w:t>
        <w:tab/>
        <w:t>CONSOLIDATED FINANCE SUBSIDIARY - TORO CREDIT COMPANY</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Toro Credit Company is a consolidated finance subsidiary of the company and operates primarily in the finance industry with wholesale financing of distributor and dealer inventories under various financing arrangements and other programs.</w:t>
      </w:r>
    </w:p>
    <w:p>
      <w:pPr>
        <w:spacing w:after="0" w:line="200" w:lineRule="exact"/>
        <w:rPr>
          <w:sz w:val="20"/>
          <w:szCs w:val="20"/>
          <w:color w:val="auto"/>
        </w:rPr>
      </w:pPr>
    </w:p>
    <w:p>
      <w:pPr>
        <w:spacing w:after="0" w:line="293" w:lineRule="exact"/>
        <w:rPr>
          <w:sz w:val="20"/>
          <w:szCs w:val="20"/>
          <w:color w:val="auto"/>
        </w:rPr>
      </w:pPr>
    </w:p>
    <w:p>
      <w:pPr>
        <w:ind w:left="180" w:hanging="172"/>
        <w:spacing w:after="0"/>
        <w:tabs>
          <w:tab w:leader="none" w:pos="18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3700" w:val="left"/>
          <w:tab w:leader="none" w:pos="58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4040" w:val="left"/>
          <w:tab w:leader="none" w:pos="5500" w:val="left"/>
          <w:tab w:leader="none" w:pos="636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3000" w:val="left"/>
          <w:tab w:leader="none" w:pos="4560" w:val="left"/>
          <w:tab w:leader="none" w:pos="5760" w:val="left"/>
          <w:tab w:leader="none" w:pos="662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173" w:lineRule="exact"/>
        <w:rPr>
          <w:sz w:val="20"/>
          <w:szCs w:val="20"/>
          <w:color w:val="auto"/>
        </w:rPr>
      </w:pPr>
    </w:p>
    <w:p>
      <w:pPr>
        <w:ind w:left="180" w:hanging="172"/>
        <w:spacing w:after="0"/>
        <w:tabs>
          <w:tab w:leader="none" w:pos="18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Earnings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Finance revenues</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$23,507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$17,436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3,371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2,068</w:t>
            </w: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6,248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4,737</w:t>
            </w: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exchange</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net (gains) losses</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Total expenses</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8,293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6,901</w:t>
            </w:r>
          </w:p>
        </w:tc>
      </w:tr>
      <w:tr>
        <w:trPr>
          <w:trHeight w:val="166"/>
        </w:trPr>
        <w:tc>
          <w:tcPr>
            <w:tcW w:w="39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Earnings before income taxes 13,898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12,966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10,535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5,230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7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$ 8,668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$ 8,222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$ 6,866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right"/>
        <w:ind w:right="4719"/>
        <w:spacing w:after="0"/>
        <w:tabs>
          <w:tab w:leader="none" w:pos="27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4719"/>
        <w:spacing w:after="0"/>
        <w:tabs>
          <w:tab w:leader="none" w:pos="27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right"/>
        <w:ind w:right="4719"/>
        <w:spacing w:after="0"/>
        <w:tabs>
          <w:tab w:leader="none" w:pos="3420" w:val="left"/>
          <w:tab w:leader="none" w:pos="222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Summary Balance Sheets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1,053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1,469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Receivables-net</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147,582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131,510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receivables and assets</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$150,401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spacing w:after="0" w:line="4" w:lineRule="exact"/>
        <w:rPr>
          <w:sz w:val="20"/>
          <w:szCs w:val="20"/>
          <w:color w:val="auto"/>
        </w:rPr>
      </w:pPr>
    </w:p>
    <w:p>
      <w:pPr>
        <w:ind w:left="180" w:hanging="172"/>
        <w:spacing w:after="0"/>
        <w:tabs>
          <w:tab w:leader="none" w:pos="18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Current portion of long-term</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$ 15,000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78,817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56,921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portion</w:t>
            </w: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71,584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62,916</w:t>
            </w:r>
          </w:p>
        </w:tc>
      </w:tr>
    </w:tbl>
    <w:p>
      <w:pPr>
        <w:spacing w:after="0" w:line="4" w:lineRule="exact"/>
        <w:rPr>
          <w:sz w:val="20"/>
          <w:szCs w:val="20"/>
          <w:color w:val="auto"/>
        </w:rPr>
      </w:pPr>
    </w:p>
    <w:p>
      <w:pPr>
        <w:ind w:left="180" w:hanging="172"/>
        <w:spacing w:after="0"/>
        <w:tabs>
          <w:tab w:leader="none" w:pos="18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$150,401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spacing w:after="0" w:line="4" w:lineRule="exact"/>
        <w:rPr>
          <w:sz w:val="20"/>
          <w:szCs w:val="20"/>
          <w:color w:val="auto"/>
        </w:rPr>
      </w:pPr>
    </w:p>
    <w:p>
      <w:pPr>
        <w:ind w:left="180" w:hanging="172"/>
        <w:spacing w:after="0"/>
        <w:tabs>
          <w:tab w:leader="none" w:pos="18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finance revenues presented above, $19,306,000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1996, $3,642,000 for the 3 months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$17,114,000 for the year ended July 31, 1995 and $13,272,000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1994, represent transactions with the parent company, The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which are eliminated in consolidation. The remaining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of $4,201,000 for the year ended October 31, 1996, $999,000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$4,145,000 for the year ended July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$4,164,000 for the year ended July 31, 1994 are included in other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Toro Company's Consolidated Statements of Earnings. The expenses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items (net of eliminations) are included in the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Earnings and Consolidated Balance Sheets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corresponding classifications.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373" w:name="page374"/>
    <w:bookmarkEnd w:id="373"/>
    <w:p>
      <w:pPr>
        <w:spacing w:after="0"/>
        <w:tabs>
          <w:tab w:leader="none" w:pos="340" w:val="left"/>
        </w:tabs>
        <w:rPr>
          <w:sz w:val="20"/>
          <w:szCs w:val="20"/>
          <w:color w:val="auto"/>
        </w:rPr>
      </w:pPr>
      <w:r>
        <w:rPr>
          <w:rFonts w:ascii="Courier New" w:cs="Courier New" w:eastAsia="Courier New" w:hAnsi="Courier New"/>
          <w:sz w:val="14"/>
          <w:szCs w:val="14"/>
          <w:color w:val="auto"/>
        </w:rPr>
        <w:t>13</w:t>
        <w:tab/>
        <w:t>QUARTERLY FINANCIAL DATA (UNAUDITED)</w:t>
      </w:r>
    </w:p>
    <w:p>
      <w:pPr>
        <w:spacing w:after="0" w:line="7" w:lineRule="exact"/>
        <w:rPr>
          <w:sz w:val="20"/>
          <w:szCs w:val="20"/>
          <w:color w:val="auto"/>
        </w:rPr>
      </w:pPr>
    </w:p>
    <w:p>
      <w:pPr>
        <w:ind w:left="180" w:hanging="172"/>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quarterly financial data for 1996 and 1995 is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6620" w:val="left"/>
        </w:tabs>
        <w:rPr>
          <w:sz w:val="20"/>
          <w:szCs w:val="20"/>
          <w:color w:val="auto"/>
        </w:rPr>
      </w:pP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FISCAL YEAR ENDED OCTOBER 31, 1996</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(Dollars in thousands except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3340" w:val="left"/>
          <w:tab w:leader="none" w:pos="5580" w:val="left"/>
          <w:tab w:leader="none" w:pos="6800" w:val="left"/>
          <w:tab w:leader="none" w:pos="8180" w:val="left"/>
          <w:tab w:leader="none" w:pos="9380" w:val="left"/>
        </w:tabs>
        <w:rPr>
          <w:sz w:val="20"/>
          <w:szCs w:val="20"/>
          <w:color w:val="auto"/>
        </w:rPr>
      </w:pPr>
      <w:r>
        <w:rPr>
          <w:rFonts w:ascii="Courier New" w:cs="Courier New" w:eastAsia="Courier New" w:hAnsi="Courier New"/>
          <w:sz w:val="14"/>
          <w:szCs w:val="14"/>
          <w:color w:val="auto"/>
        </w:rPr>
        <w:t>per share data)</w:t>
      </w:r>
      <w:r>
        <w:rPr>
          <w:sz w:val="20"/>
          <w:szCs w:val="20"/>
          <w:color w:val="auto"/>
        </w:rPr>
        <w:tab/>
      </w:r>
      <w:r>
        <w:rPr>
          <w:rFonts w:ascii="Courier New" w:cs="Courier New" w:eastAsia="Courier New" w:hAnsi="Courier New"/>
          <w:sz w:val="14"/>
          <w:szCs w:val="14"/>
          <w:color w:val="auto"/>
        </w:rPr>
        <w:t>October 31, 1995</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$192,278</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$211,501</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$288,646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$232,565</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$198,197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71,703</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76,329</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103,810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85,884</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75,700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3,997</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8,498</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16,820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6,465</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4,626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and common stock equivalent</w:t>
            </w:r>
          </w:p>
        </w:tc>
        <w:tc>
          <w:tcPr>
            <w:tcW w:w="7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0.32</w:t>
            </w:r>
          </w:p>
        </w:tc>
        <w:tc>
          <w:tcPr>
            <w:tcW w:w="6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0.67</w:t>
            </w:r>
          </w:p>
        </w:tc>
        <w:tc>
          <w:tcPr>
            <w:tcW w:w="6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1.33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0.37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7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6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0.12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High bid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 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Low bid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80" w:hanging="172"/>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July 31, 1995</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5500" w:val="left"/>
          <w:tab w:leader="none" w:pos="6700" w:val="left"/>
          <w:tab w:leader="none" w:pos="8080" w:val="left"/>
          <w:tab w:leader="none" w:pos="930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3"/>
          <w:szCs w:val="13"/>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$205,704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$213,950</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$310,613</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$202,586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76,065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76,068</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107,342</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75,103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8,302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6,799</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17,539</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4,027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and common stock equivalent</w:t>
            </w:r>
          </w:p>
        </w:tc>
        <w:tc>
          <w:tcPr>
            <w:tcW w:w="13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0.51</w:t>
            </w:r>
          </w:p>
        </w:tc>
        <w:tc>
          <w:tcPr>
            <w:tcW w:w="6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1.32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0.32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3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0.12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High bid</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 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Low bid</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14</w:t>
        <w:tab/>
        <w:t>Subsequent Event</w:t>
      </w:r>
    </w:p>
    <w:p>
      <w:pPr>
        <w:spacing w:after="0" w:line="173"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On December 3, 1996, the company acquired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acquisition is being accounted for as a purchase. JHI is headquartered in Laguna Niguel, California and has production facilities in Texas, California, Florida, and Australia. It is a worldwide leader in the production of irrigation systems to the commercial landscape market. For its latest fiscal year ended March 31, 1996, JHI had unaudited net sales of approximately $140.4 million and unaudited operating income of approximately $3.7 million.</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80"/>
          </w:cols>
          <w:pgMar w:left="220" w:top="615" w:right="299" w:bottom="1440" w:gutter="0" w:footer="0" w:header="0"/>
        </w:sectPr>
      </w:pPr>
    </w:p>
    <w:bookmarkStart w:id="374" w:name="page375"/>
    <w:bookmarkEnd w:id="374"/>
    <w:p>
      <w:pPr>
        <w:ind w:left="5960"/>
        <w:spacing w:after="0"/>
        <w:rPr>
          <w:sz w:val="20"/>
          <w:szCs w:val="20"/>
          <w:color w:val="auto"/>
        </w:rPr>
      </w:pPr>
      <w:r>
        <w:rPr>
          <w:rFonts w:ascii="Courier New" w:cs="Courier New" w:eastAsia="Courier New" w:hAnsi="Courier New"/>
          <w:sz w:val="14"/>
          <w:szCs w:val="14"/>
          <w:color w:val="auto"/>
        </w:rPr>
        <w:t>Exhibit 21</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000"/>
        <w:spacing w:after="0" w:line="255" w:lineRule="auto"/>
        <w:rPr>
          <w:sz w:val="20"/>
          <w:szCs w:val="20"/>
          <w:color w:val="auto"/>
        </w:rPr>
      </w:pPr>
      <w:r>
        <w:rPr>
          <w:rFonts w:ascii="Courier New" w:cs="Courier New" w:eastAsia="Courier New" w:hAnsi="Courier New"/>
          <w:sz w:val="14"/>
          <w:szCs w:val="14"/>
          <w:color w:val="auto"/>
        </w:rPr>
        <w:t>All of the following are subsidiaries of The Toro Company as of January 20,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ind w:left="1220"/>
              <w:spacing w:after="0"/>
              <w:rPr>
                <w:sz w:val="20"/>
                <w:szCs w:val="20"/>
                <w:color w:val="auto"/>
              </w:rPr>
            </w:pPr>
            <w:r>
              <w:rPr>
                <w:rFonts w:ascii="Courier New" w:cs="Courier New" w:eastAsia="Courier New" w:hAnsi="Courier New"/>
                <w:sz w:val="14"/>
                <w:szCs w:val="14"/>
                <w:color w:val="auto"/>
              </w:rPr>
              <w:t>NAME</w:t>
            </w:r>
          </w:p>
        </w:tc>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STATE OR OTHER JURISDICTION OF</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PERCENTAGE OF VOTING SECURITIES</w:t>
            </w:r>
          </w:p>
        </w:tc>
      </w:tr>
      <w:tr>
        <w:trPr>
          <w:trHeight w:val="166"/>
        </w:trPr>
        <w:tc>
          <w:tcPr>
            <w:tcW w:w="4060" w:type="dxa"/>
            <w:vAlign w:val="bottom"/>
          </w:tcPr>
          <w:p>
            <w:pPr>
              <w:spacing w:after="0"/>
              <w:rPr>
                <w:sz w:val="14"/>
                <w:szCs w:val="14"/>
                <w:color w:val="auto"/>
              </w:rPr>
            </w:pPr>
          </w:p>
        </w:tc>
        <w:tc>
          <w:tcPr>
            <w:tcW w:w="3260" w:type="dxa"/>
            <w:vAlign w:val="bottom"/>
          </w:tcPr>
          <w:p>
            <w:pPr>
              <w:ind w:left="860"/>
              <w:spacing w:after="0"/>
              <w:rPr>
                <w:sz w:val="20"/>
                <w:szCs w:val="20"/>
                <w:color w:val="auto"/>
              </w:rPr>
            </w:pPr>
            <w:r>
              <w:rPr>
                <w:rFonts w:ascii="Courier New" w:cs="Courier New" w:eastAsia="Courier New" w:hAnsi="Courier New"/>
                <w:sz w:val="14"/>
                <w:szCs w:val="14"/>
                <w:color w:val="auto"/>
              </w:rPr>
              <w:t>INCORPORATION</w:t>
            </w:r>
          </w:p>
        </w:tc>
        <w:tc>
          <w:tcPr>
            <w:tcW w:w="3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 BY IMMEDIATE PARENT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Australia Pty. Limited</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Australia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Europe</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Belgium</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Foreign Sales Corporation</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Barbados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Lawn-Boy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Delaware</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Probiotic Products,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Sales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Southwest,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California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International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Hahn Equipment Co.</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Professional Turf Products of Texas,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Texas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Integration Control Systems &amp; Services,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Texas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Turf Management Systems,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Nevada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Pty. Limited</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Australia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Europe S.p.A.</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Italy</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440"/>
          </w:cols>
          <w:pgMar w:left="220" w:top="781" w:right="1239" w:bottom="1440" w:gutter="0" w:footer="0" w:header="0"/>
        </w:sectPr>
      </w:pPr>
    </w:p>
    <w:bookmarkStart w:id="375" w:name="page376"/>
    <w:bookmarkEnd w:id="375"/>
    <w:p>
      <w:pPr>
        <w:spacing w:after="0"/>
        <w:rPr>
          <w:sz w:val="20"/>
          <w:szCs w:val="20"/>
          <w:color w:val="auto"/>
        </w:rPr>
      </w:pPr>
      <w:r>
        <w:rPr>
          <w:rFonts w:ascii="Courier New" w:cs="Courier New" w:eastAsia="Courier New" w:hAnsi="Courier New"/>
          <w:sz w:val="14"/>
          <w:szCs w:val="14"/>
          <w:color w:val="auto"/>
        </w:rPr>
        <w:t>[LETTERHEAD]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INDEPENDENT AUDITORS' CONSENT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Registration Statements (Nos. 33-26268, 33-31586, 33-38308, 33-44668, 33-51563, 33-55550, 33-59563, 33-62743, and 333-4521) on Forms S-3 and S-8 of The Toro Company of our reports dated December 16, 1996, relating to the consolidated balance sheets of The Toro Company and subsidiaries as of October 31, 1996 and 1995, and the related consolidated statements of earnings and cash flows and related financial statement schedule for the year ended October 31, 1996, the three-month period ended October 31, 1995 and the years ended July 31, 1995 and 1994, which reports are included in or incorporated by reference in the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1997</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1" w:right="1440" w:bottom="1440" w:gutter="0" w:footer="0" w:header="0"/>
        </w:sectPr>
      </w:pPr>
    </w:p>
    <w:bookmarkStart w:id="376" w:name="page377"/>
    <w:bookmarkEnd w:id="376"/>
    <w:p>
      <w:pPr>
        <w:spacing w:after="0"/>
        <w:rPr>
          <w:sz w:val="20"/>
          <w:szCs w:val="20"/>
          <w:color w:val="auto"/>
        </w:rPr>
      </w:pPr>
      <w:r>
        <w:rPr>
          <w:rFonts w:ascii="Courier New" w:cs="Courier New" w:eastAsia="Courier New" w:hAnsi="Courier New"/>
          <w:sz w:val="14"/>
          <w:szCs w:val="14"/>
          <w:color w:val="auto"/>
        </w:rPr>
        <w:t>January 29,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Corporate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5th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 or Madam,</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Transmitted herewith through the EDGAR system is form 10-K for the fiscal year ended October 31, 1996 for The Toro Company. There have been no material accounting changes from the prior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call me at (612) 887-8633 if you require additional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Randi L. Engelhardt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Supervisor, Financial Reporting</w:t>
      </w:r>
    </w:p>
    <w:p>
      <w:pPr>
        <w:spacing w:after="0" w:line="338" w:lineRule="exact"/>
        <w:rPr>
          <w:sz w:val="20"/>
          <w:szCs w:val="20"/>
          <w:color w:val="auto"/>
        </w:rPr>
      </w:pPr>
    </w:p>
    <w:p>
      <w:pPr>
        <w:ind w:left="360" w:right="8679" w:hanging="352"/>
        <w:spacing w:after="0" w:line="252" w:lineRule="auto"/>
        <w:tabs>
          <w:tab w:leader="none" w:pos="36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Kerry Juntti Jerry Knight Larry McIntyre</w:t>
      </w:r>
    </w:p>
    <w:p>
      <w:pPr>
        <w:sectPr>
          <w:pgSz w:w="11900" w:h="16838" w:orient="portrait"/>
          <w:cols w:equalWidth="0" w:num="1">
            <w:col w:w="10239"/>
          </w:cols>
          <w:pgMar w:left="220" w:top="781" w:right="1440" w:bottom="1440" w:gutter="0" w:footer="0" w:header="0"/>
        </w:sectPr>
      </w:pPr>
    </w:p>
    <w:bookmarkStart w:id="377" w:name="page378"/>
    <w:bookmarkEnd w:id="377"/>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2340"/>
        <w:spacing w:after="0"/>
        <w:tabs>
          <w:tab w:leader="none" w:pos="396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Pursuant to Section 13 or 15(d) of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5160" w:val="left"/>
        </w:tabs>
        <w:rPr>
          <w:sz w:val="20"/>
          <w:szCs w:val="20"/>
          <w:color w:val="auto"/>
        </w:rPr>
      </w:pPr>
      <w:r>
        <w:rPr>
          <w:rFonts w:ascii="Courier New" w:cs="Courier New" w:eastAsia="Courier New" w:hAnsi="Courier New"/>
          <w:sz w:val="14"/>
          <w:szCs w:val="14"/>
          <w:color w:val="auto"/>
        </w:rPr>
        <w:t>Date of Report (date of earliest event reported):</w:t>
        <w:tab/>
        <w:t>June 24,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947" w:right="1440" w:bottom="1440" w:gutter="0" w:footer="0" w:header="0"/>
        </w:sectPr>
      </w:pPr>
    </w:p>
    <w:p>
      <w:pPr>
        <w:spacing w:after="0" w:line="338" w:lineRule="exact"/>
        <w:rPr>
          <w:sz w:val="20"/>
          <w:szCs w:val="20"/>
          <w:color w:val="auto"/>
        </w:rPr>
      </w:pPr>
    </w:p>
    <w:p>
      <w:pPr>
        <w:ind w:left="860"/>
        <w:spacing w:after="0"/>
        <w:tabs>
          <w:tab w:leader="none" w:pos="300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No. 1-8649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other jurisdiction (Commission File Number)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0"/>
          <w:szCs w:val="20"/>
          <w:color w:val="auto"/>
        </w:rPr>
      </w:pPr>
    </w:p>
    <w:p>
      <w:pPr>
        <w:sectPr>
          <w:pgSz w:w="11900" w:h="16838" w:orient="portrait"/>
          <w:cols w:equalWidth="0" w:num="2">
            <w:col w:w="4580" w:space="260"/>
            <w:col w:w="5399"/>
          </w:cols>
          <w:pgMar w:left="220" w:top="947" w:right="1440" w:bottom="1440" w:gutter="0" w:footer="0" w:header="0"/>
          <w:type w:val="continuous"/>
        </w:sectPr>
      </w:pPr>
    </w:p>
    <w:p>
      <w:pPr>
        <w:spacing w:after="0" w:line="138" w:lineRule="exact"/>
        <w:rPr>
          <w:sz w:val="20"/>
          <w:szCs w:val="20"/>
          <w:color w:val="auto"/>
        </w:rPr>
      </w:pPr>
    </w:p>
    <w:p>
      <w:pPr>
        <w:jc w:val="center"/>
        <w:ind w:left="960"/>
        <w:spacing w:after="0" w:line="252" w:lineRule="auto"/>
        <w:rPr>
          <w:sz w:val="20"/>
          <w:szCs w:val="20"/>
          <w:color w:val="auto"/>
        </w:rPr>
      </w:pPr>
      <w:r>
        <w:rPr>
          <w:rFonts w:ascii="Courier New" w:cs="Courier New" w:eastAsia="Courier New" w:hAnsi="Courier New"/>
          <w:sz w:val="14"/>
          <w:szCs w:val="14"/>
          <w:color w:val="auto"/>
        </w:rPr>
        <w:t>8111 Lyndale Avenue South Bloomington, Minnesota (Address of principal executive offices)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9" w:lineRule="exact"/>
        <w:rPr>
          <w:sz w:val="20"/>
          <w:szCs w:val="20"/>
          <w:color w:val="auto"/>
        </w:rPr>
      </w:pPr>
    </w:p>
    <w:p>
      <w:pPr>
        <w:sectPr>
          <w:pgSz w:w="11900" w:h="16838" w:orient="portrait"/>
          <w:cols w:equalWidth="0" w:num="2">
            <w:col w:w="4400" w:space="600"/>
            <w:col w:w="5239"/>
          </w:cols>
          <w:pgMar w:left="220" w:top="947" w:right="1440" w:bottom="1440" w:gutter="0" w:footer="0" w:header="0"/>
          <w:type w:val="continuous"/>
        </w:sectPr>
      </w:pPr>
    </w:p>
    <w:p>
      <w:pPr>
        <w:spacing w:after="0" w:line="12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 888-8801</w:t>
      </w:r>
    </w:p>
    <w:p>
      <w:pPr>
        <w:sectPr>
          <w:pgSz w:w="11900" w:h="16838" w:orient="portrait"/>
          <w:cols w:equalWidth="0" w:num="2">
            <w:col w:w="5000" w:space="340"/>
            <w:col w:w="4899"/>
          </w:cols>
          <w:pgMar w:left="220" w:top="947" w:right="1440" w:bottom="1440" w:gutter="0" w:footer="0" w:header="0"/>
          <w:type w:val="continuous"/>
        </w:sectPr>
      </w:pPr>
    </w:p>
    <w:bookmarkStart w:id="378" w:name="page379"/>
    <w:bookmarkEnd w:id="378"/>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On June 24, 1997, The Toro Company, a Delaware corporation (the "Company"), closed the public offering of $75,000,000 aggregate principal amount of its 7.125% Notes due June 15, 2007 (the "Notes") and $100,000,000 aggregate principal amount of its 7.80% Debentures due June 15, 2027 (the "Debentures") under its registration statement on Form S-3 (No. 33-20901), which became effective on June 10, 1997 (the "Registration Statement"). This Current Report on Form 8-K is being filed for the purpose of filing as exhibits the Underwriting Agreement, the Pricing Agreement, the Indenture, the Officers' Certificate Establishing Terms of Debt Securities, the form of Note and the form of Debenture listed in Item 7(c) hereof in connection with the Registration Statement and the public offering of the Notes and the Debentures.</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960" w:hanging="521"/>
        <w:spacing w:after="0"/>
        <w:tabs>
          <w:tab w:leader="none" w:pos="96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1(a)</w:t>
      </w:r>
      <w:r>
        <w:rPr>
          <w:sz w:val="20"/>
          <w:szCs w:val="20"/>
          <w:color w:val="auto"/>
        </w:rPr>
        <w:tab/>
      </w:r>
      <w:r>
        <w:rPr>
          <w:rFonts w:ascii="Courier New" w:cs="Courier New" w:eastAsia="Courier New" w:hAnsi="Courier New"/>
          <w:sz w:val="14"/>
          <w:szCs w:val="14"/>
          <w:color w:val="auto"/>
        </w:rPr>
        <w:t>Underwriting Agreement dated June 18, 1997 executed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the Company (incorporated by reference to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Exhibit 1 to the Company's Registration Statement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on Form S-3 No. 333-20901).</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1(b)</w:t>
      </w:r>
      <w:r>
        <w:rPr>
          <w:sz w:val="20"/>
          <w:szCs w:val="20"/>
          <w:color w:val="auto"/>
        </w:rPr>
        <w:tab/>
      </w:r>
      <w:r>
        <w:rPr>
          <w:rFonts w:ascii="Courier New" w:cs="Courier New" w:eastAsia="Courier New" w:hAnsi="Courier New"/>
          <w:sz w:val="14"/>
          <w:szCs w:val="14"/>
          <w:color w:val="auto"/>
        </w:rPr>
        <w:t>Pricing Agreement dated June 18, 1997 between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Company and Goldman, Sachs &amp; Co., BancAmerica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Securities, Inc. and NationsBanc Capital Markets,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Inc. which incorporates the Underwriting Agreement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dated June 18, 1997 by reference.</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Indenture dated as of January 31, 1997 between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Company and First Trust National Association, as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Officers' Certificate Establishing Terms of Debt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Securities dated June 9, 1997 relating to the Notes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and the Debentures.</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Form of Note (included as part of Exhibit 4(b)).</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4(d)</w:t>
      </w:r>
      <w:r>
        <w:rPr>
          <w:sz w:val="20"/>
          <w:szCs w:val="20"/>
          <w:color w:val="auto"/>
        </w:rPr>
        <w:tab/>
      </w:r>
      <w:r>
        <w:rPr>
          <w:rFonts w:ascii="Courier New" w:cs="Courier New" w:eastAsia="Courier New" w:hAnsi="Courier New"/>
          <w:sz w:val="14"/>
          <w:szCs w:val="14"/>
          <w:color w:val="auto"/>
        </w:rPr>
        <w:t>Form of Debenture (included as part of Exhibit 4(b)).</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79" w:name="page380"/>
    <w:bookmarkEnd w:id="379"/>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and Exchange Act of 1934, the registrant has caused this report to be signed on its behalf by the undersigned thereunto duly authorized.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1997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By: /s/</w:t>
        <w:tab/>
        <w:t>J. LAWRENCE MCINTYRE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Vice President, Secretary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General Counsel</w:t>
      </w:r>
    </w:p>
    <w:p>
      <w:pPr>
        <w:sectPr>
          <w:pgSz w:w="11900" w:h="16838" w:orient="portrait"/>
          <w:cols w:equalWidth="0" w:num="3">
            <w:col w:w="440" w:space="180"/>
            <w:col w:w="2120" w:space="720"/>
            <w:col w:w="6779"/>
          </w:cols>
          <w:pgMar w:left="220" w:top="615" w:right="1440" w:bottom="1440" w:gutter="0" w:footer="0" w:header="0"/>
          <w:type w:val="continuous"/>
        </w:sectPr>
      </w:pPr>
    </w:p>
    <w:bookmarkStart w:id="380" w:name="page381"/>
    <w:bookmarkEnd w:id="380"/>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4820" w:type="dxa"/>
            <w:vAlign w:val="bottom"/>
          </w:tcPr>
          <w:p>
            <w:pPr>
              <w:ind w:left="1640"/>
              <w:spacing w:after="0"/>
              <w:rPr>
                <w:sz w:val="20"/>
                <w:szCs w:val="20"/>
                <w:color w:val="auto"/>
              </w:rPr>
            </w:pPr>
            <w:r>
              <w:rPr>
                <w:rFonts w:ascii="Courier New" w:cs="Courier New" w:eastAsia="Courier New" w:hAnsi="Courier New"/>
                <w:sz w:val="14"/>
                <w:szCs w:val="14"/>
                <w:color w:val="auto"/>
              </w:rPr>
              <w:t>EXHIBIT INDEX</w:t>
            </w: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Exhibit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20" w:type="dxa"/>
            <w:vAlign w:val="bottom"/>
          </w:tcPr>
          <w:p>
            <w:pPr>
              <w:jc w:val="right"/>
              <w:ind w:right="3888"/>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1(a)</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Underwriting Agreement dated June 18, 1997 executed by</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Company (incorporated by reference to Exhibit 1 to</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Company's Registration Statement on Form S-3 No.</w:t>
            </w:r>
          </w:p>
        </w:tc>
      </w:tr>
      <w:tr>
        <w:trPr>
          <w:trHeight w:val="166"/>
        </w:trPr>
        <w:tc>
          <w:tcPr>
            <w:tcW w:w="1220" w:type="dxa"/>
            <w:vAlign w:val="bottom"/>
          </w:tcPr>
          <w:p>
            <w:pPr>
              <w:spacing w:after="0"/>
              <w:rPr>
                <w:sz w:val="14"/>
                <w:szCs w:val="14"/>
                <w:color w:val="auto"/>
              </w:rPr>
            </w:pPr>
          </w:p>
        </w:tc>
        <w:tc>
          <w:tcPr>
            <w:tcW w:w="4820" w:type="dxa"/>
            <w:vAlign w:val="bottom"/>
          </w:tcPr>
          <w:p>
            <w:pPr>
              <w:jc w:val="right"/>
              <w:ind w:right="3728"/>
              <w:spacing w:after="0"/>
              <w:rPr>
                <w:sz w:val="20"/>
                <w:szCs w:val="20"/>
                <w:color w:val="auto"/>
              </w:rPr>
            </w:pPr>
            <w:r>
              <w:rPr>
                <w:rFonts w:ascii="Courier New" w:cs="Courier New" w:eastAsia="Courier New" w:hAnsi="Courier New"/>
                <w:sz w:val="14"/>
                <w:szCs w:val="14"/>
                <w:color w:val="auto"/>
              </w:rPr>
              <w:t>333-20901).</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1(b)</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Pricing Agreement dated June 18, 1997 between the</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and Goldman, Sachs &amp; Co., BancAmerica</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Securities, Inc. and NationsBanc Capital Markets, Inc.</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which incorporates the Underwriting Agreement dated</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June 18, 1997 by reference.</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4(a)</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Indenture dated as of January 31, 1997 between the</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and First Trust National Association, as</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Trustee.</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Officers' Certificate Establishing Terms of Debt</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Securities dated June 9, 1997 relating to the Notes and</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Debentures.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4(c)</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Form of Note (included as part of Exhibit 4(b)).</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4(d)</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Form of Debenture (included as part of Exhibit 4(b)).</w:t>
            </w:r>
          </w:p>
        </w:tc>
      </w:tr>
      <w:tr>
        <w:trPr>
          <w:trHeight w:val="497"/>
        </w:trPr>
        <w:tc>
          <w:tcPr>
            <w:tcW w:w="1220" w:type="dxa"/>
            <w:vAlign w:val="bottom"/>
          </w:tcPr>
          <w:p>
            <w:pPr>
              <w:spacing w:after="0"/>
              <w:rPr>
                <w:sz w:val="24"/>
                <w:szCs w:val="24"/>
                <w:color w:val="auto"/>
              </w:rPr>
            </w:pPr>
          </w:p>
        </w:tc>
        <w:tc>
          <w:tcPr>
            <w:tcW w:w="4820" w:type="dxa"/>
            <w:vAlign w:val="bottom"/>
          </w:tcPr>
          <w:p>
            <w:pPr>
              <w:ind w:left="2140"/>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781" w:right="1440" w:bottom="1440" w:gutter="0" w:footer="0" w:header="0"/>
        </w:sectPr>
      </w:pPr>
    </w:p>
    <w:bookmarkStart w:id="381" w:name="page382"/>
    <w:bookmarkEnd w:id="381"/>
    <w:p>
      <w:pPr>
        <w:ind w:left="2600"/>
        <w:spacing w:after="0"/>
        <w:rPr>
          <w:sz w:val="20"/>
          <w:szCs w:val="20"/>
          <w:color w:val="auto"/>
        </w:rPr>
      </w:pPr>
      <w:r>
        <w:rPr>
          <w:rFonts w:ascii="Courier New" w:cs="Courier New" w:eastAsia="Courier New" w:hAnsi="Courier New"/>
          <w:sz w:val="14"/>
          <w:szCs w:val="14"/>
          <w:color w:val="auto"/>
        </w:rPr>
        <w:t>PRICING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Capital Markets,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 Broad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10004</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June 18,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The Toro Company, a Delaware corporation (the "Company"), proposes, subject to the terms and conditions stated herein and in the Underwriting Agreement, dated June 18, 1997 (the "Underwriting Agreement"),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34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62"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w:t>
      </w:r>
    </w:p>
    <w:p>
      <w:pPr>
        <w:sectPr>
          <w:pgSz w:w="11900" w:h="16838" w:orient="portrait"/>
          <w:cols w:equalWidth="0" w:num="1">
            <w:col w:w="10239"/>
          </w:cols>
          <w:pgMar w:left="220" w:top="616" w:right="1440" w:bottom="1440" w:gutter="0" w:footer="0" w:header="0"/>
        </w:sectPr>
      </w:pPr>
    </w:p>
    <w:bookmarkStart w:id="382" w:name="page383"/>
    <w:bookmarkEnd w:id="382"/>
    <w:p>
      <w:pPr>
        <w:ind w:right="3779"/>
        <w:spacing w:after="0" w:line="255" w:lineRule="auto"/>
        <w:rPr>
          <w:sz w:val="20"/>
          <w:szCs w:val="20"/>
          <w:color w:val="auto"/>
        </w:rPr>
      </w:pPr>
      <w:r>
        <w:rPr>
          <w:rFonts w:ascii="Courier New" w:cs="Courier New" w:eastAsia="Courier New" w:hAnsi="Courier New"/>
          <w:sz w:val="14"/>
          <w:szCs w:val="14"/>
          <w:color w:val="auto"/>
        </w:rPr>
        <w:t>Schedule II hereto, the principal amount of Designated Securities set forth opposite the name of such Underwriter in Schedule I hereto.</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If the foregoing is in accordance with your understanding, please sign and return to us six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STEPHEN P. WOLFE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Stephen P. Wolfe</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Title: Vice President Finance,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and 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as of the date hereof in New York,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Capital Markets,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GOLDMAN, SACHS &amp; CO.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(Goldman, Sachs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each of the Underwriters</w:t>
      </w:r>
    </w:p>
    <w:p>
      <w:pPr>
        <w:sectPr>
          <w:pgSz w:w="11900" w:h="16838" w:orient="portrait"/>
          <w:cols w:equalWidth="0" w:num="1">
            <w:col w:w="10239"/>
          </w:cols>
          <w:pgMar w:left="220" w:top="615" w:right="1440"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86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9"/>
              </w:rPr>
              <w:t>SCHEDULE I</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020" w:type="dxa"/>
            <w:vAlign w:val="bottom"/>
          </w:tcPr>
          <w:p>
            <w:pPr>
              <w:spacing w:after="0"/>
              <w:rPr>
                <w:sz w:val="24"/>
                <w:szCs w:val="24"/>
                <w:color w:val="auto"/>
              </w:rPr>
            </w:pP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PRINCIPAL AMOUNT</w:t>
            </w:r>
          </w:p>
        </w:tc>
        <w:tc>
          <w:tcPr>
            <w:tcW w:w="64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3020" w:type="dxa"/>
            <w:vAlign w:val="bottom"/>
          </w:tcPr>
          <w:p>
            <w:pPr>
              <w:spacing w:after="0"/>
              <w:rPr>
                <w:sz w:val="14"/>
                <w:szCs w:val="14"/>
                <w:color w:val="auto"/>
              </w:rPr>
            </w:pP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OF DEBENTURES TO</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 OF NOTES</w:t>
            </w:r>
          </w:p>
        </w:tc>
      </w:tr>
      <w:tr>
        <w:trPr>
          <w:trHeight w:val="166"/>
        </w:trPr>
        <w:tc>
          <w:tcPr>
            <w:tcW w:w="3020" w:type="dxa"/>
            <w:vAlign w:val="bottom"/>
          </w:tcPr>
          <w:p>
            <w:pPr>
              <w:spacing w:after="0"/>
              <w:rPr>
                <w:sz w:val="14"/>
                <w:szCs w:val="14"/>
                <w:color w:val="auto"/>
              </w:rPr>
            </w:pPr>
          </w:p>
        </w:tc>
        <w:tc>
          <w:tcPr>
            <w:tcW w:w="18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BE PURCHASED</w:t>
            </w:r>
          </w:p>
        </w:tc>
        <w:tc>
          <w:tcPr>
            <w:tcW w:w="6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UNDERWRITER</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BE PURCHASED</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Goldman, Sachs &amp; Co.  ............... $ 60,000,000</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45,000,000</w:t>
            </w:r>
          </w:p>
        </w:tc>
      </w:tr>
      <w:tr>
        <w:trPr>
          <w:trHeight w:val="331"/>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96"/>
              </w:rPr>
              <w:t>BancAmerica Securities, Inc.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20,000,000</w:t>
            </w:r>
          </w:p>
        </w:tc>
        <w:tc>
          <w:tcPr>
            <w:tcW w:w="6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15,000,000</w:t>
            </w:r>
          </w:p>
        </w:tc>
      </w:tr>
      <w:tr>
        <w:trPr>
          <w:trHeight w:val="331"/>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96"/>
              </w:rPr>
              <w:t>NationsBanc Capital Markets, Inc.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20,000,000</w:t>
            </w:r>
          </w:p>
        </w:tc>
        <w:tc>
          <w:tcPr>
            <w:tcW w:w="6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15,000,000</w:t>
            </w:r>
          </w:p>
        </w:tc>
      </w:tr>
      <w:tr>
        <w:trPr>
          <w:trHeight w:val="166"/>
        </w:trPr>
        <w:tc>
          <w:tcPr>
            <w:tcW w:w="30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Total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$100,000,000</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75,000,000</w:t>
            </w:r>
          </w:p>
        </w:tc>
      </w:tr>
      <w:tr>
        <w:trPr>
          <w:trHeight w:val="166"/>
        </w:trPr>
        <w:tc>
          <w:tcPr>
            <w:tcW w:w="30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384" w:name="page385"/>
    <w:bookmarkEnd w:id="384"/>
    <w:p>
      <w:pPr>
        <w:ind w:left="294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DESIGNATED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7.80% Debentures due June 15, 2027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7.125% Notes due 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$100,000,000 Debentures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$ 75,000,000 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TO PUBLIC:</w:t>
      </w:r>
    </w:p>
    <w:p>
      <w:pPr>
        <w:spacing w:after="0" w:line="7"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99.308% of the principal amount of the Debentures, plus accrued interest from June 15, 1997 to June 24, 1997.</w:t>
      </w:r>
    </w:p>
    <w:p>
      <w:pPr>
        <w:spacing w:after="0" w:line="160"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99.497% of the principal amount of the Notes, plus accrued interest from June 15, 1997 to June 24,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BY UNDERWRITERS:</w:t>
      </w:r>
    </w:p>
    <w:p>
      <w:pPr>
        <w:spacing w:after="0" w:line="173"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98.433% of the principal amount of the Debentures, plus accrued interest from June 15, 1997 to June 24, 1997.</w:t>
      </w:r>
    </w:p>
    <w:p>
      <w:pPr>
        <w:spacing w:after="0" w:line="160"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98.847% of the principal amount of the Notes, plus accrued interest from June 15, 1997 to June 24,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DESIGNATED SECURITIES:</w:t>
      </w:r>
    </w:p>
    <w:p>
      <w:pPr>
        <w:spacing w:after="0" w:line="173" w:lineRule="exact"/>
        <w:rPr>
          <w:sz w:val="20"/>
          <w:szCs w:val="20"/>
          <w:color w:val="auto"/>
        </w:rPr>
      </w:pPr>
    </w:p>
    <w:p>
      <w:pPr>
        <w:ind w:left="440" w:right="3859"/>
        <w:spacing w:after="0" w:line="251" w:lineRule="auto"/>
        <w:rPr>
          <w:sz w:val="20"/>
          <w:szCs w:val="20"/>
          <w:color w:val="auto"/>
        </w:rPr>
      </w:pPr>
      <w:r>
        <w:rPr>
          <w:rFonts w:ascii="Courier New" w:cs="Courier New" w:eastAsia="Courier New" w:hAnsi="Courier New"/>
          <w:sz w:val="14"/>
          <w:szCs w:val="14"/>
          <w:color w:val="auto"/>
        </w:rPr>
        <w:t>Book-entry only form represented by one or more global securities deposited with The Depository Trust Company ("DTC") or its designated custodian for trading in the Same Day Funds Settlement System of DTC, and to be made available for checking by the Representatives at least twenty-four hours prior to the Time of Delivery at the office of DTC.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FUNDS FOR PAYMENT OF PURCHASE PRICE: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(same day) funds by wire transfer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OF DELIVERY: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9:00 a.m. (Chicago time), June 24,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440" w:right="3939"/>
        <w:spacing w:after="0" w:line="255" w:lineRule="auto"/>
        <w:rPr>
          <w:sz w:val="20"/>
          <w:szCs w:val="20"/>
          <w:color w:val="auto"/>
        </w:rPr>
      </w:pPr>
      <w:r>
        <w:rPr>
          <w:rFonts w:ascii="Courier New" w:cs="Courier New" w:eastAsia="Courier New" w:hAnsi="Courier New"/>
          <w:sz w:val="14"/>
          <w:szCs w:val="14"/>
          <w:color w:val="auto"/>
        </w:rPr>
        <w:t>Indenture dated as of January 31, 1997 between the Company and First Trust National Association, as Trustee</w:t>
      </w:r>
    </w:p>
    <w:p>
      <w:pPr>
        <w:sectPr>
          <w:pgSz w:w="11900" w:h="16838" w:orient="portrait"/>
          <w:cols w:equalWidth="0" w:num="1">
            <w:col w:w="10239"/>
          </w:cols>
          <w:pgMar w:left="220" w:top="616" w:right="1440" w:bottom="1440" w:gutter="0" w:footer="0" w:header="0"/>
        </w:sectPr>
      </w:pPr>
    </w:p>
    <w:bookmarkStart w:id="385" w:name="page386"/>
    <w:bookmarkEnd w:id="385"/>
    <w:p>
      <w:pPr>
        <w:spacing w:after="0"/>
        <w:rPr>
          <w:sz w:val="20"/>
          <w:szCs w:val="20"/>
          <w:color w:val="auto"/>
        </w:rPr>
      </w:pPr>
      <w:r>
        <w:rPr>
          <w:rFonts w:ascii="Courier New" w:cs="Courier New" w:eastAsia="Courier New" w:hAnsi="Courier New"/>
          <w:sz w:val="14"/>
          <w:szCs w:val="14"/>
          <w:color w:val="auto"/>
        </w:rPr>
        <w:t>MATURITY:</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Debentures:</w:t>
        <w:tab/>
        <w:t>June 15, 2027</w:t>
      </w:r>
    </w:p>
    <w:p>
      <w:pPr>
        <w:spacing w:after="0" w:line="17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Notes:</w:t>
        <w:tab/>
        <w:t>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Debentures:</w:t>
        <w:tab/>
        <w:t>7.80%</w:t>
      </w:r>
    </w:p>
    <w:p>
      <w:pPr>
        <w:spacing w:after="0" w:line="17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Notes:</w:t>
        <w:tab/>
        <w:t>7.125%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PAYMENT DATES:</w:t>
      </w:r>
    </w:p>
    <w:p>
      <w:pPr>
        <w:spacing w:after="0" w:line="173" w:lineRule="exact"/>
        <w:rPr>
          <w:sz w:val="20"/>
          <w:szCs w:val="20"/>
          <w:color w:val="auto"/>
        </w:rPr>
      </w:pPr>
    </w:p>
    <w:p>
      <w:pPr>
        <w:ind w:left="440" w:right="3859"/>
        <w:spacing w:after="0" w:line="255" w:lineRule="auto"/>
        <w:rPr>
          <w:sz w:val="20"/>
          <w:szCs w:val="20"/>
          <w:color w:val="auto"/>
        </w:rPr>
      </w:pPr>
      <w:r>
        <w:rPr>
          <w:rFonts w:ascii="Courier New" w:cs="Courier New" w:eastAsia="Courier New" w:hAnsi="Courier New"/>
          <w:sz w:val="14"/>
          <w:szCs w:val="14"/>
          <w:color w:val="auto"/>
        </w:rPr>
        <w:t>Debentures and Notes: Semi-annually on each June 15 and December 15, commencing December 15,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PROVISIONS:</w:t>
      </w:r>
    </w:p>
    <w:p>
      <w:pPr>
        <w:spacing w:after="0" w:line="173"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Optional Repayment: No provision for repayment at the option of holders of Designated Securities.</w:t>
      </w:r>
    </w:p>
    <w:p>
      <w:pPr>
        <w:spacing w:after="0" w:line="160" w:lineRule="exact"/>
        <w:rPr>
          <w:sz w:val="20"/>
          <w:szCs w:val="20"/>
          <w:color w:val="auto"/>
        </w:rPr>
      </w:pPr>
    </w:p>
    <w:p>
      <w:pPr>
        <w:ind w:left="440" w:right="3599"/>
        <w:spacing w:after="0" w:line="250" w:lineRule="auto"/>
        <w:rPr>
          <w:sz w:val="20"/>
          <w:szCs w:val="20"/>
          <w:color w:val="auto"/>
        </w:rPr>
      </w:pPr>
      <w:r>
        <w:rPr>
          <w:rFonts w:ascii="Courier New" w:cs="Courier New" w:eastAsia="Courier New" w:hAnsi="Courier New"/>
          <w:sz w:val="14"/>
          <w:szCs w:val="14"/>
          <w:color w:val="auto"/>
        </w:rPr>
        <w:t>Optional Redemption: The Debentures and the Notes may be redeemed, in each case at any time, in whole or in part at the option of the Company, upon not less than 30 and not more than 60 days' notice mailed to each holder of Designated Securities to be redeemed at the holder's address appearing in the official register for such Designated Securities, on any date prior to maturity at a price equal to the greater of (i) 100% of the principal amount of the Notes or Debentures (as applicable) plus accrued interest thereon to the date of redemption or (ii) as determined by a Quotation Agent (as defined in Exhibit A hereto),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in Exhibit A hereto) plus (y) interest thereon, if any, accrued as of the date of redemption. See Exhibit A hereto. Unless the Company defaults in payment of the redemption price, on and after the redemption date, interest will cease to accrue on the Notes or Debentures (as applicable) or portions thereof called for redemption.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SINKING FUND PROVISIONS: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sinking fund provisions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DEFEASANCE PROVISIONS:</w:t>
      </w:r>
    </w:p>
    <w:p>
      <w:pPr>
        <w:spacing w:after="0" w:line="173" w:lineRule="exact"/>
        <w:rPr>
          <w:sz w:val="20"/>
          <w:szCs w:val="20"/>
          <w:color w:val="auto"/>
        </w:rPr>
      </w:pPr>
    </w:p>
    <w:p>
      <w:pPr>
        <w:ind w:left="440" w:right="3599"/>
        <w:spacing w:after="0" w:line="252" w:lineRule="auto"/>
        <w:rPr>
          <w:sz w:val="20"/>
          <w:szCs w:val="20"/>
          <w:color w:val="auto"/>
        </w:rPr>
      </w:pPr>
      <w:r>
        <w:rPr>
          <w:rFonts w:ascii="Courier New" w:cs="Courier New" w:eastAsia="Courier New" w:hAnsi="Courier New"/>
          <w:sz w:val="14"/>
          <w:szCs w:val="14"/>
          <w:color w:val="auto"/>
        </w:rPr>
        <w:t>The defeasance provisions described under the caption "Description of Debt Securities -- Defeasance and Covenant Defeasance" in the Prospectus dated June 18, 1997 shall apply to the Notes and the Debentures.</w:t>
      </w:r>
    </w:p>
    <w:p>
      <w:pPr>
        <w:sectPr>
          <w:pgSz w:w="11900" w:h="16838" w:orient="portrait"/>
          <w:cols w:equalWidth="0" w:num="1">
            <w:col w:w="10239"/>
          </w:cols>
          <w:pgMar w:left="220" w:top="616" w:right="1440" w:bottom="1440" w:gutter="0" w:footer="0" w:header="0"/>
        </w:sectPr>
      </w:pPr>
    </w:p>
    <w:bookmarkStart w:id="386" w:name="page387"/>
    <w:bookmarkEnd w:id="386"/>
    <w:p>
      <w:pPr>
        <w:spacing w:after="0"/>
        <w:rPr>
          <w:sz w:val="20"/>
          <w:szCs w:val="20"/>
          <w:color w:val="auto"/>
        </w:rPr>
      </w:pPr>
      <w:r>
        <w:rPr>
          <w:rFonts w:ascii="Courier New" w:cs="Courier New" w:eastAsia="Courier New" w:hAnsi="Courier New"/>
          <w:sz w:val="14"/>
          <w:szCs w:val="14"/>
          <w:color w:val="auto"/>
        </w:rPr>
        <w:t>CLOSING LOCATION FOR DELIVERY OF DESIGNATED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Sonnenschein Nath &amp; Rosenthal, 8000 Sears Tower, Chicago, Illinois 60606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AND ADDRESSES OF REPRESENTATIVES: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Designated Representatives: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Goldman, Sachs &amp; Co.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BancAmerica Securities, Inc.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NationsBanc Capital Markets,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Address for Notices, etc.: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 Goldman, Sachs &amp; Co.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85 Broad Street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10004</w:t>
      </w:r>
    </w:p>
    <w:p>
      <w:pPr>
        <w:sectPr>
          <w:pgSz w:w="11900" w:h="16838" w:orient="portrait"/>
          <w:cols w:equalWidth="0" w:num="1">
            <w:col w:w="10239"/>
          </w:cols>
          <w:pgMar w:left="220" w:top="615" w:right="1440" w:bottom="1440" w:gutter="0" w:footer="0" w:header="0"/>
        </w:sectPr>
      </w:pPr>
    </w:p>
    <w:bookmarkStart w:id="387" w:name="page388"/>
    <w:bookmarkEnd w:id="387"/>
    <w:p>
      <w:pPr>
        <w:ind w:left="596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(A) 0.15% in the case of the Notes or (B) 0.20% in the case of the Debentures.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Notes or Debentures (as applicable)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ectPr>
          <w:pgSz w:w="11900" w:h="16838" w:orient="portrait"/>
          <w:cols w:equalWidth="0" w:num="1">
            <w:col w:w="10239"/>
          </w:cols>
          <w:pgMar w:left="220" w:top="450" w:right="1440" w:bottom="1440" w:gutter="0" w:footer="0" w:header="0"/>
        </w:sectPr>
      </w:pPr>
    </w:p>
    <w:bookmarkStart w:id="388" w:name="page389"/>
    <w:bookmarkEnd w:id="388"/>
    <w:p>
      <w:pPr>
        <w:ind w:left="180" w:hanging="172"/>
        <w:spacing w:after="0"/>
        <w:tabs>
          <w:tab w:leader="none" w:pos="18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TORO COMPANY, AS ISSUER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JANUARY 31, 1997</w:t>
      </w:r>
    </w:p>
    <w:p>
      <w:pPr>
        <w:spacing w:after="0" w:line="173" w:lineRule="exact"/>
        <w:rPr>
          <w:sz w:val="20"/>
          <w:szCs w:val="20"/>
          <w:color w:val="auto"/>
        </w:rPr>
      </w:pPr>
    </w:p>
    <w:p>
      <w:pPr>
        <w:ind w:left="180" w:hanging="172"/>
        <w:spacing w:after="0"/>
        <w:tabs>
          <w:tab w:leader="none" w:pos="1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bookmarkStart w:id="389" w:name="page390"/>
    <w:bookmarkEnd w:id="389"/>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4"/>
          <w:szCs w:val="14"/>
          <w:color w:val="auto"/>
        </w:rPr>
        <w:t>RECITALS OF THE COMPANY</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1020" w:val="left"/>
          <w:tab w:leader="dot" w:pos="8940" w:val="left"/>
        </w:tabs>
        <w:rPr>
          <w:sz w:val="20"/>
          <w:szCs w:val="20"/>
          <w:color w:val="auto"/>
        </w:rPr>
      </w:pPr>
      <w:r>
        <w:rPr>
          <w:rFonts w:ascii="Courier New" w:cs="Courier New" w:eastAsia="Courier New" w:hAnsi="Courier New"/>
          <w:sz w:val="14"/>
          <w:szCs w:val="14"/>
          <w:color w:val="auto"/>
        </w:rPr>
        <w:t>ARTICLE I.</w:t>
        <w:tab/>
        <w:t>DEFINITIONS AND OTHER PROVISIONS OF GENERAL APPLICATION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Act</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Affiliate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Attributable Debt</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Authenticating Agent</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Board of Directors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Board Resolution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Business Day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Commission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Company Request or "Company Order"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Consolidated Net Tangible Assets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Corporate Trust Office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Covenant Defeasance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Defaulted Interest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Defeasance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Depositary</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Event of Default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Exchange Act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Global Security</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Holder</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Incur</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Indenture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Interest Payment Date</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Investment Company Act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Maturity</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Nonrecourse Obligation</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Notice of Default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Officers' Certificate</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Opinion of Counsel</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Original Issue Discount Security</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Paying Agent</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Person</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Place of Payment</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Predecessor Security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Principal Property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Redemption Date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Redemption Price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Regular Record Date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Restricted 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Sale and Lease-Back Transaction</w:t>
      </w:r>
      <w:r>
        <w:rPr>
          <w:sz w:val="20"/>
          <w:szCs w:val="20"/>
          <w:color w:val="auto"/>
        </w:rPr>
        <w:tab/>
      </w:r>
      <w:r>
        <w:rPr>
          <w:rFonts w:ascii="Courier New" w:cs="Courier New" w:eastAsia="Courier New" w:hAnsi="Courier New"/>
          <w:sz w:val="14"/>
          <w:szCs w:val="14"/>
          <w:color w:val="auto"/>
        </w:rPr>
        <w:t>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50" w:right="1440" w:bottom="1440" w:gutter="0" w:footer="0" w:header="0"/>
        </w:sectPr>
      </w:pPr>
    </w:p>
    <w:bookmarkStart w:id="390" w:name="page391"/>
    <w:bookmarkEnd w:id="390"/>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Securities Act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Security Register</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Special Record Date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Stated Maturity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Trust Indenture Act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U.S. Government Obligation</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Vice President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Wholly Owned 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Acts of Holders; Record Dates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1.05.</w:t>
      </w:r>
      <w:r>
        <w:rPr>
          <w:sz w:val="20"/>
          <w:szCs w:val="20"/>
          <w:color w:val="auto"/>
        </w:rPr>
        <w:tab/>
      </w:r>
      <w:r>
        <w:rPr>
          <w:rFonts w:ascii="Courier New" w:cs="Courier New" w:eastAsia="Courier New" w:hAnsi="Courier New"/>
          <w:sz w:val="14"/>
          <w:szCs w:val="14"/>
          <w:color w:val="auto"/>
        </w:rPr>
        <w:t>Notices, Etc., to Trustee and Company</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Notice to Holders; Waiver</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Conflict With Trust Indenture Act</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1.08.</w:t>
      </w:r>
      <w:r>
        <w:rPr>
          <w:sz w:val="20"/>
          <w:szCs w:val="20"/>
          <w:color w:val="auto"/>
        </w:rPr>
        <w:tab/>
      </w:r>
      <w:r>
        <w:rPr>
          <w:rFonts w:ascii="Courier New" w:cs="Courier New" w:eastAsia="Courier New" w:hAnsi="Courier New"/>
          <w:sz w:val="14"/>
          <w:szCs w:val="14"/>
          <w:color w:val="auto"/>
        </w:rPr>
        <w:t>Effect of Headings and Table of Contents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Successors and Assigns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1.10.</w:t>
      </w:r>
      <w:r>
        <w:rPr>
          <w:sz w:val="20"/>
          <w:szCs w:val="20"/>
          <w:color w:val="auto"/>
        </w:rPr>
        <w:tab/>
      </w:r>
      <w:r>
        <w:rPr>
          <w:rFonts w:ascii="Courier New" w:cs="Courier New" w:eastAsia="Courier New" w:hAnsi="Courier New"/>
          <w:sz w:val="14"/>
          <w:szCs w:val="14"/>
          <w:color w:val="auto"/>
        </w:rPr>
        <w:t>Separability Clause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1.11.</w:t>
      </w:r>
      <w:r>
        <w:rPr>
          <w:sz w:val="20"/>
          <w:szCs w:val="20"/>
          <w:color w:val="auto"/>
        </w:rPr>
        <w:tab/>
      </w:r>
      <w:r>
        <w:rPr>
          <w:rFonts w:ascii="Courier New" w:cs="Courier New" w:eastAsia="Courier New" w:hAnsi="Courier New"/>
          <w:sz w:val="14"/>
          <w:szCs w:val="14"/>
          <w:color w:val="auto"/>
        </w:rPr>
        <w:t>Benefits of Indenture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1.12.</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1.13.</w:t>
      </w:r>
      <w:r>
        <w:rPr>
          <w:sz w:val="20"/>
          <w:szCs w:val="20"/>
          <w:color w:val="auto"/>
        </w:rPr>
        <w:tab/>
      </w:r>
      <w:r>
        <w:rPr>
          <w:rFonts w:ascii="Courier New" w:cs="Courier New" w:eastAsia="Courier New" w:hAnsi="Courier New"/>
          <w:sz w:val="14"/>
          <w:szCs w:val="14"/>
          <w:color w:val="auto"/>
        </w:rPr>
        <w:t>Legal Holidays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1.14.</w:t>
      </w:r>
      <w:r>
        <w:rPr>
          <w:sz w:val="20"/>
          <w:szCs w:val="20"/>
          <w:color w:val="auto"/>
        </w:rPr>
        <w:tab/>
      </w:r>
      <w:r>
        <w:rPr>
          <w:rFonts w:ascii="Courier New" w:cs="Courier New" w:eastAsia="Courier New" w:hAnsi="Courier New"/>
          <w:sz w:val="14"/>
          <w:szCs w:val="14"/>
          <w:color w:val="auto"/>
        </w:rPr>
        <w:t>Appointment of Agent for Service</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II.</w:t>
        <w:tab/>
        <w:t>SECURITY FORMS</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4"/>
          <w:szCs w:val="14"/>
          <w:color w:val="auto"/>
        </w:rPr>
        <w:t>Forms Generally</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2.02.</w:t>
      </w:r>
      <w:r>
        <w:rPr>
          <w:sz w:val="20"/>
          <w:szCs w:val="20"/>
          <w:color w:val="auto"/>
        </w:rPr>
        <w:tab/>
      </w:r>
      <w:r>
        <w:rPr>
          <w:rFonts w:ascii="Courier New" w:cs="Courier New" w:eastAsia="Courier New" w:hAnsi="Courier New"/>
          <w:sz w:val="14"/>
          <w:szCs w:val="14"/>
          <w:color w:val="auto"/>
        </w:rPr>
        <w:t>Form of Face of Security</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2.03.</w:t>
      </w:r>
      <w:r>
        <w:rPr>
          <w:sz w:val="20"/>
          <w:szCs w:val="20"/>
          <w:color w:val="auto"/>
        </w:rPr>
        <w:tab/>
      </w:r>
      <w:r>
        <w:rPr>
          <w:rFonts w:ascii="Courier New" w:cs="Courier New" w:eastAsia="Courier New" w:hAnsi="Courier New"/>
          <w:sz w:val="14"/>
          <w:szCs w:val="14"/>
          <w:color w:val="auto"/>
        </w:rPr>
        <w:t>Form of Reverse of Security</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2.04.</w:t>
      </w:r>
      <w:r>
        <w:rPr>
          <w:sz w:val="20"/>
          <w:szCs w:val="20"/>
          <w:color w:val="auto"/>
        </w:rPr>
        <w:tab/>
      </w:r>
      <w:r>
        <w:rPr>
          <w:rFonts w:ascii="Courier New" w:cs="Courier New" w:eastAsia="Courier New" w:hAnsi="Courier New"/>
          <w:sz w:val="14"/>
          <w:szCs w:val="14"/>
          <w:color w:val="auto"/>
        </w:rPr>
        <w:t>Form of Legend for Global Securities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2.05.</w:t>
      </w:r>
      <w:r>
        <w:rPr>
          <w:sz w:val="20"/>
          <w:szCs w:val="20"/>
          <w:color w:val="auto"/>
        </w:rPr>
        <w:tab/>
      </w:r>
      <w:r>
        <w:rPr>
          <w:rFonts w:ascii="Courier New" w:cs="Courier New" w:eastAsia="Courier New" w:hAnsi="Courier New"/>
          <w:sz w:val="14"/>
          <w:szCs w:val="14"/>
          <w:color w:val="auto"/>
        </w:rPr>
        <w:t>Form of Trustee's Certificate of Authentication</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200" w:val="left"/>
          <w:tab w:leader="dot" w:pos="8860" w:val="left"/>
        </w:tabs>
        <w:rPr>
          <w:sz w:val="20"/>
          <w:szCs w:val="20"/>
          <w:color w:val="auto"/>
        </w:rPr>
      </w:pPr>
      <w:r>
        <w:rPr>
          <w:rFonts w:ascii="Courier New" w:cs="Courier New" w:eastAsia="Courier New" w:hAnsi="Courier New"/>
          <w:sz w:val="14"/>
          <w:szCs w:val="14"/>
          <w:color w:val="auto"/>
        </w:rPr>
        <w:t>ARTICLE III.</w:t>
        <w:tab/>
        <w:t>THE SECURITIES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3.01.</w:t>
      </w:r>
      <w:r>
        <w:rPr>
          <w:sz w:val="20"/>
          <w:szCs w:val="20"/>
          <w:color w:val="auto"/>
        </w:rPr>
        <w:tab/>
      </w:r>
      <w:r>
        <w:rPr>
          <w:rFonts w:ascii="Courier New" w:cs="Courier New" w:eastAsia="Courier New" w:hAnsi="Courier New"/>
          <w:sz w:val="14"/>
          <w:szCs w:val="14"/>
          <w:color w:val="auto"/>
        </w:rPr>
        <w:t>Amount Unlimited; Issuable in Series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Denominations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3.04.</w:t>
      </w:r>
      <w:r>
        <w:rPr>
          <w:sz w:val="20"/>
          <w:szCs w:val="20"/>
          <w:color w:val="auto"/>
        </w:rPr>
        <w:tab/>
      </w:r>
      <w:r>
        <w:rPr>
          <w:rFonts w:ascii="Courier New" w:cs="Courier New" w:eastAsia="Courier New" w:hAnsi="Courier New"/>
          <w:sz w:val="14"/>
          <w:szCs w:val="14"/>
          <w:color w:val="auto"/>
        </w:rPr>
        <w:t>Temporary Securities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3.05.</w:t>
      </w:r>
      <w:r>
        <w:rPr>
          <w:sz w:val="20"/>
          <w:szCs w:val="20"/>
          <w:color w:val="auto"/>
        </w:rPr>
        <w:tab/>
      </w:r>
      <w:r>
        <w:rPr>
          <w:rFonts w:ascii="Courier New" w:cs="Courier New" w:eastAsia="Courier New" w:hAnsi="Courier New"/>
          <w:sz w:val="14"/>
          <w:szCs w:val="14"/>
          <w:color w:val="auto"/>
        </w:rPr>
        <w:t>Registration, Registration of Transfer and Exchange</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3.06.</w:t>
      </w:r>
      <w:r>
        <w:rPr>
          <w:sz w:val="20"/>
          <w:szCs w:val="20"/>
          <w:color w:val="auto"/>
        </w:rPr>
        <w:tab/>
      </w:r>
      <w:r>
        <w:rPr>
          <w:rFonts w:ascii="Courier New" w:cs="Courier New" w:eastAsia="Courier New" w:hAnsi="Courier New"/>
          <w:sz w:val="14"/>
          <w:szCs w:val="14"/>
          <w:color w:val="auto"/>
        </w:rPr>
        <w:t>Mutilated, Destroyed, Lost and Stolen Securities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3.08.</w:t>
      </w:r>
      <w:r>
        <w:rPr>
          <w:sz w:val="20"/>
          <w:szCs w:val="20"/>
          <w:color w:val="auto"/>
        </w:rPr>
        <w:tab/>
      </w:r>
      <w:r>
        <w:rPr>
          <w:rFonts w:ascii="Courier New" w:cs="Courier New" w:eastAsia="Courier New" w:hAnsi="Courier New"/>
          <w:sz w:val="14"/>
          <w:szCs w:val="14"/>
          <w:color w:val="auto"/>
        </w:rPr>
        <w:t>Persons Deemed Owners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3.09.</w:t>
      </w:r>
      <w:r>
        <w:rPr>
          <w:sz w:val="20"/>
          <w:szCs w:val="20"/>
          <w:color w:val="auto"/>
        </w:rPr>
        <w:tab/>
      </w:r>
      <w:r>
        <w:rPr>
          <w:rFonts w:ascii="Courier New" w:cs="Courier New" w:eastAsia="Courier New" w:hAnsi="Courier New"/>
          <w:sz w:val="14"/>
          <w:szCs w:val="14"/>
          <w:color w:val="auto"/>
        </w:rPr>
        <w:t>Cancellation</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3.10.</w:t>
      </w:r>
      <w:r>
        <w:rPr>
          <w:sz w:val="20"/>
          <w:szCs w:val="20"/>
          <w:color w:val="auto"/>
        </w:rPr>
        <w:tab/>
      </w:r>
      <w:r>
        <w:rPr>
          <w:rFonts w:ascii="Courier New" w:cs="Courier New" w:eastAsia="Courier New" w:hAnsi="Courier New"/>
          <w:sz w:val="14"/>
          <w:szCs w:val="14"/>
          <w:color w:val="auto"/>
        </w:rPr>
        <w:t>Computation of Interest</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IV.</w:t>
        <w:tab/>
        <w:t>SATISFACTION AND DISCHARGE</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4.02.</w:t>
      </w:r>
      <w:r>
        <w:rPr>
          <w:sz w:val="20"/>
          <w:szCs w:val="20"/>
          <w:color w:val="auto"/>
        </w:rPr>
        <w:tab/>
      </w:r>
      <w:r>
        <w:rPr>
          <w:rFonts w:ascii="Courier New" w:cs="Courier New" w:eastAsia="Courier New" w:hAnsi="Courier New"/>
          <w:sz w:val="14"/>
          <w:szCs w:val="14"/>
          <w:color w:val="auto"/>
        </w:rPr>
        <w:t>Application of Trust Money</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tabs>
          <w:tab w:leader="dot" w:pos="8860" w:val="left"/>
        </w:tabs>
        <w:rPr>
          <w:sz w:val="20"/>
          <w:szCs w:val="20"/>
          <w:color w:val="auto"/>
        </w:rPr>
      </w:pPr>
      <w:r>
        <w:rPr>
          <w:rFonts w:ascii="Courier New" w:cs="Courier New" w:eastAsia="Courier New" w:hAnsi="Courier New"/>
          <w:sz w:val="14"/>
          <w:szCs w:val="14"/>
          <w:color w:val="auto"/>
        </w:rPr>
        <w:t>ARTICLE V. REMEDIES</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5.01.</w:t>
      </w:r>
      <w:r>
        <w:rPr>
          <w:sz w:val="20"/>
          <w:szCs w:val="20"/>
          <w:color w:val="auto"/>
        </w:rPr>
        <w:tab/>
      </w:r>
      <w:r>
        <w:rPr>
          <w:rFonts w:ascii="Courier New" w:cs="Courier New" w:eastAsia="Courier New" w:hAnsi="Courier New"/>
          <w:sz w:val="14"/>
          <w:szCs w:val="14"/>
          <w:color w:val="auto"/>
        </w:rPr>
        <w:t>Events of Default</w:t>
      </w:r>
      <w:r>
        <w:rPr>
          <w:sz w:val="20"/>
          <w:szCs w:val="20"/>
          <w:color w:val="auto"/>
        </w:rPr>
        <w:tab/>
      </w:r>
      <w:r>
        <w:rPr>
          <w:rFonts w:ascii="Courier New" w:cs="Courier New" w:eastAsia="Courier New" w:hAnsi="Courier New"/>
          <w:sz w:val="14"/>
          <w:szCs w:val="14"/>
          <w:color w:val="auto"/>
        </w:rPr>
        <w:t>23</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81" w:right="1440" w:bottom="1440" w:gutter="0" w:footer="0" w:header="0"/>
        </w:sectPr>
      </w:pPr>
    </w:p>
    <w:bookmarkStart w:id="391" w:name="page392"/>
    <w:bookmarkEnd w:id="391"/>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5.02.</w:t>
      </w:r>
      <w:r>
        <w:rPr>
          <w:sz w:val="20"/>
          <w:szCs w:val="20"/>
          <w:color w:val="auto"/>
        </w:rPr>
        <w:tab/>
      </w:r>
      <w:r>
        <w:rPr>
          <w:rFonts w:ascii="Courier New" w:cs="Courier New" w:eastAsia="Courier New" w:hAnsi="Courier New"/>
          <w:sz w:val="14"/>
          <w:szCs w:val="14"/>
          <w:color w:val="auto"/>
        </w:rPr>
        <w:t>Acceleration of Maturity; Rescission and Annulment</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 by Trustee</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5.04.</w:t>
      </w:r>
      <w:r>
        <w:rPr>
          <w:sz w:val="20"/>
          <w:szCs w:val="20"/>
          <w:color w:val="auto"/>
        </w:rPr>
        <w:tab/>
      </w:r>
      <w:r>
        <w:rPr>
          <w:rFonts w:ascii="Courier New" w:cs="Courier New" w:eastAsia="Courier New" w:hAnsi="Courier New"/>
          <w:sz w:val="14"/>
          <w:szCs w:val="14"/>
          <w:color w:val="auto"/>
        </w:rPr>
        <w:t>Trustee May File Proofs of Claim</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 Securities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5.06.</w:t>
      </w:r>
      <w:r>
        <w:rPr>
          <w:sz w:val="20"/>
          <w:szCs w:val="20"/>
          <w:color w:val="auto"/>
        </w:rPr>
        <w:tab/>
      </w:r>
      <w:r>
        <w:rPr>
          <w:rFonts w:ascii="Courier New" w:cs="Courier New" w:eastAsia="Courier New" w:hAnsi="Courier New"/>
          <w:sz w:val="14"/>
          <w:szCs w:val="14"/>
          <w:color w:val="auto"/>
        </w:rPr>
        <w:t>Application of Money Collected</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5.07.</w:t>
      </w:r>
      <w:r>
        <w:rPr>
          <w:sz w:val="20"/>
          <w:szCs w:val="20"/>
          <w:color w:val="auto"/>
        </w:rPr>
        <w:tab/>
      </w:r>
      <w:r>
        <w:rPr>
          <w:rFonts w:ascii="Courier New" w:cs="Courier New" w:eastAsia="Courier New" w:hAnsi="Courier New"/>
          <w:sz w:val="14"/>
          <w:szCs w:val="14"/>
          <w:color w:val="auto"/>
        </w:rPr>
        <w:t>Limitation on Suits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 Premium and Interest</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5.09.</w:t>
      </w:r>
      <w:r>
        <w:rPr>
          <w:sz w:val="20"/>
          <w:szCs w:val="20"/>
          <w:color w:val="auto"/>
        </w:rPr>
        <w:tab/>
      </w:r>
      <w:r>
        <w:rPr>
          <w:rFonts w:ascii="Courier New" w:cs="Courier New" w:eastAsia="Courier New" w:hAnsi="Courier New"/>
          <w:sz w:val="14"/>
          <w:szCs w:val="14"/>
          <w:color w:val="auto"/>
        </w:rPr>
        <w:t>Restoration of Rights and Remedies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5.10.</w:t>
      </w:r>
      <w:r>
        <w:rPr>
          <w:sz w:val="20"/>
          <w:szCs w:val="20"/>
          <w:color w:val="auto"/>
        </w:rPr>
        <w:tab/>
      </w:r>
      <w:r>
        <w:rPr>
          <w:rFonts w:ascii="Courier New" w:cs="Courier New" w:eastAsia="Courier New" w:hAnsi="Courier New"/>
          <w:sz w:val="14"/>
          <w:szCs w:val="14"/>
          <w:color w:val="auto"/>
        </w:rPr>
        <w:t>Rights and Remedies Cumulative</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5.11.</w:t>
      </w:r>
      <w:r>
        <w:rPr>
          <w:sz w:val="20"/>
          <w:szCs w:val="20"/>
          <w:color w:val="auto"/>
        </w:rPr>
        <w:tab/>
      </w:r>
      <w:r>
        <w:rPr>
          <w:rFonts w:ascii="Courier New" w:cs="Courier New" w:eastAsia="Courier New" w:hAnsi="Courier New"/>
          <w:sz w:val="14"/>
          <w:szCs w:val="14"/>
          <w:color w:val="auto"/>
        </w:rPr>
        <w:t>Delay or Omission Not Waiver</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5.12.</w:t>
      </w:r>
      <w:r>
        <w:rPr>
          <w:sz w:val="20"/>
          <w:szCs w:val="20"/>
          <w:color w:val="auto"/>
        </w:rPr>
        <w:tab/>
      </w:r>
      <w:r>
        <w:rPr>
          <w:rFonts w:ascii="Courier New" w:cs="Courier New" w:eastAsia="Courier New" w:hAnsi="Courier New"/>
          <w:sz w:val="14"/>
          <w:szCs w:val="14"/>
          <w:color w:val="auto"/>
        </w:rPr>
        <w:t>Control by Holders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5.13.</w:t>
      </w:r>
      <w:r>
        <w:rPr>
          <w:sz w:val="20"/>
          <w:szCs w:val="20"/>
          <w:color w:val="auto"/>
        </w:rPr>
        <w:tab/>
      </w:r>
      <w:r>
        <w:rPr>
          <w:rFonts w:ascii="Courier New" w:cs="Courier New" w:eastAsia="Courier New" w:hAnsi="Courier New"/>
          <w:sz w:val="14"/>
          <w:szCs w:val="14"/>
          <w:color w:val="auto"/>
        </w:rPr>
        <w:t>Waiver of Past Defaults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5.14.</w:t>
      </w:r>
      <w:r>
        <w:rPr>
          <w:sz w:val="20"/>
          <w:szCs w:val="20"/>
          <w:color w:val="auto"/>
        </w:rPr>
        <w:tab/>
      </w:r>
      <w:r>
        <w:rPr>
          <w:rFonts w:ascii="Courier New" w:cs="Courier New" w:eastAsia="Courier New" w:hAnsi="Courier New"/>
          <w:sz w:val="14"/>
          <w:szCs w:val="14"/>
          <w:color w:val="auto"/>
        </w:rPr>
        <w:t>Undertaking for Costs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5.15.</w:t>
      </w:r>
      <w:r>
        <w:rPr>
          <w:sz w:val="20"/>
          <w:szCs w:val="20"/>
          <w:color w:val="auto"/>
        </w:rPr>
        <w:tab/>
      </w:r>
      <w:r>
        <w:rPr>
          <w:rFonts w:ascii="Courier New" w:cs="Courier New" w:eastAsia="Courier New" w:hAnsi="Courier New"/>
          <w:sz w:val="14"/>
          <w:szCs w:val="14"/>
          <w:color w:val="auto"/>
        </w:rPr>
        <w:t>Waiver of Usury, Stay or Extension Laws</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VI.</w:t>
        <w:tab/>
        <w:t>THE TRUSTEE</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6.01.</w:t>
      </w:r>
      <w:r>
        <w:rPr>
          <w:sz w:val="20"/>
          <w:szCs w:val="20"/>
          <w:color w:val="auto"/>
        </w:rPr>
        <w:tab/>
      </w:r>
      <w:r>
        <w:rPr>
          <w:rFonts w:ascii="Courier New" w:cs="Courier New" w:eastAsia="Courier New" w:hAnsi="Courier New"/>
          <w:sz w:val="14"/>
          <w:szCs w:val="14"/>
          <w:color w:val="auto"/>
        </w:rPr>
        <w:t>Certain Duties and Responsibilities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6.02.</w:t>
      </w:r>
      <w:r>
        <w:rPr>
          <w:sz w:val="20"/>
          <w:szCs w:val="20"/>
          <w:color w:val="auto"/>
        </w:rPr>
        <w:tab/>
      </w:r>
      <w:r>
        <w:rPr>
          <w:rFonts w:ascii="Courier New" w:cs="Courier New" w:eastAsia="Courier New" w:hAnsi="Courier New"/>
          <w:sz w:val="14"/>
          <w:szCs w:val="14"/>
          <w:color w:val="auto"/>
        </w:rPr>
        <w:t>Notice of Defaults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6.03.</w:t>
      </w:r>
      <w:r>
        <w:rPr>
          <w:sz w:val="20"/>
          <w:szCs w:val="20"/>
          <w:color w:val="auto"/>
        </w:rPr>
        <w:tab/>
      </w:r>
      <w:r>
        <w:rPr>
          <w:rFonts w:ascii="Courier New" w:cs="Courier New" w:eastAsia="Courier New" w:hAnsi="Courier New"/>
          <w:sz w:val="14"/>
          <w:szCs w:val="14"/>
          <w:color w:val="auto"/>
        </w:rPr>
        <w:t>Certain Rights of Trustee</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6.04.</w:t>
      </w:r>
      <w:r>
        <w:rPr>
          <w:sz w:val="20"/>
          <w:szCs w:val="20"/>
          <w:color w:val="auto"/>
        </w:rPr>
        <w:tab/>
      </w:r>
      <w:r>
        <w:rPr>
          <w:rFonts w:ascii="Courier New" w:cs="Courier New" w:eastAsia="Courier New" w:hAnsi="Courier New"/>
          <w:sz w:val="14"/>
          <w:szCs w:val="14"/>
          <w:color w:val="auto"/>
        </w:rPr>
        <w:t>Not Responsible for Recitals or Issuance of Securities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6.05.</w:t>
      </w:r>
      <w:r>
        <w:rPr>
          <w:sz w:val="20"/>
          <w:szCs w:val="20"/>
          <w:color w:val="auto"/>
        </w:rPr>
        <w:tab/>
      </w:r>
      <w:r>
        <w:rPr>
          <w:rFonts w:ascii="Courier New" w:cs="Courier New" w:eastAsia="Courier New" w:hAnsi="Courier New"/>
          <w:sz w:val="14"/>
          <w:szCs w:val="14"/>
          <w:color w:val="auto"/>
        </w:rPr>
        <w:t>May Hold Securities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6.06.</w:t>
      </w:r>
      <w:r>
        <w:rPr>
          <w:sz w:val="20"/>
          <w:szCs w:val="20"/>
          <w:color w:val="auto"/>
        </w:rPr>
        <w:tab/>
      </w:r>
      <w:r>
        <w:rPr>
          <w:rFonts w:ascii="Courier New" w:cs="Courier New" w:eastAsia="Courier New" w:hAnsi="Courier New"/>
          <w:sz w:val="14"/>
          <w:szCs w:val="14"/>
          <w:color w:val="auto"/>
        </w:rPr>
        <w:t>Money Held in Trust</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6.07.</w:t>
      </w:r>
      <w:r>
        <w:rPr>
          <w:sz w:val="20"/>
          <w:szCs w:val="20"/>
          <w:color w:val="auto"/>
        </w:rPr>
        <w:tab/>
      </w:r>
      <w:r>
        <w:rPr>
          <w:rFonts w:ascii="Courier New" w:cs="Courier New" w:eastAsia="Courier New" w:hAnsi="Courier New"/>
          <w:sz w:val="14"/>
          <w:szCs w:val="14"/>
          <w:color w:val="auto"/>
        </w:rPr>
        <w:t>Compensation and Reimbursement</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6.08.</w:t>
      </w:r>
      <w:r>
        <w:rPr>
          <w:sz w:val="20"/>
          <w:szCs w:val="20"/>
          <w:color w:val="auto"/>
        </w:rPr>
        <w:tab/>
      </w:r>
      <w:r>
        <w:rPr>
          <w:rFonts w:ascii="Courier New" w:cs="Courier New" w:eastAsia="Courier New" w:hAnsi="Courier New"/>
          <w:sz w:val="14"/>
          <w:szCs w:val="14"/>
          <w:color w:val="auto"/>
        </w:rPr>
        <w:t>Conflicting Interests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6.09.</w:t>
      </w:r>
      <w:r>
        <w:rPr>
          <w:sz w:val="20"/>
          <w:szCs w:val="20"/>
          <w:color w:val="auto"/>
        </w:rPr>
        <w:tab/>
      </w:r>
      <w:r>
        <w:rPr>
          <w:rFonts w:ascii="Courier New" w:cs="Courier New" w:eastAsia="Courier New" w:hAnsi="Courier New"/>
          <w:sz w:val="14"/>
          <w:szCs w:val="14"/>
          <w:color w:val="auto"/>
        </w:rPr>
        <w:t>Corporate Trustee Required; Eligibility</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4"/>
          <w:szCs w:val="14"/>
          <w:color w:val="auto"/>
        </w:rPr>
        <w:t>Resignation and Removal; Appointment of Successor</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6.11.</w:t>
      </w:r>
      <w:r>
        <w:rPr>
          <w:sz w:val="20"/>
          <w:szCs w:val="20"/>
          <w:color w:val="auto"/>
        </w:rPr>
        <w:tab/>
      </w:r>
      <w:r>
        <w:rPr>
          <w:rFonts w:ascii="Courier New" w:cs="Courier New" w:eastAsia="Courier New" w:hAnsi="Courier New"/>
          <w:sz w:val="14"/>
          <w:szCs w:val="14"/>
          <w:color w:val="auto"/>
        </w:rPr>
        <w:t>Acceptance of Appointment by Successor</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6.12.</w:t>
      </w:r>
      <w:r>
        <w:rPr>
          <w:sz w:val="20"/>
          <w:szCs w:val="20"/>
          <w:color w:val="auto"/>
        </w:rPr>
        <w:tab/>
      </w:r>
      <w:r>
        <w:rPr>
          <w:rFonts w:ascii="Courier New" w:cs="Courier New" w:eastAsia="Courier New" w:hAnsi="Courier New"/>
          <w:sz w:val="14"/>
          <w:szCs w:val="14"/>
          <w:color w:val="auto"/>
        </w:rPr>
        <w:t>Merger, Conversion, Consolidation or Succession to Business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6.13.</w:t>
      </w:r>
      <w:r>
        <w:rPr>
          <w:sz w:val="20"/>
          <w:szCs w:val="20"/>
          <w:color w:val="auto"/>
        </w:rPr>
        <w:tab/>
      </w:r>
      <w:r>
        <w:rPr>
          <w:rFonts w:ascii="Courier New" w:cs="Courier New" w:eastAsia="Courier New" w:hAnsi="Courier New"/>
          <w:sz w:val="14"/>
          <w:szCs w:val="14"/>
          <w:color w:val="auto"/>
        </w:rPr>
        <w:t>Preferential Collection of Claims Against Company</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6.14.</w:t>
      </w:r>
      <w:r>
        <w:rPr>
          <w:sz w:val="20"/>
          <w:szCs w:val="20"/>
          <w:color w:val="auto"/>
        </w:rPr>
        <w:tab/>
      </w:r>
      <w:r>
        <w:rPr>
          <w:rFonts w:ascii="Courier New" w:cs="Courier New" w:eastAsia="Courier New" w:hAnsi="Courier New"/>
          <w:sz w:val="14"/>
          <w:szCs w:val="14"/>
          <w:color w:val="auto"/>
        </w:rPr>
        <w:t>Appointment of Authenticating Agent</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spacing w:after="0"/>
        <w:tabs>
          <w:tab w:leader="none" w:pos="1200" w:val="left"/>
          <w:tab w:leader="dot" w:pos="8860" w:val="left"/>
        </w:tabs>
        <w:rPr>
          <w:sz w:val="20"/>
          <w:szCs w:val="20"/>
          <w:color w:val="auto"/>
        </w:rPr>
      </w:pPr>
      <w:r>
        <w:rPr>
          <w:rFonts w:ascii="Courier New" w:cs="Courier New" w:eastAsia="Courier New" w:hAnsi="Courier New"/>
          <w:sz w:val="14"/>
          <w:szCs w:val="14"/>
          <w:color w:val="auto"/>
        </w:rPr>
        <w:t>ARTICLE VII.</w:t>
        <w:tab/>
        <w:t>HOLDERS' LISTS AND REPORTS BY TRUSTEE AND COMPANY</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7.01.</w:t>
      </w:r>
      <w:r>
        <w:rPr>
          <w:sz w:val="20"/>
          <w:szCs w:val="20"/>
          <w:color w:val="auto"/>
        </w:rPr>
        <w:tab/>
      </w:r>
      <w:r>
        <w:rPr>
          <w:rFonts w:ascii="Courier New" w:cs="Courier New" w:eastAsia="Courier New" w:hAnsi="Courier New"/>
          <w:sz w:val="14"/>
          <w:szCs w:val="14"/>
          <w:color w:val="auto"/>
        </w:rPr>
        <w:t>Company to Furnish Trustee Names and Addresses of Holders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7.02.</w:t>
      </w:r>
      <w:r>
        <w:rPr>
          <w:sz w:val="20"/>
          <w:szCs w:val="20"/>
          <w:color w:val="auto"/>
        </w:rPr>
        <w:tab/>
      </w:r>
      <w:r>
        <w:rPr>
          <w:rFonts w:ascii="Courier New" w:cs="Courier New" w:eastAsia="Courier New" w:hAnsi="Courier New"/>
          <w:sz w:val="14"/>
          <w:szCs w:val="14"/>
          <w:color w:val="auto"/>
        </w:rPr>
        <w:t>Preservation of Information; Communications to Holders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7.03.</w:t>
      </w:r>
      <w:r>
        <w:rPr>
          <w:sz w:val="20"/>
          <w:szCs w:val="20"/>
          <w:color w:val="auto"/>
        </w:rPr>
        <w:tab/>
      </w:r>
      <w:r>
        <w:rPr>
          <w:rFonts w:ascii="Courier New" w:cs="Courier New" w:eastAsia="Courier New" w:hAnsi="Courier New"/>
          <w:sz w:val="14"/>
          <w:szCs w:val="14"/>
          <w:color w:val="auto"/>
        </w:rPr>
        <w:t>Reports by Trustee</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7.04.</w:t>
      </w:r>
      <w:r>
        <w:rPr>
          <w:sz w:val="20"/>
          <w:szCs w:val="20"/>
          <w:color w:val="auto"/>
        </w:rPr>
        <w:tab/>
      </w:r>
      <w:r>
        <w:rPr>
          <w:rFonts w:ascii="Courier New" w:cs="Courier New" w:eastAsia="Courier New" w:hAnsi="Courier New"/>
          <w:sz w:val="14"/>
          <w:szCs w:val="14"/>
          <w:color w:val="auto"/>
        </w:rPr>
        <w:t>Reports by Company</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1280" w:val="left"/>
          <w:tab w:leader="dot" w:pos="8860" w:val="left"/>
        </w:tabs>
        <w:rPr>
          <w:sz w:val="20"/>
          <w:szCs w:val="20"/>
          <w:color w:val="auto"/>
        </w:rPr>
      </w:pPr>
      <w:r>
        <w:rPr>
          <w:rFonts w:ascii="Courier New" w:cs="Courier New" w:eastAsia="Courier New" w:hAnsi="Courier New"/>
          <w:sz w:val="14"/>
          <w:szCs w:val="14"/>
          <w:color w:val="auto"/>
        </w:rPr>
        <w:t>ARTICLE VIII.</w:t>
        <w:tab/>
        <w:t>CONSOLIDATION, MERGER, CONVEYANCE, TRANSFER OR LEASE</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8.01.</w:t>
      </w:r>
      <w:r>
        <w:rPr>
          <w:sz w:val="20"/>
          <w:szCs w:val="20"/>
          <w:color w:val="auto"/>
        </w:rPr>
        <w:tab/>
      </w:r>
      <w:r>
        <w:rPr>
          <w:rFonts w:ascii="Courier New" w:cs="Courier New" w:eastAsia="Courier New" w:hAnsi="Courier New"/>
          <w:sz w:val="14"/>
          <w:szCs w:val="14"/>
          <w:color w:val="auto"/>
        </w:rPr>
        <w:t>Company May Consolidate, Etc., Only on Certain Terms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8.02.</w:t>
      </w:r>
      <w:r>
        <w:rPr>
          <w:sz w:val="20"/>
          <w:szCs w:val="20"/>
          <w:color w:val="auto"/>
        </w:rPr>
        <w:tab/>
      </w:r>
      <w:r>
        <w:rPr>
          <w:rFonts w:ascii="Courier New" w:cs="Courier New" w:eastAsia="Courier New" w:hAnsi="Courier New"/>
          <w:sz w:val="14"/>
          <w:szCs w:val="14"/>
          <w:color w:val="auto"/>
        </w:rPr>
        <w:t>Successor Substituted</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IX.</w:t>
        <w:tab/>
        <w:t>SUPPLEMENTAL INDENTURES</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9.01.</w:t>
      </w:r>
      <w:r>
        <w:rPr>
          <w:sz w:val="20"/>
          <w:szCs w:val="20"/>
          <w:color w:val="auto"/>
        </w:rPr>
        <w:tab/>
      </w:r>
      <w:r>
        <w:rPr>
          <w:rFonts w:ascii="Courier New" w:cs="Courier New" w:eastAsia="Courier New" w:hAnsi="Courier New"/>
          <w:sz w:val="14"/>
          <w:szCs w:val="14"/>
          <w:color w:val="auto"/>
        </w:rPr>
        <w:t>Supplemental Indentures Without Consent of Holders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9.02.</w:t>
      </w:r>
      <w:r>
        <w:rPr>
          <w:sz w:val="20"/>
          <w:szCs w:val="20"/>
          <w:color w:val="auto"/>
        </w:rPr>
        <w:tab/>
      </w:r>
      <w:r>
        <w:rPr>
          <w:rFonts w:ascii="Courier New" w:cs="Courier New" w:eastAsia="Courier New" w:hAnsi="Courier New"/>
          <w:sz w:val="14"/>
          <w:szCs w:val="14"/>
          <w:color w:val="auto"/>
        </w:rPr>
        <w:t>Supplemental Indentures With Consent of Holders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9.03.</w:t>
      </w:r>
      <w:r>
        <w:rPr>
          <w:sz w:val="20"/>
          <w:szCs w:val="20"/>
          <w:color w:val="auto"/>
        </w:rPr>
        <w:tab/>
      </w:r>
      <w:r>
        <w:rPr>
          <w:rFonts w:ascii="Courier New" w:cs="Courier New" w:eastAsia="Courier New" w:hAnsi="Courier New"/>
          <w:sz w:val="14"/>
          <w:szCs w:val="14"/>
          <w:color w:val="auto"/>
        </w:rPr>
        <w:t>Execution of Supplemental Indentures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9.04.</w:t>
      </w:r>
      <w:r>
        <w:rPr>
          <w:sz w:val="20"/>
          <w:szCs w:val="20"/>
          <w:color w:val="auto"/>
        </w:rPr>
        <w:tab/>
      </w:r>
      <w:r>
        <w:rPr>
          <w:rFonts w:ascii="Courier New" w:cs="Courier New" w:eastAsia="Courier New" w:hAnsi="Courier New"/>
          <w:sz w:val="14"/>
          <w:szCs w:val="14"/>
          <w:color w:val="auto"/>
        </w:rPr>
        <w:t>Effect of Supplemental Indentures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9.05.</w:t>
      </w:r>
      <w:r>
        <w:rPr>
          <w:sz w:val="20"/>
          <w:szCs w:val="20"/>
          <w:color w:val="auto"/>
        </w:rPr>
        <w:tab/>
      </w:r>
      <w:r>
        <w:rPr>
          <w:rFonts w:ascii="Courier New" w:cs="Courier New" w:eastAsia="Courier New" w:hAnsi="Courier New"/>
          <w:sz w:val="14"/>
          <w:szCs w:val="14"/>
          <w:color w:val="auto"/>
        </w:rPr>
        <w:t>Conformity With Trust Indenture Act</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9.06.</w:t>
      </w:r>
      <w:r>
        <w:rPr>
          <w:sz w:val="20"/>
          <w:szCs w:val="20"/>
          <w:color w:val="auto"/>
        </w:rPr>
        <w:tab/>
      </w:r>
      <w:r>
        <w:rPr>
          <w:rFonts w:ascii="Courier New" w:cs="Courier New" w:eastAsia="Courier New" w:hAnsi="Courier New"/>
          <w:sz w:val="14"/>
          <w:szCs w:val="14"/>
          <w:color w:val="auto"/>
        </w:rPr>
        <w:t>Reference in Securities to Supplemental Indentures</w:t>
      </w:r>
      <w:r>
        <w:rPr>
          <w:sz w:val="20"/>
          <w:szCs w:val="20"/>
          <w:color w:val="auto"/>
        </w:rPr>
        <w:tab/>
      </w:r>
      <w:r>
        <w:rPr>
          <w:rFonts w:ascii="Courier New" w:cs="Courier New" w:eastAsia="Courier New" w:hAnsi="Courier New"/>
          <w:sz w:val="14"/>
          <w:szCs w:val="14"/>
          <w:color w:val="auto"/>
        </w:rPr>
        <w:t>38</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81" w:right="1440"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ARTICLE X.</w:t>
            </w:r>
          </w:p>
        </w:tc>
        <w:tc>
          <w:tcPr>
            <w:tcW w:w="7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COVENANTS...............................................................................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Principal, Premium and Interest......................................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Maintenance of Office or Agency.................................................</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Money for Securities Payments to be Held in Trust...............................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Statement by Officers as to Default.............................................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10.05.</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Existence.......................................................................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Maintenance of Properties.......................................................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10.07.</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Taxes and Other Claims...............................................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10.08.</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Liens.............................................................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10.09.</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Sale and Lease-Back Transactions..................................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10.10.</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Subsidiary Debt...................................................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10.11.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Waiver of Certain Covenants.....................................................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ARTICLE XI.</w:t>
            </w:r>
          </w:p>
        </w:tc>
        <w:tc>
          <w:tcPr>
            <w:tcW w:w="7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REDEMPTION OR REPAYMENT OF SECURITIES..................................................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Applicability of Article........................................................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Election to Redeem; Notice to Trustee...........................................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Selection by Trustee of Securities to be Redeemed...............................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Notice of Redemption............................................................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11.05.</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Deposit of Redemption Price.....................................................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 Payable on Redemption Date...........................................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11.07.</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 Redeemed in Part.....................................................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11.08.</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Right of Repayment..............................................................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11.09.</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Form of Option to Elect Repayment...............................................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331"/>
        </w:trPr>
        <w:tc>
          <w:tcPr>
            <w:tcW w:w="8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XII. SINKING FUNDS..........................................................................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Applicability of Article........................................................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Satisfaction of Sinking Fund Payments With Securities...........................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Redemption of Securities for Sinking Fund.......................................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331"/>
        </w:trPr>
        <w:tc>
          <w:tcPr>
            <w:tcW w:w="8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XIII.  DEFEASANCE AND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Company's Option to Effect Defeasance or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Defeasance and Discharge........................................................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 to Defeasance or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47</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13.05.</w:t>
            </w:r>
          </w:p>
        </w:tc>
        <w:tc>
          <w:tcPr>
            <w:tcW w:w="71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Deposited Money and U.S. Government Obligations to be Held in Trust;</w:t>
            </w:r>
          </w:p>
        </w:tc>
        <w:tc>
          <w:tcPr>
            <w:tcW w:w="44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 Provisionsc.....................................................</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Reinstatement...................................................................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right="333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Note:</w:t>
        <w:tab/>
        <w:t>This Table of Contents shall not, for any purpose, be deemed to be part of this Indenture.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781" w:right="1440" w:bottom="1440" w:gutter="0" w:footer="0" w:header="0"/>
        </w:sectPr>
      </w:pPr>
    </w:p>
    <w:bookmarkStart w:id="393" w:name="page394"/>
    <w:bookmarkEnd w:id="393"/>
    <w:p>
      <w:pPr>
        <w:ind w:right="3419" w:firstLine="344"/>
        <w:spacing w:after="0" w:line="251" w:lineRule="auto"/>
        <w:rPr>
          <w:sz w:val="20"/>
          <w:szCs w:val="20"/>
          <w:color w:val="auto"/>
        </w:rPr>
      </w:pPr>
      <w:r>
        <w:rPr>
          <w:rFonts w:ascii="Courier New" w:cs="Courier New" w:eastAsia="Courier New" w:hAnsi="Courier New"/>
          <w:sz w:val="14"/>
          <w:szCs w:val="14"/>
          <w:color w:val="auto"/>
        </w:rPr>
        <w:t>INDENTURE, dated as of January 31, 1997, between The Toro Company, a corporation duly organized and existing under the laws of the State of Delaware (herein called the "Company"), having its principal office at 8111 Lyndale South, Bloomington, Minnesota 55420, and First Trust National Association, a national banking association duly organized and existing under the laws of the United States of America, as Trustee (herein called the "Trustee").</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RECITALS OF THE COMPANY</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62" w:lineRule="exact"/>
        <w:rPr>
          <w:sz w:val="20"/>
          <w:szCs w:val="20"/>
          <w:color w:val="auto"/>
        </w:rPr>
      </w:pPr>
    </w:p>
    <w:p>
      <w:pPr>
        <w:ind w:right="4019" w:firstLine="344"/>
        <w:spacing w:after="0" w:line="255" w:lineRule="auto"/>
        <w:rPr>
          <w:sz w:val="20"/>
          <w:szCs w:val="20"/>
          <w:color w:val="auto"/>
        </w:rPr>
      </w:pPr>
      <w:r>
        <w:rPr>
          <w:rFonts w:ascii="Courier New" w:cs="Courier New" w:eastAsia="Courier New" w:hAnsi="Courier New"/>
          <w:sz w:val="14"/>
          <w:szCs w:val="14"/>
          <w:color w:val="auto"/>
        </w:rPr>
        <w:t>All things necessary to make this Indenture a valid agreement of the Company, in accordance with its terms, have been done.</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DEFINITIONS AND OTHER PROVISIONS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GENERAL APPLICATION</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SECTION 1.01. DEFINITIONS. For all purposes of this Indenture, except as otherwise expressly provided or unless the context otherwise requires:</w:t>
      </w:r>
    </w:p>
    <w:p>
      <w:pPr>
        <w:spacing w:after="0" w:line="160" w:lineRule="exact"/>
        <w:rPr>
          <w:sz w:val="20"/>
          <w:szCs w:val="20"/>
          <w:color w:val="auto"/>
        </w:rPr>
      </w:pPr>
    </w:p>
    <w:p>
      <w:pPr>
        <w:ind w:left="360" w:right="3339" w:firstLine="337"/>
        <w:spacing w:after="0" w:line="255"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59"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162" w:lineRule="exact"/>
        <w:rPr>
          <w:rFonts w:ascii="Courier New" w:cs="Courier New" w:eastAsia="Courier New" w:hAnsi="Courier New"/>
          <w:sz w:val="14"/>
          <w:szCs w:val="14"/>
          <w:color w:val="auto"/>
        </w:rPr>
      </w:pPr>
    </w:p>
    <w:p>
      <w:pPr>
        <w:ind w:left="360" w:right="3519" w:firstLine="337"/>
        <w:spacing w:after="0" w:line="255"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gender used in this Indenture shall be deemed and construed to include correlative words of the masculine, feminine or neutral gender;</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otherwise requires, any reference to an "Article" or a "Section" refers to an Article or a Section, as the case may be, of this Indenture; and</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6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1.04.</w:t>
      </w:r>
    </w:p>
    <w:p>
      <w:pPr>
        <w:spacing w:after="0" w:line="16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"Attributable Debt" when used in connection with a Sale and Lease-Back Transaction involving a Principal Property means, at the time of determination, the present value of the total net amount of rent</w:t>
      </w:r>
    </w:p>
    <w:p>
      <w:pPr>
        <w:sectPr>
          <w:pgSz w:w="11900" w:h="16838" w:orient="portrait"/>
          <w:cols w:equalWidth="0" w:num="1">
            <w:col w:w="10239"/>
          </w:cols>
          <w:pgMar w:left="220" w:top="616" w:right="1440" w:bottom="1440" w:gutter="0" w:footer="0" w:header="0"/>
        </w:sectPr>
      </w:pPr>
    </w:p>
    <w:bookmarkStart w:id="394" w:name="page395"/>
    <w:bookmarkEnd w:id="394"/>
    <w:p>
      <w:pPr>
        <w:ind w:right="3339"/>
        <w:spacing w:after="0" w:line="250" w:lineRule="auto"/>
        <w:rPr>
          <w:sz w:val="20"/>
          <w:szCs w:val="20"/>
          <w:color w:val="auto"/>
        </w:rPr>
      </w:pPr>
      <w:r>
        <w:rPr>
          <w:rFonts w:ascii="Courier New" w:cs="Courier New" w:eastAsia="Courier New" w:hAnsi="Courier New"/>
          <w:sz w:val="14"/>
          <w:szCs w:val="14"/>
          <w:color w:val="auto"/>
        </w:rPr>
        <w:t>and other payments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"Authenticating Agent" means any Person authorized by the Trustee pursuant to Section 6.14 to act on behalf of the Trustee to authenticate Securities of one or more series.</w:t>
      </w:r>
    </w:p>
    <w:p>
      <w:pPr>
        <w:spacing w:after="0" w:line="16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"Board of Directors" means either the board of directors of the Company or any duly authorized committee of that board.</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 In the event the Board of Directors shall delegate to any director or officer of the Company or any group consisting of directors of the Company, officers of the Company or directors and officers of the Company the authority to take any action which under the terms of this Indenture may be taken by "Board Resolution," then any action so taken by, and set forth in a resolution adopted by, the director, officer or group within the scope of such delegation shall be deemed to be a "Board Resolution" for purposes of this Indenture.</w:t>
      </w:r>
    </w:p>
    <w:p>
      <w:pPr>
        <w:spacing w:after="0" w:line="329"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65"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"Company Request" or "Company Order" means a written request or order signed in the name of the Company by its Chairman of the Board, its Chief Executive Officer, its President or a Vice President, and by its Treasurer, an Assistant Treasurer, its Secretary or an Assistant Secretary, and delivered to the Trustee.</w:t>
      </w:r>
    </w:p>
    <w:p>
      <w:pPr>
        <w:spacing w:after="0" w:line="32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"Consolidated Net Tangible Assets" means, as of any particular time, total assets (excluding applicable reserves and other properly deductible items) less:</w:t>
      </w:r>
    </w:p>
    <w:p>
      <w:pPr>
        <w:spacing w:after="0" w:line="1" w:lineRule="exact"/>
        <w:rPr>
          <w:sz w:val="20"/>
          <w:szCs w:val="20"/>
          <w:color w:val="auto"/>
        </w:rPr>
      </w:pPr>
    </w:p>
    <w:p>
      <w:pPr>
        <w:ind w:right="3419" w:firstLine="8"/>
        <w:spacing w:after="0" w:line="251" w:lineRule="auto"/>
        <w:tabs>
          <w:tab w:leader="none" w:pos="344"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395" w:name="page396"/>
    <w:bookmarkEnd w:id="395"/>
    <w:p>
      <w:pPr>
        <w:ind w:right="3339" w:firstLine="344"/>
        <w:spacing w:after="0" w:line="252" w:lineRule="auto"/>
        <w:rPr>
          <w:sz w:val="20"/>
          <w:szCs w:val="20"/>
          <w:color w:val="auto"/>
        </w:rPr>
      </w:pPr>
      <w:r>
        <w:rPr>
          <w:rFonts w:ascii="Courier New" w:cs="Courier New" w:eastAsia="Courier New" w:hAnsi="Courier New"/>
          <w:sz w:val="14"/>
          <w:szCs w:val="14"/>
          <w:color w:val="auto"/>
        </w:rPr>
        <w:t>"Corporate Trust Office" means the principal office of the Trustee in the state of Minnesota at which at any particular time its corporate trust business shall be principally administered, which office is at the date of this Indenture located at 180 East Fifth Street, St. Paul, Minnesota 55101.</w:t>
      </w:r>
    </w:p>
    <w:p>
      <w:pPr>
        <w:spacing w:after="0" w:line="162"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"Corporation" includes corporations, associations, companies, joint stock companies and business trusts.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"Covenant Defeasance" has the meaning specified in Section 13.03.</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"Debt" means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"Defaulted Interest" has the meaning specified in Section 3.07.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"Defeasance" has the meaning specified in Section 13.02.</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"Event of Default" has the meaning specified in Section 5.01.</w:t>
      </w:r>
    </w:p>
    <w:p>
      <w:pPr>
        <w:spacing w:after="0" w:line="17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"Exchange Act" means the Securities Exchange Act of 1934 and any statute successor thereto, in each case as amended from time to time.</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"Expiration Date" has the meaning specified in Section 1.04.</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63"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"Holder" means a Person in whose name a Security is registered in the Security Register.</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accepting accounting principles that results in an obligation of such Person that exists at such time becoming Debt shall not be deemed an Incurrence of such Debt.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396" w:name="page397"/>
    <w:bookmarkEnd w:id="396"/>
    <w:p>
      <w:pPr>
        <w:ind w:right="3779"/>
        <w:spacing w:after="0" w:line="252" w:lineRule="auto"/>
        <w:rPr>
          <w:sz w:val="20"/>
          <w:szCs w:val="20"/>
          <w:color w:val="auto"/>
        </w:rPr>
      </w:pPr>
      <w:r>
        <w:rPr>
          <w:rFonts w:ascii="Courier New" w:cs="Courier New" w:eastAsia="Courier New" w:hAnsi="Courier New"/>
          <w:sz w:val="14"/>
          <w:szCs w:val="14"/>
          <w:color w:val="auto"/>
        </w:rPr>
        <w:t>instrument and any such supplemental indenture, respectively. The term "Indenture" shall also include the terms of particular series of Securities established as contemplated by Section 3.01.</w:t>
      </w:r>
    </w:p>
    <w:p>
      <w:pPr>
        <w:spacing w:after="0" w:line="16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"Interest", when used with respect to an Original Issue Discount Security which by its terms bears interest only after Maturity, means interest payable after Maturity.</w:t>
      </w:r>
    </w:p>
    <w:p>
      <w:pPr>
        <w:spacing w:after="0" w:line="16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"Interest Payment Date", when used with respect to any Security, means the Stated Maturity of an installment of interest on such Security.</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"Investment Company Act" means the Investment Company Act of 1940 and any statute successor thereto, in each case as amended from time to time.</w:t>
      </w:r>
    </w:p>
    <w:p>
      <w:pPr>
        <w:spacing w:after="0" w:line="160"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such principal becomes due and payable as therein or herein provided, whether at the Stated Maturity or by declaration of acceleration, call for redemption or otherwise.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"Notice of Default" means a written notice of the kind specified in Section 5.01(4) or 5.01(5).</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the Chief Executive Officer,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"Opinion of Counsel" means a written opinion of counsel, who may be counsel for the Company, and who shall be acceptable to the Trustee.</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63" w:lineRule="exact"/>
        <w:rPr>
          <w:sz w:val="20"/>
          <w:szCs w:val="20"/>
          <w:color w:val="auto"/>
        </w:rPr>
      </w:pPr>
    </w:p>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"Outstanding", when used with respect to Securities, means, as of the date of determination, all Securities theretofore authenticated and delivered under this Indenture, EXCEPT:</w:t>
      </w:r>
    </w:p>
    <w:p>
      <w:pPr>
        <w:spacing w:after="0" w:line="163" w:lineRule="exact"/>
        <w:rPr>
          <w:sz w:val="20"/>
          <w:szCs w:val="20"/>
          <w:color w:val="auto"/>
        </w:rPr>
      </w:pPr>
    </w:p>
    <w:p>
      <w:pPr>
        <w:ind w:left="360" w:right="3419" w:firstLine="337"/>
        <w:spacing w:after="0" w:line="255"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cancelled by the Trustee or delivered to the Trustee for cancellation;</w:t>
      </w:r>
    </w:p>
    <w:p>
      <w:pPr>
        <w:spacing w:after="0" w:line="159"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64" w:lineRule="exact"/>
        <w:rPr>
          <w:rFonts w:ascii="Courier New" w:cs="Courier New" w:eastAsia="Courier New" w:hAnsi="Courier New"/>
          <w:sz w:val="14"/>
          <w:szCs w:val="14"/>
          <w:color w:val="auto"/>
        </w:rPr>
      </w:pPr>
    </w:p>
    <w:p>
      <w:pPr>
        <w:ind w:left="360" w:right="3779" w:firstLine="337"/>
        <w:spacing w:after="0" w:line="255"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as to which Defeasance has been effected pursuant to Section 13.02; and</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397" w:name="page398"/>
    <w:bookmarkEnd w:id="397"/>
    <w:p>
      <w:pPr>
        <w:ind w:right="3339"/>
        <w:spacing w:after="0" w:line="250"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77"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"Paying Agent" means any Person authorized by the Company to pay the principal of or any premium or interest on any Securities on behalf of the Company.</w:t>
      </w:r>
    </w:p>
    <w:p>
      <w:pPr>
        <w:spacing w:after="0" w:line="163" w:lineRule="exact"/>
        <w:rPr>
          <w:sz w:val="20"/>
          <w:szCs w:val="20"/>
          <w:color w:val="auto"/>
        </w:rPr>
      </w:pPr>
    </w:p>
    <w:p>
      <w:pPr>
        <w:jc w:val="both"/>
        <w:ind w:right="3779" w:firstLine="344"/>
        <w:spacing w:after="0" w:line="252" w:lineRule="auto"/>
        <w:rPr>
          <w:sz w:val="20"/>
          <w:szCs w:val="20"/>
          <w:color w:val="auto"/>
        </w:rPr>
      </w:pPr>
      <w:r>
        <w:rPr>
          <w:rFonts w:ascii="Courier New" w:cs="Courier New" w:eastAsia="Courier New" w:hAnsi="Courier New"/>
          <w:sz w:val="14"/>
          <w:szCs w:val="14"/>
          <w:color w:val="auto"/>
        </w:rPr>
        <w:t>"Person" means any individual, corporation, partnership, joint venture, trust, unincorporated organization or government or any agency or political subdivision thereof.</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329"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60"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at which it is to be redeemed pursuant to this Indenture.</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"Regular Record Date" for the interest payable on any Interest Payment Date on the Securities of any series means the date specified for that purpose as contemplated by Section 3.01.</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398" w:name="page399"/>
    <w:bookmarkEnd w:id="398"/>
    <w:p>
      <w:pPr>
        <w:ind w:right="3339" w:firstLine="344"/>
        <w:spacing w:after="0" w:line="251" w:lineRule="auto"/>
        <w:rPr>
          <w:sz w:val="20"/>
          <w:szCs w:val="20"/>
          <w:color w:val="auto"/>
        </w:rPr>
      </w:pPr>
      <w:r>
        <w:rPr>
          <w:rFonts w:ascii="Courier New" w:cs="Courier New" w:eastAsia="Courier New" w:hAnsi="Courier New"/>
          <w:sz w:val="14"/>
          <w:szCs w:val="14"/>
          <w:color w:val="auto"/>
        </w:rPr>
        <w:t>"Responsible Officer", means when used with respect to the Trustee, any officer of the Trustee assigned to the Corporate Trust Office including any Vice President, Assistant Vice President, Secretary, Assistant Secretary, Managing Director or any other officer of the Trustee customarily performing functions similar to those performed by any of the above designated officers and also, with respect to a particular matter, any other officer to whom such matter is referred because of such officer's knowledge and familiarity with the particular subject.</w:t>
      </w:r>
    </w:p>
    <w:p>
      <w:pPr>
        <w:spacing w:after="0" w:line="33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"Securities" has the meaning stated in the first recital of this Indenture and more particularly means any Securities authenticated and delivered under this Indenture.</w:t>
      </w:r>
    </w:p>
    <w:p>
      <w:pPr>
        <w:spacing w:after="0" w:line="163"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"Securities Act" means the Securities Act of 1933 and any statute successor thereto, in each case as amended from time to time.</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"Security Register" and "Security Registrar" have the respective meanings specified in Section 3.05.</w:t>
      </w:r>
    </w:p>
    <w:p>
      <w:pPr>
        <w:spacing w:after="0" w:line="160"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"U.S. Government Obligation" has the meaning specified in Section 13.04.</w:t>
      </w:r>
    </w:p>
    <w:p>
      <w:pPr>
        <w:spacing w:after="0" w:line="173"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16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399" w:name="page400"/>
    <w:bookmarkEnd w:id="399"/>
    <w:p>
      <w:pPr>
        <w:ind w:right="3419" w:firstLine="344"/>
        <w:spacing w:after="0" w:line="251" w:lineRule="auto"/>
        <w:rPr>
          <w:sz w:val="20"/>
          <w:szCs w:val="20"/>
          <w:color w:val="auto"/>
        </w:rPr>
      </w:pPr>
      <w:r>
        <w:rPr>
          <w:rFonts w:ascii="Courier New" w:cs="Courier New" w:eastAsia="Courier New" w:hAnsi="Courier New"/>
          <w:sz w:val="14"/>
          <w:szCs w:val="14"/>
          <w:color w:val="auto"/>
        </w:rPr>
        <w:t>SECTION 1.02. COMPLIANCE CERTIFICATES AND OPINIONS. 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Every certificate or opinion with respect to compliance with a condition or covenant provided for in this Indenture shall include,</w:t>
      </w:r>
    </w:p>
    <w:p>
      <w:pPr>
        <w:spacing w:after="0" w:line="160" w:lineRule="exact"/>
        <w:rPr>
          <w:sz w:val="20"/>
          <w:szCs w:val="20"/>
          <w:color w:val="auto"/>
        </w:rPr>
      </w:pPr>
    </w:p>
    <w:p>
      <w:pPr>
        <w:ind w:left="360" w:right="3339" w:firstLine="337"/>
        <w:spacing w:after="0" w:line="252"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62" w:lineRule="exact"/>
        <w:rPr>
          <w:rFonts w:ascii="Courier New" w:cs="Courier New" w:eastAsia="Courier New" w:hAnsi="Courier New"/>
          <w:sz w:val="14"/>
          <w:szCs w:val="14"/>
          <w:color w:val="auto"/>
        </w:rPr>
      </w:pPr>
    </w:p>
    <w:p>
      <w:pPr>
        <w:ind w:left="360" w:right="3519" w:firstLine="337"/>
        <w:spacing w:after="0" w:line="252"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2" w:lineRule="exact"/>
        <w:rPr>
          <w:rFonts w:ascii="Courier New" w:cs="Courier New" w:eastAsia="Courier New" w:hAnsi="Courier New"/>
          <w:sz w:val="14"/>
          <w:szCs w:val="14"/>
          <w:color w:val="auto"/>
        </w:rPr>
      </w:pPr>
    </w:p>
    <w:p>
      <w:pPr>
        <w:ind w:left="360" w:right="3519" w:firstLine="337"/>
        <w:spacing w:after="0" w:line="255"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1.04. ACTS OF HOLDERS; RECORD DATES.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400" w:name="page401"/>
    <w:bookmarkEnd w:id="400"/>
    <w:p>
      <w:pPr>
        <w:ind w:right="3339" w:firstLine="344"/>
        <w:spacing w:after="0" w:line="251" w:lineRule="auto"/>
        <w:rPr>
          <w:sz w:val="20"/>
          <w:szCs w:val="20"/>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ownership of Securities shall be proved by the Security Register.</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34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401" w:name="page402"/>
    <w:bookmarkEnd w:id="401"/>
    <w:p>
      <w:pPr>
        <w:ind w:right="3419"/>
        <w:spacing w:after="0" w:line="250" w:lineRule="auto"/>
        <w:rPr>
          <w:sz w:val="20"/>
          <w:szCs w:val="20"/>
          <w:color w:val="auto"/>
        </w:rPr>
      </w:pPr>
      <w:r>
        <w:rPr>
          <w:rFonts w:ascii="Courier New" w:cs="Courier New" w:eastAsia="Courier New" w:hAnsi="Courier New"/>
          <w:sz w:val="14"/>
          <w:szCs w:val="14"/>
          <w:color w:val="auto"/>
        </w:rPr>
        <w:t>and the applicable Expiration Date to be given to the Company in writing and to each Holder of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relevant series in the manner set forth in Section 1.06.</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With respect to any record date set pursuant to this Section, the party hereto which sets such record dates may designate any day as the "Expiration Date" and from time to time may change the Expiration Date to any earlier or later day; PROVIDED that no Expiration Date shall be later than the 180th day after the applicable record date; and PROVIDED, FURTHER,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65"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jc w:val="both"/>
        <w:ind w:left="360" w:right="3419" w:firstLine="337"/>
        <w:spacing w:after="0" w:line="252" w:lineRule="auto"/>
        <w:tabs>
          <w:tab w:leader="none" w:pos="1049"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if made, given, furnished or filed in writing to or with a Responsible Officer of the Trustee at its Corporate Trust Office, Attention: Corporate Trust Department, or</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1.06. NOTICE TO HOLDERS; WAIVER. 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328"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1.07. CONFLICT WITH TRUST INDENTURE ACT. This Indenture is subject to, and shall be governed by, the provisions of the Trust Indenture Act that are required to be part of this Indenture.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402" w:name="page403"/>
    <w:bookmarkEnd w:id="402"/>
    <w:p>
      <w:pPr>
        <w:ind w:right="3519" w:firstLine="344"/>
        <w:spacing w:after="0" w:line="252" w:lineRule="auto"/>
        <w:rPr>
          <w:sz w:val="20"/>
          <w:szCs w:val="20"/>
          <w:color w:val="auto"/>
        </w:rPr>
      </w:pPr>
      <w:r>
        <w:rPr>
          <w:rFonts w:ascii="Courier New" w:cs="Courier New" w:eastAsia="Courier New" w:hAnsi="Courier New"/>
          <w:sz w:val="14"/>
          <w:szCs w:val="14"/>
          <w:color w:val="auto"/>
        </w:rPr>
        <w:t>SECTION 1.08. EFFECT OF HEADINGS AND TABLE OF CONTENTS. The Article and Section headings herein and the Table of Contents are for convenience only and shall not affect the construction hereof.</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1.09. SUCCESSORS AND ASSIGNS. All covenants and agreements in this Indenture by the Company shall bind its successors and assigns, whether so expressed or not.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1.11. BENEFITS OF INDENTURE. 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2"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SECTION 1.12. GOVERNING LAW. THIS INDENTURE AND THE SECURITIES SHALL BE GOVERNED BY AND CONSTRUED IN ACCORDANCE WITH THE LAWS OF THE STATE OF NEW YORK.</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1.13. LEGAL HOLIDAYS. 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1.14. APPOINTMENT OF AGENT FOR SERVICE. By the execution and delivery of this Indenture, the Company hereby appoints the Trustee as its agent upon which process may be served in any legal action or proceeding which may be instituted in any Federal or State court in the Borough of Manhattan, City of New York, arising out of or relating to the Securities or this Indenture. Service of process upon such agent at the office of such agent at the Corporate Trust Office of the Trustee, Attention: Corporate Trust Department, and written notice of said service to the Company by the Person serving the same addressed as provided in Section 1.05, shall be deemed in every respect effective service of process upon the Company in any such legal action or proceeding, and the Company hereby submits to the jurisdiction of any such court in which any such legal action or proceeding is so instituted. Such appointment shall be irrevocable so long as the Holders of Securities shall have any rights pursuant to the terms thereof or of this Indenture until the appointment of a successor by the Company with the consent of the Trustee and such successor's acceptance of such appointment. The Company further agrees to take any and all action, including the execution and filing of any and all such documents and instruments, as may be necessary to continue such designation and appointment of such agent or successor. By the execution and delivery of this Indenture, the Trustee hereby agrees to act as such agent and undertakes promptly to notify the Company of receipt by it of service of process in accordance with this Section 1.14.</w:t>
      </w:r>
    </w:p>
    <w:p>
      <w:pPr>
        <w:spacing w:after="0" w:line="34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SECURITY FORMS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2.01. FORMS GENERALLY. 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0" w:right="1440" w:bottom="1440" w:gutter="0" w:footer="0" w:header="0"/>
        </w:sectPr>
      </w:pPr>
    </w:p>
    <w:bookmarkStart w:id="403" w:name="page404"/>
    <w:bookmarkEnd w:id="403"/>
    <w:p>
      <w:pPr>
        <w:ind w:right="3519"/>
        <w:spacing w:after="0" w:line="252" w:lineRule="auto"/>
        <w:rPr>
          <w:sz w:val="20"/>
          <w:szCs w:val="20"/>
          <w:color w:val="auto"/>
        </w:rPr>
      </w:pPr>
      <w:r>
        <w:rPr>
          <w:rFonts w:ascii="Courier New" w:cs="Courier New" w:eastAsia="Courier New" w:hAnsi="Courier New"/>
          <w:sz w:val="14"/>
          <w:szCs w:val="14"/>
          <w:color w:val="auto"/>
        </w:rPr>
        <w:t>Assistant Secretary of the Company and delivered to the Trustee at or prior to the delivery of the Company Order contemplated by Section 3.03 for the authentication and delivery of such Securities.</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definitive Securities shall be typewritten, printed, lithographed or engraved on steel engraved borders or may be produced in any other manner, all as determined by the officers executing such Securities, as evidenced by their execution of such Securities.</w:t>
      </w:r>
    </w:p>
    <w:p>
      <w:pPr>
        <w:spacing w:after="0" w:line="162"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SECTION 2.02. FORM OF FACE OF SECURITY. [INSERT ANY LEGEND REQUIRED BY THE INTERNAL REVENUE CODE AND THE REGULATIONS THEREUNDER.]</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400" w:space="720"/>
            <w:col w:w="4119"/>
          </w:cols>
          <w:pgMar w:left="220" w:top="450"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 a corporation duly organized and existing</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under the laws of</w:t>
      </w:r>
      <w:r>
        <w:rPr>
          <w:sz w:val="20"/>
          <w:szCs w:val="20"/>
          <w:color w:val="auto"/>
        </w:rPr>
        <w:tab/>
      </w:r>
      <w:r>
        <w:rPr>
          <w:rFonts w:ascii="Courier New" w:cs="Courier New" w:eastAsia="Courier New" w:hAnsi="Courier New"/>
          <w:sz w:val="14"/>
          <w:szCs w:val="14"/>
          <w:color w:val="auto"/>
        </w:rPr>
        <w:t>(herein called the "Company", which term includes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successor Person under the Indenture hereinafter referred to), for value</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received, hereby promises to pay to</w:t>
      </w:r>
      <w:r>
        <w:rPr>
          <w:sz w:val="20"/>
          <w:szCs w:val="20"/>
          <w:color w:val="auto"/>
        </w:rPr>
        <w:tab/>
      </w:r>
      <w:r>
        <w:rPr>
          <w:rFonts w:ascii="Courier New" w:cs="Courier New" w:eastAsia="Courier New" w:hAnsi="Courier New"/>
          <w:sz w:val="14"/>
          <w:szCs w:val="14"/>
          <w:color w:val="auto"/>
        </w:rPr>
        <w:t>, or</w:t>
      </w:r>
    </w:p>
    <w:p>
      <w:pPr>
        <w:spacing w:after="0" w:line="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registered assigns, the principal sum of</w:t>
      </w:r>
      <w:r>
        <w:rPr>
          <w:sz w:val="20"/>
          <w:szCs w:val="20"/>
          <w:color w:val="auto"/>
        </w:rPr>
        <w:tab/>
      </w:r>
      <w:r>
        <w:rPr>
          <w:rFonts w:ascii="Courier New" w:cs="Courier New" w:eastAsia="Courier New" w:hAnsi="Courier New"/>
          <w:sz w:val="14"/>
          <w:szCs w:val="14"/>
          <w:color w:val="auto"/>
        </w:rPr>
        <w:t>Dollars</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[IF THE SECURITY IS TO BEAR INTEREST PRIOR TO MATURITY, INSERT-- , and to pay interest thereon from or from the most recent Interest</w:t>
      </w:r>
    </w:p>
    <w:p>
      <w:pPr>
        <w:sectPr>
          <w:pgSz w:w="11900" w:h="16838" w:orient="portrait"/>
          <w:cols w:equalWidth="0" w:num="1">
            <w:col w:w="10239"/>
          </w:cols>
          <w:pgMar w:left="220" w:top="45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Date to which interest has been paid or duly provided for, semi-annually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and</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in each year, commencing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w w:val="98"/>
              </w:rPr>
              <w:t>, at the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rate of</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per annum, until the principal hereof is paid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or made</w:t>
            </w:r>
          </w:p>
        </w:tc>
        <w:tc>
          <w:tcPr>
            <w:tcW w:w="1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available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for payment</w:t>
            </w:r>
          </w:p>
        </w:tc>
        <w:tc>
          <w:tcPr>
            <w:tcW w:w="52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[IF APPLICABLE, INSERT--   , PROVIDED that any principal and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6460" w:type="dxa"/>
            <w:vAlign w:val="bottom"/>
            <w:gridSpan w:val="6"/>
          </w:tcPr>
          <w:p>
            <w:pPr>
              <w:spacing w:after="0"/>
              <w:rPr>
                <w:sz w:val="20"/>
                <w:szCs w:val="20"/>
                <w:color w:val="auto"/>
              </w:rPr>
            </w:pPr>
            <w:r>
              <w:rPr>
                <w:rFonts w:ascii="Courier New" w:cs="Courier New" w:eastAsia="Courier New" w:hAnsi="Courier New"/>
                <w:sz w:val="14"/>
                <w:szCs w:val="14"/>
                <w:color w:val="auto"/>
              </w:rPr>
              <w:t>premium, and any such installment of interest, which is overdue shall bear</w:t>
            </w:r>
          </w:p>
        </w:tc>
        <w:tc>
          <w:tcPr>
            <w:tcW w:w="4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interest at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rate of</w:t>
            </w: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 per annum (to the extent that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payment</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such</w:t>
            </w: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interest shall be legally enforceable), from the dates such</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amounts</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240" w:type="dxa"/>
            <w:vAlign w:val="bottom"/>
          </w:tcPr>
          <w:p>
            <w:pPr>
              <w:spacing w:after="0"/>
              <w:rPr>
                <w:sz w:val="20"/>
                <w:szCs w:val="20"/>
                <w:color w:val="auto"/>
              </w:rPr>
            </w:pPr>
            <w:r>
              <w:rPr>
                <w:rFonts w:ascii="Courier New" w:cs="Courier New" w:eastAsia="Courier New" w:hAnsi="Courier New"/>
                <w:sz w:val="14"/>
                <w:szCs w:val="14"/>
                <w:color w:val="auto"/>
                <w:w w:val="87"/>
              </w:rPr>
              <w:t>due</w:t>
            </w:r>
          </w:p>
        </w:tc>
        <w:tc>
          <w:tcPr>
            <w:tcW w:w="440" w:type="dxa"/>
            <w:vAlign w:val="bottom"/>
          </w:tcPr>
          <w:p>
            <w:pPr>
              <w:spacing w:after="0"/>
              <w:rPr>
                <w:sz w:val="14"/>
                <w:szCs w:val="14"/>
                <w:color w:val="auto"/>
              </w:rPr>
            </w:pP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until they are paid or made available for payment, and such</w:t>
            </w:r>
          </w:p>
        </w:tc>
        <w:tc>
          <w:tcPr>
            <w:tcW w:w="13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interest shall</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be</w:t>
            </w: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payable on demand]. The interest so payable, and punctually</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paid or</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duly</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4" w:lineRule="exact"/>
        <w:rPr>
          <w:sz w:val="20"/>
          <w:szCs w:val="20"/>
          <w:color w:val="auto"/>
        </w:rPr>
      </w:pPr>
    </w:p>
    <w:p>
      <w:pPr>
        <w:jc w:val="both"/>
        <w:ind w:right="3419"/>
        <w:spacing w:after="0" w:line="1378" w:lineRule="auto"/>
        <w:rPr>
          <w:sz w:val="20"/>
          <w:szCs w:val="20"/>
          <w:color w:val="auto"/>
        </w:rPr>
      </w:pPr>
      <w:r>
        <w:rPr>
          <w:rFonts w:ascii="Courier New" w:cs="Courier New" w:eastAsia="Courier New" w:hAnsi="Courier New"/>
          <w:sz w:val="14"/>
          <w:szCs w:val="14"/>
          <w:color w:val="auto"/>
        </w:rPr>
        <w:t>provided for, on any Interest Payment Date will, as provided in such Indenture, be paid to the Person in whose name this Security (or one or more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Securities) is registered at the close of business on the Regular Record Date for such interest, which shall be the or (whether or not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 as the case may be, next preceding such Interest Payment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such interest not so punctually paid or duly provided for will forthwith</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cease to be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payable to the Holder on such</w:t>
            </w:r>
          </w:p>
        </w:tc>
        <w:tc>
          <w:tcPr>
            <w:tcW w:w="3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Regular Record Date and may either be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paid to the</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Person in whose name this Security (or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one or more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Predecessor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is registered at the close 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a Special Record Date for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payment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of such Defaulted Interest to</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be fixed</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the Trustee, notice</w:t>
            </w: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whereof shall be given to Holders of Securities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this series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not less than 10</w:t>
            </w: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days prior to such Special Record Date, or be paid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at any time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in any other</w:t>
            </w: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lawful manner not inconsistent with the requirements of any securities exchange on which the Securities of this series may be listed, and upon such notice as may be required by such exchange, all as more fully provided in said Indenture].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[IF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SECURITY IS NOT TO BEAR INTEREST PRIOR</w:t>
            </w:r>
          </w:p>
        </w:tc>
        <w:tc>
          <w:tcPr>
            <w:tcW w:w="2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MATURITY, INSERT--The</w:t>
            </w:r>
          </w:p>
        </w:tc>
      </w:tr>
      <w:tr>
        <w:trPr>
          <w:trHeight w:val="166"/>
        </w:trPr>
        <w:tc>
          <w:tcPr>
            <w:tcW w:w="4360" w:type="dxa"/>
            <w:vAlign w:val="bottom"/>
            <w:gridSpan w:val="5"/>
          </w:tcPr>
          <w:p>
            <w:pPr>
              <w:spacing w:after="0"/>
              <w:rPr>
                <w:sz w:val="20"/>
                <w:szCs w:val="20"/>
                <w:color w:val="auto"/>
              </w:rPr>
            </w:pPr>
            <w:r>
              <w:rPr>
                <w:rFonts w:ascii="Courier New" w:cs="Courier New" w:eastAsia="Courier New" w:hAnsi="Courier New"/>
                <w:sz w:val="14"/>
                <w:szCs w:val="14"/>
                <w:color w:val="auto"/>
              </w:rPr>
              <w:t>principal of this Security shall not bear interest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except in the</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case of a</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default</w:t>
            </w:r>
          </w:p>
        </w:tc>
        <w:tc>
          <w:tcPr>
            <w:tcW w:w="37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 payment of principal upon acceleration,</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upon redemption[,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repayment]</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or at Stated Maturity and in such case</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overdue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principal and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overdue</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premium</w:t>
            </w:r>
          </w:p>
        </w:tc>
        <w:tc>
          <w:tcPr>
            <w:tcW w:w="31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shall bear interest at the rate of</w:t>
            </w:r>
          </w:p>
        </w:tc>
        <w:tc>
          <w:tcPr>
            <w:tcW w:w="29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 per annum (to the extent that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payment</w:t>
            </w:r>
          </w:p>
        </w:tc>
        <w:tc>
          <w:tcPr>
            <w:tcW w:w="45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such interest shall be legally enforceable), from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dates such</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amounts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due until they are paid or</w:t>
            </w:r>
          </w:p>
        </w:tc>
        <w:tc>
          <w:tcPr>
            <w:tcW w:w="350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made available for payment. Interest on</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any overdue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principal or premium shall</w:t>
            </w:r>
          </w:p>
        </w:tc>
        <w:tc>
          <w:tcPr>
            <w:tcW w:w="35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be payable on demand. [Any such interest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overdue principal or premium which is not paid on demand shall bear interest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at the rate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per annum (to the</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extent that the payment of such interest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on interest</w:t>
            </w:r>
          </w:p>
        </w:tc>
        <w:tc>
          <w:tcPr>
            <w:tcW w:w="59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shall be legally enforceable), from the date of such demand until</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the amount so demanded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is paid or made</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available for payment. Interest on any</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overdue interest shall</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payable on demand.]]</w:t>
            </w:r>
          </w:p>
        </w:tc>
        <w:tc>
          <w:tcPr>
            <w:tcW w:w="2680" w:type="dxa"/>
            <w:vAlign w:val="bottom"/>
          </w:tcPr>
          <w:p>
            <w:pPr>
              <w:spacing w:after="0"/>
              <w:rPr>
                <w:sz w:val="14"/>
                <w:szCs w:val="14"/>
                <w:color w:val="auto"/>
              </w:rPr>
            </w:pPr>
          </w:p>
        </w:tc>
      </w:tr>
      <w:tr>
        <w:trPr>
          <w:trHeight w:val="331"/>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Payment</w:t>
            </w:r>
          </w:p>
        </w:tc>
        <w:tc>
          <w:tcPr>
            <w:tcW w:w="59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of the principal of (and premium, if any) and [if applicable, insert</w:t>
            </w:r>
          </w:p>
        </w:tc>
      </w:tr>
      <w:tr>
        <w:trPr>
          <w:trHeight w:val="166"/>
        </w:trPr>
        <w:tc>
          <w:tcPr>
            <w:tcW w:w="3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any such] interest on this Security</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will be made at the office or agency of</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maintained</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that purpose in</w:t>
            </w:r>
          </w:p>
        </w:tc>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 in such coin or currency</w:t>
            </w: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the United States of America as at the time of payment is legal tender for payment of public and private debts [IF APPLICABLE, INSERT--; PROVIDED, HOWEVER, that at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type w:val="continuous"/>
        </w:sectPr>
      </w:pPr>
    </w:p>
    <w:bookmarkStart w:id="404" w:name="page405"/>
    <w:bookmarkEnd w:id="404"/>
    <w:p>
      <w:pPr>
        <w:ind w:right="3339"/>
        <w:spacing w:after="0" w:line="252" w:lineRule="auto"/>
        <w:rPr>
          <w:sz w:val="20"/>
          <w:szCs w:val="20"/>
          <w:color w:val="auto"/>
        </w:rPr>
      </w:pPr>
      <w:r>
        <w:rPr>
          <w:rFonts w:ascii="Courier New" w:cs="Courier New" w:eastAsia="Courier New" w:hAnsi="Courier New"/>
          <w:sz w:val="14"/>
          <w:szCs w:val="14"/>
          <w:color w:val="auto"/>
        </w:rPr>
        <w:t>the option of the Company payment of interest may be made by check mailed to the address of the Person entitled thereto as such address shall appear in the Security Register].</w:t>
      </w:r>
    </w:p>
    <w:p>
      <w:pPr>
        <w:spacing w:after="0" w:line="163"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Reference is hereby made to the further provisions of this Security set forth on the reverse hereof, which further provisions shall for all purposes have the same effect as if set forth at this place.</w:t>
      </w:r>
    </w:p>
    <w:p>
      <w:pPr>
        <w:spacing w:after="0" w:line="16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62"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19" w:firstLine="344"/>
        <w:spacing w:after="0" w:line="250" w:lineRule="auto"/>
        <w:rPr>
          <w:sz w:val="20"/>
          <w:szCs w:val="20"/>
          <w:color w:val="auto"/>
        </w:rPr>
      </w:pPr>
      <w:r>
        <w:rPr>
          <w:rFonts w:ascii="Courier New" w:cs="Courier New" w:eastAsia="Courier New" w:hAnsi="Courier New"/>
          <w:sz w:val="14"/>
          <w:szCs w:val="14"/>
          <w:color w:val="auto"/>
        </w:rPr>
        <w:t>SECTION 2.03. FORM OF REVERSE OF SECURITY. This Security is one of a duly authorized issue of securities of the Company (herein called the "Securities"), issued and to be issued in one or more series under an Indenture, dated as of</w:t>
      </w:r>
    </w:p>
    <w:p>
      <w:pPr>
        <w:spacing w:after="0" w:line="1" w:lineRule="exact"/>
        <w:rPr>
          <w:sz w:val="20"/>
          <w:szCs w:val="20"/>
          <w:color w:val="auto"/>
        </w:rPr>
      </w:pPr>
    </w:p>
    <w:p>
      <w:pPr>
        <w:ind w:right="3779" w:firstLine="861"/>
        <w:spacing w:after="0" w:line="250" w:lineRule="auto"/>
        <w:rPr>
          <w:sz w:val="20"/>
          <w:szCs w:val="20"/>
          <w:color w:val="auto"/>
        </w:rPr>
      </w:pPr>
      <w:r>
        <w:rPr>
          <w:rFonts w:ascii="Courier New" w:cs="Courier New" w:eastAsia="Courier New" w:hAnsi="Courier New"/>
          <w:sz w:val="14"/>
          <w:szCs w:val="14"/>
          <w:color w:val="auto"/>
        </w:rPr>
        <w:t>(herein called the "Indenture", which term shall have the meaning assigned to it in such instrument), between the Company and</w:t>
      </w:r>
    </w:p>
    <w:p>
      <w:pPr>
        <w:spacing w:after="0" w:line="1" w:lineRule="exact"/>
        <w:rPr>
          <w:sz w:val="20"/>
          <w:szCs w:val="20"/>
          <w:color w:val="auto"/>
        </w:rPr>
      </w:pPr>
    </w:p>
    <w:p>
      <w:pPr>
        <w:ind w:left="2760" w:hanging="168"/>
        <w:spacing w:after="0"/>
        <w:tabs>
          <w:tab w:leader="none" w:pos="276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Trustee (herein called the "Trustee", which</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series designated on the face hereof [IF APPLICABLE, INSERT--, limited in</w:t>
      </w:r>
    </w:p>
    <w:p>
      <w:pPr>
        <w:spacing w:after="0" w:line="16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aggregate principal amount to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7" w:lineRule="exact"/>
        <w:rPr>
          <w:sz w:val="20"/>
          <w:szCs w:val="20"/>
          <w:color w:val="auto"/>
        </w:rPr>
      </w:pPr>
    </w:p>
    <w:p>
      <w:pPr>
        <w:jc w:val="center"/>
        <w:ind w:right="3679"/>
        <w:spacing w:after="0"/>
        <w:tabs>
          <w:tab w:leader="none" w:pos="920" w:val="left"/>
          <w:tab w:leader="none" w:pos="400" w:val="left"/>
        </w:tabs>
        <w:rPr>
          <w:sz w:val="20"/>
          <w:szCs w:val="20"/>
          <w:color w:val="auto"/>
        </w:rPr>
      </w:pPr>
      <w:r>
        <w:rPr>
          <w:rFonts w:ascii="Courier New" w:cs="Courier New" w:eastAsia="Courier New" w:hAnsi="Courier New"/>
          <w:sz w:val="14"/>
          <w:szCs w:val="14"/>
          <w:color w:val="auto"/>
        </w:rPr>
        <w:t>repayment on or after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at the option of the Holder upon not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less than 30 days' (but not more than 60 days') notice by mail to the Paying Agent prior to the repayment date including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(substantially in the form set out in the Indenture)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The repayment option may be exercised by the Holder of such Security for less than the entire principal amount of the Security provided that the principal amount of the Security remaining outstanding after repayment is an authorized denomination. No</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0" w:right="1440" w:bottom="1440" w:gutter="0" w:footer="0" w:header="0"/>
        </w:sectPr>
      </w:pPr>
    </w:p>
    <w:bookmarkStart w:id="405" w:name="page406"/>
    <w:bookmarkEnd w:id="405"/>
    <w:p>
      <w:pPr>
        <w:ind w:right="3339"/>
        <w:spacing w:after="0" w:line="252" w:lineRule="auto"/>
        <w:rPr>
          <w:sz w:val="20"/>
          <w:szCs w:val="20"/>
          <w:color w:val="auto"/>
        </w:rPr>
      </w:pPr>
      <w:r>
        <w:rPr>
          <w:rFonts w:ascii="Courier New" w:cs="Courier New" w:eastAsia="Courier New" w:hAnsi="Courier New"/>
          <w:sz w:val="14"/>
          <w:szCs w:val="14"/>
          <w:color w:val="auto"/>
        </w:rPr>
        <w:t>registration of, transfer or exchange of such Security (or, in the event that such Security is to be repaid in part, the portion of the Security to be repaid) will be permitted after exercise of a repayment option.]</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upon not less than 30 days' notice by mail, [IF APPLICABLE,</w:t>
      </w:r>
    </w:p>
    <w:p>
      <w:pPr>
        <w:spacing w:after="0" w:line="7" w:lineRule="exact"/>
        <w:rPr>
          <w:sz w:val="20"/>
          <w:szCs w:val="20"/>
          <w:color w:val="auto"/>
        </w:rPr>
      </w:pPr>
    </w:p>
    <w:p>
      <w:pPr>
        <w:spacing w:after="0"/>
        <w:tabs>
          <w:tab w:leader="none" w:pos="3000" w:val="left"/>
          <w:tab w:leader="none" w:pos="6540" w:val="left"/>
        </w:tabs>
        <w:rPr>
          <w:sz w:val="20"/>
          <w:szCs w:val="20"/>
          <w:color w:val="auto"/>
        </w:rPr>
      </w:pPr>
      <w:r>
        <w:rPr>
          <w:rFonts w:ascii="Courier New" w:cs="Courier New" w:eastAsia="Courier New" w:hAnsi="Courier New"/>
          <w:sz w:val="14"/>
          <w:szCs w:val="14"/>
          <w:color w:val="auto"/>
        </w:rPr>
        <w:t>INSERT--(1) on</w:t>
      </w:r>
      <w:r>
        <w:rPr>
          <w:sz w:val="20"/>
          <w:szCs w:val="20"/>
          <w:color w:val="auto"/>
        </w:rPr>
        <w:tab/>
      </w:r>
      <w:r>
        <w:rPr>
          <w:rFonts w:ascii="Courier New" w:cs="Courier New" w:eastAsia="Courier New" w:hAnsi="Courier New"/>
          <w:sz w:val="14"/>
          <w:szCs w:val="14"/>
          <w:color w:val="auto"/>
        </w:rPr>
        <w:t>in any year commencing with the year</w:t>
      </w:r>
      <w:r>
        <w:rPr>
          <w:sz w:val="20"/>
          <w:szCs w:val="20"/>
          <w:color w:val="auto"/>
        </w:rPr>
        <w:tab/>
      </w:r>
      <w:r>
        <w:rPr>
          <w:rFonts w:ascii="Courier New" w:cs="Courier New" w:eastAsia="Courier New" w:hAnsi="Courier New"/>
          <w:sz w:val="14"/>
          <w:szCs w:val="14"/>
          <w:color w:val="auto"/>
        </w:rPr>
        <w:t>and</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ending with the year</w:t>
      </w:r>
      <w:r>
        <w:rPr>
          <w:sz w:val="20"/>
          <w:szCs w:val="20"/>
          <w:color w:val="auto"/>
        </w:rPr>
        <w:tab/>
      </w:r>
      <w:r>
        <w:rPr>
          <w:rFonts w:ascii="Courier New" w:cs="Courier New" w:eastAsia="Courier New" w:hAnsi="Courier New"/>
          <w:sz w:val="14"/>
          <w:szCs w:val="14"/>
          <w:color w:val="auto"/>
        </w:rPr>
        <w:t>through operation of the sinking fund for this series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Redemption Price equal to 100% of the principal amount, and (2)] at any</w:t>
      </w:r>
    </w:p>
    <w:p>
      <w:pPr>
        <w:spacing w:after="0" w:line="7" w:lineRule="exact"/>
        <w:rPr>
          <w:sz w:val="20"/>
          <w:szCs w:val="20"/>
          <w:color w:val="auto"/>
        </w:rPr>
      </w:pPr>
    </w:p>
    <w:p>
      <w:pPr>
        <w:spacing w:after="0"/>
        <w:tabs>
          <w:tab w:leader="none" w:pos="4300" w:val="left"/>
          <w:tab w:leader="none" w:pos="4820" w:val="left"/>
        </w:tabs>
        <w:rPr>
          <w:sz w:val="20"/>
          <w:szCs w:val="20"/>
          <w:color w:val="auto"/>
        </w:rPr>
      </w:pPr>
      <w:r>
        <w:rPr>
          <w:rFonts w:ascii="Courier New" w:cs="Courier New" w:eastAsia="Courier New" w:hAnsi="Courier New"/>
          <w:sz w:val="14"/>
          <w:szCs w:val="14"/>
          <w:color w:val="auto"/>
        </w:rPr>
        <w:t>time [IF APPLICABLE, INSERT--on or after</w:t>
      </w:r>
      <w:r>
        <w:rPr>
          <w:sz w:val="20"/>
          <w:szCs w:val="20"/>
          <w:color w:val="auto"/>
        </w:rPr>
        <w:tab/>
      </w:r>
      <w:r>
        <w:rPr>
          <w:rFonts w:ascii="Courier New" w:cs="Courier New" w:eastAsia="Courier New" w:hAnsi="Courier New"/>
          <w:sz w:val="14"/>
          <w:szCs w:val="14"/>
          <w:color w:val="auto"/>
        </w:rPr>
        <w:t>, 19</w:t>
        <w:tab/>
        <w:t>], as a whole or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at the election of the Company, at the following Redemption 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(expressed as percentages of the principal amount): If redeemed [IF APPLICABLE,</w:t>
      </w:r>
    </w:p>
    <w:p>
      <w:pPr>
        <w:spacing w:after="0" w:line="32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INSERT--on or before , %, and if redeemed] during the 12-month period beginning of the years indicated,</w:t>
      </w:r>
    </w:p>
    <w:p>
      <w:pPr>
        <w:sectPr>
          <w:pgSz w:w="11900" w:h="16838" w:orient="portrait"/>
          <w:cols w:equalWidth="0" w:num="1">
            <w:col w:w="10239"/>
          </w:cols>
          <w:pgMar w:left="220" w:top="450" w:right="1440" w:bottom="1440" w:gutter="0" w:footer="0" w:header="0"/>
        </w:sectPr>
      </w:pP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960" w:space="0"/>
            <w:col w:w="1120" w:space="160"/>
            <w:col w:w="780" w:space="0"/>
            <w:col w:w="7219"/>
          </w:cols>
          <w:pgMar w:left="220" w:top="450" w:right="1440" w:bottom="1440" w:gutter="0" w:footer="0" w:header="0"/>
          <w:type w:val="continuous"/>
        </w:sectPr>
      </w:pPr>
    </w:p>
    <w:p>
      <w:pPr>
        <w:spacing w:after="0"/>
        <w:tabs>
          <w:tab w:leader="none" w:pos="4300" w:val="left"/>
        </w:tabs>
        <w:rPr>
          <w:sz w:val="20"/>
          <w:szCs w:val="20"/>
          <w:color w:val="auto"/>
        </w:rPr>
      </w:pPr>
      <w:r>
        <w:rPr>
          <w:rFonts w:ascii="Courier New" w:cs="Courier New" w:eastAsia="Courier New" w:hAnsi="Courier New"/>
          <w:sz w:val="14"/>
          <w:szCs w:val="14"/>
          <w:color w:val="auto"/>
        </w:rPr>
        <w:t>and thereafter at a Redemption Price equal to</w:t>
      </w:r>
      <w:r>
        <w:rPr>
          <w:sz w:val="20"/>
          <w:szCs w:val="20"/>
          <w:color w:val="auto"/>
        </w:rPr>
        <w:tab/>
      </w:r>
      <w:r>
        <w:rPr>
          <w:rFonts w:ascii="Courier New" w:cs="Courier New" w:eastAsia="Courier New" w:hAnsi="Courier New"/>
          <w:sz w:val="14"/>
          <w:szCs w:val="14"/>
          <w:color w:val="auto"/>
        </w:rPr>
        <w:t>% of the principal amount,</w:t>
      </w:r>
    </w:p>
    <w:p>
      <w:pPr>
        <w:sectPr>
          <w:pgSz w:w="11900" w:h="16838" w:orient="portrait"/>
          <w:cols w:equalWidth="0" w:num="1">
            <w:col w:w="10239"/>
          </w:cols>
          <w:pgMar w:left="220" w:top="450" w:right="1440" w:bottom="1440" w:gutter="0" w:footer="0" w:header="0"/>
          <w:type w:val="continuous"/>
        </w:sectPr>
      </w:pP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together in the case of any such redemption [IF APPLICABLE, INSERT--(whether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redemption upon not less than 30 days' notice by mail, (1) on in any year commencing with the year and ending with the year through operation of the sinking fund for this series at the Redemption Prices for redemption</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through operation of the sinking fund (expressed as percentages of the principal amount) set forth in the table below, and (2) at any time [IF APPLICABLE,</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INSERT--on or after ], as a whole or in part, at the election of the Company, at the Redemption Prices for redemption otherwise than through operation of the sinking fund (expressed as percentages of the principal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 forth in the table below: If redeemed during the 12-month period beginning</w:t>
      </w:r>
    </w:p>
    <w:p>
      <w:pPr>
        <w:spacing w:after="0" w:line="32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the years indicated,</w:t>
      </w:r>
    </w:p>
    <w:p>
      <w:pPr>
        <w:sectPr>
          <w:pgSz w:w="11900" w:h="16838" w:orient="portrait"/>
          <w:cols w:equalWidth="0" w:num="1">
            <w:col w:w="1023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PRICE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 OF THE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SINKING FUND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REDEMPTION PRICE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REDEMPTION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OTHERWISE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OPERATION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SINKING FUND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960" w:space="0"/>
            <w:col w:w="1540" w:space="0"/>
            <w:col w:w="7739"/>
          </w:cols>
          <w:pgMar w:left="220" w:top="450" w:right="1440" w:bottom="1440" w:gutter="0" w:footer="0" w:header="0"/>
          <w:type w:val="continuous"/>
        </w:sectPr>
      </w:pPr>
    </w:p>
    <w:p>
      <w:pPr>
        <w:ind w:right="3599"/>
        <w:spacing w:after="0" w:line="250" w:lineRule="auto"/>
        <w:rPr>
          <w:sz w:val="20"/>
          <w:szCs w:val="20"/>
          <w:color w:val="auto"/>
        </w:rPr>
      </w:pPr>
      <w:r>
        <w:rPr>
          <w:rFonts w:ascii="Courier New" w:cs="Courier New" w:eastAsia="Courier New" w:hAnsi="Courier New"/>
          <w:sz w:val="14"/>
          <w:szCs w:val="14"/>
          <w:color w:val="auto"/>
        </w:rPr>
        <w:t>and thereafter at a Redemption Price equal to % of the principal amount, together in the case of any such redemption (whether through operation of the</w:t>
      </w:r>
    </w:p>
    <w:p>
      <w:pPr>
        <w:sectPr>
          <w:pgSz w:w="11900" w:h="16838" w:orient="portrait"/>
          <w:cols w:equalWidth="0" w:num="1">
            <w:col w:w="10239"/>
          </w:cols>
          <w:pgMar w:left="220" w:top="450" w:right="1440" w:bottom="1440" w:gutter="0" w:footer="0" w:header="0"/>
          <w:type w:val="continuous"/>
        </w:sectPr>
      </w:pP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sinking fund or otherwise) with accrued interest to the Redemption Date, but interest installments whose Stated Maturity is on or prior to such Redemption Date will be payable to the Holders of such Securities, or one or more Predecessor Securities, of record at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type w:val="continuous"/>
        </w:sectPr>
      </w:pPr>
    </w:p>
    <w:bookmarkStart w:id="406" w:name="page407"/>
    <w:bookmarkEnd w:id="406"/>
    <w:p>
      <w:pPr>
        <w:ind w:right="3519"/>
        <w:spacing w:after="0" w:line="255" w:lineRule="auto"/>
        <w:rPr>
          <w:sz w:val="20"/>
          <w:szCs w:val="20"/>
          <w:color w:val="auto"/>
        </w:rPr>
      </w:pPr>
      <w:r>
        <w:rPr>
          <w:rFonts w:ascii="Courier New" w:cs="Courier New" w:eastAsia="Courier New" w:hAnsi="Courier New"/>
          <w:sz w:val="14"/>
          <w:szCs w:val="14"/>
          <w:color w:val="auto"/>
        </w:rPr>
        <w:t>close of business on the relevant Record Dates referred to on the face hereof, all as provided in the Indenture.]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[IF APPLICABLE,</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INSERT--Notwithstanding the foregoing, the Company may not,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prior to</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redeem any Securities of this series as contemplated by [IF</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APPLICABLE,</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INSERT--Clause (2)</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preceding paragraph as a part of, or in</w:t>
            </w:r>
          </w:p>
        </w:tc>
      </w:tr>
      <w:tr>
        <w:trPr>
          <w:trHeight w:val="166"/>
        </w:trPr>
        <w:tc>
          <w:tcPr>
            <w:tcW w:w="2640" w:type="dxa"/>
            <w:vAlign w:val="bottom"/>
            <w:gridSpan w:val="4"/>
          </w:tcPr>
          <w:p>
            <w:pPr>
              <w:spacing w:after="0"/>
              <w:rPr>
                <w:sz w:val="20"/>
                <w:szCs w:val="20"/>
                <w:color w:val="auto"/>
              </w:rPr>
            </w:pPr>
            <w:r>
              <w:rPr>
                <w:rFonts w:ascii="Courier New" w:cs="Courier New" w:eastAsia="Courier New" w:hAnsi="Courier New"/>
                <w:sz w:val="14"/>
                <w:szCs w:val="14"/>
                <w:color w:val="auto"/>
              </w:rPr>
              <w:t>anticipation of, any refunding</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 by the application, directly or</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indirectly,</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moneys borrowed</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having an interest cost to the Company</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(calculated</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 accordance with generally accepted financial practice) of less</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than</w:t>
            </w:r>
          </w:p>
        </w:tc>
        <w:tc>
          <w:tcPr>
            <w:tcW w:w="228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 per annum.]</w:t>
            </w: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1"/>
        </w:trPr>
        <w:tc>
          <w:tcPr>
            <w:tcW w:w="3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[IF APPLICABLE,</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INSERT--The sinking fund for this series provides for the</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redemption on</w:t>
            </w:r>
          </w:p>
        </w:tc>
        <w:tc>
          <w:tcPr>
            <w:tcW w:w="36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 each year beginning with the year</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and ending with</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year of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[IF</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APPLICABLE, INSERT--not less than $</w:t>
            </w:r>
          </w:p>
        </w:tc>
        <w:tc>
          <w:tcPr>
            <w:tcW w:w="1520" w:type="dxa"/>
            <w:vAlign w:val="bottom"/>
          </w:tcPr>
          <w:p>
            <w:pPr>
              <w:spacing w:after="0"/>
              <w:rPr>
                <w:sz w:val="14"/>
                <w:szCs w:val="14"/>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("mandatory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sinking</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fund") and not more than] $</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principal amount of</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Securities of this series. Securities of this series</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acquired or</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redeemed by the Company otherwise than through [IF APPLICABLE,</w:t>
            </w:r>
          </w:p>
        </w:tc>
      </w:tr>
    </w:tbl>
    <w:p>
      <w:pPr>
        <w:spacing w:after="0" w:line="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INSERT--mandatory] sinking fund payments may be credited against subsequent [IF APPLICABLE, INSERT--mandatory] sinking fund payments otherwise required to be made in the [IF APPLICABLE, INSERT--inverse] order in which they become due.]</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[IF THE SECURITY IS SUBJECT TO REDEMPTION OF ANY KIND, INSERT--In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[IF APPLICABLE, INSERT--The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 SECURITY IS AN ORIGINAL ISSUE DISCOUNT SECURITY, INSERT--If an Event of Default with respect to Securities of this series shall occur and be continuing, an amount of principal of the Securities of this series may be declared due and payable in the manner and with the effect provided in the Indenture. Such amount shall be equal to--INSERT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407" w:name="page408"/>
    <w:bookmarkEnd w:id="407"/>
    <w:p>
      <w:pPr>
        <w:ind w:right="3339"/>
        <w:spacing w:after="0" w:line="251" w:lineRule="auto"/>
        <w:rPr>
          <w:sz w:val="20"/>
          <w:szCs w:val="20"/>
          <w:color w:val="auto"/>
        </w:rPr>
      </w:pPr>
      <w:r>
        <w:rPr>
          <w:rFonts w:ascii="Courier New" w:cs="Courier New" w:eastAsia="Courier New" w:hAnsi="Courier New"/>
          <w:sz w:val="14"/>
          <w:szCs w:val="14"/>
          <w:color w:val="auto"/>
        </w:rPr>
        <w:t>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Securities of this series are issuable only in registered form without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64"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2.04. FORM OF LEGEND FOR GLOBAL SECURITIES. Unless otherwise specified as contemplated by Section 3.01 for the Securities evidenced thereby, every Global Security authenticated and delivered hereunder shall bear a legend in substantially the following form:</w:t>
      </w:r>
    </w:p>
    <w:p>
      <w:pPr>
        <w:spacing w:after="0" w:line="162" w:lineRule="exact"/>
        <w:rPr>
          <w:sz w:val="20"/>
          <w:szCs w:val="20"/>
          <w:color w:val="auto"/>
        </w:rPr>
      </w:pPr>
    </w:p>
    <w:p>
      <w:pPr>
        <w:ind w:left="360" w:right="3679"/>
        <w:spacing w:after="0" w:line="25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0" w:right="1440" w:bottom="1440" w:gutter="0" w:footer="0" w:header="0"/>
        </w:sectPr>
      </w:pPr>
    </w:p>
    <w:bookmarkStart w:id="408" w:name="page409"/>
    <w:bookmarkEnd w:id="408"/>
    <w:p>
      <w:pPr>
        <w:ind w:right="3339" w:firstLine="344"/>
        <w:spacing w:after="0" w:line="257" w:lineRule="auto"/>
        <w:rPr>
          <w:sz w:val="20"/>
          <w:szCs w:val="20"/>
          <w:color w:val="auto"/>
        </w:rPr>
      </w:pPr>
      <w:r>
        <w:rPr>
          <w:rFonts w:ascii="Courier New" w:cs="Courier New" w:eastAsia="Courier New" w:hAnsi="Courier New"/>
          <w:sz w:val="14"/>
          <w:szCs w:val="14"/>
          <w:color w:val="auto"/>
        </w:rPr>
        <w:t>SECTION 2.05. FORM OF TRUSTEE'S CERTIFICATE OF AUTHENTICATION. The Trustee's certificates of authentication shall be in substantially the following form:</w:t>
      </w:r>
    </w:p>
    <w:p>
      <w:pPr>
        <w:spacing w:after="0" w:line="32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therein referred to in the within-mentioned Indenture.</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SECTION 3.01. AMOUNT UNLIMITED; ISSUABLE IN SERIES. The aggregate principal amount of Securities which may be authenticated and delivered under this Indenture is unlimited.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first issuance of a Security of any series,</w:t>
      </w:r>
    </w:p>
    <w:p>
      <w:pPr>
        <w:spacing w:after="0" w:line="165" w:lineRule="exact"/>
        <w:rPr>
          <w:sz w:val="20"/>
          <w:szCs w:val="20"/>
          <w:color w:val="auto"/>
        </w:rPr>
      </w:pPr>
    </w:p>
    <w:p>
      <w:pPr>
        <w:ind w:left="360" w:right="3519" w:firstLine="337"/>
        <w:spacing w:after="0" w:line="255"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Securities of any other series);</w:t>
      </w:r>
    </w:p>
    <w:p>
      <w:pPr>
        <w:spacing w:after="0" w:line="159"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62" w:lineRule="exact"/>
        <w:rPr>
          <w:rFonts w:ascii="Courier New" w:cs="Courier New" w:eastAsia="Courier New" w:hAnsi="Courier New"/>
          <w:sz w:val="14"/>
          <w:szCs w:val="14"/>
          <w:color w:val="auto"/>
        </w:rPr>
      </w:pPr>
    </w:p>
    <w:p>
      <w:pPr>
        <w:ind w:left="360" w:right="4119" w:firstLine="337"/>
        <w:spacing w:after="0" w:line="255"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or installments of principal of any Securities of the series is payable;</w:t>
      </w:r>
    </w:p>
    <w:p>
      <w:pPr>
        <w:spacing w:after="0" w:line="159"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64" w:lineRule="exact"/>
        <w:rPr>
          <w:rFonts w:ascii="Courier New" w:cs="Courier New" w:eastAsia="Courier New" w:hAnsi="Courier New"/>
          <w:sz w:val="14"/>
          <w:szCs w:val="14"/>
          <w:color w:val="auto"/>
        </w:rPr>
      </w:pPr>
    </w:p>
    <w:p>
      <w:pPr>
        <w:ind w:left="360" w:right="3859" w:firstLine="337"/>
        <w:spacing w:after="0" w:line="255"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any premium and interest on any Securities of the series shall be payable;</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409" w:name="page410"/>
    <w:bookmarkEnd w:id="409"/>
    <w:p>
      <w:pPr>
        <w:ind w:right="3419"/>
        <w:spacing w:after="0" w:line="255" w:lineRule="auto"/>
        <w:rPr>
          <w:sz w:val="20"/>
          <w:szCs w:val="20"/>
          <w:color w:val="auto"/>
        </w:rPr>
      </w:pPr>
      <w:r>
        <w:rPr>
          <w:rFonts w:ascii="Courier New" w:cs="Courier New" w:eastAsia="Courier New" w:hAnsi="Courier New"/>
          <w:sz w:val="14"/>
          <w:szCs w:val="14"/>
          <w:color w:val="auto"/>
        </w:rPr>
        <w:t>any Securities of the series shall be redeemed or purchased, in whole or in part, pursuant to such obligation;</w:t>
      </w:r>
    </w:p>
    <w:p>
      <w:pPr>
        <w:spacing w:after="0" w:line="160" w:lineRule="exact"/>
        <w:rPr>
          <w:sz w:val="20"/>
          <w:szCs w:val="20"/>
          <w:color w:val="auto"/>
        </w:rPr>
      </w:pPr>
    </w:p>
    <w:p>
      <w:pPr>
        <w:ind w:right="3599" w:firstLine="337"/>
        <w:spacing w:after="0" w:line="252"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any integral multiple thereof, the denominations in which any Securities of the series shall be issuable;</w:t>
      </w:r>
    </w:p>
    <w:p>
      <w:pPr>
        <w:spacing w:after="0" w:line="162" w:lineRule="exact"/>
        <w:rPr>
          <w:rFonts w:ascii="Courier New" w:cs="Courier New" w:eastAsia="Courier New" w:hAnsi="Courier New"/>
          <w:sz w:val="14"/>
          <w:szCs w:val="14"/>
          <w:color w:val="auto"/>
        </w:rPr>
      </w:pPr>
    </w:p>
    <w:p>
      <w:pPr>
        <w:ind w:right="3339" w:firstLine="251"/>
        <w:spacing w:after="0" w:line="252"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principal of or any premium or interest on any Securities of the series may be determined with reference to an index or pursuant to a formula, the manner in which such amounts shall be determined;</w:t>
      </w:r>
    </w:p>
    <w:p>
      <w:pPr>
        <w:spacing w:after="0" w:line="162" w:lineRule="exact"/>
        <w:rPr>
          <w:rFonts w:ascii="Courier New" w:cs="Courier New" w:eastAsia="Courier New" w:hAnsi="Courier New"/>
          <w:sz w:val="14"/>
          <w:szCs w:val="14"/>
          <w:color w:val="auto"/>
        </w:rPr>
      </w:pPr>
    </w:p>
    <w:p>
      <w:pPr>
        <w:ind w:right="3339" w:firstLine="251"/>
        <w:spacing w:after="0" w:line="251"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164" w:lineRule="exact"/>
        <w:rPr>
          <w:rFonts w:ascii="Courier New" w:cs="Courier New" w:eastAsia="Courier New" w:hAnsi="Courier New"/>
          <w:sz w:val="14"/>
          <w:szCs w:val="14"/>
          <w:color w:val="auto"/>
        </w:rPr>
      </w:pPr>
    </w:p>
    <w:p>
      <w:pPr>
        <w:ind w:right="3419" w:firstLine="251"/>
        <w:spacing w:after="0" w:line="251"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63" w:lineRule="exact"/>
        <w:rPr>
          <w:rFonts w:ascii="Courier New" w:cs="Courier New" w:eastAsia="Courier New" w:hAnsi="Courier New"/>
          <w:sz w:val="14"/>
          <w:szCs w:val="14"/>
          <w:color w:val="auto"/>
        </w:rPr>
      </w:pPr>
    </w:p>
    <w:p>
      <w:pPr>
        <w:ind w:right="3339" w:firstLine="251"/>
        <w:spacing w:after="0" w:line="253"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326" w:lineRule="exact"/>
        <w:rPr>
          <w:rFonts w:ascii="Courier New" w:cs="Courier New" w:eastAsia="Courier New" w:hAnsi="Courier New"/>
          <w:sz w:val="14"/>
          <w:szCs w:val="14"/>
          <w:color w:val="auto"/>
        </w:rPr>
      </w:pPr>
    </w:p>
    <w:p>
      <w:pPr>
        <w:ind w:right="3339" w:firstLine="251"/>
        <w:spacing w:after="0" w:line="251"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63" w:lineRule="exact"/>
        <w:rPr>
          <w:rFonts w:ascii="Courier New" w:cs="Courier New" w:eastAsia="Courier New" w:hAnsi="Courier New"/>
          <w:sz w:val="14"/>
          <w:szCs w:val="14"/>
          <w:color w:val="auto"/>
        </w:rPr>
      </w:pPr>
    </w:p>
    <w:p>
      <w:pPr>
        <w:ind w:right="3599" w:firstLine="251"/>
        <w:spacing w:after="0" w:line="250"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the Securities of the series, in whole or any specified part, shall be defeasible pursuant to Section 13.02 or Section</w:t>
      </w: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13.03 or both such Sections and, if other than by a Board Resolution, the manner in which any election by the Company to defease such Securities shall be evidenced;</w:t>
      </w:r>
    </w:p>
    <w:p>
      <w:pPr>
        <w:spacing w:after="0" w:line="162" w:lineRule="exact"/>
        <w:rPr>
          <w:rFonts w:ascii="Courier New" w:cs="Courier New" w:eastAsia="Courier New" w:hAnsi="Courier New"/>
          <w:sz w:val="14"/>
          <w:szCs w:val="14"/>
          <w:color w:val="auto"/>
        </w:rPr>
      </w:pPr>
    </w:p>
    <w:p>
      <w:pPr>
        <w:ind w:right="3339" w:firstLine="251"/>
        <w:spacing w:after="0" w:line="251"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63" w:lineRule="exact"/>
        <w:rPr>
          <w:rFonts w:ascii="Courier New" w:cs="Courier New" w:eastAsia="Courier New" w:hAnsi="Courier New"/>
          <w:sz w:val="14"/>
          <w:szCs w:val="14"/>
          <w:color w:val="auto"/>
        </w:rPr>
      </w:pPr>
    </w:p>
    <w:p>
      <w:pPr>
        <w:ind w:right="3339" w:firstLine="251"/>
        <w:spacing w:after="0" w:line="252"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limitation of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62" w:lineRule="exact"/>
        <w:rPr>
          <w:rFonts w:ascii="Courier New" w:cs="Courier New" w:eastAsia="Courier New" w:hAnsi="Courier New"/>
          <w:sz w:val="14"/>
          <w:szCs w:val="14"/>
          <w:color w:val="auto"/>
        </w:rPr>
      </w:pPr>
    </w:p>
    <w:p>
      <w:pPr>
        <w:ind w:right="3419" w:firstLine="251"/>
        <w:spacing w:after="0" w:line="255" w:lineRule="auto"/>
        <w:tabs>
          <w:tab w:leader="none" w:pos="68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limitation of or change in the covenants set forth in Article X which applies to Securities of the series; and</w:t>
      </w:r>
    </w:p>
    <w:p>
      <w:pPr>
        <w:spacing w:after="0" w:line="16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879"/>
          </w:cols>
          <w:pgMar w:left="580" w:top="450" w:right="1440" w:bottom="1440" w:gutter="0" w:footer="0" w:header="0"/>
        </w:sectPr>
      </w:pPr>
    </w:p>
    <w:bookmarkStart w:id="410" w:name="page411"/>
    <w:bookmarkEnd w:id="410"/>
    <w:p>
      <w:pPr>
        <w:ind w:left="360" w:right="3339" w:firstLine="251"/>
        <w:spacing w:after="0" w:line="252" w:lineRule="auto"/>
        <w:tabs>
          <w:tab w:leader="none" w:pos="1049"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 except as permitted by Section 9.01(5)).</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3.02. DENOMINATIONS.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3.03. EXECUTION, AUTHENTICATION, DELIVERY AND DATING. The Securities shall be executed on behalf of the Company by its Chairman of the Board, its Chief Executive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63" w:lineRule="exact"/>
        <w:rPr>
          <w:sz w:val="20"/>
          <w:szCs w:val="20"/>
          <w:color w:val="auto"/>
        </w:rPr>
      </w:pPr>
    </w:p>
    <w:p>
      <w:pPr>
        <w:ind w:left="360" w:right="3519" w:firstLine="337"/>
        <w:spacing w:after="0" w:line="252"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form of such Securities has been established by or pursuant to Board Resolution as permitted by Section 2.01, that such form has been established in conformity with the provisions of this Indenture;</w:t>
      </w:r>
    </w:p>
    <w:p>
      <w:pPr>
        <w:spacing w:after="0" w:line="162"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terms of such Securities have been established by or pursuant to Board Resolution as permitted by Section 3.01, that such terms have been established in conformity with the provisions of this Indenture; and</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0" w:right="1440" w:bottom="1440" w:gutter="0" w:footer="0" w:header="0"/>
        </w:sectPr>
      </w:pPr>
    </w:p>
    <w:bookmarkStart w:id="411" w:name="page412"/>
    <w:bookmarkEnd w:id="411"/>
    <w:p>
      <w:pPr>
        <w:ind w:right="3419" w:firstLine="344"/>
        <w:spacing w:after="0" w:line="251" w:lineRule="auto"/>
        <w:rPr>
          <w:sz w:val="20"/>
          <w:szCs w:val="20"/>
          <w:color w:val="auto"/>
        </w:rPr>
      </w:pPr>
      <w:r>
        <w:rPr>
          <w:rFonts w:ascii="Courier New" w:cs="Courier New" w:eastAsia="Courier New" w:hAnsi="Courier New"/>
          <w:sz w:val="14"/>
          <w:szCs w:val="14"/>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Each Security shall be dated the date of its authentication.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3.04. TEMPORARY SECURITIES. Pending the preparation of definitive Securities of any series, the Company may execute, and upon Company Order the Trustee shall authenticate and deliver, temporary Securities which are typewritten,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3.05. REGISTRATION, REGISTRATION OF TRANSFER AND EXCHANGE. 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0" w:right="1440" w:bottom="1440" w:gutter="0" w:footer="0" w:header="0"/>
        </w:sectPr>
      </w:pPr>
    </w:p>
    <w:bookmarkStart w:id="412" w:name="page413"/>
    <w:bookmarkEnd w:id="412"/>
    <w:p>
      <w:pPr>
        <w:ind w:right="3339"/>
        <w:spacing w:after="0" w:line="252" w:lineRule="auto"/>
        <w:rPr>
          <w:sz w:val="20"/>
          <w:szCs w:val="20"/>
          <w:color w:val="auto"/>
        </w:rPr>
      </w:pPr>
      <w:r>
        <w:rPr>
          <w:rFonts w:ascii="Courier New" w:cs="Courier New" w:eastAsia="Courier New" w:hAnsi="Courier New"/>
          <w:sz w:val="14"/>
          <w:szCs w:val="14"/>
          <w:color w:val="auto"/>
        </w:rPr>
        <w:t>surrendered for exchange, the Company shall execute, and the Trustee shall authenticate and deliver, the Securities which the Holder making the exchange is entitled to receive.</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provisions of Clauses (1), (2), (3) and (4) below shall apply only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Securities:</w:t>
      </w:r>
    </w:p>
    <w:p>
      <w:pPr>
        <w:spacing w:after="0" w:line="173" w:lineRule="exact"/>
        <w:rPr>
          <w:sz w:val="20"/>
          <w:szCs w:val="20"/>
          <w:color w:val="auto"/>
        </w:rPr>
      </w:pPr>
    </w:p>
    <w:p>
      <w:pPr>
        <w:ind w:left="360" w:right="3339" w:firstLine="337"/>
        <w:spacing w:after="0" w:line="251"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163"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3.06. MUTILATED, DESTROYED, LOST AND STOLEN SECURITIES.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413" w:name="page414"/>
    <w:bookmarkEnd w:id="413"/>
    <w:p>
      <w:pPr>
        <w:ind w:right="3419" w:firstLine="344"/>
        <w:spacing w:after="0" w:line="251" w:lineRule="auto"/>
        <w:rPr>
          <w:sz w:val="20"/>
          <w:szCs w:val="20"/>
          <w:color w:val="auto"/>
        </w:rPr>
      </w:pPr>
      <w:r>
        <w:rPr>
          <w:rFonts w:ascii="Courier New" w:cs="Courier New" w:eastAsia="Courier New" w:hAnsi="Courier New"/>
          <w:sz w:val="14"/>
          <w:szCs w:val="14"/>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3.07. PAYMENT OF INTEREST; INTEREST RIGHTS PRESERVED. 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4" w:lineRule="exact"/>
        <w:rPr>
          <w:sz w:val="20"/>
          <w:szCs w:val="20"/>
          <w:color w:val="auto"/>
        </w:rPr>
      </w:pPr>
    </w:p>
    <w:p>
      <w:pPr>
        <w:ind w:left="360" w:right="3339" w:firstLine="337"/>
        <w:spacing w:after="0" w:line="250"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0" w:right="1440" w:bottom="1440" w:gutter="0" w:footer="0" w:header="0"/>
        </w:sectPr>
      </w:pPr>
    </w:p>
    <w:bookmarkStart w:id="414" w:name="page415"/>
    <w:bookmarkEnd w:id="414"/>
    <w:p>
      <w:pPr>
        <w:ind w:left="360" w:right="3339"/>
        <w:spacing w:after="0" w:line="255" w:lineRule="auto"/>
        <w:rPr>
          <w:sz w:val="20"/>
          <w:szCs w:val="20"/>
          <w:color w:val="auto"/>
        </w:rPr>
      </w:pPr>
      <w:r>
        <w:rPr>
          <w:rFonts w:ascii="Courier New" w:cs="Courier New" w:eastAsia="Courier New" w:hAnsi="Courier New"/>
          <w:sz w:val="14"/>
          <w:szCs w:val="14"/>
          <w:color w:val="auto"/>
        </w:rPr>
        <w:t>registered at the close of business on such Special Record Date and shall no longer be payable pursuant to the following Clause (2).</w:t>
      </w:r>
    </w:p>
    <w:p>
      <w:pPr>
        <w:spacing w:after="0" w:line="160" w:lineRule="exact"/>
        <w:rPr>
          <w:sz w:val="20"/>
          <w:szCs w:val="20"/>
          <w:color w:val="auto"/>
        </w:rPr>
      </w:pPr>
    </w:p>
    <w:p>
      <w:pPr>
        <w:ind w:left="360" w:right="3419" w:firstLine="337"/>
        <w:spacing w:after="0" w:line="251"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3.08.</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PERSONS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DEEMED OWNERS.  Prior to due</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presentment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of a</w:t>
            </w:r>
          </w:p>
        </w:tc>
      </w:tr>
      <w:tr>
        <w:trPr>
          <w:trHeight w:val="166"/>
        </w:trPr>
        <w:tc>
          <w:tcPr>
            <w:tcW w:w="4840" w:type="dxa"/>
            <w:vAlign w:val="bottom"/>
            <w:gridSpan w:val="5"/>
          </w:tcPr>
          <w:p>
            <w:pPr>
              <w:spacing w:after="0"/>
              <w:rPr>
                <w:sz w:val="20"/>
                <w:szCs w:val="20"/>
                <w:color w:val="auto"/>
              </w:rPr>
            </w:pPr>
            <w:r>
              <w:rPr>
                <w:rFonts w:ascii="Courier New" w:cs="Courier New" w:eastAsia="Courier New" w:hAnsi="Courier New"/>
                <w:sz w:val="14"/>
                <w:szCs w:val="14"/>
                <w:color w:val="auto"/>
              </w:rPr>
              <w:t>Security for registration of transfer, the Company, the</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Trustee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any agent of</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or the Trustee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may treat the Person in whose</w:t>
            </w: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name such Security is</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registered as the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owner of</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such Security for the purpose</w:t>
            </w: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receiving payment of</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principal of and any</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premium and (subject to Section 3.07) any</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on such</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Security and for all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purposes whatsoever, whether</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or not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Security be</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overdue, and neither</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Company, the Trustee nor any agent of</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Company 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Trustee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affected by notice to the contrary.</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3.09. CANCELLATION. 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destroyed, and the Trustee shall have provide proof of destruction to the Company.</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SECTION 3.10. COMPUTATION OF INTEREST. Except as otherwise specified as contemplated by Section 3.01 for Securities of any series, interest on the Securities of each series shall be computed on the basis of a 360-day year of twelve 30-day months.</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SATISFACTION AND DISCHARGE</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4.01. SATISFACTION AND DISCHARGE OF INDENTURE. 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64" w:lineRule="exact"/>
        <w:rPr>
          <w:sz w:val="20"/>
          <w:szCs w:val="20"/>
          <w:color w:val="auto"/>
        </w:rPr>
      </w:pPr>
    </w:p>
    <w:p>
      <w:pPr>
        <w:ind w:left="360" w:right="3419" w:firstLine="337"/>
        <w:spacing w:after="0" w:line="251" w:lineRule="auto"/>
        <w:tabs>
          <w:tab w:leader="none" w:pos="1049"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 (B) all such Securities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0" w:right="1440" w:bottom="1440" w:gutter="0" w:footer="0" w:header="0"/>
        </w:sectPr>
      </w:pPr>
    </w:p>
    <w:bookmarkStart w:id="415" w:name="page416"/>
    <w:bookmarkEnd w:id="415"/>
    <w:p>
      <w:pPr>
        <w:ind w:left="360" w:right="3339"/>
        <w:spacing w:after="0" w:line="251" w:lineRule="auto"/>
        <w:rPr>
          <w:sz w:val="20"/>
          <w:szCs w:val="20"/>
          <w:color w:val="auto"/>
        </w:rPr>
      </w:pPr>
      <w:r>
        <w:rPr>
          <w:rFonts w:ascii="Courier New" w:cs="Courier New" w:eastAsia="Courier New" w:hAnsi="Courier New"/>
          <w:sz w:val="14"/>
          <w:szCs w:val="14"/>
          <w:color w:val="auto"/>
        </w:rPr>
        <w:t>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64" w:lineRule="exact"/>
        <w:rPr>
          <w:sz w:val="20"/>
          <w:szCs w:val="20"/>
          <w:color w:val="auto"/>
        </w:rPr>
      </w:pPr>
    </w:p>
    <w:p>
      <w:pPr>
        <w:ind w:left="360" w:right="3679" w:firstLine="337"/>
        <w:spacing w:after="0" w:line="255" w:lineRule="auto"/>
        <w:tabs>
          <w:tab w:leader="none" w:pos="1049"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and</w:t>
      </w:r>
    </w:p>
    <w:p>
      <w:pPr>
        <w:spacing w:after="0" w:line="159"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4.02. APPLICATION OF TRUST MONEY.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5.01. EVENTS OF DEFAULT.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4" w:lineRule="exact"/>
        <w:rPr>
          <w:sz w:val="20"/>
          <w:szCs w:val="20"/>
          <w:color w:val="auto"/>
        </w:rPr>
      </w:pPr>
    </w:p>
    <w:p>
      <w:pPr>
        <w:ind w:left="360" w:right="3419" w:firstLine="337"/>
        <w:spacing w:after="0" w:line="252" w:lineRule="auto"/>
        <w:tabs>
          <w:tab w:leader="none" w:pos="1049"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upon any Security of that series when it becomes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360" w:right="3679" w:firstLine="337"/>
        <w:spacing w:after="0" w:line="255" w:lineRule="auto"/>
        <w:tabs>
          <w:tab w:leader="none" w:pos="1049"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any premium on any Security of that series at its Maturity; or</w:t>
      </w:r>
    </w:p>
    <w:p>
      <w:pPr>
        <w:spacing w:after="0" w:line="159" w:lineRule="exact"/>
        <w:rPr>
          <w:rFonts w:ascii="Courier New" w:cs="Courier New" w:eastAsia="Courier New" w:hAnsi="Courier New"/>
          <w:sz w:val="14"/>
          <w:szCs w:val="14"/>
          <w:color w:val="auto"/>
        </w:rPr>
      </w:pPr>
    </w:p>
    <w:p>
      <w:pPr>
        <w:ind w:left="360" w:right="3419" w:firstLine="337"/>
        <w:spacing w:after="0" w:line="255" w:lineRule="auto"/>
        <w:tabs>
          <w:tab w:leader="none" w:pos="1049"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 Security of that series; or</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30 days after there has been given, by registered or certified mail, to the Company by the Trustee or to the Company and the Trustee by the Holders of at least 10% in principal amount of the Outstanding Securities of that series a written notice specifying such default or breach and requiring it to be remedied and stating that such notice is a "Notice of Default" hereunder; or</w:t>
      </w:r>
    </w:p>
    <w:p>
      <w:pPr>
        <w:spacing w:after="0" w:line="163" w:lineRule="exact"/>
        <w:rPr>
          <w:rFonts w:ascii="Courier New" w:cs="Courier New" w:eastAsia="Courier New" w:hAnsi="Courier New"/>
          <w:sz w:val="14"/>
          <w:szCs w:val="14"/>
          <w:color w:val="auto"/>
        </w:rPr>
      </w:pPr>
    </w:p>
    <w:p>
      <w:pPr>
        <w:ind w:left="360" w:right="3599" w:firstLine="337"/>
        <w:spacing w:after="0" w:line="251" w:lineRule="auto"/>
        <w:tabs>
          <w:tab w:leader="none" w:pos="1049"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any bond, debenture, note or other evidence of indebtedness for money borrowed by the Company (including a default with respect to Securities of any series other than that series), or under any mortgage, indenture or instrument (including this Indenture) under which there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0" w:right="1440" w:bottom="1440" w:gutter="0" w:footer="0" w:header="0"/>
        </w:sectPr>
      </w:pPr>
    </w:p>
    <w:bookmarkStart w:id="416" w:name="page417"/>
    <w:bookmarkEnd w:id="416"/>
    <w:p>
      <w:pPr>
        <w:ind w:left="360" w:right="3339"/>
        <w:spacing w:after="0" w:line="250" w:lineRule="auto"/>
        <w:rPr>
          <w:sz w:val="20"/>
          <w:szCs w:val="20"/>
          <w:color w:val="auto"/>
        </w:rPr>
      </w:pPr>
      <w:r>
        <w:rPr>
          <w:rFonts w:ascii="Courier New" w:cs="Courier New" w:eastAsia="Courier New" w:hAnsi="Courier New"/>
          <w:sz w:val="14"/>
          <w:szCs w:val="14"/>
          <w:color w:val="auto"/>
        </w:rPr>
        <w:t>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w:t>
      </w:r>
    </w:p>
    <w:p>
      <w:pPr>
        <w:spacing w:after="0" w:line="3" w:lineRule="exact"/>
        <w:rPr>
          <w:sz w:val="20"/>
          <w:szCs w:val="20"/>
          <w:color w:val="auto"/>
        </w:rPr>
      </w:pPr>
    </w:p>
    <w:p>
      <w:pPr>
        <w:ind w:left="360" w:right="3419" w:hanging="7"/>
        <w:spacing w:after="0" w:line="251" w:lineRule="auto"/>
        <w:tabs>
          <w:tab w:leader="none" w:pos="705"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by registered or certified mail, to the Company by the Trustee or to the Company and the Trustee by the Holders of at least 25% in principal amount of the Outstanding Securities of that series a written notice specifying such default and requiring the Company to cause such indebtedness to be discharged or cause such acceleration to be rescinded or annulled, as the case may be, and stating that such notice is a "Notice of Default" hereunder; or</w:t>
      </w:r>
    </w:p>
    <w:p>
      <w:pPr>
        <w:spacing w:after="0" w:line="162" w:lineRule="exact"/>
        <w:rPr>
          <w:rFonts w:ascii="Courier New" w:cs="Courier New" w:eastAsia="Courier New" w:hAnsi="Courier New"/>
          <w:sz w:val="14"/>
          <w:szCs w:val="14"/>
          <w:color w:val="auto"/>
        </w:rPr>
      </w:pPr>
    </w:p>
    <w:p>
      <w:pPr>
        <w:ind w:left="360" w:right="3419" w:firstLine="337"/>
        <w:spacing w:after="0" w:line="250" w:lineRule="auto"/>
        <w:tabs>
          <w:tab w:leader="none" w:pos="1049"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the Company or any of its Restricted Subsidiaries in an involuntary case or proceeding under any applicable Federal or State bankruptcy, insolvency, reorganization or other similar law or (B) a decree or order adjudging the Company or any of its Restricted Subsidiaries a bankrupt or insolvent, or approving as properly filed a petition seeking reorganization, arrangement, adjustment or composition of or in respect of the Company or any of its Restricted Subsidiaries under any applicable Federal or State law, or appointing a custodian, receiver, liquidator, assignee, trustee, sequestrator or other similar official of the Company or any of its Restricted Subsidiaries or of any substantial part of its property (or that of any such Restricted Subsidiary), or ordering the winding up or liquidation of its affairs, and the continuance of any such decree or order for relief or any such other decree or order unstayed and in effect for a period of 60 consecutive days; or</w:t>
      </w:r>
    </w:p>
    <w:p>
      <w:pPr>
        <w:spacing w:after="0" w:line="172" w:lineRule="exact"/>
        <w:rPr>
          <w:rFonts w:ascii="Courier New" w:cs="Courier New" w:eastAsia="Courier New" w:hAnsi="Courier New"/>
          <w:sz w:val="14"/>
          <w:szCs w:val="14"/>
          <w:color w:val="auto"/>
        </w:rPr>
      </w:pPr>
    </w:p>
    <w:p>
      <w:pPr>
        <w:ind w:left="360" w:right="3339" w:firstLine="337"/>
        <w:spacing w:after="0" w:line="250" w:lineRule="auto"/>
        <w:tabs>
          <w:tab w:leader="none" w:pos="1049"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or any of its Restricted Subsidiaries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any of its Restricted Subsidiaries or of any substantial part of its property (or that of any such Restricted Subsidiary), or the making by it of an assignment for the benefit of creditors, or the admission by it in writing of its inability to pay its debts generally as they become due, or the taking of corporate action by the Company or any of its Restricted Subsidiaries in furtherance of any such action; or</w:t>
      </w:r>
    </w:p>
    <w:p>
      <w:pPr>
        <w:spacing w:after="0" w:line="173" w:lineRule="exact"/>
        <w:rPr>
          <w:rFonts w:ascii="Courier New" w:cs="Courier New" w:eastAsia="Courier New" w:hAnsi="Courier New"/>
          <w:sz w:val="14"/>
          <w:szCs w:val="14"/>
          <w:color w:val="auto"/>
        </w:rPr>
      </w:pPr>
    </w:p>
    <w:p>
      <w:pPr>
        <w:ind w:left="360" w:right="3599" w:firstLine="337"/>
        <w:spacing w:after="0" w:line="255" w:lineRule="auto"/>
        <w:tabs>
          <w:tab w:leader="none" w:pos="1049"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Securities of that series.</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5.02. ACCELERATION OF MATURITY; RESCISSION AND ANNULMENT. If an Event of Default (other than an Event of Default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5.01(6) or 5.01(7) with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0" w:right="1440" w:bottom="1440" w:gutter="0" w:footer="0" w:header="0"/>
        </w:sectPr>
      </w:pPr>
    </w:p>
    <w:bookmarkStart w:id="417" w:name="page418"/>
    <w:bookmarkEnd w:id="417"/>
    <w:p>
      <w:pPr>
        <w:ind w:right="3419"/>
        <w:spacing w:after="0" w:line="251" w:lineRule="auto"/>
        <w:rPr>
          <w:sz w:val="20"/>
          <w:szCs w:val="20"/>
          <w:color w:val="auto"/>
        </w:rPr>
      </w:pPr>
      <w:r>
        <w:rPr>
          <w:rFonts w:ascii="Courier New" w:cs="Courier New" w:eastAsia="Courier New" w:hAnsi="Courier New"/>
          <w:sz w:val="14"/>
          <w:szCs w:val="14"/>
          <w:color w:val="auto"/>
        </w:rPr>
        <w:t>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64" w:lineRule="exact"/>
        <w:rPr>
          <w:sz w:val="20"/>
          <w:szCs w:val="20"/>
          <w:color w:val="auto"/>
        </w:rPr>
      </w:pPr>
    </w:p>
    <w:p>
      <w:pPr>
        <w:ind w:left="360" w:right="3339" w:firstLine="337"/>
        <w:spacing w:after="0" w:line="251" w:lineRule="auto"/>
        <w:tabs>
          <w:tab w:leader="none" w:pos="1049"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sufficient to pay (A) all overdue interest on all Securities of that series, (B) the principal of (and premium, if any, on) any Securities of that series which have become due otherwise than by such declaration of acceleration and any interest thereon at the rate or rates prescribed therefor in such Securities, (C) to the extent that payment of such interest is lawful, interest upon overdue interest at the rate or rates prescribed therefor in such Securities, and (D) all sums paid or advanced by the Trustee hereunder and the reasonable compensation, expenses, disbursements and advances of the Trustee, its agents and counsel, and any other amounts due to the Trustee under Section 6.07; and</w:t>
      </w:r>
    </w:p>
    <w:p>
      <w:pPr>
        <w:spacing w:after="0" w:line="329" w:lineRule="exact"/>
        <w:rPr>
          <w:rFonts w:ascii="Courier New" w:cs="Courier New" w:eastAsia="Courier New" w:hAnsi="Courier New"/>
          <w:sz w:val="14"/>
          <w:szCs w:val="14"/>
          <w:color w:val="auto"/>
        </w:rPr>
      </w:pPr>
    </w:p>
    <w:p>
      <w:pPr>
        <w:jc w:val="both"/>
        <w:ind w:left="360" w:right="3419" w:firstLine="337"/>
        <w:spacing w:after="0" w:line="252" w:lineRule="auto"/>
        <w:tabs>
          <w:tab w:leader="none" w:pos="1049"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No such rescission and annulment shall affect any subsequent default or impair any right consequent thereon.</w:t>
      </w:r>
    </w:p>
    <w:p>
      <w:pPr>
        <w:spacing w:after="0" w:line="160"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SECTION 5.03. COLLECTION OF INDEBTEDNESS AND SUITS FOR ENFORCEMENT BY TRUSTEE. The Company covenants that if:</w:t>
      </w:r>
    </w:p>
    <w:p>
      <w:pPr>
        <w:spacing w:after="0" w:line="160" w:lineRule="exact"/>
        <w:rPr>
          <w:sz w:val="20"/>
          <w:szCs w:val="20"/>
          <w:color w:val="auto"/>
        </w:rPr>
      </w:pPr>
    </w:p>
    <w:p>
      <w:pPr>
        <w:ind w:left="360" w:right="3419" w:firstLine="337"/>
        <w:spacing w:after="0" w:line="252" w:lineRule="auto"/>
        <w:tabs>
          <w:tab w:leader="none" w:pos="1049"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interest on any Security when such interest becomes due and payable and such default continues for a period of 30 days, or</w:t>
      </w:r>
    </w:p>
    <w:p>
      <w:pPr>
        <w:spacing w:after="0" w:line="162" w:lineRule="exact"/>
        <w:rPr>
          <w:rFonts w:ascii="Courier New" w:cs="Courier New" w:eastAsia="Courier New" w:hAnsi="Courier New"/>
          <w:sz w:val="14"/>
          <w:szCs w:val="14"/>
          <w:color w:val="auto"/>
        </w:rPr>
      </w:pPr>
    </w:p>
    <w:p>
      <w:pPr>
        <w:ind w:left="360" w:right="3519" w:firstLine="337"/>
        <w:spacing w:after="0" w:line="255" w:lineRule="auto"/>
        <w:tabs>
          <w:tab w:leader="none" w:pos="1049"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(or premium, if any, on) any Security at the Maturity thereof,</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and any other amounts due to the Trustee under Section 6.07.</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49" w:right="1440" w:bottom="1440" w:gutter="0" w:footer="0" w:header="0"/>
        </w:sectPr>
      </w:pPr>
    </w:p>
    <w:bookmarkStart w:id="418" w:name="page419"/>
    <w:bookmarkEnd w:id="418"/>
    <w:p>
      <w:pPr>
        <w:ind w:right="3339" w:firstLine="344"/>
        <w:spacing w:after="0" w:line="250" w:lineRule="auto"/>
        <w:rPr>
          <w:sz w:val="20"/>
          <w:szCs w:val="20"/>
          <w:color w:val="auto"/>
        </w:rPr>
      </w:pPr>
      <w:r>
        <w:rPr>
          <w:rFonts w:ascii="Courier New" w:cs="Courier New" w:eastAsia="Courier New" w:hAnsi="Courier New"/>
          <w:sz w:val="14"/>
          <w:szCs w:val="14"/>
          <w:color w:val="auto"/>
        </w:rPr>
        <w:t>SECTION 5.04. TRUSTEE MAY FILE PROOFS OF CLAIM. 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(i) file and prove a claim for the whole amount of principal and any premium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under Section 6.07) and of the Holders allowed in such judicial proceeding; and (ii)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7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5.05. TRUSTEE MAY ENFORCE CLAIMS WITHOUT POSSESSION OF SECURITIES.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and for any other amounts due to the Trustee under Section 6.07, be for the ratable benefit of the Holders of the Securities in respect of which such judgment has been recovered.</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5.06. APPLICATION OF MONEY COLLECTED.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FIRST: To the payment of all amounts due the Trustee under Section 6.07; and</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THIRD: The balance, if any, to the Persons or Persons entitled thereto.</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5.07. LIMITATION ON SUITS. 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360" w:right="3419" w:firstLine="337"/>
        <w:spacing w:after="0" w:line="255" w:lineRule="auto"/>
        <w:tabs>
          <w:tab w:leader="none" w:pos="1049"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Securities of that series;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0" w:right="1440" w:bottom="1440" w:gutter="0" w:footer="0" w:header="0"/>
        </w:sectPr>
      </w:pPr>
    </w:p>
    <w:bookmarkStart w:id="419" w:name="page420"/>
    <w:bookmarkEnd w:id="419"/>
    <w:p>
      <w:pPr>
        <w:ind w:left="360" w:right="3339" w:firstLine="337"/>
        <w:spacing w:after="0" w:line="252" w:lineRule="auto"/>
        <w:tabs>
          <w:tab w:leader="none" w:pos="104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2" w:lineRule="exact"/>
        <w:rPr>
          <w:rFonts w:ascii="Courier New" w:cs="Courier New" w:eastAsia="Courier New" w:hAnsi="Courier New"/>
          <w:sz w:val="14"/>
          <w:szCs w:val="14"/>
          <w:color w:val="auto"/>
        </w:rPr>
      </w:pPr>
    </w:p>
    <w:p>
      <w:pPr>
        <w:ind w:left="360" w:right="3779" w:firstLine="337"/>
        <w:spacing w:after="0" w:line="252" w:lineRule="auto"/>
        <w:tabs>
          <w:tab w:leader="none" w:pos="104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162" w:lineRule="exact"/>
        <w:rPr>
          <w:rFonts w:ascii="Courier New" w:cs="Courier New" w:eastAsia="Courier New" w:hAnsi="Courier New"/>
          <w:sz w:val="14"/>
          <w:szCs w:val="14"/>
          <w:color w:val="auto"/>
        </w:rPr>
      </w:pPr>
    </w:p>
    <w:p>
      <w:pPr>
        <w:ind w:left="360" w:right="3599" w:firstLine="337"/>
        <w:spacing w:after="0" w:line="255" w:lineRule="auto"/>
        <w:tabs>
          <w:tab w:leader="none" w:pos="104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5.08. UNCONDITIONAL RIGHT OF HOLDERS TO RECEIVE PRINCIPAL, PREMIUM AND INTEREST. Notwithstanding any other provision in this Indenture, the Holder of any Security shall have the right, which is absolute and unconditional, to receive payment of the principal of and any premium and (subject to Section</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3.07)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5.10. RIGHTS AND REMEDIES CUMULATIVE.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5.11. DELAY OR OMISSION NOT WAIVER.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5.12. CONTROL BY HOLDERS.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65" w:lineRule="exact"/>
        <w:rPr>
          <w:sz w:val="20"/>
          <w:szCs w:val="20"/>
          <w:color w:val="auto"/>
        </w:rPr>
      </w:pPr>
    </w:p>
    <w:p>
      <w:pPr>
        <w:ind w:left="360" w:right="3339" w:firstLine="337"/>
        <w:spacing w:after="0" w:line="255" w:lineRule="auto"/>
        <w:tabs>
          <w:tab w:leader="none" w:pos="1049"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0" w:right="1440" w:bottom="1440" w:gutter="0" w:footer="0" w:header="0"/>
        </w:sectPr>
      </w:pPr>
    </w:p>
    <w:bookmarkStart w:id="420" w:name="page421"/>
    <w:bookmarkEnd w:id="420"/>
    <w:p>
      <w:pPr>
        <w:ind w:left="360" w:right="3519" w:firstLine="337"/>
        <w:spacing w:after="0" w:line="255" w:lineRule="auto"/>
        <w:tabs>
          <w:tab w:leader="none" w:pos="1049"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w:t>
      </w:r>
    </w:p>
    <w:p>
      <w:pPr>
        <w:spacing w:after="0" w:line="16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5.13. WAIVER OF PAST DEFAULTS. 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165" w:lineRule="exact"/>
        <w:rPr>
          <w:sz w:val="20"/>
          <w:szCs w:val="20"/>
          <w:color w:val="auto"/>
        </w:rPr>
      </w:pPr>
    </w:p>
    <w:p>
      <w:pPr>
        <w:ind w:left="360" w:right="3339" w:firstLine="337"/>
        <w:spacing w:after="0" w:line="255" w:lineRule="auto"/>
        <w:tabs>
          <w:tab w:leader="none" w:pos="1049"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any premium or interest on any Security of such series, or</w:t>
      </w:r>
    </w:p>
    <w:p>
      <w:pPr>
        <w:spacing w:after="0" w:line="159"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IX cannot be modified or amended without the consent of the Holder of each Outstanding Security of such series affected.</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5.14. UNDERTAKING FOR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Trustee, to any suit instituted by any Holder, or group of Holders, holding in the aggregate more than 25% in principal amount of the Outstanding Securities of any series, or to any suit instituted by any Holder of any Security for the enforcement of the payment of the principal and any premium and interest on any Security on or after the Stated Maturity or Maturities expressed in such Security (or, in the case of redemption, on or after the Redemption Date).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TRUSTEE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6.01. CERTAIN DUTIES AND RESPONSIBILITIES. 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3" w:lineRule="exact"/>
        <w:rPr>
          <w:sz w:val="20"/>
          <w:szCs w:val="20"/>
          <w:color w:val="auto"/>
        </w:rPr>
      </w:pPr>
    </w:p>
    <w:p>
      <w:pPr>
        <w:jc w:val="both"/>
        <w:ind w:right="3859" w:firstLine="344"/>
        <w:spacing w:after="0" w:line="252" w:lineRule="auto"/>
        <w:rPr>
          <w:sz w:val="20"/>
          <w:szCs w:val="20"/>
          <w:color w:val="auto"/>
        </w:rPr>
      </w:pPr>
      <w:r>
        <w:rPr>
          <w:rFonts w:ascii="Courier New" w:cs="Courier New" w:eastAsia="Courier New" w:hAnsi="Courier New"/>
          <w:sz w:val="14"/>
          <w:szCs w:val="14"/>
          <w:color w:val="auto"/>
        </w:rPr>
        <w:t>SECTION 6.02. NOTICE OF DEFAULTS. If a default occurs hereunder with respect to Securities of any series, the Trustee shall give the Holders of Securities of such series notice of such default as and to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0" w:right="1440" w:bottom="1440" w:gutter="0" w:footer="0" w:header="0"/>
        </w:sectPr>
      </w:pPr>
    </w:p>
    <w:bookmarkStart w:id="421" w:name="page422"/>
    <w:bookmarkEnd w:id="421"/>
    <w:p>
      <w:pPr>
        <w:ind w:right="3339"/>
        <w:spacing w:after="0" w:line="251" w:lineRule="auto"/>
        <w:rPr>
          <w:sz w:val="20"/>
          <w:szCs w:val="20"/>
          <w:color w:val="auto"/>
        </w:rPr>
      </w:pPr>
      <w:r>
        <w:rPr>
          <w:rFonts w:ascii="Courier New" w:cs="Courier New" w:eastAsia="Courier New" w:hAnsi="Courier New"/>
          <w:sz w:val="14"/>
          <w:szCs w:val="14"/>
          <w:color w:val="auto"/>
        </w:rPr>
        <w:t>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330" w:lineRule="exact"/>
        <w:rPr>
          <w:sz w:val="20"/>
          <w:szCs w:val="20"/>
          <w:color w:val="auto"/>
        </w:rPr>
      </w:pPr>
    </w:p>
    <w:p>
      <w:pPr>
        <w:ind w:left="360"/>
        <w:spacing w:after="0"/>
        <w:tabs>
          <w:tab w:leader="none" w:pos="1620" w:val="left"/>
          <w:tab w:leader="none" w:pos="4040" w:val="left"/>
        </w:tabs>
        <w:rPr>
          <w:sz w:val="20"/>
          <w:szCs w:val="20"/>
          <w:color w:val="auto"/>
        </w:rPr>
      </w:pPr>
      <w:r>
        <w:rPr>
          <w:rFonts w:ascii="Courier New" w:cs="Courier New" w:eastAsia="Courier New" w:hAnsi="Courier New"/>
          <w:sz w:val="14"/>
          <w:szCs w:val="14"/>
          <w:color w:val="auto"/>
        </w:rPr>
        <w:t>SECTION 6.03.</w:t>
        <w:tab/>
        <w:t>CERTAIN RIGHTS OF TRUSTEE.</w:t>
        <w:tab/>
        <w:t>Subject to the provisions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6.01:</w:t>
      </w:r>
    </w:p>
    <w:p>
      <w:pPr>
        <w:spacing w:after="0" w:line="173" w:lineRule="exact"/>
        <w:rPr>
          <w:sz w:val="20"/>
          <w:szCs w:val="20"/>
          <w:color w:val="auto"/>
        </w:rPr>
      </w:pPr>
    </w:p>
    <w:p>
      <w:pPr>
        <w:ind w:left="360" w:right="3419" w:firstLine="337"/>
        <w:spacing w:after="0" w:line="251"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64" w:lineRule="exact"/>
        <w:rPr>
          <w:rFonts w:ascii="Courier New" w:cs="Courier New" w:eastAsia="Courier New" w:hAnsi="Courier New"/>
          <w:sz w:val="14"/>
          <w:szCs w:val="14"/>
          <w:color w:val="auto"/>
        </w:rPr>
      </w:pPr>
    </w:p>
    <w:p>
      <w:pPr>
        <w:ind w:left="360" w:right="3599" w:firstLine="337"/>
        <w:spacing w:after="0" w:line="252"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4"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63"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164" w:lineRule="exact"/>
        <w:rPr>
          <w:rFonts w:ascii="Courier New" w:cs="Courier New" w:eastAsia="Courier New" w:hAnsi="Courier New"/>
          <w:sz w:val="14"/>
          <w:szCs w:val="14"/>
          <w:color w:val="auto"/>
        </w:rPr>
      </w:pPr>
    </w:p>
    <w:p>
      <w:pPr>
        <w:ind w:left="360" w:right="3339" w:firstLine="337"/>
        <w:spacing w:after="0" w:line="250" w:lineRule="auto"/>
        <w:tabs>
          <w:tab w:leader="none" w:pos="1049"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Sections 1.02, 10.01 and 10.04, the Trustee shall have no duty to inquire as to the performance of the Issuers' covenants in Article X. In addition, the Trustee shall not be deemed to have knowledge of any Default or Event of Default except (i) any Event of Default occurring pursuant to Sections 1.02, 5.01(1), 5.01(2), 10.01 and 10.04 or</w:t>
      </w:r>
    </w:p>
    <w:p>
      <w:pPr>
        <w:spacing w:after="0" w:line="2" w:lineRule="exact"/>
        <w:rPr>
          <w:rFonts w:ascii="Courier New" w:cs="Courier New" w:eastAsia="Courier New" w:hAnsi="Courier New"/>
          <w:sz w:val="14"/>
          <w:szCs w:val="14"/>
          <w:color w:val="auto"/>
        </w:rPr>
      </w:pPr>
    </w:p>
    <w:p>
      <w:pPr>
        <w:ind w:left="360" w:right="4019" w:hanging="7"/>
        <w:spacing w:after="0" w:line="255" w:lineRule="auto"/>
        <w:tabs>
          <w:tab w:leader="none" w:pos="791"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or Event of Default on which the Trustee shall have received written notification or obtained actual knowledge.</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6.04. NOT RESPONSIBLE FOR RECITALS OR ISSUANCE OF SECURITIES.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0" w:right="1440" w:bottom="1440" w:gutter="0" w:footer="0" w:header="0"/>
        </w:sectPr>
      </w:pPr>
    </w:p>
    <w:bookmarkStart w:id="422" w:name="page423"/>
    <w:bookmarkEnd w:id="422"/>
    <w:p>
      <w:pPr>
        <w:ind w:right="3419" w:firstLine="344"/>
        <w:spacing w:after="0" w:line="251" w:lineRule="auto"/>
        <w:rPr>
          <w:sz w:val="20"/>
          <w:szCs w:val="20"/>
          <w:color w:val="auto"/>
        </w:rPr>
      </w:pPr>
      <w:r>
        <w:rPr>
          <w:rFonts w:ascii="Courier New" w:cs="Courier New" w:eastAsia="Courier New" w:hAnsi="Courier New"/>
          <w:sz w:val="14"/>
          <w:szCs w:val="14"/>
          <w:color w:val="auto"/>
        </w:rPr>
        <w:t>SECTION 6.05. MAY HOLD SECURITIES. 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6.06. MONEY HELD IN TRUST.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2" w:lineRule="exact"/>
        <w:rPr>
          <w:sz w:val="20"/>
          <w:szCs w:val="20"/>
          <w:color w:val="auto"/>
        </w:rPr>
      </w:pPr>
    </w:p>
    <w:p>
      <w:pPr>
        <w:ind w:left="360"/>
        <w:spacing w:after="0"/>
        <w:tabs>
          <w:tab w:leader="none" w:pos="1620" w:val="left"/>
          <w:tab w:leader="none" w:pos="4460" w:val="left"/>
        </w:tabs>
        <w:rPr>
          <w:sz w:val="20"/>
          <w:szCs w:val="20"/>
          <w:color w:val="auto"/>
        </w:rPr>
      </w:pPr>
      <w:r>
        <w:rPr>
          <w:rFonts w:ascii="Courier New" w:cs="Courier New" w:eastAsia="Courier New" w:hAnsi="Courier New"/>
          <w:sz w:val="14"/>
          <w:szCs w:val="14"/>
          <w:color w:val="auto"/>
        </w:rPr>
        <w:t>SECTION 6.07.</w:t>
        <w:tab/>
        <w:t>COMPENSATION AND REIMBURSEMENT.</w:t>
        <w:tab/>
        <w:t>The Company agrees:</w:t>
      </w:r>
    </w:p>
    <w:p>
      <w:pPr>
        <w:spacing w:after="0" w:line="173" w:lineRule="exact"/>
        <w:rPr>
          <w:sz w:val="20"/>
          <w:szCs w:val="20"/>
          <w:color w:val="auto"/>
        </w:rPr>
      </w:pPr>
    </w:p>
    <w:p>
      <w:pPr>
        <w:ind w:left="360" w:right="3419" w:firstLine="337"/>
        <w:spacing w:after="0" w:line="252" w:lineRule="auto"/>
        <w:tabs>
          <w:tab w:leader="none" w:pos="1049"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64"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6.08. CONFLICTING INTERESTS.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64"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SECTION 6.09. CORPORATE TRUSTEE REQUIRED; ELIGIBILITY. There shall at all times be a Trustee hereunder that is a Corporation organized and doing business under the laws of the United States of America, any State or the District of Columbia, authorized under such laws to exercise corporate trust powers, or any other person permitted by the Trust Indenture Act to act as trustee under an indenture qualified under the Trust Indenture Act and that has or is a wholly-owned subsidiary of a banking holding company having a combined capital and surplus (computed in accordance with the Trust Indenture Act) of at least $50,000,000, is subject to supervision or examination by Federal, State or District of Columbia authority and is not otherwise ineligible under the Trust Indenture Act.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6.09, it shall resign immediately in the manner and with the effect hereinafter specified in this Article.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6.10. RESIGNATION AND REMOVAL; APPOINTMENT OF SUCCESSOR.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50" w:right="1440" w:bottom="1440" w:gutter="0" w:footer="0" w:header="0"/>
        </w:sectPr>
      </w:pPr>
    </w:p>
    <w:bookmarkStart w:id="423" w:name="page424"/>
    <w:bookmarkEnd w:id="423"/>
    <w:p>
      <w:pPr>
        <w:ind w:right="3419" w:firstLine="344"/>
        <w:spacing w:after="0" w:line="251" w:lineRule="auto"/>
        <w:rPr>
          <w:sz w:val="20"/>
          <w:szCs w:val="20"/>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64"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at any time:</w:t>
      </w:r>
    </w:p>
    <w:p>
      <w:pPr>
        <w:spacing w:after="0" w:line="173" w:lineRule="exact"/>
        <w:rPr>
          <w:sz w:val="20"/>
          <w:szCs w:val="20"/>
          <w:color w:val="auto"/>
        </w:rPr>
      </w:pPr>
    </w:p>
    <w:p>
      <w:pPr>
        <w:ind w:left="360" w:right="3599" w:firstLine="337"/>
        <w:spacing w:after="0" w:line="252" w:lineRule="auto"/>
        <w:tabs>
          <w:tab w:leader="none" w:pos="1049"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6.08 after written request therefor by the Company or by any Holder who has been a bona fide Holder of a Security for at least six months, or</w:t>
      </w:r>
    </w:p>
    <w:p>
      <w:pPr>
        <w:spacing w:after="0" w:line="162" w:lineRule="exact"/>
        <w:rPr>
          <w:rFonts w:ascii="Courier New" w:cs="Courier New" w:eastAsia="Courier New" w:hAnsi="Courier New"/>
          <w:sz w:val="14"/>
          <w:szCs w:val="14"/>
          <w:color w:val="auto"/>
        </w:rPr>
      </w:pPr>
    </w:p>
    <w:p>
      <w:pPr>
        <w:jc w:val="both"/>
        <w:ind w:left="360" w:right="3419" w:firstLine="337"/>
        <w:spacing w:after="0" w:line="252" w:lineRule="auto"/>
        <w:tabs>
          <w:tab w:leader="none" w:pos="1049"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6.09 and shall fail to resign after written request therefor by the Company or by any such Holder, or</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41"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64"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SECTION 6.11. ACCEPTANCE OF APPOINTMENT BY SUCCESSOR. In case of the appointment hereunder of a successor Trustee with respect to all Securities, every such successor Trustee so appointed shall execute,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0" w:right="1440" w:bottom="1440" w:gutter="0" w:footer="0" w:header="0"/>
        </w:sectPr>
      </w:pPr>
    </w:p>
    <w:bookmarkStart w:id="424" w:name="page425"/>
    <w:bookmarkEnd w:id="424"/>
    <w:p>
      <w:pPr>
        <w:ind w:right="3339"/>
        <w:spacing w:after="0" w:line="251" w:lineRule="auto"/>
        <w:rPr>
          <w:sz w:val="20"/>
          <w:szCs w:val="20"/>
          <w:color w:val="auto"/>
        </w:rPr>
      </w:pPr>
      <w:r>
        <w:rPr>
          <w:rFonts w:ascii="Courier New" w:cs="Courier New" w:eastAsia="Courier New" w:hAnsi="Courier New"/>
          <w:sz w:val="14"/>
          <w:szCs w:val="14"/>
          <w:color w:val="auto"/>
        </w:rPr>
        <w:t>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9"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retiring Trustee shall have no liability for any acts or omissions of any successor Trustee hereunder.</w:t>
      </w:r>
    </w:p>
    <w:p>
      <w:pPr>
        <w:spacing w:after="0" w:line="160"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Upon the appointment of any successor Trustee, hereunder, all fees, charges and expenses of the retiring Trustee shall become immediately due and payable.</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0" w:right="1440" w:bottom="1440" w:gutter="0" w:footer="0" w:header="0"/>
        </w:sectPr>
      </w:pPr>
    </w:p>
    <w:bookmarkStart w:id="425" w:name="page426"/>
    <w:bookmarkEnd w:id="425"/>
    <w:p>
      <w:pPr>
        <w:ind w:right="3339"/>
        <w:spacing w:after="0" w:line="251" w:lineRule="auto"/>
        <w:rPr>
          <w:sz w:val="20"/>
          <w:szCs w:val="20"/>
          <w:color w:val="auto"/>
        </w:rPr>
      </w:pPr>
      <w:r>
        <w:rPr>
          <w:rFonts w:ascii="Courier New" w:cs="Courier New" w:eastAsia="Courier New" w:hAnsi="Courier New"/>
          <w:sz w:val="14"/>
          <w:szCs w:val="14"/>
          <w:color w:val="auto"/>
        </w:rPr>
        <w:t>such authentication and deliver the Securities so authenticated with the same effect as if such successor Trustee had itself authenticated such Securities; in case any of the Securities shall not have been authenticated by the Trustee then in office, any successor by merger, conversion or consolidation to such Trustee may authenticate such Securities either in the name of such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6.13. PREFERENTIAL COLLECTION OF CLAIMS AGAINST COMPANY.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7"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50" w:right="1440" w:bottom="1440" w:gutter="0" w:footer="0" w:header="0"/>
        </w:sectPr>
      </w:pPr>
    </w:p>
    <w:bookmarkStart w:id="426" w:name="page427"/>
    <w:bookmarkEnd w:id="426"/>
    <w:p>
      <w:pPr>
        <w:ind w:right="3419"/>
        <w:spacing w:after="0" w:line="252" w:lineRule="auto"/>
        <w:rPr>
          <w:sz w:val="20"/>
          <w:szCs w:val="20"/>
          <w:color w:val="auto"/>
        </w:rPr>
      </w:pPr>
      <w:r>
        <w:rPr>
          <w:rFonts w:ascii="Courier New" w:cs="Courier New" w:eastAsia="Courier New" w:hAnsi="Courier New"/>
          <w:sz w:val="14"/>
          <w:szCs w:val="14"/>
          <w:color w:val="auto"/>
        </w:rPr>
        <w:t>effect as if originally named as an Authenticating Agent. No successor Authenticating Agent shall be appointed unless eligible under the provisions of this Section.</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62"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therein referred to in the within-mentioned Indenture.</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As Authenticating Agent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Officer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SECTION 7.01. COMPANY TO FURNISH TRUSTEE NAMES AND ADDRESSES OF HOLDERS. The Company will furnish or cause to be furnished to the Trustee:</w:t>
      </w:r>
    </w:p>
    <w:p>
      <w:pPr>
        <w:spacing w:after="0" w:line="160" w:lineRule="exact"/>
        <w:rPr>
          <w:sz w:val="20"/>
          <w:szCs w:val="20"/>
          <w:color w:val="auto"/>
        </w:rPr>
      </w:pPr>
    </w:p>
    <w:p>
      <w:pPr>
        <w:ind w:left="360" w:right="3339" w:firstLine="337"/>
        <w:spacing w:after="0" w:line="252" w:lineRule="auto"/>
        <w:tabs>
          <w:tab w:leader="none" w:pos="1049"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not later than January 15 and July 15 in each year, a list, in such form as the Trustee may reasonably require, of the names and addresses of the Holders of Securities of each series as of the preceding December 31 or June 30, as the case may be, and</w:t>
      </w:r>
    </w:p>
    <w:p>
      <w:pPr>
        <w:spacing w:after="0" w:line="162" w:lineRule="exact"/>
        <w:rPr>
          <w:rFonts w:ascii="Courier New" w:cs="Courier New" w:eastAsia="Courier New" w:hAnsi="Courier New"/>
          <w:sz w:val="14"/>
          <w:szCs w:val="14"/>
          <w:color w:val="auto"/>
        </w:rPr>
      </w:pPr>
    </w:p>
    <w:p>
      <w:pPr>
        <w:jc w:val="both"/>
        <w:ind w:left="360" w:right="3339" w:firstLine="337"/>
        <w:spacing w:after="0" w:line="252" w:lineRule="auto"/>
        <w:tabs>
          <w:tab w:leader="none" w:pos="1049"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EXCLUDING from any such list names and addresses received by the Trustee in its capacity as Security Registrar.</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7.02. PRESERVATION OF INFORMATION; COMMUNICATIONS TO HOLDERS.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64"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327"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50" w:right="1440" w:bottom="1440" w:gutter="0" w:footer="0" w:header="0"/>
        </w:sectPr>
      </w:pPr>
    </w:p>
    <w:bookmarkStart w:id="427" w:name="page428"/>
    <w:bookmarkEnd w:id="427"/>
    <w:p>
      <w:pPr>
        <w:ind w:right="3419" w:firstLine="344"/>
        <w:spacing w:after="0" w:line="252" w:lineRule="auto"/>
        <w:rPr>
          <w:sz w:val="20"/>
          <w:szCs w:val="20"/>
          <w:color w:val="auto"/>
        </w:rPr>
      </w:pPr>
      <w:r>
        <w:rPr>
          <w:rFonts w:ascii="Courier New" w:cs="Courier New" w:eastAsia="Courier New" w:hAnsi="Courier New"/>
          <w:sz w:val="14"/>
          <w:szCs w:val="14"/>
          <w:color w:val="auto"/>
        </w:rPr>
        <w:t>SECTION 7.03. REPORTS BY TRUSTEE. The Trustee shall transmit to Holders such reports concerning the Trustee and its actions under this Indenture as may be required pursuant to the Trust Indenture Act at the times and in the manner provided pursuant thereto.</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62" w:lineRule="exact"/>
        <w:rPr>
          <w:sz w:val="20"/>
          <w:szCs w:val="20"/>
          <w:color w:val="auto"/>
        </w:rPr>
      </w:pPr>
    </w:p>
    <w:p>
      <w:pPr>
        <w:ind w:left="360"/>
        <w:spacing w:after="0"/>
        <w:tabs>
          <w:tab w:leader="none" w:pos="1620" w:val="left"/>
          <w:tab w:leader="none" w:pos="3440" w:val="left"/>
        </w:tabs>
        <w:rPr>
          <w:sz w:val="20"/>
          <w:szCs w:val="20"/>
          <w:color w:val="auto"/>
        </w:rPr>
      </w:pPr>
      <w:r>
        <w:rPr>
          <w:rFonts w:ascii="Courier New" w:cs="Courier New" w:eastAsia="Courier New" w:hAnsi="Courier New"/>
          <w:sz w:val="14"/>
          <w:szCs w:val="14"/>
          <w:color w:val="auto"/>
        </w:rPr>
        <w:t>SECTION 7.04.</w:t>
        <w:tab/>
        <w:t>REPORTS BY COMPANY.</w:t>
        <w:tab/>
        <w:t>The Company shall:</w:t>
      </w:r>
    </w:p>
    <w:p>
      <w:pPr>
        <w:spacing w:after="0" w:line="173" w:lineRule="exact"/>
        <w:rPr>
          <w:sz w:val="20"/>
          <w:szCs w:val="20"/>
          <w:color w:val="auto"/>
        </w:rPr>
      </w:pPr>
    </w:p>
    <w:p>
      <w:pPr>
        <w:ind w:left="360" w:right="3339" w:firstLine="337"/>
        <w:spacing w:after="0" w:line="250" w:lineRule="auto"/>
        <w:tabs>
          <w:tab w:leader="none" w:pos="1049"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it is required to file the same with the Commission, copies of the annual reports and of the information, documents and other reports (or copies of such portions of any of the foregoing as the Commission may from time to time by rules and regulations prescribe) which such Issuer or the Guarantor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notwithstanding anything to the contrary herein, the Trustee shall have no duty to review such documents for purposes of determining compliance with any provisions of this Indenture;</w:t>
      </w:r>
    </w:p>
    <w:p>
      <w:pPr>
        <w:spacing w:after="0" w:line="338"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by mail to all Holders, as their names and addresses appear in the Security Register,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8.01. COMPANY MAY CONSOLIDATE, ETC., ONLY ON CERTAIN TERMS. 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164" w:lineRule="exact"/>
        <w:rPr>
          <w:sz w:val="20"/>
          <w:szCs w:val="20"/>
          <w:color w:val="auto"/>
        </w:rPr>
      </w:pPr>
    </w:p>
    <w:p>
      <w:pPr>
        <w:ind w:left="360" w:right="3339" w:firstLine="337"/>
        <w:spacing w:after="0" w:line="251" w:lineRule="auto"/>
        <w:tabs>
          <w:tab w:leader="none" w:pos="1049"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450" w:right="1440" w:bottom="1440" w:gutter="0" w:footer="0" w:header="0"/>
        </w:sectPr>
      </w:pPr>
    </w:p>
    <w:bookmarkStart w:id="428" w:name="page429"/>
    <w:bookmarkEnd w:id="428"/>
    <w:p>
      <w:pPr>
        <w:ind w:left="360" w:right="3339" w:firstLine="337"/>
        <w:spacing w:after="0" w:line="251" w:lineRule="auto"/>
        <w:tabs>
          <w:tab w:leader="none" w:pos="1049"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8.02. SUCCESSOR SUBSTITUTED.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IX.</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SUPPLEMENTAL INDENTURES</w:t>
      </w:r>
    </w:p>
    <w:p>
      <w:pPr>
        <w:spacing w:after="0" w:line="173" w:lineRule="exact"/>
        <w:rPr>
          <w:sz w:val="20"/>
          <w:szCs w:val="20"/>
          <w:color w:val="auto"/>
        </w:rPr>
      </w:pPr>
    </w:p>
    <w:p>
      <w:pPr>
        <w:jc w:val="both"/>
        <w:ind w:right="3419" w:firstLine="344"/>
        <w:spacing w:after="0" w:line="251" w:lineRule="auto"/>
        <w:rPr>
          <w:sz w:val="20"/>
          <w:szCs w:val="20"/>
          <w:color w:val="auto"/>
        </w:rPr>
      </w:pPr>
      <w:r>
        <w:rPr>
          <w:rFonts w:ascii="Courier New" w:cs="Courier New" w:eastAsia="Courier New" w:hAnsi="Courier New"/>
          <w:sz w:val="14"/>
          <w:szCs w:val="14"/>
          <w:color w:val="auto"/>
        </w:rPr>
        <w:t>SECTION 9.01. SUPPLEMENTAL INDENTURES WITHOUT CONSENT OF HOLDERS. 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65" w:lineRule="exact"/>
        <w:rPr>
          <w:sz w:val="20"/>
          <w:szCs w:val="20"/>
          <w:color w:val="auto"/>
        </w:rPr>
      </w:pPr>
    </w:p>
    <w:p>
      <w:pPr>
        <w:jc w:val="both"/>
        <w:ind w:left="360" w:right="3419" w:firstLine="337"/>
        <w:spacing w:after="0" w:line="252" w:lineRule="auto"/>
        <w:tabs>
          <w:tab w:leader="none" w:pos="1049"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of the Company herein and in the Securities; or</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64"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64"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change or eliminate any of the provisions of this Indenture in respect of one or more series of Securities, PROVIDED that any such addition, change or elimination (A) shall neither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50" w:right="1440" w:bottom="1440" w:gutter="0" w:footer="0" w:header="0"/>
        </w:sectPr>
      </w:pPr>
    </w:p>
    <w:bookmarkStart w:id="429" w:name="page430"/>
    <w:bookmarkEnd w:id="429"/>
    <w:p>
      <w:pPr>
        <w:jc w:val="both"/>
        <w:ind w:left="360" w:right="3519" w:hanging="7"/>
        <w:spacing w:after="0" w:line="251" w:lineRule="auto"/>
        <w:tabs>
          <w:tab w:leader="none" w:pos="705"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64" w:lineRule="exact"/>
        <w:rPr>
          <w:rFonts w:ascii="Courier New" w:cs="Courier New" w:eastAsia="Courier New" w:hAnsi="Courier New"/>
          <w:sz w:val="14"/>
          <w:szCs w:val="14"/>
          <w:color w:val="auto"/>
        </w:rPr>
      </w:pPr>
    </w:p>
    <w:p>
      <w:pPr>
        <w:ind w:left="360" w:right="3679" w:firstLine="337"/>
        <w:spacing w:after="0" w:line="255" w:lineRule="auto"/>
        <w:tabs>
          <w:tab w:leader="none" w:pos="1049"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secure the Securities pursuant to the requirements of Section 10.08 or otherwise; or</w:t>
      </w:r>
    </w:p>
    <w:p>
      <w:pPr>
        <w:spacing w:after="0" w:line="159" w:lineRule="exact"/>
        <w:rPr>
          <w:rFonts w:ascii="Courier New" w:cs="Courier New" w:eastAsia="Courier New" w:hAnsi="Courier New"/>
          <w:sz w:val="14"/>
          <w:szCs w:val="14"/>
          <w:color w:val="auto"/>
        </w:rPr>
      </w:pPr>
    </w:p>
    <w:p>
      <w:pPr>
        <w:ind w:left="360" w:right="3939" w:firstLine="337"/>
        <w:spacing w:after="0" w:line="255" w:lineRule="auto"/>
        <w:tabs>
          <w:tab w:leader="none" w:pos="1049"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as permitted by Sections 2.01 and 3.01; or</w:t>
      </w:r>
    </w:p>
    <w:p>
      <w:pPr>
        <w:spacing w:after="0" w:line="159"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(9) shall not adversely affect the interests of the Holders of Securities of any series.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9.02. SUPPLEMENTAL INDENTURES WITH CONSENT OF HOLDERS. 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63" w:lineRule="exact"/>
        <w:rPr>
          <w:sz w:val="20"/>
          <w:szCs w:val="20"/>
          <w:color w:val="auto"/>
        </w:rPr>
      </w:pPr>
    </w:p>
    <w:p>
      <w:pPr>
        <w:ind w:left="360" w:right="3339" w:firstLine="337"/>
        <w:spacing w:after="0" w:line="251" w:lineRule="auto"/>
        <w:tabs>
          <w:tab w:leader="none" w:pos="10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63"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64"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5.13 or Section 10.11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10.11, or the deletion of this proviso, in accordance with the requirements of Sections 6.11 and 9.01(8).</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50" w:right="1440" w:bottom="1440" w:gutter="0" w:footer="0" w:header="0"/>
        </w:sectPr>
      </w:pPr>
    </w:p>
    <w:bookmarkStart w:id="430" w:name="page431"/>
    <w:bookmarkEnd w:id="430"/>
    <w:p>
      <w:pPr>
        <w:ind w:right="3339" w:firstLine="344"/>
        <w:spacing w:after="0" w:line="252"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9.03. EXECUTION OF SUPPLEMENTAL INDENTURES. In executing, or accepting the additional trusts created by, any supplemental indenture permitted by this Article or the modifications thereby of the trusts created by this Indenture, the Trustee shall be entitled to receive, and (subject to Section</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9.05. CONFORMITY WITH TRUST INDENTURE ACT. Every supplemental indenture executed pursuant to this Article shall conform to the requirements of the Trust Indenture Act.</w:t>
      </w:r>
    </w:p>
    <w:p>
      <w:pPr>
        <w:spacing w:after="0" w:line="163" w:lineRule="exact"/>
        <w:rPr>
          <w:sz w:val="20"/>
          <w:szCs w:val="20"/>
          <w:color w:val="auto"/>
        </w:rPr>
      </w:pPr>
    </w:p>
    <w:p>
      <w:pPr>
        <w:ind w:left="360"/>
        <w:spacing w:after="0"/>
        <w:tabs>
          <w:tab w:leader="none" w:pos="1620" w:val="left"/>
        </w:tabs>
        <w:rPr>
          <w:sz w:val="20"/>
          <w:szCs w:val="20"/>
          <w:color w:val="auto"/>
        </w:rPr>
      </w:pPr>
      <w:r>
        <w:rPr>
          <w:rFonts w:ascii="Courier New" w:cs="Courier New" w:eastAsia="Courier New" w:hAnsi="Courier New"/>
          <w:sz w:val="14"/>
          <w:szCs w:val="14"/>
          <w:color w:val="auto"/>
        </w:rPr>
        <w:t>SECTION 9.06.</w:t>
        <w:tab/>
        <w:t>REFERENCE IN SECURITIES TO SUPPLEMENTAL</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INDENTURES.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10.01. PAYMENT OF PRINCIPAL, PREMIUM AND INTEREST.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10.02. MAINTENANCE OF OFFICE OR AGENCY.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50" w:right="1440" w:bottom="1440" w:gutter="0" w:footer="0" w:header="0"/>
        </w:sectPr>
      </w:pPr>
    </w:p>
    <w:bookmarkStart w:id="431" w:name="page432"/>
    <w:bookmarkEnd w:id="431"/>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10.03. MONEY FOR SECURITIES PAYMENTS TO BE HELD IN TRUST.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City, notice that such money remains unclaimed and that, after a date specified therein, which shall not be less than 30 days from the date of such publication, any unclaimed balance of such money then remaining will be repaid to the Company.</w:t>
      </w:r>
    </w:p>
    <w:p>
      <w:pPr>
        <w:spacing w:after="0" w:line="3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10.04. STATEMENT BY OFFICERS AS TO DEFAULT. 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10.05. EXISTENCE. 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50" w:right="1440" w:bottom="1440" w:gutter="0" w:footer="0" w:header="0"/>
        </w:sectPr>
      </w:pPr>
    </w:p>
    <w:bookmarkStart w:id="432" w:name="page433"/>
    <w:bookmarkEnd w:id="432"/>
    <w:p>
      <w:pPr>
        <w:ind w:right="3779"/>
        <w:spacing w:after="0" w:line="255" w:lineRule="auto"/>
        <w:rPr>
          <w:sz w:val="20"/>
          <w:szCs w:val="20"/>
          <w:color w:val="auto"/>
        </w:rPr>
      </w:pPr>
      <w:r>
        <w:rPr>
          <w:rFonts w:ascii="Courier New" w:cs="Courier New" w:eastAsia="Courier New" w:hAnsi="Courier New"/>
          <w:sz w:val="14"/>
          <w:szCs w:val="14"/>
          <w:color w:val="auto"/>
        </w:rPr>
        <w:t>the conduct of the business of the Company and that the loss thereof is not disadvantageous in any material respect to the Holders.</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10.06. MAINTENANCE OF PROPERTIES. 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10.07. 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10.08. LIMITATION ON LIENS. 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72" w:lineRule="exact"/>
        <w:rPr>
          <w:sz w:val="20"/>
          <w:szCs w:val="20"/>
          <w:color w:val="auto"/>
        </w:rPr>
      </w:pPr>
    </w:p>
    <w:p>
      <w:pPr>
        <w:ind w:left="360" w:right="3339" w:firstLine="337"/>
        <w:spacing w:after="0" w:line="255" w:lineRule="auto"/>
        <w:tabs>
          <w:tab w:leader="none" w:pos="1049"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existing at the time of acquisition thereof by the Company or any Subsidiary;</w:t>
      </w:r>
    </w:p>
    <w:p>
      <w:pPr>
        <w:spacing w:after="0" w:line="159" w:lineRule="exact"/>
        <w:rPr>
          <w:rFonts w:ascii="Courier New" w:cs="Courier New" w:eastAsia="Courier New" w:hAnsi="Courier New"/>
          <w:sz w:val="14"/>
          <w:szCs w:val="14"/>
          <w:color w:val="auto"/>
        </w:rPr>
      </w:pPr>
    </w:p>
    <w:p>
      <w:pPr>
        <w:ind w:left="360" w:right="3599" w:firstLine="337"/>
        <w:spacing w:after="0" w:line="252" w:lineRule="auto"/>
        <w:tabs>
          <w:tab w:leader="none" w:pos="1049"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or other assets of any corporation existing at the time such corporation becomes a Restricted Subsidiary;</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63" w:lineRule="exact"/>
        <w:rPr>
          <w:rFonts w:ascii="Courier New" w:cs="Courier New" w:eastAsia="Courier New" w:hAnsi="Courier New"/>
          <w:sz w:val="14"/>
          <w:szCs w:val="14"/>
          <w:color w:val="auto"/>
        </w:rPr>
      </w:pPr>
    </w:p>
    <w:p>
      <w:pPr>
        <w:ind w:left="360" w:right="3939" w:firstLine="337"/>
        <w:spacing w:after="0" w:line="255" w:lineRule="auto"/>
        <w:tabs>
          <w:tab w:leader="none" w:pos="1049"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to secure indebtedness owing to the Company or to a Restricted Subsidiary;</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existing at the date of this Indenture;</w:t>
      </w:r>
    </w:p>
    <w:p>
      <w:pPr>
        <w:spacing w:after="0" w:line="17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of a corporation existing at the time such corporation is merged into or consolidated with the Company or a Restricted Subsidiary or at the time of a sale, lease or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50" w:right="1440" w:bottom="1440" w:gutter="0" w:footer="0" w:header="0"/>
        </w:sectPr>
      </w:pPr>
    </w:p>
    <w:bookmarkStart w:id="433" w:name="page434"/>
    <w:bookmarkEnd w:id="433"/>
    <w:p>
      <w:pPr>
        <w:ind w:left="360" w:right="3779"/>
        <w:spacing w:after="0" w:line="255" w:lineRule="auto"/>
        <w:rPr>
          <w:sz w:val="20"/>
          <w:szCs w:val="20"/>
          <w:color w:val="auto"/>
        </w:rPr>
      </w:pPr>
      <w:r>
        <w:rPr>
          <w:rFonts w:ascii="Courier New" w:cs="Courier New" w:eastAsia="Courier New" w:hAnsi="Courier New"/>
          <w:sz w:val="14"/>
          <w:szCs w:val="14"/>
          <w:color w:val="auto"/>
        </w:rPr>
        <w:t>disposition of the properties of a corporation as an entirety or substantially as an entirety to the Company or a Restricted Subsidiary;</w:t>
      </w:r>
    </w:p>
    <w:p>
      <w:pPr>
        <w:spacing w:after="0" w:line="160" w:lineRule="exact"/>
        <w:rPr>
          <w:sz w:val="20"/>
          <w:szCs w:val="20"/>
          <w:color w:val="auto"/>
        </w:rPr>
      </w:pPr>
    </w:p>
    <w:p>
      <w:pPr>
        <w:ind w:left="360" w:right="3339" w:firstLine="337"/>
        <w:spacing w:after="0" w:line="251" w:lineRule="auto"/>
        <w:tabs>
          <w:tab w:leader="none" w:pos="1049"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w:t>
      </w:r>
    </w:p>
    <w:p>
      <w:pPr>
        <w:spacing w:after="0" w:line="163" w:lineRule="exact"/>
        <w:rPr>
          <w:rFonts w:ascii="Courier New" w:cs="Courier New" w:eastAsia="Courier New" w:hAnsi="Courier New"/>
          <w:sz w:val="14"/>
          <w:szCs w:val="14"/>
          <w:color w:val="auto"/>
        </w:rPr>
      </w:pPr>
    </w:p>
    <w:p>
      <w:pPr>
        <w:jc w:val="both"/>
        <w:ind w:left="360" w:right="3419" w:firstLine="337"/>
        <w:spacing w:after="0" w:line="255" w:lineRule="auto"/>
        <w:tabs>
          <w:tab w:leader="none" w:pos="1049"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created in connection with the acquisition of assets or a project financed with, and created to secure, a Nonrecourse Obligation; and</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extensions, renewals, refinancings or replacements of any mortgage referred to in the foregoing clauses (1), (2), (3), (5), (6), (7) and (8) provided, however, that any mortgages permitted by any of the foregoing clauses (1), (2), (3),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(1) through (9) above) does not exceed 10% of the Consolidated Net Tangible Assets of the Company as most recently determined on or prior to such date.</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10.09. LIMITATION ON SALE AND LEASE-BACK TRANSACTIONS. The Company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10.10. LIMITATION ON SUBSIDIARY DEBT. The Company shall not permit any Subsidiary of the Company (other than Toro Credit Company, a Minnesota corporation, or any successor finance Subsidiary of the Company so long as Toro Credit Company or such successor has no operating assets and is engaged solely in financing activities) to Incur or suffer to exist any Debt except:</w:t>
      </w:r>
    </w:p>
    <w:p>
      <w:pPr>
        <w:spacing w:after="0" w:line="165" w:lineRule="exact"/>
        <w:rPr>
          <w:sz w:val="20"/>
          <w:szCs w:val="20"/>
          <w:color w:val="auto"/>
        </w:rPr>
      </w:pPr>
    </w:p>
    <w:p>
      <w:pPr>
        <w:ind w:left="1040" w:hanging="343"/>
        <w:spacing w:after="0"/>
        <w:tabs>
          <w:tab w:leader="none" w:pos="1040"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outstanding on the date of this Indenture;</w:t>
      </w:r>
    </w:p>
    <w:p>
      <w:pPr>
        <w:spacing w:after="0" w:line="172" w:lineRule="exact"/>
        <w:rPr>
          <w:rFonts w:ascii="Courier New" w:cs="Courier New" w:eastAsia="Courier New" w:hAnsi="Courier New"/>
          <w:sz w:val="14"/>
          <w:szCs w:val="14"/>
          <w:color w:val="auto"/>
        </w:rPr>
      </w:pPr>
    </w:p>
    <w:p>
      <w:pPr>
        <w:jc w:val="both"/>
        <w:ind w:left="360" w:right="3419" w:firstLine="337"/>
        <w:spacing w:after="0" w:line="252" w:lineRule="auto"/>
        <w:tabs>
          <w:tab w:leader="none" w:pos="1049"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issued to and held by the Company or a Wholly Owned Subsidiary of the Company (provided that such Debt is at all times held by the Company or a Person which is a Wholly Owned Subsidiary of the 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50" w:right="1440" w:bottom="1440" w:gutter="0" w:footer="0" w:header="0"/>
        </w:sectPr>
      </w:pPr>
    </w:p>
    <w:bookmarkStart w:id="434" w:name="page435"/>
    <w:bookmarkEnd w:id="434"/>
    <w:p>
      <w:pPr>
        <w:ind w:left="360" w:right="3339" w:firstLine="337"/>
        <w:spacing w:after="0" w:line="251" w:lineRule="auto"/>
        <w:tabs>
          <w:tab w:leader="none" w:pos="1049"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Incurred by a Person prior to the time (a) such Person became a Subsidiary of the Company, (b) such Person merges into or consolidates with a Subsidiary of the Company or (c) another Subsidiary of the Company merges into or consolidates with such Person (in a transaction in which such Person becomes a Subsidiary of the Company);</w:t>
      </w:r>
    </w:p>
    <w:p>
      <w:pPr>
        <w:spacing w:after="0" w:line="164" w:lineRule="exact"/>
        <w:rPr>
          <w:rFonts w:ascii="Courier New" w:cs="Courier New" w:eastAsia="Courier New" w:hAnsi="Courier New"/>
          <w:sz w:val="14"/>
          <w:szCs w:val="14"/>
          <w:color w:val="auto"/>
        </w:rPr>
      </w:pPr>
    </w:p>
    <w:p>
      <w:pPr>
        <w:ind w:left="360" w:right="3339" w:firstLine="337"/>
        <w:spacing w:after="0" w:line="250" w:lineRule="auto"/>
        <w:tabs>
          <w:tab w:leader="none" w:pos="1049"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which is exchanged for, or the proceeds of which are used to refinance or refund, any Debt permitted to be outstanding pursuant to Clauses (1) through (3) hereof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 retirement at the option of the holder of such Debt (including pursuant to an offer to purchase made by the Company) which is conditioned upon the change of control of the Company; and</w:t>
      </w:r>
    </w:p>
    <w:p>
      <w:pPr>
        <w:spacing w:after="0" w:line="174" w:lineRule="exact"/>
        <w:rPr>
          <w:rFonts w:ascii="Courier New" w:cs="Courier New" w:eastAsia="Courier New" w:hAnsi="Courier New"/>
          <w:sz w:val="14"/>
          <w:szCs w:val="14"/>
          <w:color w:val="auto"/>
        </w:rPr>
      </w:pPr>
    </w:p>
    <w:p>
      <w:pPr>
        <w:ind w:left="360" w:right="3519" w:firstLine="337"/>
        <w:spacing w:after="0" w:line="252" w:lineRule="auto"/>
        <w:tabs>
          <w:tab w:leader="none" w:pos="1049"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having a principal amount and liquidation value not in excess of 20% of the Consolidated Net Tangible Assets of the Company in the aggregate.</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10.11. WAIVER OF CERTAIN COVENANTS. 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3.01(18), 9.01(2) or 9.01(7) for the benefit of the Holders of such series or in any of Sections 10.08 to 10.10, inclusive,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XI.</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REDEMPTION OR REPAYMENT OF SECURITIES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11.01. APPLICABILITY OF ARTICLE. Securities of any series which are redeemable or repayable before their Stated Maturity shall be redeemable or repayable in accordance with their terms and (except as otherwise specified as contemplated by Section 3.01 for such Securities) in accordance with this Article.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11.02. ELECTION TO REDEEM; NOTICE TO TRUSTEE. 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50" w:right="1440" w:bottom="1440" w:gutter="0" w:footer="0" w:header="0"/>
        </w:sectPr>
      </w:pPr>
    </w:p>
    <w:bookmarkStart w:id="435" w:name="page436"/>
    <w:bookmarkEnd w:id="435"/>
    <w:p>
      <w:pPr>
        <w:ind w:right="3679"/>
        <w:spacing w:after="0" w:line="252" w:lineRule="auto"/>
        <w:rPr>
          <w:sz w:val="20"/>
          <w:szCs w:val="20"/>
          <w:color w:val="auto"/>
        </w:rPr>
      </w:pPr>
      <w:r>
        <w:rPr>
          <w:rFonts w:ascii="Courier New" w:cs="Courier New" w:eastAsia="Courier New" w:hAnsi="Courier New"/>
          <w:sz w:val="14"/>
          <w:szCs w:val="14"/>
          <w:color w:val="auto"/>
        </w:rPr>
        <w:t>provided in the terms of such Securities or elsewhere in this Indenture, the Company shall furnish the Trustee with an Officers' Certificate evidencing compliance with such restriction.</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11.03. SELECTION BY TRUSTEE OF SECURITIES TO BE REDEEMED.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338"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2"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SECTION 11.04. NOTICE OF REDEMPTION. Notice of redemption shall be given by first-class mail, postage prepaid, mailed not less than 30 nor more than 60 days prior to the Redemption Date, to each Holder of Securities to be redeemed, at his address appearing in the Security Register.</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 notices of redemption shall state:</w:t>
      </w:r>
    </w:p>
    <w:p>
      <w:pPr>
        <w:spacing w:after="0" w:line="173" w:lineRule="exact"/>
        <w:rPr>
          <w:sz w:val="20"/>
          <w:szCs w:val="20"/>
          <w:color w:val="auto"/>
        </w:rPr>
      </w:pPr>
    </w:p>
    <w:p>
      <w:pPr>
        <w:ind w:left="1040" w:hanging="343"/>
        <w:spacing w:after="0"/>
        <w:tabs>
          <w:tab w:leader="none" w:pos="104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w:t>
      </w:r>
    </w:p>
    <w:p>
      <w:pPr>
        <w:spacing w:after="0" w:line="17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Security to be redeemed and, if applicable, that interest thereon will cease to accrue on and after said date,</w:t>
      </w:r>
    </w:p>
    <w:p>
      <w:pPr>
        <w:spacing w:after="0" w:line="162" w:lineRule="exact"/>
        <w:rPr>
          <w:rFonts w:ascii="Courier New" w:cs="Courier New" w:eastAsia="Courier New" w:hAnsi="Courier New"/>
          <w:sz w:val="14"/>
          <w:szCs w:val="14"/>
          <w:color w:val="auto"/>
        </w:rPr>
      </w:pPr>
    </w:p>
    <w:p>
      <w:pPr>
        <w:ind w:left="360" w:right="3599" w:firstLine="337"/>
        <w:spacing w:after="0" w:line="255" w:lineRule="auto"/>
        <w:tabs>
          <w:tab w:leader="none" w:pos="1049"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each such Security is to be surrendered for payment of the Redemption Price, and</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 case.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50" w:right="1440" w:bottom="1440" w:gutter="0" w:footer="0" w:header="0"/>
        </w:sectPr>
      </w:pPr>
    </w:p>
    <w:bookmarkStart w:id="436" w:name="page437"/>
    <w:bookmarkEnd w:id="436"/>
    <w:p>
      <w:pPr>
        <w:ind w:right="3419" w:firstLine="344"/>
        <w:spacing w:after="0" w:line="252"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11.05. DEPOSIT OF REDEMPTION PRICE.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328"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11.08. RIGHT OF REPAYMENT. In order for any Security that is subject to repayment at the option of the Holder to be repaid, the Paying Agent must receive at least 30 days but not more than 60 days prior to the repayment date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except as otherwise provided in the Board Resolution establishing the term of the Security. The repayment option may be exercised by the Holder of such Security for less than the entire principal amount of the Security provided that the principal amount of the Security remaining outstanding after repayment is an authorized denomination. No registration of, transfer or exchange of such Security (or, in the event that such Security is to be repaid in part, the portion of the Security to be repaid) will be permitted after exercise of a repayment option. All questions as to the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50" w:right="1440" w:bottom="1440" w:gutter="0" w:footer="0" w:header="0"/>
        </w:sectPr>
      </w:pPr>
    </w:p>
    <w:bookmarkStart w:id="437" w:name="page438"/>
    <w:bookmarkEnd w:id="437"/>
    <w:p>
      <w:pPr>
        <w:ind w:right="3339"/>
        <w:spacing w:after="0" w:line="252" w:lineRule="auto"/>
        <w:rPr>
          <w:sz w:val="20"/>
          <w:szCs w:val="20"/>
          <w:color w:val="auto"/>
        </w:rPr>
      </w:pPr>
      <w:r>
        <w:rPr>
          <w:rFonts w:ascii="Courier New" w:cs="Courier New" w:eastAsia="Courier New" w:hAnsi="Courier New"/>
          <w:sz w:val="14"/>
          <w:szCs w:val="14"/>
          <w:color w:val="auto"/>
        </w:rPr>
        <w:t>validity, eligibility (including time of receipt) and acceptance of any Security for repayment will be determined by the Company, whose determination will be final, binding and non-appealable.</w:t>
      </w:r>
    </w:p>
    <w:p>
      <w:pPr>
        <w:spacing w:after="0" w:line="16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SECTION 11.09. FORM OF OPTION TO ELECT REPAYMENT. The following text shall be attached to each Security to which the provisions of Section 11.08 apply:</w:t>
      </w:r>
    </w:p>
    <w:p>
      <w:pPr>
        <w:spacing w:after="0" w:line="160" w:lineRule="exact"/>
        <w:rPr>
          <w:sz w:val="20"/>
          <w:szCs w:val="20"/>
          <w:color w:val="auto"/>
        </w:rPr>
      </w:pPr>
    </w:p>
    <w:p>
      <w:pPr>
        <w:ind w:left="360"/>
        <w:spacing w:after="0"/>
        <w:tabs>
          <w:tab w:leader="none" w:pos="4300" w:val="left"/>
        </w:tabs>
        <w:rPr>
          <w:sz w:val="20"/>
          <w:szCs w:val="20"/>
          <w:color w:val="auto"/>
        </w:rPr>
      </w:pPr>
      <w:r>
        <w:rPr>
          <w:rFonts w:ascii="Courier New" w:cs="Courier New" w:eastAsia="Courier New" w:hAnsi="Courier New"/>
          <w:sz w:val="14"/>
          <w:szCs w:val="14"/>
          <w:color w:val="auto"/>
        </w:rPr>
        <w:t>FORM OF OPTION TO ELECT REPAYMENT ON</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 I or we hereby irrevocably elect to exercise the option to have the</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principal sum of</w:t>
      </w:r>
      <w:r>
        <w:rPr>
          <w:sz w:val="20"/>
          <w:szCs w:val="20"/>
          <w:color w:val="auto"/>
        </w:rPr>
        <w:tab/>
      </w:r>
      <w:r>
        <w:rPr>
          <w:rFonts w:ascii="Courier New" w:cs="Courier New" w:eastAsia="Courier New" w:hAnsi="Courier New"/>
          <w:sz w:val="14"/>
          <w:szCs w:val="14"/>
          <w:color w:val="auto"/>
        </w:rPr>
        <w:t>together with accrued interest thereon to</w:t>
      </w:r>
    </w:p>
    <w:p>
      <w:pPr>
        <w:spacing w:after="0" w:line="7" w:lineRule="exact"/>
        <w:rPr>
          <w:sz w:val="20"/>
          <w:szCs w:val="20"/>
          <w:color w:val="auto"/>
        </w:rPr>
      </w:pPr>
    </w:p>
    <w:p>
      <w:pPr>
        <w:ind w:left="780"/>
        <w:spacing w:after="0"/>
        <w:tabs>
          <w:tab w:leader="none" w:pos="1280" w:val="left"/>
          <w:tab w:leader="none" w:pos="4200" w:val="left"/>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repaid by the Company 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If less than the entire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principal amount of the Security is to be repaid specify the denomination or denominations (which shall be in authorized denominations) of the Securities to be issued to the Holder for the portion of the within Security not being repaid (in the absence of any such specification, one such Security will be issued for the portion not being repaid.</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(Signature must be guaranteed by 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eligible institution within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meaning of Rule 17A(d)-15 under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Securities Exchange Act of 1934, as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SINKING FUNDS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12.01. APPLICABILITY OF ARTICLE. The provisions of this Article shall be applicable to any sinking fund for the retirement of Securities of any series except as otherwise specified as contemplated by Section 3.01 for such Securities.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12.02. SATISFACTION OF SINKING FUND PAYMENTS WITH SECURITIES. 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12.03. REDEMPTION OF SECURITIES FOR SINKING FUND. Not less than 30 days prior to each sinking fund payment date for any Securities, the Company will deliver to the Trustee an Officers' Certificate specifying the amount of the next ensuing sinking fund payment for such Securities pursuant to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50" w:right="1440" w:bottom="1440" w:gutter="0" w:footer="0" w:header="0"/>
        </w:sectPr>
      </w:pPr>
    </w:p>
    <w:bookmarkStart w:id="438" w:name="page439"/>
    <w:bookmarkEnd w:id="438"/>
    <w:p>
      <w:pPr>
        <w:ind w:right="3339"/>
        <w:spacing w:after="0" w:line="251" w:lineRule="auto"/>
        <w:rPr>
          <w:sz w:val="20"/>
          <w:szCs w:val="20"/>
          <w:color w:val="auto"/>
        </w:rPr>
      </w:pPr>
      <w:r>
        <w:rPr>
          <w:rFonts w:ascii="Courier New" w:cs="Courier New" w:eastAsia="Courier New" w:hAnsi="Courier New"/>
          <w:sz w:val="14"/>
          <w:szCs w:val="14"/>
          <w:color w:val="auto"/>
        </w:rPr>
        <w:t>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20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DEFEASANCE AND COVENANT DEFEASANCE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13.01. COMPANY'S OPTION TO EFFECT DEFEASANCE OR COVENANT DEFEASANCE. 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13.02. DEFEASANCE AND DISCHARGE. 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13.03. COVENANT DEFEASANCE. Upon the Company's exercise of its option (if any) to have this Section applied to any Securities or any series of Securities, as the case may be, (1) the Company shall be released from its obligations under Section 8.01(3), Sections 10.06 through 10.10, inclusive, and any covenants provided pursuant to Section 3.01(18), 9.01(2) or 9.01(7) for the benefit of the Holders of such Securities and (2) the occurrence of any event specified in Sections 501(4) (with respect to any of Section 8.01(3), Sections 10.06 through 10.10, inclusive, and any such covenants provided pursuant to Section 3.01(18), 9.01(2) or 9.01(7)), 5.01(5) and 5.01(8)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50" w:right="1440" w:bottom="1440" w:gutter="0" w:footer="0" w:header="0"/>
        </w:sectPr>
      </w:pPr>
    </w:p>
    <w:bookmarkStart w:id="439" w:name="page440"/>
    <w:bookmarkEnd w:id="439"/>
    <w:p>
      <w:pPr>
        <w:ind w:right="3339" w:firstLine="344"/>
        <w:spacing w:after="0" w:line="252" w:lineRule="auto"/>
        <w:rPr>
          <w:sz w:val="20"/>
          <w:szCs w:val="20"/>
          <w:color w:val="auto"/>
        </w:rPr>
      </w:pPr>
      <w:r>
        <w:rPr>
          <w:rFonts w:ascii="Courier New" w:cs="Courier New" w:eastAsia="Courier New" w:hAnsi="Courier New"/>
          <w:sz w:val="14"/>
          <w:szCs w:val="14"/>
          <w:color w:val="auto"/>
        </w:rPr>
        <w:t>SECTION 13.04. CONDITIONS TO DEFEASANCE OR COVENANT DEFEASANCE. The following shall be the conditions to the application of Section 13.02 or Section 13.03 to any Securities or any series of Securities, as the case may be:</w:t>
      </w:r>
    </w:p>
    <w:p>
      <w:pPr>
        <w:spacing w:after="0" w:line="163" w:lineRule="exact"/>
        <w:rPr>
          <w:sz w:val="20"/>
          <w:szCs w:val="20"/>
          <w:color w:val="auto"/>
        </w:rPr>
      </w:pPr>
    </w:p>
    <w:p>
      <w:pPr>
        <w:ind w:left="360" w:right="3339" w:firstLine="337"/>
        <w:spacing w:after="0" w:line="250" w:lineRule="auto"/>
        <w:tabs>
          <w:tab w:leader="none" w:pos="1049"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0"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63" w:lineRule="exact"/>
        <w:rPr>
          <w:rFonts w:ascii="Courier New" w:cs="Courier New" w:eastAsia="Courier New" w:hAnsi="Courier New"/>
          <w:sz w:val="14"/>
          <w:szCs w:val="14"/>
          <w:color w:val="auto"/>
        </w:rPr>
      </w:pPr>
    </w:p>
    <w:p>
      <w:pPr>
        <w:jc w:val="both"/>
        <w:ind w:left="360" w:right="3599" w:firstLine="337"/>
        <w:spacing w:after="0" w:line="252" w:lineRule="auto"/>
        <w:tabs>
          <w:tab w:leader="none" w:pos="1049"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50" w:right="1440" w:bottom="1440" w:gutter="0" w:footer="0" w:header="0"/>
        </w:sectPr>
      </w:pPr>
    </w:p>
    <w:bookmarkStart w:id="440" w:name="page441"/>
    <w:bookmarkEnd w:id="440"/>
    <w:p>
      <w:pPr>
        <w:ind w:left="360" w:right="3339" w:firstLine="337"/>
        <w:spacing w:after="0" w:line="251" w:lineRule="auto"/>
        <w:tabs>
          <w:tab w:leader="none" w:pos="104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cause the Trustee to have a conflicting interest within the meaning of the Trust Indenture Act (assuming all Securities are in default within the meaning of such Act).</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result in a breach or violation of, or constitute a default under, any other agreement or instrument to which the Company is a party or by which it is bound.</w:t>
      </w:r>
    </w:p>
    <w:p>
      <w:pPr>
        <w:spacing w:after="0" w:line="162"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62" w:lineRule="exact"/>
        <w:rPr>
          <w:rFonts w:ascii="Courier New" w:cs="Courier New" w:eastAsia="Courier New" w:hAnsi="Courier New"/>
          <w:sz w:val="14"/>
          <w:szCs w:val="14"/>
          <w:color w:val="auto"/>
        </w:rPr>
      </w:pPr>
    </w:p>
    <w:p>
      <w:pPr>
        <w:ind w:left="360" w:right="3519" w:firstLine="337"/>
        <w:spacing w:after="0" w:line="252" w:lineRule="auto"/>
        <w:tabs>
          <w:tab w:leader="none" w:pos="104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13.05. DEPOSITED MONEY AND U.S. GOVERNMENT OBLIGATIONS TO BE HELD IN TRUST; MISCELLANEOUS PROVISIONS. 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13.06. REINSTATEMENT.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50" w:right="1440" w:bottom="1440" w:gutter="0" w:footer="0" w:header="0"/>
        </w:sectPr>
      </w:pPr>
    </w:p>
    <w:bookmarkStart w:id="441" w:name="page442"/>
    <w:bookmarkEnd w:id="441"/>
    <w:p>
      <w:pPr>
        <w:ind w:right="3679"/>
        <w:spacing w:after="0" w:line="252" w:lineRule="auto"/>
        <w:rPr>
          <w:sz w:val="20"/>
          <w:szCs w:val="20"/>
          <w:color w:val="auto"/>
        </w:rPr>
      </w:pPr>
      <w:r>
        <w:rPr>
          <w:rFonts w:ascii="Courier New" w:cs="Courier New" w:eastAsia="Courier New" w:hAnsi="Courier New"/>
          <w:sz w:val="14"/>
          <w:szCs w:val="14"/>
          <w:color w:val="auto"/>
        </w:rPr>
        <w:t>obligations, the Company shall be subrogated to the rights (if any) of the Holders of such Securities to receive such payment from the money so held in trust.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GERALD T. KNIGHT</w:t>
      </w:r>
    </w:p>
    <w:p>
      <w:pPr>
        <w:spacing w:after="0" w:line="7" w:lineRule="exact"/>
        <w:rPr>
          <w:sz w:val="20"/>
          <w:szCs w:val="20"/>
          <w:color w:val="auto"/>
        </w:rPr>
      </w:pPr>
    </w:p>
    <w:p>
      <w:pPr>
        <w:sectPr>
          <w:pgSz w:w="11900" w:h="16838" w:orient="portrait"/>
          <w:cols w:equalWidth="0" w:num="2">
            <w:col w:w="2940" w:space="260"/>
            <w:col w:w="70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/s/ N. JEANNE RYAN</w:t>
      </w:r>
    </w:p>
    <w:p>
      <w:pPr>
        <w:spacing w:after="0" w:line="7" w:lineRule="exact"/>
        <w:rPr>
          <w:sz w:val="20"/>
          <w:szCs w:val="20"/>
          <w:color w:val="auto"/>
        </w:rPr>
      </w:pPr>
    </w:p>
    <w:p>
      <w:pPr>
        <w:ind w:left="180" w:hanging="172"/>
        <w:spacing w:after="0"/>
        <w:tabs>
          <w:tab w:leader="none" w:pos="180"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Its: Assistant Secretary</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FIRST TRUST NATIONAL ASSOCIATION</w:t>
      </w:r>
    </w:p>
    <w:p>
      <w:pPr>
        <w:spacing w:after="0" w:line="173" w:lineRule="exact"/>
        <w:rPr>
          <w:sz w:val="20"/>
          <w:szCs w:val="20"/>
          <w:color w:val="auto"/>
        </w:rPr>
      </w:pPr>
    </w:p>
    <w:p>
      <w:pPr>
        <w:ind w:left="2760"/>
        <w:spacing w:after="0"/>
        <w:tabs>
          <w:tab w:leader="none" w:pos="31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 PROKOSCH</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/s/ K. BARRETT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type w:val="continuous"/>
        </w:sectPr>
      </w:pPr>
    </w:p>
    <w:bookmarkStart w:id="442" w:name="page443"/>
    <w:bookmarkEnd w:id="442"/>
    <w:p>
      <w:pPr>
        <w:spacing w:after="0"/>
        <w:tabs>
          <w:tab w:leader="none" w:pos="214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100" w:hanging="938"/>
        <w:spacing w:after="0"/>
        <w:tabs>
          <w:tab w:leader="none" w:pos="3100"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County of Hennepin</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On the 19th day of February, 1997, before me personally came Gerald T. Knight, to me known, who, being by me duly sworn, did depose and say that he is Vice President &amp; CFO of The Toro Company,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330"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4"/>
          <w:szCs w:val="14"/>
          <w:color w:val="auto"/>
        </w:rPr>
        <w:t>/s/ KATHRYN J. NELSON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Kathryn J. Nelson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Washington County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My Commission Expires Jan. 31, 2000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947" w:right="1440" w:bottom="1440" w:gutter="0" w:footer="0" w:header="0"/>
        </w:sectPr>
      </w:pPr>
    </w:p>
    <w:bookmarkStart w:id="443" w:name="page444"/>
    <w:bookmarkEnd w:id="443"/>
    <w:p>
      <w:pPr>
        <w:spacing w:after="0"/>
        <w:tabs>
          <w:tab w:leader="none" w:pos="214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100" w:hanging="938"/>
        <w:spacing w:after="0"/>
        <w:tabs>
          <w:tab w:leader="none" w:pos="3100"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County of Ramsey</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On the 19th day of February, 1997, before me personally came Richard H. Prokosch, to me known, who, being by me duly sworn, did depose and say that he is Trust Officer of First Trust National Association, one of the entities described in and which executed the foregoing instrument; that he knows the seal of said entity; that the seal affixed to said instrument is such seal; that it was so affixed by authority of the Board of Directors of said entity; and that he signed his name thereto by like authority.</w:t>
      </w:r>
    </w:p>
    <w:p>
      <w:pPr>
        <w:spacing w:after="0" w:line="200" w:lineRule="exact"/>
        <w:rPr>
          <w:sz w:val="20"/>
          <w:szCs w:val="20"/>
          <w:color w:val="auto"/>
        </w:rPr>
      </w:pPr>
    </w:p>
    <w:p>
      <w:pPr>
        <w:spacing w:after="0" w:line="29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4"/>
          <w:szCs w:val="14"/>
          <w:color w:val="auto"/>
        </w:rPr>
        <w:t>/s/ S. DIGNAN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Dignan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Ramsey County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My Commission Expires on Jan. 31, 2000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946" w:right="1440" w:bottom="1440" w:gutter="0" w:footer="0" w:header="0"/>
        </w:sectPr>
      </w:pPr>
    </w:p>
    <w:bookmarkStart w:id="444" w:name="page445"/>
    <w:bookmarkEnd w:id="444"/>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OFFICERS' CERTIFICATE</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ESTABLISHING</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TERMS OF DEBT SECURITIES</w:t>
      </w:r>
    </w:p>
    <w:p>
      <w:pPr>
        <w:spacing w:after="0" w:line="338"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undersigned, Stephen P. Wolfe, Vice President Finance, Treasurer and Chief Financial Officer of The Toro Company (the "Company") and J. Lawrence McIntyre, Vice President, Secretary and General Counsel of the Company, pursuant to authority vested in us by resolution of the Board of Directors of the Company on May 27, 1997, hereby establish, and certify the establishment of, the Company's 7.125% Notes due June 15, 2007 (the "Notes") and the Company's 7.80% Debentures due June 15, 2027 (the "Debentures") to be issued under the Indenture dated January 31, 1997 (the "Indenture") between the Company and First Trust National Association, as Trustee (the "Trustee"), as follows:</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7.125% NOTES DUE JUNE 15, 2007</w:t>
      </w:r>
    </w:p>
    <w:p>
      <w:pPr>
        <w:spacing w:after="0" w:line="173"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There is hereby established under the Indenture a series of debt securities of the Company designated the 7.125% Notes due June 15, 2007, as to which the following terms are hereby approved:</w:t>
      </w:r>
    </w:p>
    <w:p>
      <w:pPr>
        <w:spacing w:after="0" w:line="163" w:lineRule="exact"/>
        <w:rPr>
          <w:sz w:val="20"/>
          <w:szCs w:val="20"/>
          <w:color w:val="auto"/>
        </w:rPr>
      </w:pPr>
    </w:p>
    <w:p>
      <w:pPr>
        <w:ind w:left="780" w:hanging="427"/>
        <w:spacing w:after="0"/>
        <w:tabs>
          <w:tab w:leader="none" w:pos="780"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Notes is "7.125% Notes due June 15, 2007".</w:t>
      </w:r>
    </w:p>
    <w:p>
      <w:pPr>
        <w:spacing w:after="0" w:line="172" w:lineRule="exact"/>
        <w:rPr>
          <w:rFonts w:ascii="Courier New" w:cs="Courier New" w:eastAsia="Courier New" w:hAnsi="Courier New"/>
          <w:sz w:val="14"/>
          <w:szCs w:val="14"/>
          <w:color w:val="auto"/>
        </w:rPr>
      </w:pPr>
    </w:p>
    <w:p>
      <w:pPr>
        <w:ind w:right="3599" w:firstLine="353"/>
        <w:spacing w:after="0" w:line="251" w:lineRule="auto"/>
        <w:tabs>
          <w:tab w:leader="none" w:pos="775"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 upon the aggregate principal amount of the Notes which may be authenticated and delivered under the Indenture (except for Notes authenticated and delivered upon registration of, transfer of, or in exchange for, or in lieu of other Notes pursuant to Sections 3.04, 3.05, 3.06, 9.06 or 11.07 of the Indenture) is $75,000,000.</w:t>
      </w:r>
    </w:p>
    <w:p>
      <w:pPr>
        <w:spacing w:after="0" w:line="164" w:lineRule="exact"/>
        <w:rPr>
          <w:rFonts w:ascii="Courier New" w:cs="Courier New" w:eastAsia="Courier New" w:hAnsi="Courier New"/>
          <w:sz w:val="14"/>
          <w:szCs w:val="14"/>
          <w:color w:val="auto"/>
        </w:rPr>
      </w:pPr>
    </w:p>
    <w:p>
      <w:pPr>
        <w:jc w:val="both"/>
        <w:ind w:right="3599" w:firstLine="353"/>
        <w:spacing w:after="0" w:line="251" w:lineRule="auto"/>
        <w:tabs>
          <w:tab w:leader="none" w:pos="775"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Notes shall be payable to the persons in whose name the Notes are registered at the close of business on the Regular Record Date (as defined in the Indenture) for such interest payment, except that interest payable on June 15, 2007 shall be payable to the persons to whom principal is payable on such date.</w:t>
      </w:r>
    </w:p>
    <w:p>
      <w:pPr>
        <w:spacing w:after="0" w:line="164" w:lineRule="exact"/>
        <w:rPr>
          <w:rFonts w:ascii="Courier New" w:cs="Courier New" w:eastAsia="Courier New" w:hAnsi="Courier New"/>
          <w:sz w:val="14"/>
          <w:szCs w:val="14"/>
          <w:color w:val="auto"/>
        </w:rPr>
      </w:pPr>
    </w:p>
    <w:p>
      <w:pPr>
        <w:ind w:right="4019" w:firstLine="353"/>
        <w:spacing w:after="0" w:line="255" w:lineRule="auto"/>
        <w:tabs>
          <w:tab w:leader="none" w:pos="775"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principal of the Notes is payable, unless accelerated pursuant to the Indenture, shall be June 15, 2007.</w:t>
      </w:r>
    </w:p>
    <w:p>
      <w:pPr>
        <w:spacing w:after="0" w:line="159"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at which each of the Notes shall bear interest shall be</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7.125% per annum. The date from which interest shall accrue for each of the Notes shall be June 15, 1997. The interest payment dates on which interest on the Notes shall be payable are June 15 and December 15 commencing December 15, 1997. The regular record dates for the interest payable on the Notes on any interest payment date shall be the May 31 and November 30 as the case may be, immediately preceding such interest payment date.</w:t>
      </w:r>
    </w:p>
    <w:p>
      <w:pPr>
        <w:sectPr>
          <w:pgSz w:w="11900" w:h="16838" w:orient="portrait"/>
          <w:cols w:equalWidth="0" w:num="1">
            <w:col w:w="10239"/>
          </w:cols>
          <w:pgMar w:left="220" w:top="615" w:right="1440" w:bottom="1440" w:gutter="0" w:footer="0" w:header="0"/>
        </w:sectPr>
      </w:pPr>
    </w:p>
    <w:bookmarkStart w:id="445" w:name="page446"/>
    <w:bookmarkEnd w:id="445"/>
    <w:p>
      <w:pPr>
        <w:ind w:right="3599" w:firstLine="353"/>
        <w:spacing w:after="0" w:line="251" w:lineRule="auto"/>
        <w:tabs>
          <w:tab w:leader="none" w:pos="775" w:val="left"/>
        </w:tabs>
        <w:numPr>
          <w:ilvl w:val="1"/>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interest on the Notes shall be payable, the Notes may be surrendered for registration of transfer, the Notes may be surrendered for exchange and notices may be given to the Company in respect of the Notes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163" w:lineRule="exact"/>
        <w:rPr>
          <w:rFonts w:ascii="Courier New" w:cs="Courier New" w:eastAsia="Courier New" w:hAnsi="Courier New"/>
          <w:sz w:val="14"/>
          <w:szCs w:val="14"/>
          <w:color w:val="auto"/>
        </w:rPr>
      </w:pPr>
    </w:p>
    <w:p>
      <w:pPr>
        <w:ind w:right="3599" w:firstLine="353"/>
        <w:spacing w:after="0" w:line="250" w:lineRule="auto"/>
        <w:tabs>
          <w:tab w:leader="none" w:pos="775" w:val="left"/>
        </w:tabs>
        <w:numPr>
          <w:ilvl w:val="1"/>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may be redeemed, in whole or in part, at the option of the Company at any time at a redemption price equal to the greater of (i) 100% of the principal amount of such Notes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w:t>
      </w:r>
    </w:p>
    <w:p>
      <w:pPr>
        <w:spacing w:after="0" w:line="3" w:lineRule="exact"/>
        <w:rPr>
          <w:rFonts w:ascii="Courier New" w:cs="Courier New" w:eastAsia="Courier New" w:hAnsi="Courier New"/>
          <w:sz w:val="14"/>
          <w:szCs w:val="14"/>
          <w:color w:val="auto"/>
        </w:rPr>
      </w:pPr>
    </w:p>
    <w:p>
      <w:pPr>
        <w:ind w:left="360" w:right="3679" w:hanging="352"/>
        <w:spacing w:after="0" w:line="375" w:lineRule="auto"/>
        <w:tabs>
          <w:tab w:leader="none" w:pos="360"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thereon, if any, accrued as of the date of redemption. "Adjusted Treasury Rate" means, with respect to any redemption date, the</w:t>
      </w: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162"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5" w:right="1440" w:bottom="1440" w:gutter="0" w:footer="0" w:header="0"/>
        </w:sectPr>
      </w:pPr>
    </w:p>
    <w:bookmarkStart w:id="446" w:name="page447"/>
    <w:bookmarkEnd w:id="446"/>
    <w:p>
      <w:pPr>
        <w:ind w:right="3679"/>
        <w:spacing w:after="0" w:line="252" w:lineRule="auto"/>
        <w:rPr>
          <w:sz w:val="20"/>
          <w:szCs w:val="20"/>
          <w:color w:val="auto"/>
        </w:rPr>
      </w:pPr>
      <w:r>
        <w:rPr>
          <w:rFonts w:ascii="Courier New" w:cs="Courier New" w:eastAsia="Courier New" w:hAnsi="Courier New"/>
          <w:sz w:val="14"/>
          <w:szCs w:val="14"/>
          <w:color w:val="auto"/>
        </w:rPr>
        <w:t>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2"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Notes or portions thereof called for redemption.</w:t>
      </w:r>
    </w:p>
    <w:p>
      <w:pPr>
        <w:spacing w:after="0" w:line="163" w:lineRule="exact"/>
        <w:rPr>
          <w:sz w:val="20"/>
          <w:szCs w:val="20"/>
          <w:color w:val="auto"/>
        </w:rPr>
      </w:pPr>
    </w:p>
    <w:p>
      <w:pPr>
        <w:jc w:val="both"/>
        <w:ind w:right="3679" w:firstLine="353"/>
        <w:spacing w:after="0" w:line="252" w:lineRule="auto"/>
        <w:tabs>
          <w:tab w:leader="none" w:pos="775"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obligation of the Company to redeem or purchase any of the Notes pursuant to any sinking fund or analogous provisions, or to repay any of the Notes prior to Stated Maturity at the option of a Holder thereof.</w:t>
      </w:r>
    </w:p>
    <w:p>
      <w:pPr>
        <w:spacing w:after="0" w:line="162" w:lineRule="exact"/>
        <w:rPr>
          <w:rFonts w:ascii="Courier New" w:cs="Courier New" w:eastAsia="Courier New" w:hAnsi="Courier New"/>
          <w:sz w:val="14"/>
          <w:szCs w:val="14"/>
          <w:color w:val="auto"/>
        </w:rPr>
      </w:pPr>
    </w:p>
    <w:p>
      <w:pPr>
        <w:ind w:right="3679" w:firstLine="353"/>
        <w:spacing w:after="0" w:line="252" w:lineRule="auto"/>
        <w:tabs>
          <w:tab w:leader="none" w:pos="775"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shall be issued as Global Securities (as defined in the Indenture) under the Indenture. The Depository Trust Company is hereby designated as the Depositary for the Notes under the Indenture. The form of the Global Securities for the Notes shall be as set forth in Annex I hereto.</w:t>
      </w:r>
    </w:p>
    <w:p>
      <w:pPr>
        <w:spacing w:after="0" w:line="162" w:lineRule="exact"/>
        <w:rPr>
          <w:rFonts w:ascii="Courier New" w:cs="Courier New" w:eastAsia="Courier New" w:hAnsi="Courier New"/>
          <w:sz w:val="14"/>
          <w:szCs w:val="14"/>
          <w:color w:val="auto"/>
        </w:rPr>
      </w:pPr>
    </w:p>
    <w:p>
      <w:pPr>
        <w:ind w:right="3679" w:firstLine="353"/>
        <w:spacing w:after="0" w:line="252" w:lineRule="auto"/>
        <w:tabs>
          <w:tab w:leader="none" w:pos="775"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principal amount of the Notes shall be payable upon declaration of acceleration of the maturity thereof pursuant to Section 5.02 of the Indenture.</w:t>
      </w:r>
    </w:p>
    <w:p>
      <w:pPr>
        <w:spacing w:after="0" w:line="162" w:lineRule="exact"/>
        <w:rPr>
          <w:rFonts w:ascii="Courier New" w:cs="Courier New" w:eastAsia="Courier New" w:hAnsi="Courier New"/>
          <w:sz w:val="14"/>
          <w:szCs w:val="14"/>
          <w:color w:val="auto"/>
        </w:rPr>
      </w:pPr>
    </w:p>
    <w:p>
      <w:pPr>
        <w:ind w:right="3859" w:firstLine="353"/>
        <w:spacing w:after="0" w:line="255" w:lineRule="auto"/>
        <w:tabs>
          <w:tab w:leader="none" w:pos="775"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Notes shall be computed on the basis of a 360-day year of twelve 30-day months.</w:t>
      </w:r>
    </w:p>
    <w:p>
      <w:pPr>
        <w:spacing w:after="0" w:line="16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7.80% DEBENTURES DUE JUNE 15, 2027</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There is hereby established under the Indenture a series of debt securities of the Company designated the 7.80% Debentures due June 15, 2027, as to which the following terms are hereby approved:</w:t>
      </w:r>
    </w:p>
    <w:p>
      <w:pPr>
        <w:spacing w:after="0" w:line="163" w:lineRule="exact"/>
        <w:rPr>
          <w:sz w:val="20"/>
          <w:szCs w:val="20"/>
          <w:color w:val="auto"/>
        </w:rPr>
      </w:pPr>
    </w:p>
    <w:p>
      <w:pPr>
        <w:ind w:left="780" w:hanging="427"/>
        <w:spacing w:after="0"/>
        <w:tabs>
          <w:tab w:leader="none" w:pos="780"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Debentures is 7.80% Debentures due June 15, 2027".</w:t>
      </w:r>
    </w:p>
    <w:p>
      <w:pPr>
        <w:spacing w:after="0" w:line="172" w:lineRule="exact"/>
        <w:rPr>
          <w:rFonts w:ascii="Courier New" w:cs="Courier New" w:eastAsia="Courier New" w:hAnsi="Courier New"/>
          <w:sz w:val="14"/>
          <w:szCs w:val="14"/>
          <w:color w:val="auto"/>
        </w:rPr>
      </w:pPr>
    </w:p>
    <w:p>
      <w:pPr>
        <w:ind w:right="3679" w:firstLine="353"/>
        <w:spacing w:after="0" w:line="251" w:lineRule="auto"/>
        <w:tabs>
          <w:tab w:leader="none" w:pos="775"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 upon the aggregate principal amount of the Debentures which may be authenticated and delivered under the Indenture (except for Debentures authenticated and delivered upon registration of, transfer of, or in exchange for, or in lieu of other Debentures pursuant to Sections 3.04, 3.05, 3.06, 9.06 or 11.07 of the Indenture) is $100,000,000.</w:t>
      </w:r>
    </w:p>
    <w:p>
      <w:pPr>
        <w:spacing w:after="0" w:line="164" w:lineRule="exact"/>
        <w:rPr>
          <w:rFonts w:ascii="Courier New" w:cs="Courier New" w:eastAsia="Courier New" w:hAnsi="Courier New"/>
          <w:sz w:val="14"/>
          <w:szCs w:val="14"/>
          <w:color w:val="auto"/>
        </w:rPr>
      </w:pPr>
    </w:p>
    <w:p>
      <w:pPr>
        <w:ind w:right="3679" w:firstLine="353"/>
        <w:spacing w:after="0" w:line="251" w:lineRule="auto"/>
        <w:tabs>
          <w:tab w:leader="none" w:pos="775"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Debentures shall be payable to the persons in whose name the Debentures are registered at the close of business on the Regular Record Date (as defined in the Indenture) for such interest payment, except that interest payable on June 15, 2027 shall be payable to the persons to whom principal is payable on such date.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447" w:name="page448"/>
    <w:bookmarkEnd w:id="447"/>
    <w:p>
      <w:pPr>
        <w:ind w:right="3599" w:firstLine="353"/>
        <w:spacing w:after="0" w:line="255" w:lineRule="auto"/>
        <w:tabs>
          <w:tab w:leader="none" w:pos="775"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principal of the Debentures is payable, unless accelerated pursuant to the Indenture, shall be June 15, 2027.</w:t>
      </w:r>
    </w:p>
    <w:p>
      <w:pPr>
        <w:spacing w:after="0" w:line="159" w:lineRule="exact"/>
        <w:rPr>
          <w:rFonts w:ascii="Courier New" w:cs="Courier New" w:eastAsia="Courier New" w:hAnsi="Courier New"/>
          <w:sz w:val="14"/>
          <w:szCs w:val="14"/>
          <w:color w:val="auto"/>
        </w:rPr>
      </w:pPr>
    </w:p>
    <w:p>
      <w:pPr>
        <w:ind w:right="3779" w:firstLine="353"/>
        <w:spacing w:after="0" w:line="251" w:lineRule="auto"/>
        <w:tabs>
          <w:tab w:leader="none" w:pos="775"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at which each of the Debentures shall bear interest shall be 7.80% per annum. The date from which interest shall accrue for each of the Debentures shall be June 15, 1997. The interest payment dates on which interest on the Debentures shall be payable are June 15 and December 15 commencing December 15, 1997. The regular record dates for the interest payable on the Debentures on any interest payment date shall be the May 31 and November 30 as the case may be, immediately preceding such interest payment date.</w:t>
      </w:r>
    </w:p>
    <w:p>
      <w:pPr>
        <w:spacing w:after="0" w:line="163" w:lineRule="exact"/>
        <w:rPr>
          <w:rFonts w:ascii="Courier New" w:cs="Courier New" w:eastAsia="Courier New" w:hAnsi="Courier New"/>
          <w:sz w:val="14"/>
          <w:szCs w:val="14"/>
          <w:color w:val="auto"/>
        </w:rPr>
      </w:pPr>
    </w:p>
    <w:p>
      <w:pPr>
        <w:ind w:right="3599" w:firstLine="353"/>
        <w:spacing w:after="0" w:line="251" w:lineRule="auto"/>
        <w:tabs>
          <w:tab w:leader="none" w:pos="775"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interest on the Debentures shall be payable, the Debentures may be surrendered for registration of transfer, the Debentures may be surrendered for exchange and notices may be given to the Company in respect of the Debentures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329" w:lineRule="exact"/>
        <w:rPr>
          <w:rFonts w:ascii="Courier New" w:cs="Courier New" w:eastAsia="Courier New" w:hAnsi="Courier New"/>
          <w:sz w:val="14"/>
          <w:szCs w:val="14"/>
          <w:color w:val="auto"/>
        </w:rPr>
      </w:pPr>
    </w:p>
    <w:p>
      <w:pPr>
        <w:ind w:right="3599" w:firstLine="353"/>
        <w:spacing w:after="0" w:line="251" w:lineRule="auto"/>
        <w:tabs>
          <w:tab w:leader="none" w:pos="775"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may be redeemed, in whole or in part, at the option of the Company at any time at a redemption price equal to the greater of (i) 100% of the principal amount of such Debentures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Debentures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48" w:name="page449"/>
    <w:bookmarkEnd w:id="448"/>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Debentures or portions thereof called for redemption.</w:t>
      </w:r>
    </w:p>
    <w:p>
      <w:pPr>
        <w:spacing w:after="0" w:line="163" w:lineRule="exact"/>
        <w:rPr>
          <w:sz w:val="20"/>
          <w:szCs w:val="20"/>
          <w:color w:val="auto"/>
        </w:rPr>
      </w:pPr>
    </w:p>
    <w:p>
      <w:pPr>
        <w:ind w:right="3779" w:firstLine="353"/>
        <w:spacing w:after="0" w:line="252" w:lineRule="auto"/>
        <w:tabs>
          <w:tab w:leader="none" w:pos="775"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obligation of the Company to redeem or purchase any of the Debentures pursuant to any sinking fund or analogous provisions, or to repay any of the Debentures prior to Stated Maturity at the option of a Holder thereof.</w:t>
      </w:r>
    </w:p>
    <w:p>
      <w:pPr>
        <w:spacing w:after="0" w:line="162" w:lineRule="exact"/>
        <w:rPr>
          <w:rFonts w:ascii="Courier New" w:cs="Courier New" w:eastAsia="Courier New" w:hAnsi="Courier New"/>
          <w:sz w:val="14"/>
          <w:szCs w:val="14"/>
          <w:color w:val="auto"/>
        </w:rPr>
      </w:pPr>
    </w:p>
    <w:p>
      <w:pPr>
        <w:jc w:val="both"/>
        <w:ind w:right="3779" w:firstLine="353"/>
        <w:spacing w:after="0" w:line="251" w:lineRule="auto"/>
        <w:tabs>
          <w:tab w:leader="none" w:pos="775"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shall be issued as Global Securities (as defined in the Indenture) under the Indenture. The Depository Trust Company is hereby designated as the Depositary for the Debentures under the Indenture. The form of the Global Securities for the Debentures shall be as set forth in Annex II hereto.</w:t>
      </w:r>
    </w:p>
    <w:p>
      <w:pPr>
        <w:spacing w:after="0" w:line="164" w:lineRule="exact"/>
        <w:rPr>
          <w:rFonts w:ascii="Courier New" w:cs="Courier New" w:eastAsia="Courier New" w:hAnsi="Courier New"/>
          <w:sz w:val="14"/>
          <w:szCs w:val="14"/>
          <w:color w:val="auto"/>
        </w:rPr>
      </w:pPr>
    </w:p>
    <w:p>
      <w:pPr>
        <w:jc w:val="both"/>
        <w:ind w:right="3679" w:firstLine="353"/>
        <w:spacing w:after="0" w:line="252" w:lineRule="auto"/>
        <w:tabs>
          <w:tab w:leader="none" w:pos="775"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principal amount of the Debentures shall be payable upon declaration of acceleration of the maturity thereof pursuant to Section 5.02 of the Indenture.</w:t>
      </w:r>
    </w:p>
    <w:p>
      <w:pPr>
        <w:spacing w:after="0" w:line="16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Debentures shall be computed on the basis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360-day year of twelve 30-day months.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The terms and conditions of the Indenture shall apply to the Notes and Debentures generally subject to the specific terms of the Notes and Debentures set forth herein.</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Trustee is appointed as Paying Agent (as defined in the Indenture).</w:t>
      </w:r>
    </w:p>
    <w:p>
      <w:pPr>
        <w:spacing w:after="0" w:line="173" w:lineRule="exact"/>
        <w:rPr>
          <w:sz w:val="20"/>
          <w:szCs w:val="20"/>
          <w:color w:val="auto"/>
        </w:rPr>
      </w:pPr>
    </w:p>
    <w:p>
      <w:pPr>
        <w:ind w:right="4019" w:firstLine="344"/>
        <w:spacing w:after="0" w:line="255" w:lineRule="auto"/>
        <w:rPr>
          <w:sz w:val="20"/>
          <w:szCs w:val="20"/>
          <w:color w:val="auto"/>
        </w:rPr>
      </w:pPr>
      <w:r>
        <w:rPr>
          <w:rFonts w:ascii="Courier New" w:cs="Courier New" w:eastAsia="Courier New" w:hAnsi="Courier New"/>
          <w:sz w:val="14"/>
          <w:szCs w:val="14"/>
          <w:color w:val="auto"/>
        </w:rPr>
        <w:t>The foregoing terms and forms of the respective Securities have been established in conformity with the provisions of the Indenture.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49" w:name="page450"/>
    <w:bookmarkEnd w:id="449"/>
    <w:p>
      <w:pPr>
        <w:ind w:right="3599" w:firstLine="344"/>
        <w:spacing w:after="0" w:line="251" w:lineRule="auto"/>
        <w:rPr>
          <w:sz w:val="20"/>
          <w:szCs w:val="20"/>
          <w:color w:val="auto"/>
        </w:rPr>
      </w:pPr>
      <w:r>
        <w:rPr>
          <w:rFonts w:ascii="Courier New" w:cs="Courier New" w:eastAsia="Courier New" w:hAnsi="Courier New"/>
          <w:sz w:val="14"/>
          <w:szCs w:val="14"/>
          <w:color w:val="auto"/>
        </w:rPr>
        <w:t>Each of the undersigned has read the provisions of Sections 3.01 and 3.03 of the Indenture and the definitions relating thereto and the resolutions adopted by the Board of Directors of the Company authorizing the execution of the Indenture and the establishment of the Notes and Debentures. In the opinion of each of the undersigned, he has made such examination or investigation as is necessary to enable him to express an informed opinion as to whether or not all conditions precedent provided in the Indenture relating to the establishment, authentication and delivery of the respective series of Securities under the Indenture have been complied with. In the opinion of each of the undersigned, all such conditions precedent have been complied with.</w:t>
      </w:r>
    </w:p>
    <w:p>
      <w:pPr>
        <w:spacing w:after="0" w:line="329"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IN WITNESS WHEREOF, the undersigned have hereunto executed this Officers' Certificate as of the 18th day of June, 1997.</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Treasurer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General Counsel</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5" w:right="1440" w:bottom="1440" w:gutter="0" w:footer="0" w:header="0"/>
        </w:sectPr>
      </w:pPr>
    </w:p>
    <w:bookmarkStart w:id="450" w:name="page451"/>
    <w:bookmarkEnd w:id="450"/>
    <w:p>
      <w:pPr>
        <w:ind w:left="6120"/>
        <w:spacing w:after="0"/>
        <w:rPr>
          <w:sz w:val="20"/>
          <w:szCs w:val="20"/>
          <w:color w:val="auto"/>
        </w:rPr>
      </w:pPr>
      <w:r>
        <w:rPr>
          <w:rFonts w:ascii="Courier New" w:cs="Courier New" w:eastAsia="Courier New" w:hAnsi="Courier New"/>
          <w:sz w:val="14"/>
          <w:szCs w:val="14"/>
          <w:color w:val="auto"/>
        </w:rPr>
        <w:t>ANNEX I</w:t>
      </w:r>
    </w:p>
    <w:p>
      <w:pPr>
        <w:spacing w:after="0" w:line="338"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NO. ________________</w:t>
      </w:r>
      <w:r>
        <w:rPr>
          <w:sz w:val="20"/>
          <w:szCs w:val="20"/>
          <w:color w:val="auto"/>
        </w:rPr>
        <w:tab/>
      </w: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7.125% NOTE DUE JUNE 15, 2007</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4"/>
          <w:szCs w:val="14"/>
          <w:color w:val="auto"/>
        </w:rPr>
        <w:t>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DATE: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3"/>
          <w:szCs w:val="13"/>
          <w:color w:val="auto"/>
        </w:rPr>
        <w:t>7.125%</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CUSIP:</w:t>
      </w:r>
      <w:r>
        <w:rPr>
          <w:sz w:val="20"/>
          <w:szCs w:val="20"/>
          <w:color w:val="auto"/>
        </w:rPr>
        <w:tab/>
      </w:r>
      <w:r>
        <w:rPr>
          <w:rFonts w:ascii="Courier New" w:cs="Courier New" w:eastAsia="Courier New" w:hAnsi="Courier New"/>
          <w:sz w:val="14"/>
          <w:szCs w:val="14"/>
          <w:color w:val="auto"/>
        </w:rPr>
        <w:t>891092AC2</w:t>
      </w:r>
    </w:p>
    <w:p>
      <w:pPr>
        <w:spacing w:after="0" w:line="173"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INTEREST PAYMENT DATES:</w:t>
      </w:r>
      <w:r>
        <w:rPr>
          <w:sz w:val="20"/>
          <w:szCs w:val="20"/>
          <w:color w:val="auto"/>
        </w:rPr>
        <w:tab/>
      </w:r>
      <w:r>
        <w:rPr>
          <w:rFonts w:ascii="Courier New" w:cs="Courier New" w:eastAsia="Courier New" w:hAnsi="Courier New"/>
          <w:sz w:val="14"/>
          <w:szCs w:val="14"/>
          <w:color w:val="auto"/>
        </w:rPr>
        <w:t>June 15 and December 15, commencing December 15, 1997</w:t>
      </w:r>
    </w:p>
    <w:p>
      <w:pPr>
        <w:spacing w:after="0" w:line="173"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REGULAR RECORD DATES:</w:t>
      </w:r>
      <w:r>
        <w:rPr>
          <w:sz w:val="20"/>
          <w:szCs w:val="20"/>
          <w:color w:val="auto"/>
        </w:rPr>
        <w:tab/>
      </w:r>
      <w:r>
        <w:rPr>
          <w:rFonts w:ascii="Courier New" w:cs="Courier New" w:eastAsia="Courier New" w:hAnsi="Courier New"/>
          <w:sz w:val="14"/>
          <w:szCs w:val="14"/>
          <w:color w:val="auto"/>
        </w:rPr>
        <w:t>May 31 and November 30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451" w:name="page452"/>
    <w:bookmarkEnd w:id="451"/>
    <w:p>
      <w:pPr>
        <w:ind w:right="3859" w:firstLine="344"/>
        <w:spacing w:after="0" w:line="250" w:lineRule="auto"/>
        <w:rPr>
          <w:sz w:val="20"/>
          <w:szCs w:val="20"/>
          <w:color w:val="auto"/>
        </w:rPr>
      </w:pPr>
      <w:r>
        <w:rPr>
          <w:rFonts w:ascii="Courier New" w:cs="Courier New" w:eastAsia="Courier New" w:hAnsi="Courier New"/>
          <w:sz w:val="14"/>
          <w:szCs w:val="14"/>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2007 and to pay interest</w:t>
      </w:r>
    </w:p>
    <w:p>
      <w:pPr>
        <w:spacing w:after="0" w:line="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thereon from June 15, 1997 or from the most recent Interest Payment Date to which interest has been paid or duly provided for, semi-annually on June 15 and December 15 in each year, commencing December 15, 1997, at the rate of 7.125%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34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64"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by manual signature, this Security shall not be entitled to any benefit under the Indenture or be valid or obligatory for any purpose.</w:t>
      </w:r>
    </w:p>
    <w:p>
      <w:pPr>
        <w:spacing w:after="0" w:line="163"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$75,000,000.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452" w:name="page453"/>
    <w:bookmarkEnd w:id="452"/>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Securities or portions thereof called for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5" w:right="1440" w:bottom="1440" w:gutter="0" w:footer="0" w:header="0"/>
        </w:sectPr>
      </w:pPr>
    </w:p>
    <w:bookmarkStart w:id="453" w:name="page454"/>
    <w:bookmarkEnd w:id="453"/>
    <w:p>
      <w:pPr>
        <w:ind w:right="3679" w:firstLine="344"/>
        <w:spacing w:after="0" w:line="252" w:lineRule="auto"/>
        <w:rPr>
          <w:sz w:val="20"/>
          <w:szCs w:val="20"/>
          <w:color w:val="auto"/>
        </w:rPr>
      </w:pPr>
      <w:r>
        <w:rPr>
          <w:rFonts w:ascii="Courier New" w:cs="Courier New" w:eastAsia="Courier New" w:hAnsi="Courier New"/>
          <w:sz w:val="14"/>
          <w:szCs w:val="14"/>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right="3679" w:firstLine="344"/>
        <w:spacing w:after="0" w:line="250"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3" w:lineRule="exact"/>
        <w:rPr>
          <w:sz w:val="20"/>
          <w:szCs w:val="20"/>
          <w:color w:val="auto"/>
        </w:rPr>
      </w:pPr>
    </w:p>
    <w:p>
      <w:pPr>
        <w:ind w:right="3599" w:firstLine="344"/>
        <w:spacing w:after="0" w:line="250"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5" w:right="1440" w:bottom="1440" w:gutter="0" w:footer="0" w:header="0"/>
        </w:sectPr>
      </w:pPr>
    </w:p>
    <w:bookmarkStart w:id="454" w:name="page455"/>
    <w:bookmarkEnd w:id="454"/>
    <w:p>
      <w:pPr>
        <w:ind w:right="3599" w:firstLine="344"/>
        <w:spacing w:after="0" w:line="25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330"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327"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The Securities shall be governed by and construed in accordance with the laws of the State of New York.</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60"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 _____</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455" w:name="page456"/>
    <w:bookmarkEnd w:id="455"/>
    <w:p>
      <w:pPr>
        <w:jc w:val="center"/>
        <w:ind w:right="3419"/>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200" w:lineRule="exact"/>
        <w:rPr>
          <w:sz w:val="20"/>
          <w:szCs w:val="20"/>
          <w:color w:val="auto"/>
        </w:rPr>
      </w:pPr>
    </w:p>
    <w:p>
      <w:pPr>
        <w:spacing w:after="0" w:line="291"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5" w:right="1440" w:bottom="1440" w:gutter="0" w:footer="0" w:header="0"/>
        </w:sectPr>
      </w:pPr>
    </w:p>
    <w:bookmarkStart w:id="456" w:name="page457"/>
    <w:bookmarkEnd w:id="456"/>
    <w:p>
      <w:pPr>
        <w:ind w:left="2600"/>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ABBREVIATIONS</w:t>
      </w:r>
    </w:p>
    <w:p>
      <w:pPr>
        <w:spacing w:after="0" w:line="173"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instrument, shall be construed as though they were written out in full according to applicable laws or regulations.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the entireties</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48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as joint tenants with right of survivorship and not as</w:t>
            </w:r>
          </w:p>
        </w:tc>
      </w:tr>
      <w:tr>
        <w:trPr>
          <w:trHeight w:val="166"/>
        </w:trPr>
        <w:tc>
          <w:tcPr>
            <w:tcW w:w="10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tenants in</w:t>
            </w:r>
          </w:p>
        </w:tc>
        <w:tc>
          <w:tcPr>
            <w:tcW w:w="3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w:t>
            </w:r>
          </w:p>
        </w:tc>
      </w:tr>
    </w:tbl>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UNIF GIFT MIN ACT --____________________ Custodian ______________________</w:t>
      </w:r>
    </w:p>
    <w:p>
      <w:pPr>
        <w:spacing w:after="0" w:line="7" w:lineRule="exact"/>
        <w:rPr>
          <w:sz w:val="20"/>
          <w:szCs w:val="20"/>
          <w:color w:val="auto"/>
        </w:rPr>
      </w:pPr>
    </w:p>
    <w:p>
      <w:pPr>
        <w:ind w:left="2600"/>
        <w:spacing w:after="0"/>
        <w:tabs>
          <w:tab w:leader="none" w:pos="532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 Uniform Gifts to Minors ct_________________________________________</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FOR VALUE RECEIVED, the undersigned hereby sell(s), assign(s) and transfers unto</w:t>
      </w:r>
    </w:p>
    <w:p>
      <w:pPr>
        <w:sectPr>
          <w:pgSz w:w="11900" w:h="16838" w:orient="portrait"/>
          <w:cols w:equalWidth="0" w:num="1">
            <w:col w:w="10239"/>
          </w:cols>
          <w:pgMar w:left="220" w:top="615" w:right="1440" w:bottom="1440" w:gutter="0" w:footer="0" w:header="0"/>
        </w:sectPr>
      </w:pPr>
    </w:p>
    <w:p>
      <w:pPr>
        <w:spacing w:after="0" w:line="16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Please insert Social Security or other Identifying Number of Assignee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172" w:lineRule="exact"/>
        <w:rPr>
          <w:sz w:val="20"/>
          <w:szCs w:val="20"/>
          <w:color w:val="auto"/>
        </w:rPr>
      </w:pPr>
    </w:p>
    <w:p>
      <w:pPr>
        <w:sectPr>
          <w:pgSz w:w="11900" w:h="16838" w:orient="portrait"/>
          <w:cols w:equalWidth="0" w:num="2">
            <w:col w:w="3280" w:space="180"/>
            <w:col w:w="6779"/>
          </w:cols>
          <w:pgMar w:left="220" w:top="615" w:right="1440" w:bottom="1440" w:gutter="0" w:footer="0" w:header="0"/>
          <w:type w:val="continuous"/>
        </w:sectPr>
      </w:pPr>
    </w:p>
    <w:p>
      <w:pPr>
        <w:ind w:right="4119"/>
        <w:spacing w:after="0" w:line="25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73" w:lineRule="exact"/>
        <w:rPr>
          <w:sz w:val="20"/>
          <w:szCs w:val="20"/>
          <w:color w:val="auto"/>
        </w:rPr>
      </w:pPr>
    </w:p>
    <w:p>
      <w:pPr>
        <w:ind w:right="4199"/>
        <w:spacing w:after="0" w:line="250" w:lineRule="auto"/>
        <w:rPr>
          <w:sz w:val="20"/>
          <w:szCs w:val="20"/>
          <w:color w:val="auto"/>
        </w:rPr>
      </w:pPr>
      <w:r>
        <w:rPr>
          <w:rFonts w:ascii="Courier New" w:cs="Courier New" w:eastAsia="Courier New" w:hAnsi="Courier New"/>
          <w:sz w:val="14"/>
          <w:szCs w:val="14"/>
          <w:color w:val="auto"/>
        </w:rPr>
        <w:t>the within Security and all rights thereunder, hereby irrevocably constituting and appointing ________________ Attorney to transfer said</w:t>
      </w:r>
    </w:p>
    <w:p>
      <w:pPr>
        <w:spacing w:after="0" w:line="1"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Security on the books of the Company, with full power of substitution in the premises.</w:t>
      </w:r>
    </w:p>
    <w:p>
      <w:pPr>
        <w:spacing w:after="0" w:line="16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_________________________</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5" w:right="1440" w:bottom="1440" w:gutter="0" w:footer="0" w:header="0"/>
          <w:type w:val="continuous"/>
        </w:sectPr>
      </w:pPr>
    </w:p>
    <w:bookmarkStart w:id="457" w:name="page458"/>
    <w:bookmarkEnd w:id="457"/>
    <w:p>
      <w:pPr>
        <w:ind w:left="258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ind w:left="2580"/>
        <w:spacing w:after="0"/>
        <w:tabs>
          <w:tab w:leader="none" w:pos="3420" w:val="left"/>
        </w:tabs>
        <w:rPr>
          <w:sz w:val="20"/>
          <w:szCs w:val="20"/>
          <w:color w:val="auto"/>
        </w:rPr>
      </w:pPr>
      <w:r>
        <w:rPr>
          <w:rFonts w:ascii="Courier New" w:cs="Courier New" w:eastAsia="Courier New" w:hAnsi="Courier New"/>
          <w:sz w:val="14"/>
          <w:szCs w:val="14"/>
          <w:color w:val="auto"/>
        </w:rPr>
        <w:t>Notice:</w:t>
      </w:r>
      <w:r>
        <w:rPr>
          <w:sz w:val="20"/>
          <w:szCs w:val="20"/>
          <w:color w:val="auto"/>
        </w:rPr>
        <w:tab/>
      </w:r>
      <w:r>
        <w:rPr>
          <w:rFonts w:ascii="Courier New" w:cs="Courier New" w:eastAsia="Courier New" w:hAnsi="Courier New"/>
          <w:sz w:val="14"/>
          <w:szCs w:val="14"/>
          <w:color w:val="auto"/>
        </w:rPr>
        <w:t>The signature to this</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assignment must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correspond with the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name as written on the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face of the within</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instrument in every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particular, without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alteration or</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enlargement, or any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change whatever.</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019"/>
          </w:cols>
          <w:pgMar w:left="1440" w:top="615" w:right="1440" w:bottom="1440" w:gutter="0" w:footer="0" w:header="0"/>
        </w:sectPr>
      </w:pPr>
    </w:p>
    <w:bookmarkStart w:id="458" w:name="page459"/>
    <w:bookmarkEnd w:id="458"/>
    <w:p>
      <w:pPr>
        <w:ind w:left="5960"/>
        <w:spacing w:after="0"/>
        <w:rPr>
          <w:sz w:val="20"/>
          <w:szCs w:val="20"/>
          <w:color w:val="auto"/>
        </w:rPr>
      </w:pPr>
      <w:r>
        <w:rPr>
          <w:rFonts w:ascii="Courier New" w:cs="Courier New" w:eastAsia="Courier New" w:hAnsi="Courier New"/>
          <w:sz w:val="14"/>
          <w:szCs w:val="14"/>
          <w:color w:val="auto"/>
        </w:rPr>
        <w:t>ANNEX II</w:t>
      </w:r>
    </w:p>
    <w:p>
      <w:pPr>
        <w:spacing w:after="0" w:line="338"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NO. ________________</w:t>
      </w:r>
      <w:r>
        <w:rPr>
          <w:sz w:val="20"/>
          <w:szCs w:val="20"/>
          <w:color w:val="auto"/>
        </w:rPr>
        <w:tab/>
      </w: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7.80% DEBENTURE DUE JUNE 15, 2027</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4"/>
          <w:szCs w:val="14"/>
          <w:color w:val="auto"/>
        </w:rPr>
        <w:t>June 15, 2027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DATE: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4"/>
          <w:szCs w:val="14"/>
          <w:color w:val="auto"/>
        </w:rPr>
        <w:t>7.80%</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CUSIP:</w:t>
      </w:r>
      <w:r>
        <w:rPr>
          <w:sz w:val="20"/>
          <w:szCs w:val="20"/>
          <w:color w:val="auto"/>
        </w:rPr>
        <w:tab/>
      </w:r>
      <w:r>
        <w:rPr>
          <w:rFonts w:ascii="Courier New" w:cs="Courier New" w:eastAsia="Courier New" w:hAnsi="Courier New"/>
          <w:sz w:val="14"/>
          <w:szCs w:val="14"/>
          <w:color w:val="auto"/>
        </w:rPr>
        <w:t>891092AD0</w:t>
      </w:r>
    </w:p>
    <w:p>
      <w:pPr>
        <w:spacing w:after="0" w:line="173" w:lineRule="exact"/>
        <w:rPr>
          <w:sz w:val="20"/>
          <w:szCs w:val="20"/>
          <w:color w:val="auto"/>
        </w:rPr>
      </w:pPr>
    </w:p>
    <w:p>
      <w:pPr>
        <w:ind w:left="2240" w:right="3859" w:hanging="2238"/>
        <w:spacing w:after="0" w:line="255" w:lineRule="auto"/>
        <w:tabs>
          <w:tab w:leader="none" w:pos="2220" w:val="left"/>
        </w:tabs>
        <w:rPr>
          <w:sz w:val="20"/>
          <w:szCs w:val="20"/>
          <w:color w:val="auto"/>
        </w:rPr>
      </w:pPr>
      <w:r>
        <w:rPr>
          <w:rFonts w:ascii="Courier New" w:cs="Courier New" w:eastAsia="Courier New" w:hAnsi="Courier New"/>
          <w:sz w:val="14"/>
          <w:szCs w:val="14"/>
          <w:color w:val="auto"/>
        </w:rPr>
        <w:t>INTEREST PAYMENT DATES:</w:t>
      </w:r>
      <w:r>
        <w:rPr>
          <w:sz w:val="20"/>
          <w:szCs w:val="20"/>
          <w:color w:val="auto"/>
        </w:rPr>
        <w:tab/>
      </w:r>
      <w:r>
        <w:rPr>
          <w:rFonts w:ascii="Courier New" w:cs="Courier New" w:eastAsia="Courier New" w:hAnsi="Courier New"/>
          <w:sz w:val="14"/>
          <w:szCs w:val="14"/>
          <w:color w:val="auto"/>
        </w:rPr>
        <w:t>June 15 and December 15, commencing December 15, 1997</w:t>
      </w:r>
    </w:p>
    <w:p>
      <w:pPr>
        <w:spacing w:after="0" w:line="160"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REGULAR RECORD DATES:</w:t>
      </w:r>
      <w:r>
        <w:rPr>
          <w:sz w:val="20"/>
          <w:szCs w:val="20"/>
          <w:color w:val="auto"/>
        </w:rPr>
        <w:tab/>
      </w:r>
      <w:r>
        <w:rPr>
          <w:rFonts w:ascii="Courier New" w:cs="Courier New" w:eastAsia="Courier New" w:hAnsi="Courier New"/>
          <w:sz w:val="14"/>
          <w:szCs w:val="14"/>
          <w:color w:val="auto"/>
        </w:rPr>
        <w:t>May 31 and November 30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459" w:name="page460"/>
    <w:bookmarkEnd w:id="459"/>
    <w:p>
      <w:pPr>
        <w:ind w:right="3859" w:firstLine="344"/>
        <w:spacing w:after="0" w:line="250" w:lineRule="auto"/>
        <w:rPr>
          <w:sz w:val="20"/>
          <w:szCs w:val="20"/>
          <w:color w:val="auto"/>
        </w:rPr>
      </w:pPr>
      <w:r>
        <w:rPr>
          <w:rFonts w:ascii="Courier New" w:cs="Courier New" w:eastAsia="Courier New" w:hAnsi="Courier New"/>
          <w:sz w:val="14"/>
          <w:szCs w:val="14"/>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2027 and to pay interest</w:t>
      </w:r>
    </w:p>
    <w:p>
      <w:pPr>
        <w:spacing w:after="0" w:line="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thereon from June 15, 1997 or from the most recent Interest Payment Date to which interest has been paid or duly provided for, semi-annually on June 15 and December 15 in each year, commencing December 15, 1997, at the rate of 7.80%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34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64"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by manual signature, this Security shall not be entitled to any benefit under the Indenture or be valid or obligatory for any purpose.</w:t>
      </w:r>
    </w:p>
    <w:p>
      <w:pPr>
        <w:spacing w:after="0" w:line="163"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$100,000,000.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460" w:name="page461"/>
    <w:bookmarkEnd w:id="460"/>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Securities or portions thereof called for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461" w:name="page462"/>
    <w:bookmarkEnd w:id="461"/>
    <w:p>
      <w:pPr>
        <w:ind w:right="3679" w:firstLine="344"/>
        <w:spacing w:after="0" w:line="252" w:lineRule="auto"/>
        <w:rPr>
          <w:sz w:val="20"/>
          <w:szCs w:val="20"/>
          <w:color w:val="auto"/>
        </w:rPr>
      </w:pPr>
      <w:r>
        <w:rPr>
          <w:rFonts w:ascii="Courier New" w:cs="Courier New" w:eastAsia="Courier New" w:hAnsi="Courier New"/>
          <w:sz w:val="14"/>
          <w:szCs w:val="14"/>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right="3679" w:firstLine="344"/>
        <w:spacing w:after="0" w:line="250"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3" w:lineRule="exact"/>
        <w:rPr>
          <w:sz w:val="20"/>
          <w:szCs w:val="20"/>
          <w:color w:val="auto"/>
        </w:rPr>
      </w:pPr>
    </w:p>
    <w:p>
      <w:pPr>
        <w:ind w:right="3599" w:firstLine="344"/>
        <w:spacing w:after="0" w:line="250"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462" w:name="page463"/>
    <w:bookmarkEnd w:id="462"/>
    <w:p>
      <w:pPr>
        <w:ind w:right="3599" w:firstLine="344"/>
        <w:spacing w:after="0" w:line="25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330"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327"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The Securities shall be governed by and construed in accordance with the laws of the State of New York.</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60"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160"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Dated: __________, _____</w:t>
      </w:r>
      <w:r>
        <w:rPr>
          <w:sz w:val="20"/>
          <w:szCs w:val="20"/>
          <w:color w:val="auto"/>
        </w:rPr>
        <w:tab/>
      </w:r>
      <w:r>
        <w:rPr>
          <w:rFonts w:ascii="Courier New" w:cs="Courier New" w:eastAsia="Courier New" w:hAnsi="Courier New"/>
          <w:sz w:val="14"/>
          <w:szCs w:val="14"/>
          <w:color w:val="auto"/>
        </w:rPr>
        <w:t>THE TORO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463" w:name="page464"/>
    <w:bookmarkEnd w:id="463"/>
    <w:p>
      <w:pPr>
        <w:jc w:val="center"/>
        <w:ind w:right="3259"/>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326"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1" w:right="1440" w:bottom="1440" w:gutter="0" w:footer="0" w:header="0"/>
        </w:sectPr>
      </w:pPr>
    </w:p>
    <w:bookmarkStart w:id="464" w:name="page465"/>
    <w:bookmarkEnd w:id="464"/>
    <w:p>
      <w:pPr>
        <w:ind w:left="2680"/>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ABBREVIATIONS</w:t>
      </w:r>
    </w:p>
    <w:p>
      <w:pPr>
        <w:spacing w:after="0" w:line="338"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instrument, shall be construed as though they were written out in full according to applicable laws or regulations.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the entireties</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48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as joint tenants with right of survivorship and not as</w:t>
            </w:r>
          </w:p>
        </w:tc>
      </w:tr>
      <w:tr>
        <w:trPr>
          <w:trHeight w:val="166"/>
        </w:trPr>
        <w:tc>
          <w:tcPr>
            <w:tcW w:w="10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tenants in</w:t>
            </w:r>
          </w:p>
        </w:tc>
        <w:tc>
          <w:tcPr>
            <w:tcW w:w="3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w:t>
            </w:r>
          </w:p>
        </w:tc>
      </w:tr>
    </w:tbl>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UNIF GIFT MIN ACT --_________________ Custodian __________________________</w:t>
      </w:r>
    </w:p>
    <w:p>
      <w:pPr>
        <w:spacing w:after="0" w:line="7" w:lineRule="exact"/>
        <w:rPr>
          <w:sz w:val="20"/>
          <w:szCs w:val="20"/>
          <w:color w:val="auto"/>
        </w:rPr>
      </w:pPr>
    </w:p>
    <w:p>
      <w:pPr>
        <w:ind w:left="2600"/>
        <w:spacing w:after="0"/>
        <w:tabs>
          <w:tab w:leader="none" w:pos="516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 Uniform Gifts to Minors Act ________________________________________</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FOR VALUE RECEIVED, the undersigned hereby sell(s), assign(s) and transfers unto</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Please insert Social Security or other Identifying Number of Assignee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2" w:lineRule="exact"/>
        <w:rPr>
          <w:sz w:val="20"/>
          <w:szCs w:val="20"/>
          <w:color w:val="auto"/>
        </w:rPr>
      </w:pPr>
    </w:p>
    <w:p>
      <w:pPr>
        <w:sectPr>
          <w:pgSz w:w="11900" w:h="16838" w:orient="portrait"/>
          <w:cols w:equalWidth="0" w:num="2">
            <w:col w:w="3280" w:space="260"/>
            <w:col w:w="6699"/>
          </w:cols>
          <w:pgMar w:left="220" w:top="616" w:right="1440" w:bottom="1440" w:gutter="0" w:footer="0" w:header="0"/>
          <w:type w:val="continuous"/>
        </w:sectPr>
      </w:pPr>
    </w:p>
    <w:p>
      <w:pPr>
        <w:ind w:right="4119"/>
        <w:spacing w:after="0" w:line="25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ind w:right="4199"/>
        <w:spacing w:after="0" w:line="250" w:lineRule="auto"/>
        <w:rPr>
          <w:sz w:val="20"/>
          <w:szCs w:val="20"/>
          <w:color w:val="auto"/>
        </w:rPr>
      </w:pPr>
      <w:r>
        <w:rPr>
          <w:rFonts w:ascii="Courier New" w:cs="Courier New" w:eastAsia="Courier New" w:hAnsi="Courier New"/>
          <w:sz w:val="14"/>
          <w:szCs w:val="14"/>
          <w:color w:val="auto"/>
        </w:rPr>
        <w:t>the within Security and all rights thereunder, hereby irrevocably constituting and appointing ________________ Attorney to transfer said</w:t>
      </w:r>
    </w:p>
    <w:p>
      <w:pPr>
        <w:spacing w:after="0" w:line="1"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Security on the books of the Company, with full power of substitution in the premises.</w:t>
      </w:r>
    </w:p>
    <w:p>
      <w:pPr>
        <w:spacing w:after="0" w:line="16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_________________________</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type w:val="continuous"/>
        </w:sectPr>
      </w:pPr>
    </w:p>
    <w:bookmarkStart w:id="465" w:name="page466"/>
    <w:bookmarkEnd w:id="465"/>
    <w:p>
      <w:pPr>
        <w:ind w:left="258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2580"/>
        <w:spacing w:after="0"/>
        <w:tabs>
          <w:tab w:leader="none" w:pos="3420" w:val="left"/>
        </w:tabs>
        <w:rPr>
          <w:sz w:val="20"/>
          <w:szCs w:val="20"/>
          <w:color w:val="auto"/>
        </w:rPr>
      </w:pPr>
      <w:r>
        <w:rPr>
          <w:rFonts w:ascii="Courier New" w:cs="Courier New" w:eastAsia="Courier New" w:hAnsi="Courier New"/>
          <w:sz w:val="14"/>
          <w:szCs w:val="14"/>
          <w:color w:val="auto"/>
        </w:rPr>
        <w:t>Notice:</w:t>
      </w:r>
      <w:r>
        <w:rPr>
          <w:sz w:val="20"/>
          <w:szCs w:val="20"/>
          <w:color w:val="auto"/>
        </w:rPr>
        <w:tab/>
      </w:r>
      <w:r>
        <w:rPr>
          <w:rFonts w:ascii="Courier New" w:cs="Courier New" w:eastAsia="Courier New" w:hAnsi="Courier New"/>
          <w:sz w:val="14"/>
          <w:szCs w:val="14"/>
          <w:color w:val="auto"/>
        </w:rPr>
        <w:t>The signature to this</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assignment must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correspond with the name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 written on the face of</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the within instrument in</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every particular, without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alteration or</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enlargement, or any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781" w:right="1440" w:bottom="1440" w:gutter="0" w:footer="0" w:header="0"/>
        </w:sectPr>
      </w:pPr>
    </w:p>
    <w:bookmarkStart w:id="466" w:name="page467"/>
    <w:bookmarkEnd w:id="466"/>
    <w:p>
      <w:pPr>
        <w:ind w:left="1980"/>
        <w:spacing w:after="0"/>
        <w:rPr>
          <w:sz w:val="20"/>
          <w:szCs w:val="20"/>
          <w:color w:val="auto"/>
        </w:rPr>
      </w:pPr>
      <w:r>
        <w:rPr>
          <w:rFonts w:ascii="Courier New" w:cs="Courier New" w:eastAsia="Courier New" w:hAnsi="Courier New"/>
          <w:sz w:val="14"/>
          <w:szCs w:val="14"/>
          <w:color w:val="auto"/>
        </w:rPr>
        <w:t>[DOHERTY RUMBLE &amp; BUTLER LETTERHEAD]</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June 27,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N.W.</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We are transmitting herewith through the EDGAR system a Current Report on Form 8-K of The Toro Company dated June 24, 1997.</w:t>
      </w:r>
    </w:p>
    <w:p>
      <w:pPr>
        <w:spacing w:after="0" w:line="160" w:lineRule="exact"/>
        <w:rPr>
          <w:sz w:val="20"/>
          <w:szCs w:val="20"/>
          <w:color w:val="auto"/>
        </w:rPr>
      </w:pPr>
    </w:p>
    <w:p>
      <w:pPr>
        <w:ind w:right="4459" w:firstLine="775"/>
        <w:spacing w:after="0" w:line="255" w:lineRule="auto"/>
        <w:rPr>
          <w:sz w:val="20"/>
          <w:szCs w:val="20"/>
          <w:color w:val="auto"/>
        </w:rPr>
      </w:pPr>
      <w:r>
        <w:rPr>
          <w:rFonts w:ascii="Courier New" w:cs="Courier New" w:eastAsia="Courier New" w:hAnsi="Courier New"/>
          <w:sz w:val="14"/>
          <w:szCs w:val="14"/>
          <w:color w:val="auto"/>
        </w:rPr>
        <w:t>Please call me at (612) 340-5575 if you require additional information.</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Dean R. Edstrom</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Dean R. Edstrom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w:t>
      </w:r>
    </w:p>
    <w:p>
      <w:pPr>
        <w:sectPr>
          <w:pgSz w:w="11900" w:h="16838" w:orient="portrait"/>
          <w:cols w:equalWidth="0" w:num="1">
            <w:col w:w="10239"/>
          </w:cols>
          <w:pgMar w:left="220" w:top="616" w:right="1440" w:bottom="1440" w:gutter="0" w:footer="0" w:header="0"/>
        </w:sectPr>
      </w:pPr>
    </w:p>
    <w:bookmarkStart w:id="467" w:name="page468"/>
    <w:bookmarkEnd w:id="467"/>
    <w:p>
      <w:pPr>
        <w:spacing w:after="0"/>
        <w:tabs>
          <w:tab w:leader="none" w:pos="760" w:val="left"/>
        </w:tabs>
        <w:rPr>
          <w:sz w:val="20"/>
          <w:szCs w:val="20"/>
          <w:color w:val="auto"/>
        </w:rPr>
      </w:pPr>
      <w:r>
        <w:rPr>
          <w:rFonts w:ascii="Courier New" w:cs="Courier New" w:eastAsia="Courier New" w:hAnsi="Courier New"/>
          <w:sz w:val="14"/>
          <w:szCs w:val="14"/>
          <w:color w:val="auto"/>
        </w:rPr>
        <w:t>Item 2.</w:t>
        <w:tab/>
        <w:t>Acquisition or Disposition of Assets.</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On December 2, 1996, Registrant completed the acquisition of James Hardie Irrigation Group from James Hardie Limited of Australia,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 for a purchase price of approximately $119 million, subject to adjustment upon completion of closing audited financial statements. The purchase price was determined through arms length negotiations by the parties. The purchase price was funded out of the proceeds of a $160,000,000 revolving line of credit furnished to Registrant by Bank of America Illinois, First Bank National Association and NationsBank N.A. (Bank of America National Trust and Savings Association, as Agent). In connection with the acquisition, Registrant obtained an additional $150,000,000 revolving line of credit from Bank of America Illinois, First Bank National Association and NationsBank N.A. (Bank of America National Trust and Savings Association, as Agent).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1300" w:hanging="603"/>
        <w:spacing w:after="0"/>
        <w:tabs>
          <w:tab w:leader="none" w:pos="1300"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businesses acquired.</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not later than February 18, 1997.</w:t>
      </w:r>
    </w:p>
    <w:p>
      <w:pPr>
        <w:spacing w:after="0" w:line="172"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information.</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not later than February 18, 1997.</w:t>
      </w:r>
    </w:p>
    <w:p>
      <w:pPr>
        <w:spacing w:after="0" w:line="172"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740" w:right="3339" w:hanging="440"/>
        <w:spacing w:after="0" w:line="252" w:lineRule="auto"/>
        <w:tabs>
          <w:tab w:leader="none" w:pos="1740" w:val="left"/>
        </w:tabs>
        <w:numPr>
          <w:ilvl w:val="1"/>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September 19, 1996, between The Toro Company and James Hardie Irrigation Group (incorporated by reference to the exhibit to Registrant's Current Report on Form 8-K for September 19, 1996).</w:t>
      </w:r>
    </w:p>
    <w:p>
      <w:pPr>
        <w:spacing w:after="0" w:line="162"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Registrant has duly caused this report to be signed on its behalf by the undersigned hereunto duly authorized.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Lawrence McIntyre, Vice President,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Secretary and General Counsel</w:t>
      </w:r>
    </w:p>
    <w:p>
      <w:pPr>
        <w:sectPr>
          <w:pgSz w:w="11900" w:h="16838" w:orient="portrait"/>
          <w:cols w:equalWidth="0" w:num="2">
            <w:col w:w="3280" w:space="180"/>
            <w:col w:w="6779"/>
          </w:cols>
          <w:pgMar w:left="220" w:top="616" w:right="1440" w:bottom="1440" w:gutter="0" w:footer="0" w:header="0"/>
          <w:type w:val="continuous"/>
        </w:sectPr>
      </w:pPr>
    </w:p>
    <w:bookmarkStart w:id="468" w:name="page469"/>
    <w:bookmarkEnd w:id="468"/>
    <w:p>
      <w:pPr>
        <w:spacing w:after="0"/>
        <w:rPr>
          <w:sz w:val="20"/>
          <w:szCs w:val="20"/>
          <w:color w:val="auto"/>
        </w:rPr>
      </w:pPr>
      <w:r>
        <w:rPr>
          <w:rFonts w:ascii="Courier New" w:cs="Courier New" w:eastAsia="Courier New" w:hAnsi="Courier New"/>
          <w:sz w:val="14"/>
          <w:szCs w:val="14"/>
          <w:color w:val="auto"/>
        </w:rPr>
        <w:t>December 16,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Corporate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5th Street N.W.</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 or Madam:</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behalf of The Toro Company, we are herewith transmitting through the EDGAR system the Company's Registration Statement on Form 8-K which reports on the completion of the acquisition of James Hardie Irrigation Group from James Hardie Limited of Australia.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call me at (612) 887-8443 if you require additional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Kerry Juntti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Corporate Control</w:t>
      </w:r>
    </w:p>
    <w:p>
      <w:pPr>
        <w:spacing w:after="0" w:line="338" w:lineRule="exact"/>
        <w:rPr>
          <w:sz w:val="20"/>
          <w:szCs w:val="20"/>
          <w:color w:val="auto"/>
        </w:rPr>
      </w:pPr>
    </w:p>
    <w:p>
      <w:pPr>
        <w:ind w:left="440" w:right="8599" w:hanging="432"/>
        <w:spacing w:after="0" w:line="255" w:lineRule="auto"/>
        <w:tabs>
          <w:tab w:leader="none" w:pos="440"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Jerry Knight Larry McIntyre</w:t>
      </w:r>
    </w:p>
    <w:p>
      <w:pPr>
        <w:sectPr>
          <w:pgSz w:w="11900" w:h="16838" w:orient="portrait"/>
          <w:cols w:equalWidth="0" w:num="1">
            <w:col w:w="10239"/>
          </w:cols>
          <w:pgMar w:left="220" w:top="781" w:right="1440" w:bottom="1440" w:gutter="0" w:footer="0" w:header="0"/>
        </w:sectPr>
      </w:pPr>
    </w:p>
    <w:bookmarkStart w:id="469" w:name="page470"/>
    <w:bookmarkEnd w:id="469"/>
    <w:p>
      <w:pPr>
        <w:jc w:val="center"/>
        <w:ind w:right="289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SECURITIES AND EXCHANGE COMMISSION</w:t>
      </w:r>
    </w:p>
    <w:p>
      <w:pPr>
        <w:sectPr>
          <w:pgSz w:w="11900" w:h="16838" w:orient="portrait"/>
          <w:cols w:equalWidth="0" w:num="1">
            <w:col w:w="10239"/>
          </w:cols>
          <w:pgMar w:left="220" w:top="615" w:right="1440" w:bottom="1440" w:gutter="0" w:footer="0" w:header="0"/>
        </w:sectPr>
      </w:pP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WASHINGTON, D.C.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20549</w:t>
      </w:r>
    </w:p>
    <w:p>
      <w:pPr>
        <w:spacing w:after="0" w:line="173" w:lineRule="exact"/>
        <w:rPr>
          <w:sz w:val="20"/>
          <w:szCs w:val="20"/>
          <w:color w:val="auto"/>
        </w:rPr>
      </w:pPr>
    </w:p>
    <w:p>
      <w:pPr>
        <w:sectPr>
          <w:pgSz w:w="11900" w:h="16838" w:orient="portrait"/>
          <w:cols w:equalWidth="0" w:num="2">
            <w:col w:w="4060" w:space="260"/>
            <w:col w:w="5919"/>
          </w:cols>
          <w:pgMar w:left="220" w:top="615"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________</w:t>
      </w:r>
    </w:p>
    <w:p>
      <w:pPr>
        <w:spacing w:after="0" w:line="3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AMENDMENT NO. 2</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TO CURRENT REPORT ON FORM 8-K</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FORM 8-K/A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ectPr>
          <w:pgSz w:w="11900" w:h="16838" w:orient="portrait"/>
          <w:cols w:equalWidth="0" w:num="1">
            <w:col w:w="10239"/>
          </w:cols>
          <w:pgMar w:left="220" w:top="615"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Report: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Date of earliest event reported)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 1996</w:t>
      </w:r>
    </w:p>
    <w:p>
      <w:pPr>
        <w:spacing w:after="0" w:line="200" w:lineRule="exact"/>
        <w:rPr>
          <w:sz w:val="20"/>
          <w:szCs w:val="20"/>
          <w:color w:val="auto"/>
        </w:rPr>
      </w:pPr>
    </w:p>
    <w:p>
      <w:pPr>
        <w:sectPr>
          <w:pgSz w:w="11900" w:h="16838" w:orient="portrait"/>
          <w:cols w:equalWidth="0" w:num="3">
            <w:col w:w="1300" w:space="180"/>
            <w:col w:w="2920" w:space="180"/>
            <w:col w:w="5659"/>
          </w:cols>
          <w:pgMar w:left="220" w:top="615" w:right="1440" w:bottom="1440" w:gutter="0" w:footer="0" w:header="0"/>
          <w:type w:val="continuous"/>
        </w:sectPr>
      </w:pPr>
    </w:p>
    <w:p>
      <w:pPr>
        <w:spacing w:after="0" w:line="13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5" w:right="1440" w:bottom="1440" w:gutter="0" w:footer="0" w:header="0"/>
          <w:type w:val="continuous"/>
        </w:sectPr>
      </w:pP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1-8469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3">
            <w:col w:w="2420" w:space="440"/>
            <w:col w:w="1800" w:space="440"/>
            <w:col w:w="5139"/>
          </w:cols>
          <w:pgMar w:left="220" w:top="615" w:right="1440" w:bottom="1440" w:gutter="0" w:footer="0" w:header="0"/>
          <w:type w:val="continuous"/>
        </w:sectPr>
      </w:pPr>
    </w:p>
    <w:p>
      <w:pPr>
        <w:spacing w:after="0" w:line="304" w:lineRule="exact"/>
        <w:rPr>
          <w:sz w:val="20"/>
          <w:szCs w:val="20"/>
          <w:color w:val="auto"/>
        </w:rPr>
      </w:pPr>
    </w:p>
    <w:p>
      <w:pPr>
        <w:ind w:right="240"/>
        <w:spacing w:after="0" w:line="255" w:lineRule="auto"/>
        <w:rPr>
          <w:sz w:val="20"/>
          <w:szCs w:val="20"/>
          <w:color w:val="auto"/>
        </w:rPr>
      </w:pPr>
      <w:r>
        <w:rPr>
          <w:rFonts w:ascii="Courier New" w:cs="Courier New" w:eastAsia="Courier New" w:hAnsi="Courier New"/>
          <w:sz w:val="14"/>
          <w:szCs w:val="14"/>
          <w:color w:val="auto"/>
        </w:rPr>
        <w:t>8111 LYNDALE AVENUE SOUTH, BLOOMINGTON, MINNESOTA (Address of principal executive office)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4460" w:space="720"/>
            <w:col w:w="5059"/>
          </w:cols>
          <w:pgMar w:left="220" w:top="615"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612/888-8801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615" w:right="1440" w:bottom="1440" w:gutter="0" w:footer="0" w:header="0"/>
          <w:type w:val="continuous"/>
        </w:sectPr>
      </w:pPr>
    </w:p>
    <w:bookmarkStart w:id="470" w:name="page471"/>
    <w:bookmarkEnd w:id="470"/>
    <w:p>
      <w:pPr>
        <w:spacing w:after="0"/>
        <w:rPr>
          <w:sz w:val="20"/>
          <w:szCs w:val="20"/>
          <w:color w:val="auto"/>
        </w:rPr>
      </w:pPr>
      <w:r>
        <w:rPr>
          <w:rFonts w:ascii="Courier New" w:cs="Courier New" w:eastAsia="Courier New" w:hAnsi="Courier New"/>
          <w:sz w:val="14"/>
          <w:szCs w:val="14"/>
          <w:color w:val="auto"/>
        </w:rPr>
        <w:t>Effective December 1, 1996, The Toro Company acquired James Hardie Irrigation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("Hardie") from James Hardie, Ltd. under an agreement dated September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1996. The initial purchase price pursuant to the agreement was estimated</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to be $131,500,000.</w:t>
        <w:tab/>
        <w:t>The purchase price was subsequently adjusted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$119,125,000 based on estimated, unaudited aggregate shareholders' equity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Hardie on December 1, 1996, subject to further adjustment based on final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results.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acquisition is accounted for using the purchase accounting method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accordingly, the adjusted purchase price of $108,580,000 has initially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allocated based on the estimated fair values of assets acquired and liabilities</w:t>
      </w:r>
    </w:p>
    <w:p>
      <w:pPr>
        <w:spacing w:after="0" w:line="7"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assumed on the date of acquisition.</w:t>
        <w:tab/>
        <w:t>The excess of the purchase price over the</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estimated fair value of net</w:t>
        <w:tab/>
        <w:t>tangible assets acquired has been recorded as</w:t>
      </w:r>
    </w:p>
    <w:p>
      <w:pPr>
        <w:spacing w:after="0" w:line="7"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goodwill and is being amortized on a straight-line basis over 20 years.</w:t>
        <w:tab/>
        <w:t>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reductions in the purchase price as a result of resolution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objections discussed in the preceding paragraph will result in a reduction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and/or other net assets. The related effect of these adjustments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Consolidated Statement of Earnings of The Toro Company is not expected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Included in this Amendment No. 2 to Form 8-K are the audited combined financial statements of the James Hardie Irrigation Group as of and for the year ended December 1, 1996, and the unaudited pro forma condensed combined financial statements of The Toro Company as of and for the year ended October 31, 1996, which supercede the audited combined financial statements of the James Hardie Irrigation Group as of and for the year ended March 31, 1996, the unaudited condensed combined financial statements of the James Hardie Irrigation Group as of and for the seven months ended October 31, 1996 and the unaudited pro forma condensed combined financial statements of The Toro Company as of and for the year ended October 31, 1996, previously filed in Amendment No. 1 to Form 8-K.</w:t>
      </w:r>
    </w:p>
    <w:p>
      <w:pPr>
        <w:sectPr>
          <w:pgSz w:w="11900" w:h="16838" w:orient="portrait"/>
          <w:cols w:equalWidth="0" w:num="1">
            <w:col w:w="10239"/>
          </w:cols>
          <w:pgMar w:left="220" w:top="615" w:right="1440" w:bottom="1440" w:gutter="0" w:footer="0" w:header="0"/>
        </w:sectPr>
      </w:pPr>
    </w:p>
    <w:bookmarkStart w:id="471" w:name="page472"/>
    <w:bookmarkEnd w:id="471"/>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PRO FORMA FINANCIAL INFORMATION AND EXHIBITS.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FOLLOWING DOCUMENTS ARE INCLUDED AS PART OF THIS REPORT:</w:t>
      </w:r>
    </w:p>
    <w:p>
      <w:pPr>
        <w:spacing w:after="0" w:line="200" w:lineRule="exact"/>
        <w:rPr>
          <w:sz w:val="20"/>
          <w:szCs w:val="20"/>
          <w:color w:val="auto"/>
        </w:rPr>
      </w:pPr>
    </w:p>
    <w:p>
      <w:pPr>
        <w:spacing w:after="0" w:line="30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  Financial Statements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Business Acquired:</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Page No.</w:t>
            </w:r>
          </w:p>
        </w:tc>
      </w:tr>
      <w:tr>
        <w:trPr>
          <w:trHeight w:val="166"/>
        </w:trPr>
        <w:tc>
          <w:tcPr>
            <w:tcW w:w="2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James Hardie Irrigation</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Group Financial Statements</w:t>
            </w:r>
          </w:p>
        </w:tc>
        <w:tc>
          <w:tcPr>
            <w:tcW w:w="1020" w:type="dxa"/>
            <w:vAlign w:val="bottom"/>
          </w:tcPr>
          <w:p>
            <w:pPr>
              <w:spacing w:after="0"/>
              <w:rPr>
                <w:sz w:val="24"/>
                <w:szCs w:val="24"/>
                <w:color w:val="auto"/>
              </w:rPr>
            </w:pPr>
          </w:p>
        </w:tc>
      </w:tr>
      <w:tr>
        <w:trPr>
          <w:trHeight w:val="166"/>
        </w:trPr>
        <w:tc>
          <w:tcPr>
            <w:tcW w:w="48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 the year ended December 1, 1996</w:t>
            </w:r>
          </w:p>
        </w:tc>
        <w:tc>
          <w:tcPr>
            <w:tcW w:w="1020" w:type="dxa"/>
            <w:vAlign w:val="bottom"/>
          </w:tcPr>
          <w:p>
            <w:pPr>
              <w:spacing w:after="0"/>
              <w:rPr>
                <w:sz w:val="14"/>
                <w:szCs w:val="14"/>
                <w:color w:val="auto"/>
              </w:rPr>
            </w:pP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Independent Auditors'</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A-1</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Combined Balance Sheet as of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A-2</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Operations for the year</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ended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A-3</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Divisional/Shareholders'</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Equity for the year ended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A-4</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Cash Flows for the year</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ended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A-5</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Notes to the Combined</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A-6 to A-16</w:t>
            </w:r>
          </w:p>
        </w:tc>
      </w:tr>
      <w:tr>
        <w:trPr>
          <w:trHeight w:val="497"/>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(b) Pro forma Financial Information:</w:t>
            </w:r>
          </w:p>
        </w:tc>
        <w:tc>
          <w:tcPr>
            <w:tcW w:w="1020" w:type="dxa"/>
            <w:vAlign w:val="bottom"/>
          </w:tcPr>
          <w:p>
            <w:pPr>
              <w:spacing w:after="0"/>
              <w:rPr>
                <w:sz w:val="24"/>
                <w:szCs w:val="24"/>
                <w:color w:val="auto"/>
              </w:rPr>
            </w:pPr>
          </w:p>
        </w:tc>
      </w:tr>
      <w:tr>
        <w:trPr>
          <w:trHeight w:val="331"/>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Pro forma Information</w:t>
            </w:r>
          </w:p>
        </w:tc>
        <w:tc>
          <w:tcPr>
            <w:tcW w:w="2340" w:type="dxa"/>
            <w:vAlign w:val="bottom"/>
          </w:tcPr>
          <w:p>
            <w:pPr>
              <w:spacing w:after="0"/>
              <w:rPr>
                <w:sz w:val="24"/>
                <w:szCs w:val="2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B-1</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 forma Condensed Combined Balance Sheet</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as of October 31,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B-2</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 forma Condensed Combined Statement of</w:t>
            </w:r>
          </w:p>
        </w:tc>
        <w:tc>
          <w:tcPr>
            <w:tcW w:w="1020" w:type="dxa"/>
            <w:vAlign w:val="bottom"/>
          </w:tcPr>
          <w:p>
            <w:pPr>
              <w:spacing w:after="0"/>
              <w:rPr>
                <w:sz w:val="14"/>
                <w:szCs w:val="14"/>
                <w:color w:val="auto"/>
              </w:rPr>
            </w:pP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 for the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020" w:type="dxa"/>
            <w:vAlign w:val="bottom"/>
          </w:tcPr>
          <w:p>
            <w:pPr>
              <w:spacing w:after="0"/>
              <w:rPr>
                <w:sz w:val="14"/>
                <w:szCs w:val="14"/>
                <w:color w:val="auto"/>
              </w:rPr>
            </w:pPr>
          </w:p>
        </w:tc>
      </w:tr>
      <w:tr>
        <w:trPr>
          <w:trHeight w:val="166"/>
        </w:trPr>
        <w:tc>
          <w:tcPr>
            <w:tcW w:w="2500" w:type="dxa"/>
            <w:vAlign w:val="bottom"/>
          </w:tcPr>
          <w:p>
            <w:pPr>
              <w:ind w:left="880"/>
              <w:spacing w:after="0"/>
              <w:rPr>
                <w:sz w:val="20"/>
                <w:szCs w:val="20"/>
                <w:color w:val="auto"/>
              </w:rPr>
            </w:pPr>
            <w:r>
              <w:rPr>
                <w:rFonts w:ascii="Courier New" w:cs="Courier New" w:eastAsia="Courier New" w:hAnsi="Courier New"/>
                <w:sz w:val="14"/>
                <w:szCs w:val="14"/>
                <w:color w:val="auto"/>
              </w:rPr>
              <w:t>October 31, 1996</w:t>
            </w:r>
          </w:p>
        </w:tc>
        <w:tc>
          <w:tcPr>
            <w:tcW w:w="23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B-3</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Notes to Pro forma Condensed Combined</w:t>
            </w:r>
          </w:p>
        </w:tc>
        <w:tc>
          <w:tcPr>
            <w:tcW w:w="1020" w:type="dxa"/>
            <w:vAlign w:val="bottom"/>
          </w:tcPr>
          <w:p>
            <w:pPr>
              <w:spacing w:after="0"/>
              <w:rPr>
                <w:sz w:val="14"/>
                <w:szCs w:val="14"/>
                <w:color w:val="auto"/>
              </w:rPr>
            </w:pPr>
          </w:p>
        </w:tc>
      </w:tr>
      <w:tr>
        <w:trPr>
          <w:trHeight w:val="166"/>
        </w:trPr>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Financial Statements</w:t>
            </w:r>
          </w:p>
        </w:tc>
        <w:tc>
          <w:tcPr>
            <w:tcW w:w="23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B-4</w:t>
            </w:r>
          </w:p>
        </w:tc>
      </w:tr>
    </w:tbl>
    <w:p>
      <w:pPr>
        <w:spacing w:after="0" w:line="33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 Exhibits: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Exhibit 23 - Consent of KPMG Peat Marwick LLP</w:t>
      </w:r>
    </w:p>
    <w:p>
      <w:pPr>
        <w:sectPr>
          <w:pgSz w:w="11900" w:h="16838" w:orient="portrait"/>
          <w:cols w:equalWidth="0" w:num="1">
            <w:col w:w="10239"/>
          </w:cols>
          <w:pgMar w:left="220" w:top="615" w:right="1440" w:bottom="1440" w:gutter="0" w:footer="0" w:header="0"/>
        </w:sectPr>
      </w:pPr>
    </w:p>
    <w:bookmarkStart w:id="472" w:name="page473"/>
    <w:bookmarkEnd w:id="472"/>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6, 1997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General Counsel</w:t>
      </w:r>
    </w:p>
    <w:p>
      <w:pPr>
        <w:sectPr>
          <w:pgSz w:w="11900" w:h="16838" w:orient="portrait"/>
          <w:cols w:equalWidth="0" w:num="4">
            <w:col w:w="440" w:space="180"/>
            <w:col w:w="2120" w:space="720"/>
            <w:col w:w="160" w:space="180"/>
            <w:col w:w="6439"/>
          </w:cols>
          <w:pgMar w:left="220" w:top="615" w:right="1440" w:bottom="1440" w:gutter="0" w:footer="0" w:header="0"/>
          <w:type w:val="continuous"/>
        </w:sectPr>
      </w:pPr>
    </w:p>
    <w:bookmarkStart w:id="473" w:name="page474"/>
    <w:bookmarkEnd w:id="473"/>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combined balance sheet of James Hardie Irrigation (a division of James Hardie Irrigation, Inc.), James Hardie Irrigation Pty Limited and James Hardie Irrigation Europe S.p.A. (collectively, "the James Hardie Irrigation Group") as of December 1, 1996 and the related combined statements of operations, divisional/shareholders' equity and cash flows for the year then ended. These financial statements are the responsibility of the James Hardie Irrigation Group management. Our responsibility is to express an opinion on these financial statements based on our audit.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 provides a reasonable basis for our opinion.</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discussed in Note 12 to the combined financial statements, effective December 1, 1996, the James Hardie Irrigation Group was acquired by The Toro Company.</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combined financial statements referred to above present fairly, in all material respects, the combined financial position of the James Hardie Irrigation Group as of December 1, 1996 and the results of their combined operations and their combined cash flows for the year then ended,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5, 1997</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162"/>
        </w:trPr>
        <w:tc>
          <w:tcPr>
            <w:tcW w:w="5440" w:type="dxa"/>
            <w:vAlign w:val="bottom"/>
          </w:tcPr>
          <w:p>
            <w:pPr>
              <w:ind w:left="2420"/>
              <w:spacing w:after="0"/>
              <w:rPr>
                <w:sz w:val="20"/>
                <w:szCs w:val="20"/>
                <w:color w:val="auto"/>
              </w:rPr>
            </w:pPr>
            <w:r>
              <w:rPr>
                <w:rFonts w:ascii="Courier New" w:cs="Courier New" w:eastAsia="Courier New" w:hAnsi="Courier New"/>
                <w:sz w:val="14"/>
                <w:szCs w:val="14"/>
                <w:color w:val="auto"/>
              </w:rPr>
              <w:t>JAMES HARDIE IRRIGATION GROUP</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COMBINED BALANCE SHEET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December 1, 1996</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________</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971,435</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Trade accounts receivable, less allowances of $4,515,780</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24,067,044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31,049,363</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Prepaid and other current assets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812,690</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6,604,735</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63,505,267</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28,726,283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2,978,390</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3,045,283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475,202</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98,730,425</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7"/>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Bank overdrafts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2,602,051</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Trade accounts payable</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9,707,770</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Accrued expenses and other liabilities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9,716,496</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Payable to affiliates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412,285</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Loans due to the U.S. Parent and affiliates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48,812,721</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71,251,323</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Severance liability</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249,154</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71,500,477</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Share capital</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10,288,675</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48,108,308</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Accumulated deficit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(30,308,914)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(858,121)</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shareholders' equity</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27,229,948</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98,730,425</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5" w:right="1440"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162"/>
        </w:trPr>
        <w:tc>
          <w:tcPr>
            <w:tcW w:w="5400" w:type="dxa"/>
            <w:vAlign w:val="bottom"/>
          </w:tcPr>
          <w:p>
            <w:pPr>
              <w:ind w:left="2420"/>
              <w:spacing w:after="0"/>
              <w:rPr>
                <w:sz w:val="20"/>
                <w:szCs w:val="20"/>
                <w:color w:val="auto"/>
              </w:rPr>
            </w:pPr>
            <w:r>
              <w:rPr>
                <w:rFonts w:ascii="Courier New" w:cs="Courier New" w:eastAsia="Courier New" w:hAnsi="Courier New"/>
                <w:sz w:val="14"/>
                <w:szCs w:val="14"/>
                <w:color w:val="auto"/>
              </w:rPr>
              <w:t>JAMES HARDIE IRRIGATION GROUP</w:t>
            </w:r>
          </w:p>
        </w:tc>
        <w:tc>
          <w:tcPr>
            <w:tcW w:w="1420" w:type="dxa"/>
            <w:vAlign w:val="bottom"/>
          </w:tcPr>
          <w:p>
            <w:pPr>
              <w:spacing w:after="0"/>
              <w:rPr>
                <w:sz w:val="14"/>
                <w:szCs w:val="14"/>
                <w:color w:val="auto"/>
              </w:rPr>
            </w:pPr>
          </w:p>
        </w:tc>
      </w:tr>
      <w:tr>
        <w:trPr>
          <w:trHeight w:val="331"/>
        </w:trPr>
        <w:tc>
          <w:tcPr>
            <w:tcW w:w="5400" w:type="dxa"/>
            <w:vAlign w:val="bottom"/>
          </w:tcPr>
          <w:p>
            <w:pPr>
              <w:ind w:left="2340"/>
              <w:spacing w:after="0"/>
              <w:rPr>
                <w:sz w:val="20"/>
                <w:szCs w:val="20"/>
                <w:color w:val="auto"/>
              </w:rPr>
            </w:pPr>
            <w:r>
              <w:rPr>
                <w:rFonts w:ascii="Courier New" w:cs="Courier New" w:eastAsia="Courier New" w:hAnsi="Courier New"/>
                <w:sz w:val="14"/>
                <w:szCs w:val="14"/>
                <w:color w:val="auto"/>
              </w:rPr>
              <w:t>COMBINED STATEMENT OF OPERATIONS</w:t>
            </w:r>
          </w:p>
        </w:tc>
        <w:tc>
          <w:tcPr>
            <w:tcW w:w="1420" w:type="dxa"/>
            <w:vAlign w:val="bottom"/>
          </w:tcPr>
          <w:p>
            <w:pPr>
              <w:spacing w:after="0"/>
              <w:rPr>
                <w:sz w:val="24"/>
                <w:szCs w:val="24"/>
                <w:color w:val="auto"/>
              </w:rPr>
            </w:pPr>
          </w:p>
        </w:tc>
      </w:tr>
      <w:tr>
        <w:trPr>
          <w:trHeight w:val="166"/>
        </w:trPr>
        <w:tc>
          <w:tcPr>
            <w:tcW w:w="5400" w:type="dxa"/>
            <w:vAlign w:val="bottom"/>
          </w:tcPr>
          <w:p>
            <w:pPr>
              <w:ind w:left="2500"/>
              <w:spacing w:after="0"/>
              <w:rPr>
                <w:sz w:val="20"/>
                <w:szCs w:val="20"/>
                <w:color w:val="auto"/>
              </w:rPr>
            </w:pPr>
            <w:r>
              <w:rPr>
                <w:rFonts w:ascii="Courier New" w:cs="Courier New" w:eastAsia="Courier New" w:hAnsi="Courier New"/>
                <w:sz w:val="14"/>
                <w:szCs w:val="14"/>
                <w:color w:val="auto"/>
              </w:rPr>
              <w:t>Year ended December 1, 1996</w:t>
            </w:r>
          </w:p>
        </w:tc>
        <w:tc>
          <w:tcPr>
            <w:tcW w:w="1420" w:type="dxa"/>
            <w:vAlign w:val="bottom"/>
          </w:tcPr>
          <w:p>
            <w:pPr>
              <w:spacing w:after="0"/>
              <w:rPr>
                <w:sz w:val="14"/>
                <w:szCs w:val="14"/>
                <w:color w:val="auto"/>
              </w:rPr>
            </w:pPr>
          </w:p>
        </w:tc>
      </w:tr>
      <w:tr>
        <w:trPr>
          <w:trHeight w:val="166"/>
        </w:trPr>
        <w:tc>
          <w:tcPr>
            <w:tcW w:w="5400" w:type="dxa"/>
            <w:vAlign w:val="bottom"/>
          </w:tcPr>
          <w:p>
            <w:pPr>
              <w:ind w:left="3360"/>
              <w:spacing w:after="0"/>
              <w:rPr>
                <w:sz w:val="20"/>
                <w:szCs w:val="20"/>
                <w:color w:val="auto"/>
              </w:rPr>
            </w:pPr>
            <w:r>
              <w:rPr>
                <w:rFonts w:ascii="Courier New" w:cs="Courier New" w:eastAsia="Courier New" w:hAnsi="Courier New"/>
                <w:sz w:val="14"/>
                <w:szCs w:val="14"/>
                <w:color w:val="auto"/>
              </w:rPr>
              <w:t>________</w:t>
            </w:r>
          </w:p>
        </w:tc>
        <w:tc>
          <w:tcPr>
            <w:tcW w:w="1420" w:type="dxa"/>
            <w:vAlign w:val="bottom"/>
          </w:tcPr>
          <w:p>
            <w:pPr>
              <w:spacing w:after="0"/>
              <w:rPr>
                <w:sz w:val="14"/>
                <w:szCs w:val="14"/>
                <w:color w:val="auto"/>
              </w:rPr>
            </w:pPr>
          </w:p>
        </w:tc>
      </w:tr>
      <w:tr>
        <w:trPr>
          <w:trHeight w:val="497"/>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$142,861,091</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revenues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1,013,254</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revenues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143,874,345</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101,071,541</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Gross profit</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42,802,804</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40,612,641</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1,184,738</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Operating income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1,005,425</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to third parties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82,914</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Management fees and other expenses to the U.S. Parent</w:t>
            </w:r>
          </w:p>
        </w:tc>
        <w:tc>
          <w:tcPr>
            <w:tcW w:w="1420" w:type="dxa"/>
            <w:vAlign w:val="bottom"/>
          </w:tcPr>
          <w:p>
            <w:pPr>
              <w:spacing w:after="0"/>
              <w:rPr>
                <w:sz w:val="24"/>
                <w:szCs w:val="2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and affiliates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791,379</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to the U.S. Parent and affiliates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3,348,899</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income from the U.S. Parent and affiliates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(1,363,510)</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(6,604,573)</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Income before income taxes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4,750,316</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(513,433)</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5,263,749</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476" w:name="page477"/>
    <w:bookmarkEnd w:id="476"/>
    <w:p>
      <w:pPr>
        <w:jc w:val="center"/>
        <w:ind w:right="3520"/>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COMBINED STATEMENT OF DIVISIONAL/SHAREHOLDERS' EQUITY</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Year ended December 1, 1996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Accumulated</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Foreign</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80" w:type="dxa"/>
            <w:vAlign w:val="bottom"/>
          </w:tcPr>
          <w:p>
            <w:pPr>
              <w:spacing w:after="0"/>
              <w:rPr>
                <w:sz w:val="14"/>
                <w:szCs w:val="14"/>
                <w:color w:val="auto"/>
              </w:rPr>
            </w:pPr>
          </w:p>
        </w:tc>
        <w:tc>
          <w:tcPr>
            <w:tcW w:w="14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Deficit/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Currency</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Divisional/</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w:t>
            </w:r>
          </w:p>
        </w:tc>
        <w:tc>
          <w:tcPr>
            <w:tcW w:w="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Divisional</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Translation</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2680" w:type="dxa"/>
            <w:vAlign w:val="bottom"/>
          </w:tcPr>
          <w:p>
            <w:pPr>
              <w:spacing w:after="0"/>
              <w:rPr>
                <w:sz w:val="14"/>
                <w:szCs w:val="14"/>
                <w:color w:val="auto"/>
              </w:rPr>
            </w:pP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Outstanding</w:t>
            </w:r>
          </w:p>
        </w:tc>
        <w:tc>
          <w:tcPr>
            <w:tcW w:w="1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at December 1, 1995</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$7,464,315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7,464,315</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 Pty</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Limited at December 1, 1995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12,000,000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8,951,884</w:t>
            </w:r>
          </w:p>
        </w:tc>
        <w:tc>
          <w:tcPr>
            <w:tcW w:w="20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(21,523,466)</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(12,571,582)</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Europe S.p.A. at</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December  1, 1995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1,308,786</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632,475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(2,005,135)</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(63,874)</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Combined balances,</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December 1, 1995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12,002,090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10,260,670</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632,475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(16,064,286)</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(5,171,141)</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24"/>
                <w:szCs w:val="2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5,263,749</w:t>
            </w:r>
          </w:p>
        </w:tc>
        <w:tc>
          <w:tcPr>
            <w:tcW w:w="340" w:type="dxa"/>
            <w:vAlign w:val="bottom"/>
          </w:tcPr>
          <w:p>
            <w:pPr>
              <w:spacing w:after="0"/>
              <w:rPr>
                <w:sz w:val="24"/>
                <w:szCs w:val="2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5,263,749</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by James Hardie Irrigation</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(Hardie U.S.)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19,508,367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(19,508,377)</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preference</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by James Hardie</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Irrigation Pty Limited</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(Hardie Australia)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34,538</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27,995</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27,967,466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27,995,461</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adjustment</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(858,121)</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(858,121)</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December 1, 1996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12,037,628</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$10,288,675</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$48,108,308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($30,308,914)</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($858,121)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$27,229,948</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860"/>
          </w:cols>
          <w:pgMar w:left="220" w:top="616" w:right="819" w:bottom="1440" w:gutter="0" w:footer="0" w:header="0"/>
        </w:sectPr>
      </w:pPr>
    </w:p>
    <w:bookmarkStart w:id="477" w:name="page478"/>
    <w:bookmarkEnd w:id="477"/>
    <w:tbl>
      <w:tblPr>
        <w:tblLayout w:type="fixed"/>
        <w:tblInd w:w="0" w:type="dxa"/>
        <w:tblCellMar>
          <w:top w:w="0" w:type="dxa"/>
          <w:left w:w="0" w:type="dxa"/>
          <w:bottom w:w="0" w:type="dxa"/>
          <w:right w:w="0" w:type="dxa"/>
        </w:tblCellMar>
      </w:tblPr>
      <w:tr>
        <w:trPr>
          <w:trHeight w:val="162"/>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JAMES HARDIE IRRIGATION GROUP</w:t>
            </w:r>
          </w:p>
        </w:tc>
        <w:tc>
          <w:tcPr>
            <w:tcW w:w="1280" w:type="dxa"/>
            <w:vAlign w:val="bottom"/>
          </w:tcPr>
          <w:p>
            <w:pPr>
              <w:spacing w:after="0"/>
              <w:rPr>
                <w:sz w:val="14"/>
                <w:szCs w:val="14"/>
                <w:color w:val="auto"/>
              </w:rPr>
            </w:pPr>
          </w:p>
        </w:tc>
      </w:tr>
      <w:tr>
        <w:trPr>
          <w:trHeight w:val="331"/>
        </w:trPr>
        <w:tc>
          <w:tcPr>
            <w:tcW w:w="5440" w:type="dxa"/>
            <w:vAlign w:val="bottom"/>
          </w:tcPr>
          <w:p>
            <w:pPr>
              <w:ind w:left="2340"/>
              <w:spacing w:after="0"/>
              <w:rPr>
                <w:sz w:val="20"/>
                <w:szCs w:val="20"/>
                <w:color w:val="auto"/>
              </w:rPr>
            </w:pPr>
            <w:r>
              <w:rPr>
                <w:rFonts w:ascii="Courier New" w:cs="Courier New" w:eastAsia="Courier New" w:hAnsi="Courier New"/>
                <w:sz w:val="14"/>
                <w:szCs w:val="14"/>
                <w:color w:val="auto"/>
              </w:rPr>
              <w:t>COMBINED STATEMENT OF CASH FLOWS</w:t>
            </w:r>
          </w:p>
        </w:tc>
        <w:tc>
          <w:tcPr>
            <w:tcW w:w="1280" w:type="dxa"/>
            <w:vAlign w:val="bottom"/>
          </w:tcPr>
          <w:p>
            <w:pPr>
              <w:spacing w:after="0"/>
              <w:rPr>
                <w:sz w:val="24"/>
                <w:szCs w:val="24"/>
                <w:color w:val="auto"/>
              </w:rPr>
            </w:pPr>
          </w:p>
        </w:tc>
      </w:tr>
      <w:tr>
        <w:trPr>
          <w:trHeight w:val="166"/>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Year ended December 1, 1996</w:t>
            </w:r>
          </w:p>
        </w:tc>
        <w:tc>
          <w:tcPr>
            <w:tcW w:w="1280" w:type="dxa"/>
            <w:vAlign w:val="bottom"/>
          </w:tcPr>
          <w:p>
            <w:pPr>
              <w:spacing w:after="0"/>
              <w:rPr>
                <w:sz w:val="14"/>
                <w:szCs w:val="14"/>
                <w:color w:val="auto"/>
              </w:rPr>
            </w:pPr>
          </w:p>
        </w:tc>
      </w:tr>
      <w:tr>
        <w:trPr>
          <w:trHeight w:val="166"/>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_______________</w:t>
            </w:r>
          </w:p>
        </w:tc>
        <w:tc>
          <w:tcPr>
            <w:tcW w:w="1280" w:type="dxa"/>
            <w:vAlign w:val="bottom"/>
          </w:tcPr>
          <w:p>
            <w:pPr>
              <w:spacing w:after="0"/>
              <w:rPr>
                <w:sz w:val="14"/>
                <w:szCs w:val="14"/>
                <w:color w:val="auto"/>
              </w:rPr>
            </w:pPr>
          </w:p>
        </w:tc>
      </w:tr>
      <w:tr>
        <w:trPr>
          <w:trHeight w:val="663"/>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28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$5,263,749</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1280" w:type="dxa"/>
            <w:vAlign w:val="bottom"/>
          </w:tcPr>
          <w:p>
            <w:pPr>
              <w:spacing w:after="0"/>
              <w:rPr>
                <w:sz w:val="14"/>
                <w:szCs w:val="14"/>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by operating activities:</w:t>
            </w:r>
          </w:p>
        </w:tc>
        <w:tc>
          <w:tcPr>
            <w:tcW w:w="1280" w:type="dxa"/>
            <w:vAlign w:val="bottom"/>
          </w:tcPr>
          <w:p>
            <w:pPr>
              <w:spacing w:after="0"/>
              <w:rPr>
                <w:sz w:val="14"/>
                <w:szCs w:val="14"/>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amortization</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5,670,701</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Loss on writedown and disposal of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795,370</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Gain on sale of investment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(7,065,294)</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Deferred income taxes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(137,767)</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280" w:type="dxa"/>
            <w:vAlign w:val="bottom"/>
          </w:tcPr>
          <w:p>
            <w:pPr>
              <w:spacing w:after="0"/>
              <w:rPr>
                <w:sz w:val="14"/>
                <w:szCs w:val="14"/>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Trade accounts receivable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1,366,199</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Inventories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9,382,667</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Prepaid and other current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438,178</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Receivable from the U.S. Parent and affiliates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(1,792,445)</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Trade accounts payable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1,838,819</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Accrued expenses and other liabilities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1,709,905</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Increase in severance liability</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41,457</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17,511,539</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28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(5,022,051)</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Increase in purchased software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(859,873)</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other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281,780</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used in investing activities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(5,600,144)</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28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loans due to the U.S. Parent and affiliates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(10,333,314)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bank overdrafts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(4,034,936)</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used in financing activities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(14,368,250)</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(43,802)</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(2,500,657)</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3,472,092</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$971,435</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280" w:type="dxa"/>
            <w:vAlign w:val="bottom"/>
          </w:tcPr>
          <w:p>
            <w:pPr>
              <w:spacing w:after="0"/>
              <w:rPr>
                <w:sz w:val="14"/>
                <w:szCs w:val="1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paid to third parties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$82,900</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paid to affiliates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$3,628,000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478" w:name="page479"/>
    <w:bookmarkEnd w:id="478"/>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financial statements of the James Hardie Irrigation Group (the "Companies") have been prepared by combining the assets, liabilities, divisional and shareholders' equity, results of operations and cash flows of James Hardie Irrigation, a division of James Hardie Irrigation, Inc. ("Hardie U.S."), (a wholly owned subsidiary of J.H. Industries (USA), Inc. (the "U.S. Parent")), James Hardie Irrigation Pty Limited ("Hardie Australia"), a corporation organized under the laws of South Australia, and James Hardie Irrigation Europe S.p.A. ("Hardie Europe"), a corporation organized under the laws of Italy. The effects of all transactions between the Companies have been eliminated in the combined financial statements. Prior to the sale discussed in Note 12, the Companies were owned directly or indirectly by an Australian company, James Hardie Industries Limited, the ultimate parent company (the "Parent").</w:t>
      </w:r>
    </w:p>
    <w:p>
      <w:pPr>
        <w:spacing w:after="0" w:line="16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manufacture and distribute products for the landscape and agricultural irrigation industries and market a wide selection of products for residential and commercial irrigation applications. The Companies are headquartered in Laguna Niguel, California; Beverly, South Australia; and Fiano Romano, near Rome, Italy. The Companies also have production and distribution facilities in various locations in the United States and Australia.</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1996 all of the issued and outstanding</w:t>
      </w:r>
    </w:p>
    <w:p>
      <w:pPr>
        <w:spacing w:after="0" w:line="7" w:lineRule="exact"/>
        <w:rPr>
          <w:rFonts w:ascii="Courier New" w:cs="Courier New" w:eastAsia="Courier New" w:hAnsi="Courier New"/>
          <w:sz w:val="14"/>
          <w:szCs w:val="14"/>
          <w:color w:val="auto"/>
        </w:rPr>
      </w:pPr>
    </w:p>
    <w:p>
      <w:pPr>
        <w:ind w:left="432"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Companies were acquired by The Toro Company ("Toro"). See Note 12 to these combined financial statements.</w:t>
      </w:r>
    </w:p>
    <w:p>
      <w:pPr>
        <w:spacing w:after="0" w:line="325"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include cash balances and all highly liquid investments with original maturities of three months or less at the date of purchase. The Companies maintain cash accounts with established commercial banks.</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are stated at the lower of cost or market. Cost is determined using standard costs which approximate actual cost utilizing the first-in, first-out ("FIFO") method. The Companies maintain inventory allowances for slow-moving and obsolete inventory.</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are stated at cost, less accumulated depreciation and amortization. Depreciation of buildings, plant and equipment is computed using the straight-line method based on the estimated useful lives ranging from 3 to 40 years.</w:t>
      </w:r>
    </w:p>
    <w:p>
      <w:pPr>
        <w:spacing w:after="0" w:line="328"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1"/>
          </w:cols>
          <w:pgMar w:left="228" w:top="615" w:right="1440" w:bottom="1440" w:gutter="0" w:footer="0" w:header="0"/>
        </w:sectPr>
      </w:pPr>
    </w:p>
    <w:bookmarkStart w:id="479" w:name="page480"/>
    <w:bookmarkEnd w:id="479"/>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right="3859" w:hanging="432"/>
        <w:spacing w:after="0" w:line="255" w:lineRule="auto"/>
        <w:tabs>
          <w:tab w:leader="none" w:pos="432"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CONTINUED</w:t>
      </w:r>
    </w:p>
    <w:p>
      <w:pPr>
        <w:spacing w:after="0" w:line="172"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Leasehold improvements are amortized on the straight-line basis over their estimated economic useful lives or the life of the lease, whichever is shorter.</w:t>
      </w:r>
    </w:p>
    <w:p>
      <w:pPr>
        <w:spacing w:after="0" w:line="162" w:lineRule="exact"/>
        <w:rPr>
          <w:rFonts w:ascii="Courier New" w:cs="Courier New" w:eastAsia="Courier New" w:hAnsi="Courier New"/>
          <w:sz w:val="14"/>
          <w:szCs w:val="14"/>
          <w:color w:val="auto"/>
        </w:rPr>
      </w:pPr>
    </w:p>
    <w:p>
      <w:pPr>
        <w:ind w:left="432"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Expenditures for maintenance and repairs are expensed as incurred. Costs of major replacements and betterments are capitalized.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TOOLING COSTS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Perishable tooling costs are charged to expense in the year incurred. Certain non-perishable tooling costs are capitalized in machinery and equipment and depreciated over estimated useful lives which range from 3 to 8 years.</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 are stated at cost or at fair value as of the date acquired in a business combination accounted for as a purchase, less accumulated amortization. Amortization of intangible assets is computed on a straight-line basis over their estimated useful lives of 17 years for patents and 20 years for goodwill.</w:t>
      </w:r>
    </w:p>
    <w:p>
      <w:pPr>
        <w:spacing w:after="0" w:line="164" w:lineRule="exact"/>
        <w:rPr>
          <w:rFonts w:ascii="Courier New" w:cs="Courier New" w:eastAsia="Courier New" w:hAnsi="Courier New"/>
          <w:sz w:val="14"/>
          <w:szCs w:val="14"/>
          <w:color w:val="auto"/>
        </w:rPr>
      </w:pPr>
    </w:p>
    <w:p>
      <w:pPr>
        <w:ind w:left="432"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is comprised of the excess of cost over the fair value of the net assets of businesses acquired in purchase transactions. The Companies' management periodically evaluates the realizability of goodwill, and impairment losses, if any, are recognized when the expected nondiscounted future operating cash flows derived from such assets are less than their carrying value. During the year ended December 1, 1996, the</w:t>
      </w:r>
    </w:p>
    <w:p>
      <w:pPr>
        <w:spacing w:after="0" w:line="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Companies adopted Statement of Financial Accounting Standards ("SFAS") No. 121, "Accounting for Impairment of Long-Lived Assets and for Long-Lived Assets to be Disposed of." SFAS No. 121 requires that long-lived assets and certain identifiable intangible assets to be held and used be reviewed for impairment whenever events or changes in circumstances indicate the carrying amount of such assets may not be recoverable. The adoption of SFAS No. 121 did not have any impact on the financial position, results of operations, or cash flows of the Companies.</w:t>
      </w:r>
    </w:p>
    <w:p>
      <w:pPr>
        <w:spacing w:after="0" w:line="163"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are subject to taxation under applicable tax laws in the United States, Australia, Italy and Greece. Hardie U.S. is included in the consolidated tax return filed by the U.S. Parent, which is responsible for making tax payments on behalf of the subsidiaries included in the consolidated group. These tax payments are allocated to the various members of the consolidated group through the intercompany accounts. Hardie Australia and Hardie Europe file income tax returns and pay income taxes on their own behalf. In the event of a taxable loss incurred by Hardie Australia, the tax loss is transferred to the Parent or an affiliate and the tax benefit is allocated to Hardie Australia.</w:t>
      </w:r>
    </w:p>
    <w:p>
      <w:pPr>
        <w:spacing w:after="0" w:line="329"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1"/>
          </w:cols>
          <w:pgMar w:left="228" w:top="616" w:right="1440" w:bottom="1440" w:gutter="0" w:footer="0" w:header="0"/>
        </w:sectPr>
      </w:pPr>
    </w:p>
    <w:bookmarkStart w:id="480" w:name="page481"/>
    <w:bookmarkEnd w:id="480"/>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right="3859" w:hanging="432"/>
        <w:spacing w:after="0" w:line="255" w:lineRule="auto"/>
        <w:tabs>
          <w:tab w:leader="none" w:pos="432"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2" w:lineRule="exact"/>
        <w:rPr>
          <w:rFonts w:ascii="Courier New" w:cs="Courier New" w:eastAsia="Courier New" w:hAnsi="Courier New"/>
          <w:sz w:val="14"/>
          <w:szCs w:val="14"/>
          <w:color w:val="auto"/>
        </w:rPr>
      </w:pPr>
    </w:p>
    <w:p>
      <w:pPr>
        <w:ind w:left="432"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account for income taxes in accordance with SFAS No. 109, "Accounting for Income Taxes", which prescribes an asset and liability approach. The asset and liability method requires the recognition of deferred tax assets and liabilities for the expected future tax consequences of temporary differences between tax bases and financial reporting bases of assets and liabilities, using enacted tax rates in effect for the year in which the differences are expected to reverse.</w:t>
      </w:r>
    </w:p>
    <w:p>
      <w:pPr>
        <w:spacing w:after="0" w:line="164"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includes federal, state and foreign income taxes currently payable as if each of the Companies had filed a separate tax return, and those taxes deferred because of temporary differences between the financial statement and tax bases of assets and liabilities. Such temporary differences primarily result from the use of accelerated methods of depreciation for tax purposes, allowances for accounts receivable, differences between book and tax inventory, and accrued expenses.</w:t>
      </w:r>
    </w:p>
    <w:p>
      <w:pPr>
        <w:spacing w:after="0" w:line="163"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recognize revenue when product is shipped to customers. The Companies provide an allowance for potential sales returns when the product is shipped.</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COSTS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provide for estimated warranty costs as products are shipped.</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EXPENSES</w:t>
      </w:r>
    </w:p>
    <w:p>
      <w:pPr>
        <w:spacing w:after="0" w:line="172" w:lineRule="exact"/>
        <w:rPr>
          <w:rFonts w:ascii="Courier New" w:cs="Courier New" w:eastAsia="Courier New" w:hAnsi="Courier New"/>
          <w:sz w:val="14"/>
          <w:szCs w:val="14"/>
          <w:color w:val="auto"/>
        </w:rPr>
      </w:pPr>
    </w:p>
    <w:p>
      <w:pPr>
        <w:ind w:left="432"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expenses are charged to operations in the year incurred and totalled $1,291,465 for the year ended December 1, 1996.</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w:t>
      </w:r>
    </w:p>
    <w:p>
      <w:pPr>
        <w:spacing w:after="0" w:line="172"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costs are charged to expense in the year incurred in accordance with SFAS No. 2, "Accounting for Research and Development Costs."</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SELF-INSURANCE</w:t>
      </w:r>
    </w:p>
    <w:p>
      <w:pPr>
        <w:spacing w:after="0" w:line="172"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is self-insured through the U.S. Parent for health-related costs for each employee working in the United States, up to a maximum of $75,000 per covered person per policy year or an aggregate stop loss of 125% of Expected Paid Claims, as defined in the insurance contract. Any amounts in excess of this maximum are subject to reimbursement by the insurance carrier. Provisions for claims expected under this program are recorded by the U.S. Parent (and allocated to Hardie U.S.), including the U.S. Parent's estimate of the aggregate liability for claims incurred but not reported through the year ended December 1, 1996 based on historical information.</w:t>
      </w:r>
    </w:p>
    <w:p>
      <w:pPr>
        <w:spacing w:after="0" w:line="329"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1"/>
          </w:cols>
          <w:pgMar w:left="228" w:top="616" w:right="1440" w:bottom="1440" w:gutter="0" w:footer="0" w:header="0"/>
        </w:sectPr>
      </w:pPr>
    </w:p>
    <w:bookmarkStart w:id="481" w:name="page482"/>
    <w:bookmarkEnd w:id="481"/>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right="3859" w:hanging="432"/>
        <w:spacing w:after="0" w:line="255" w:lineRule="auto"/>
        <w:tabs>
          <w:tab w:leader="none" w:pos="432"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COSTS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Italian and Greek law, Hardie Europe accrues deferred compensation which is payable to employees when employment is terminated for any reason. The severance liability included in the combined financial statements represents the estimated amount payable to employees, based upon their compensation and an inflation index as of December 1, 1996.</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 OF CREDIT RISK</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are engaged in the business of manufacturing and distributing products for the landscape and agricultural irrigation industries primarily throughout the United States and Australia to various retailers, wholesalers and installation contractors. Concentration of credit risk with respect to trade receivables for the Companies is limited due to the large number of customers comprising the Companies' customer base, and their dispersion across several geographical regions. The Companies maintain allowances for potential credit losses. In general, the Companies do not require collateral in relation to these trade receivables.</w:t>
      </w:r>
    </w:p>
    <w:p>
      <w:pPr>
        <w:spacing w:after="0" w:line="163"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FINANCIAL INSTRUMENTS</w:t>
      </w:r>
    </w:p>
    <w:p>
      <w:pPr>
        <w:spacing w:after="0" w:line="17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107, "Disclosures about Fair Value of Financial Instruments," requires certain disclosures regarding the fair value of financial instruments. Cash and cash equivalents, trade accounts receivable, trade accounts payable, accrued expenses and other liabilities and amounts currently due to and from affiliates approximate fair value because of the short-term maturity of these instruments.</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w:t>
      </w:r>
    </w:p>
    <w:p>
      <w:pPr>
        <w:spacing w:after="0" w:line="172"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for the reporting period and as of the financial statement date. These estimates and assumptions affect the reported amounts of assets and liabilities, the disclosure of contingent liabilities, and the reported amounts of revenues and expenses. Actual results could differ from those estimates.</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TRANSLATION</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functional currency of each of the Companies is the applicable local currency. The functional currency is translated into U.S. dollars in accordance with SFAS No. 52, "Foreign Currency Translation," which is performed for the balance sheet accounts using current exchange rates in effect at the balance sheet date and for revenue and expense accounts using a weighted average exchange rate during the year ended December 1, 1996. The gains or losses resulting from such translations are included in equity. Gains and losses from foreign currency transactions are included in income currently.</w:t>
      </w:r>
    </w:p>
    <w:p>
      <w:pPr>
        <w:spacing w:after="0" w:line="329"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1"/>
          </w:cols>
          <w:pgMar w:left="228" w:top="615" w:right="1440" w:bottom="1440" w:gutter="0" w:footer="0" w:header="0"/>
        </w:sectPr>
      </w:pPr>
    </w:p>
    <w:bookmarkStart w:id="482" w:name="page483"/>
    <w:bookmarkEnd w:id="482"/>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consist of the following components as of December 1, 1996:</w:t>
      </w:r>
    </w:p>
    <w:p>
      <w:pPr>
        <w:spacing w:after="0" w:line="338"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$24,941,786</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6,259,933</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3,974,316</w:t>
            </w:r>
          </w:p>
        </w:tc>
      </w:tr>
      <w:tr>
        <w:trPr>
          <w:trHeight w:val="166"/>
        </w:trPr>
        <w:tc>
          <w:tcPr>
            <w:tcW w:w="404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4040" w:type="dxa"/>
            <w:vAlign w:val="bottom"/>
          </w:tcPr>
          <w:p>
            <w:pPr>
              <w:spacing w:after="0"/>
              <w:rPr>
                <w:sz w:val="24"/>
                <w:szCs w:val="2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35,176,035</w:t>
            </w:r>
          </w:p>
        </w:tc>
      </w:tr>
      <w:tr>
        <w:trPr>
          <w:trHeight w:val="331"/>
        </w:trPr>
        <w:tc>
          <w:tcPr>
            <w:tcW w:w="4040" w:type="dxa"/>
            <w:vAlign w:val="bottom"/>
          </w:tcPr>
          <w:p>
            <w:pPr>
              <w:spacing w:after="0"/>
              <w:rPr>
                <w:sz w:val="20"/>
                <w:szCs w:val="20"/>
                <w:color w:val="auto"/>
              </w:rPr>
            </w:pPr>
            <w:r>
              <w:rPr>
                <w:rFonts w:ascii="Courier New" w:cs="Courier New" w:eastAsia="Courier New" w:hAnsi="Courier New"/>
                <w:sz w:val="14"/>
                <w:szCs w:val="14"/>
                <w:color w:val="auto"/>
              </w:rPr>
              <w:t>Less: Inventory valuation allowance</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(4,126,672)</w:t>
            </w:r>
          </w:p>
        </w:tc>
      </w:tr>
      <w:tr>
        <w:trPr>
          <w:trHeight w:val="166"/>
        </w:trPr>
        <w:tc>
          <w:tcPr>
            <w:tcW w:w="404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$31,049,363</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2" w:hanging="432"/>
        <w:spacing w:after="0"/>
        <w:tabs>
          <w:tab w:leader="none" w:pos="432"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2" w:lineRule="exact"/>
        <w:rPr>
          <w:rFonts w:ascii="Courier New" w:cs="Courier New" w:eastAsia="Courier New" w:hAnsi="Courier New"/>
          <w:sz w:val="14"/>
          <w:szCs w:val="14"/>
          <w:color w:val="auto"/>
        </w:rPr>
      </w:pPr>
    </w:p>
    <w:p>
      <w:pPr>
        <w:ind w:left="432"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consists of the following components as of December 1, 1996:</w:t>
      </w:r>
    </w:p>
    <w:p>
      <w:pPr>
        <w:spacing w:after="0" w:line="326"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$62,151,772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11,885,333</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1,364,615</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1,097,888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1,391,522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Automobiles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1,011,927</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Construction-in-progress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2,131,631</w:t>
            </w:r>
          </w:p>
        </w:tc>
      </w:tr>
      <w:tr>
        <w:trPr>
          <w:trHeight w:val="166"/>
        </w:trPr>
        <w:tc>
          <w:tcPr>
            <w:tcW w:w="3960" w:type="dxa"/>
            <w:vAlign w:val="bottom"/>
          </w:tcPr>
          <w:p>
            <w:pPr>
              <w:spacing w:after="0"/>
              <w:rPr>
                <w:sz w:val="14"/>
                <w:szCs w:val="14"/>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6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81,034,688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w:t>
            </w:r>
          </w:p>
        </w:tc>
        <w:tc>
          <w:tcPr>
            <w:tcW w:w="2160" w:type="dxa"/>
            <w:vAlign w:val="bottom"/>
          </w:tcPr>
          <w:p>
            <w:pPr>
              <w:spacing w:after="0"/>
              <w:rPr>
                <w:sz w:val="14"/>
                <w:szCs w:val="14"/>
                <w:color w:val="auto"/>
              </w:rPr>
            </w:pPr>
          </w:p>
        </w:tc>
      </w:tr>
      <w:tr>
        <w:trPr>
          <w:trHeight w:val="166"/>
        </w:trPr>
        <w:tc>
          <w:tcPr>
            <w:tcW w:w="3960" w:type="dxa"/>
            <w:vAlign w:val="bottom"/>
          </w:tcPr>
          <w:p>
            <w:pPr>
              <w:ind w:left="600"/>
              <w:spacing w:after="0"/>
              <w:rPr>
                <w:sz w:val="20"/>
                <w:szCs w:val="20"/>
                <w:color w:val="auto"/>
              </w:rPr>
            </w:pPr>
            <w:r>
              <w:rPr>
                <w:rFonts w:ascii="Courier New" w:cs="Courier New" w:eastAsia="Courier New" w:hAnsi="Courier New"/>
                <w:sz w:val="14"/>
                <w:szCs w:val="14"/>
                <w:color w:val="auto"/>
              </w:rPr>
              <w:t>amortization</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(52,308,405)</w:t>
            </w:r>
          </w:p>
        </w:tc>
      </w:tr>
      <w:tr>
        <w:trPr>
          <w:trHeight w:val="166"/>
        </w:trPr>
        <w:tc>
          <w:tcPr>
            <w:tcW w:w="3960" w:type="dxa"/>
            <w:vAlign w:val="bottom"/>
          </w:tcPr>
          <w:p>
            <w:pPr>
              <w:spacing w:after="0"/>
              <w:rPr>
                <w:sz w:val="14"/>
                <w:szCs w:val="14"/>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$28,726,283</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Construction-in-progress is primarily comprised of tooling and molds, production machinery and equipment and certain computer equipment which has not yet been placed in service.</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1"/>
          </w:cols>
          <w:pgMar w:left="228" w:top="615" w:right="1440" w:bottom="1440" w:gutter="0" w:footer="0" w:header="0"/>
        </w:sectPr>
      </w:pPr>
    </w:p>
    <w:bookmarkStart w:id="483" w:name="page484"/>
    <w:bookmarkEnd w:id="483"/>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w:t>
      </w:r>
    </w:p>
    <w:p>
      <w:pPr>
        <w:spacing w:after="0" w:line="172" w:lineRule="exact"/>
        <w:rPr>
          <w:rFonts w:ascii="Courier New" w:cs="Courier New" w:eastAsia="Courier New" w:hAnsi="Courier New"/>
          <w:sz w:val="14"/>
          <w:szCs w:val="14"/>
          <w:color w:val="auto"/>
        </w:rPr>
      </w:pPr>
    </w:p>
    <w:p>
      <w:pPr>
        <w:ind w:left="432"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 consist of the following components as of December 1, 1996:</w:t>
      </w:r>
    </w:p>
    <w:p>
      <w:pPr>
        <w:spacing w:after="0" w:line="326"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Costs in excess of fair value of net assets of</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$7,642,904</w:t>
            </w:r>
          </w:p>
        </w:tc>
      </w:tr>
      <w:tr>
        <w:trPr>
          <w:trHeight w:val="166"/>
        </w:trPr>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businesses acquired</w:t>
            </w:r>
          </w:p>
        </w:tc>
        <w:tc>
          <w:tcPr>
            <w:tcW w:w="156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Patents and trade names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800,642</w:t>
            </w:r>
          </w:p>
        </w:tc>
      </w:tr>
      <w:tr>
        <w:trPr>
          <w:trHeight w:val="166"/>
        </w:trPr>
        <w:tc>
          <w:tcPr>
            <w:tcW w:w="456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6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8,443,546</w:t>
            </w:r>
          </w:p>
        </w:tc>
      </w:tr>
      <w:tr>
        <w:trPr>
          <w:trHeight w:val="331"/>
        </w:trPr>
        <w:tc>
          <w:tcPr>
            <w:tcW w:w="456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(5,465,156)</w:t>
            </w:r>
          </w:p>
        </w:tc>
      </w:tr>
      <w:tr>
        <w:trPr>
          <w:trHeight w:val="166"/>
        </w:trPr>
        <w:tc>
          <w:tcPr>
            <w:tcW w:w="456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$2,978,390</w:t>
      </w:r>
    </w:p>
    <w:p>
      <w:pPr>
        <w:spacing w:after="0" w:line="7"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32" w:hanging="432"/>
        <w:spacing w:after="0"/>
        <w:tabs>
          <w:tab w:leader="none" w:pos="432"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 consist of the following components as of December  1, 1996:</w:t>
      </w:r>
    </w:p>
    <w:p>
      <w:pPr>
        <w:spacing w:after="0" w:line="338"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Purchased software</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$2,853,867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191,416</w:t>
            </w:r>
          </w:p>
        </w:tc>
      </w:tr>
      <w:tr>
        <w:trPr>
          <w:trHeight w:val="166"/>
        </w:trPr>
        <w:tc>
          <w:tcPr>
            <w:tcW w:w="3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$3,045,283</w:t>
            </w:r>
          </w:p>
        </w:tc>
      </w:tr>
      <w:tr>
        <w:trPr>
          <w:trHeight w:val="166"/>
        </w:trPr>
        <w:tc>
          <w:tcPr>
            <w:tcW w:w="3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32" w:right="3419"/>
        <w:spacing w:after="0" w:line="251" w:lineRule="auto"/>
        <w:rPr>
          <w:sz w:val="20"/>
          <w:szCs w:val="20"/>
          <w:color w:val="auto"/>
        </w:rPr>
      </w:pPr>
      <w:r>
        <w:rPr>
          <w:rFonts w:ascii="Courier New" w:cs="Courier New" w:eastAsia="Courier New" w:hAnsi="Courier New"/>
          <w:sz w:val="14"/>
          <w:szCs w:val="14"/>
          <w:color w:val="auto"/>
        </w:rPr>
        <w:t>In March 1994, Hardie U.S. suspended operations at its Carson City, Nevada manufacturing facility and transferred the majority of the machinery and equipment, inventory and personnel to other facilities of Hardie U.S. In 1995, the Carson City facility was held for sale and written down to its net realizable value. Effective December 1, 1996, the Carson City land and building were transferred to a subsidiary of the U.S. Parent.</w:t>
      </w:r>
    </w:p>
    <w:p>
      <w:pPr>
        <w:spacing w:after="0" w:line="164" w:lineRule="exact"/>
        <w:rPr>
          <w:sz w:val="20"/>
          <w:szCs w:val="20"/>
          <w:color w:val="auto"/>
        </w:rPr>
      </w:pPr>
    </w:p>
    <w:p>
      <w:pPr>
        <w:ind w:left="432" w:right="3519"/>
        <w:spacing w:after="0" w:line="251" w:lineRule="auto"/>
        <w:rPr>
          <w:sz w:val="20"/>
          <w:szCs w:val="20"/>
          <w:color w:val="auto"/>
        </w:rPr>
      </w:pPr>
      <w:r>
        <w:rPr>
          <w:rFonts w:ascii="Courier New" w:cs="Courier New" w:eastAsia="Courier New" w:hAnsi="Courier New"/>
          <w:sz w:val="14"/>
          <w:szCs w:val="14"/>
          <w:color w:val="auto"/>
        </w:rPr>
        <w:t>In 1995, Hardie U.S. purchased satellite technology and computer software from Sovran (PTY) Ltd. The acquired technology enables the operator to control large irrigation systems from remote locations via computer. Hardie U.S. is currently adapting the acquired technology to enhance its line of irrigation products. As of December 1, 1996, Hardie U.S. has capitalized $2,853,867 associated with the initial acquisition and subsequent costs incurred to modify the then existing technology. Amortization of these costs will commence upon the release of the new product line to the market.</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1"/>
          </w:cols>
          <w:pgMar w:left="228" w:top="616" w:right="1440" w:bottom="1440" w:gutter="0" w:footer="0" w:header="0"/>
        </w:sectPr>
      </w:pPr>
    </w:p>
    <w:bookmarkStart w:id="484" w:name="page485"/>
    <w:bookmarkEnd w:id="484"/>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the components of the income tax benefit income taxes included in the combined statement of operations for the year ended December 1, 1996. There was no provision for income taxes for Hardie Europe for the year ended December 1, 1996.</w:t>
      </w:r>
    </w:p>
    <w:p>
      <w:pPr>
        <w:spacing w:after="0" w:line="328"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1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U.S. Federal</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$10,800</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Australian</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499,433</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U.S. State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3,200</w:t>
            </w:r>
          </w:p>
        </w:tc>
      </w:tr>
      <w:tr>
        <w:trPr>
          <w:trHeight w:val="166"/>
        </w:trPr>
        <w:tc>
          <w:tcPr>
            <w:tcW w:w="30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$513,433</w:t>
            </w:r>
          </w:p>
        </w:tc>
      </w:tr>
      <w:tr>
        <w:trPr>
          <w:trHeight w:val="166"/>
        </w:trPr>
        <w:tc>
          <w:tcPr>
            <w:tcW w:w="30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Deferred tax assets consist of the following components as of</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December 1, 1996:</w:t>
      </w:r>
    </w:p>
    <w:p>
      <w:pPr>
        <w:spacing w:after="0" w:line="173"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Gross deferred tax assets:</w:t>
            </w:r>
          </w:p>
        </w:tc>
        <w:tc>
          <w:tcPr>
            <w:tcW w:w="1600" w:type="dxa"/>
            <w:vAlign w:val="bottom"/>
          </w:tcPr>
          <w:p>
            <w:pPr>
              <w:spacing w:after="0"/>
              <w:rPr>
                <w:sz w:val="14"/>
                <w:szCs w:val="14"/>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Inventory</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$1,885,744</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Fixed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1,741,263</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786,724</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3,122,513</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Net operating loss carryforwards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937,137</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90,245</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8,563,626</w:t>
            </w:r>
          </w:p>
        </w:tc>
      </w:tr>
      <w:tr>
        <w:trPr>
          <w:trHeight w:val="331"/>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Valuation allowance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(1,483,689)</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ind w:left="860"/>
              <w:spacing w:after="0"/>
              <w:rPr>
                <w:sz w:val="20"/>
                <w:szCs w:val="20"/>
                <w:color w:val="auto"/>
              </w:rPr>
            </w:pPr>
            <w:r>
              <w:rPr>
                <w:rFonts w:ascii="Courier New" w:cs="Courier New" w:eastAsia="Courier New" w:hAnsi="Courier New"/>
                <w:sz w:val="14"/>
                <w:szCs w:val="14"/>
                <w:color w:val="auto"/>
              </w:rPr>
              <w:t>Net deferred tax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$7,079,937</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Management has provided a valuation allowance against those net operating loss carryforwards and temporary differences which will more likely than not expire prior to utilization. This valuation allowance relates entirely to the deferred tax assets of Hardie Europe. Management has not provided a valuation allowance against deferred tax assets related to Hardie U.S. or Hardie Australia, as management believes it is more likely than not that sufficient taxable income will be generated in the foreseeable future to realize these deferred tax assets. At December 1, 1996, net operating loss carryforwards available to offset future taxable income of Hardie Europe expire as follows:</w:t>
      </w:r>
    </w:p>
    <w:p>
      <w:pPr>
        <w:spacing w:after="0" w:line="163"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March 1998</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March 1999</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$2,033,000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to March</w:t>
            </w: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133,000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to March</w:t>
            </w: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368,000</w:t>
            </w:r>
          </w:p>
        </w:tc>
      </w:tr>
    </w:tbl>
    <w:p>
      <w:pPr>
        <w:spacing w:after="0" w:line="4"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111"/>
        <w:spacing w:after="0"/>
        <w:rPr>
          <w:sz w:val="20"/>
          <w:szCs w:val="20"/>
          <w:color w:val="auto"/>
        </w:rPr>
      </w:pPr>
      <w:r>
        <w:rPr>
          <w:rFonts w:ascii="Courier New" w:cs="Courier New" w:eastAsia="Courier New" w:hAnsi="Courier New"/>
          <w:sz w:val="14"/>
          <w:szCs w:val="14"/>
          <w:color w:val="auto"/>
        </w:rPr>
        <w:t>$2,534,000</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1"/>
          </w:cols>
          <w:pgMar w:left="228" w:top="615" w:right="1440" w:bottom="1440" w:gutter="0" w:footer="0" w:header="0"/>
        </w:sectPr>
      </w:pPr>
    </w:p>
    <w:bookmarkStart w:id="485" w:name="page486"/>
    <w:bookmarkEnd w:id="485"/>
    <w:p>
      <w:pPr>
        <w:ind w:left="2420"/>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40" w:hanging="432"/>
        <w:spacing w:after="0"/>
        <w:tabs>
          <w:tab w:leader="none" w:pos="44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3" w:lineRule="exact"/>
        <w:rPr>
          <w:sz w:val="20"/>
          <w:szCs w:val="20"/>
          <w:color w:val="auto"/>
        </w:rPr>
      </w:pPr>
    </w:p>
    <w:p>
      <w:pPr>
        <w:jc w:val="both"/>
        <w:ind w:left="440" w:right="3599"/>
        <w:spacing w:after="0" w:line="252" w:lineRule="auto"/>
        <w:rPr>
          <w:sz w:val="20"/>
          <w:szCs w:val="20"/>
          <w:color w:val="auto"/>
        </w:rPr>
      </w:pPr>
      <w:r>
        <w:rPr>
          <w:rFonts w:ascii="Courier New" w:cs="Courier New" w:eastAsia="Courier New" w:hAnsi="Courier New"/>
          <w:sz w:val="14"/>
          <w:szCs w:val="14"/>
          <w:color w:val="auto"/>
        </w:rPr>
        <w:t>The following is a reconciliation of the statutory U.S. federal tax rate with the income tax rate effective for the Companies for the fiscal year ended December 1, 1996:</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U.S. statutory federal income rate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State income rate, net of U.S. federal income tax benefit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Effect of U.S. permanent differences, net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Effect of foreign operations on income tax rate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ind w:left="860"/>
              <w:spacing w:after="0"/>
              <w:rPr>
                <w:sz w:val="20"/>
                <w:szCs w:val="20"/>
                <w:color w:val="auto"/>
              </w:rPr>
            </w:pPr>
            <w:r>
              <w:rPr>
                <w:rFonts w:ascii="Courier New" w:cs="Courier New" w:eastAsia="Courier New" w:hAnsi="Courier New"/>
                <w:sz w:val="14"/>
                <w:szCs w:val="14"/>
                <w:color w:val="auto"/>
              </w:rPr>
              <w:t>Effective income tax rate (benefit)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 and Other Liabilities:</w:t>
      </w:r>
    </w:p>
    <w:p>
      <w:pPr>
        <w:spacing w:after="0" w:line="172" w:lineRule="exact"/>
        <w:rPr>
          <w:rFonts w:ascii="Courier New" w:cs="Courier New" w:eastAsia="Courier New" w:hAnsi="Courier New"/>
          <w:sz w:val="14"/>
          <w:szCs w:val="14"/>
          <w:color w:val="auto"/>
        </w:rPr>
      </w:pPr>
    </w:p>
    <w:p>
      <w:pPr>
        <w:ind w:left="44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 and other liabilities consist of the following components as of December 1, 1996: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$3,280,289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Advertising and promotion</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639,906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Cooperative advertising</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635,581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Vacation</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1,869,472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Sales commissions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210,580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Accrued payroll</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1,185,436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194,537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1,700,695</w:t>
            </w:r>
          </w:p>
        </w:tc>
      </w:tr>
      <w:tr>
        <w:trPr>
          <w:trHeight w:val="166"/>
        </w:trPr>
        <w:tc>
          <w:tcPr>
            <w:tcW w:w="388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$9,716,496</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2"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conduct their operations from certain facilities that are leased under operating leases over the next 3 to 7 years. There are options to renew certain leases for additional periods of 2 to 5 years at renegotiated rental amounts. Certain of these leases contain escalation clauses and/or require the Companies to pay property taxes, insurance, and maintenance costs. The Companies also lease certain vehicles and equipment under operating lease agreements from various third parties with terms up to 5 years.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615" w:right="1440" w:bottom="1440" w:gutter="0" w:footer="0" w:header="0"/>
        </w:sectPr>
      </w:pPr>
    </w:p>
    <w:bookmarkStart w:id="486" w:name="page487"/>
    <w:bookmarkEnd w:id="486"/>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Continued:</w:t>
      </w:r>
    </w:p>
    <w:p>
      <w:pPr>
        <w:spacing w:after="0" w:line="172" w:lineRule="exact"/>
        <w:rPr>
          <w:rFonts w:ascii="Courier New" w:cs="Courier New" w:eastAsia="Courier New" w:hAnsi="Courier New"/>
          <w:sz w:val="14"/>
          <w:szCs w:val="14"/>
          <w:color w:val="auto"/>
        </w:rPr>
      </w:pPr>
    </w:p>
    <w:p>
      <w:pPr>
        <w:ind w:left="432"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the remaining future minimum rental payments required under the above operating leases for each of the next five years ending December 1 and in total thereafter:</w:t>
      </w:r>
    </w:p>
    <w:p>
      <w:pPr>
        <w:spacing w:after="0" w:line="163" w:lineRule="exact"/>
        <w:rPr>
          <w:sz w:val="20"/>
          <w:szCs w:val="20"/>
          <w:color w:val="auto"/>
        </w:rPr>
      </w:pPr>
    </w:p>
    <w:tbl>
      <w:tblPr>
        <w:tblLayout w:type="fixed"/>
        <w:tblInd w:w="1292"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$1,159,613</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586,455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178,324</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17,010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16,020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12,015</w:t>
            </w:r>
          </w:p>
        </w:tc>
      </w:tr>
      <w:tr>
        <w:trPr>
          <w:trHeight w:val="166"/>
        </w:trPr>
        <w:tc>
          <w:tcPr>
            <w:tcW w:w="216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111"/>
        <w:spacing w:after="0"/>
        <w:rPr>
          <w:sz w:val="20"/>
          <w:szCs w:val="20"/>
          <w:color w:val="auto"/>
        </w:rPr>
      </w:pPr>
      <w:r>
        <w:rPr>
          <w:rFonts w:ascii="Courier New" w:cs="Courier New" w:eastAsia="Courier New" w:hAnsi="Courier New"/>
          <w:sz w:val="14"/>
          <w:szCs w:val="14"/>
          <w:color w:val="auto"/>
        </w:rPr>
        <w:t>$1,969,437</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Rent expense was $1,117,494 for the year ended December 1, 1996.</w:t>
      </w:r>
    </w:p>
    <w:p>
      <w:pPr>
        <w:spacing w:after="0" w:line="173"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Letters of credit are issued by the Companies during the ordinary course of business, as required by certain vendor contracts. The Companies have commitments for letters of credit totaling $3,097,981 at December 1, 1996.</w:t>
      </w:r>
    </w:p>
    <w:p>
      <w:pPr>
        <w:spacing w:after="0" w:line="163" w:lineRule="exact"/>
        <w:rPr>
          <w:sz w:val="20"/>
          <w:szCs w:val="20"/>
          <w:color w:val="auto"/>
        </w:rPr>
      </w:pPr>
    </w:p>
    <w:p>
      <w:pPr>
        <w:ind w:left="432" w:right="3679"/>
        <w:spacing w:after="0" w:line="251" w:lineRule="auto"/>
        <w:rPr>
          <w:sz w:val="20"/>
          <w:szCs w:val="20"/>
          <w:color w:val="auto"/>
        </w:rPr>
      </w:pPr>
      <w:r>
        <w:rPr>
          <w:rFonts w:ascii="Courier New" w:cs="Courier New" w:eastAsia="Courier New" w:hAnsi="Courier New"/>
          <w:sz w:val="14"/>
          <w:szCs w:val="14"/>
          <w:color w:val="auto"/>
        </w:rPr>
        <w:t>The Companies are involved in certain asserted and unasserted potential claims which have not been finally adjudicated. In the opinion of management, the resolution of these matters will not have a material adverse effect on the Companies' financial position or results of operations.</w:t>
      </w:r>
    </w:p>
    <w:p>
      <w:pPr>
        <w:spacing w:after="0" w:line="330" w:lineRule="exact"/>
        <w:rPr>
          <w:sz w:val="20"/>
          <w:szCs w:val="20"/>
          <w:color w:val="auto"/>
        </w:rPr>
      </w:pPr>
    </w:p>
    <w:p>
      <w:pPr>
        <w:ind w:left="432" w:hanging="432"/>
        <w:spacing w:after="0"/>
        <w:tabs>
          <w:tab w:leader="none" w:pos="432"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and Divisional Equity:</w:t>
      </w:r>
    </w:p>
    <w:p>
      <w:pPr>
        <w:spacing w:after="0" w:line="172" w:lineRule="exact"/>
        <w:rPr>
          <w:rFonts w:ascii="Courier New" w:cs="Courier New" w:eastAsia="Courier New" w:hAnsi="Courier New"/>
          <w:sz w:val="14"/>
          <w:szCs w:val="14"/>
          <w:color w:val="auto"/>
        </w:rPr>
      </w:pPr>
    </w:p>
    <w:p>
      <w:pPr>
        <w:ind w:left="432" w:right="37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Australia had 100,000,000 authorized ordinary shares and 34,538 authorized preference shares. All authorized and issued shares have a par value of A$1 each. There were 12,000,000 ordinary shares and 34,538 preference shares issued and outstanding at December 1, 1996. During 1996, certain loans due to affiliates of Hardie Australia were repaid through the issuance of the preference shares.</w:t>
      </w:r>
    </w:p>
    <w:p>
      <w:pPr>
        <w:spacing w:after="0" w:line="164" w:lineRule="exact"/>
        <w:rPr>
          <w:rFonts w:ascii="Courier New" w:cs="Courier New" w:eastAsia="Courier New" w:hAnsi="Courier New"/>
          <w:sz w:val="14"/>
          <w:szCs w:val="14"/>
          <w:color w:val="auto"/>
        </w:rPr>
      </w:pPr>
    </w:p>
    <w:p>
      <w:pPr>
        <w:ind w:left="432" w:right="39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U.S. had 25,000 shares of $.01 par value common stock authorized, of which 1,000 shares were issued and outstanding. During the year ended December 1, 1996, Hardie U.S. recapitalized its divisional equity through the issuance of common stock.</w:t>
      </w:r>
    </w:p>
    <w:p>
      <w:pPr>
        <w:spacing w:after="0" w:line="164" w:lineRule="exact"/>
        <w:rPr>
          <w:rFonts w:ascii="Courier New" w:cs="Courier New" w:eastAsia="Courier New" w:hAnsi="Courier New"/>
          <w:sz w:val="14"/>
          <w:szCs w:val="14"/>
          <w:color w:val="auto"/>
        </w:rPr>
      </w:pPr>
    </w:p>
    <w:p>
      <w:pPr>
        <w:ind w:left="43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Europe had 2,090 issued and outstanding shares of stock with a par value of 1 Lit/million each.</w:t>
      </w:r>
    </w:p>
    <w:p>
      <w:pPr>
        <w:spacing w:after="0" w:line="325"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U.S. Parent sponsors a 401(k) defined contribution plan for Hardie U.S. employees who have completed one year of service and are at least 21 years of age. Employees may contribute up to 14% of their compensation on a before-tax basis, subject to the maximum dollar amount allowed under Section 404(a) of the Internal Revenue Code, as amended. The Company matches 100% of each employee's contribution, limited to 6% of the employee's compensation. Participants become immediately 100% vested in their contributions and earnings thereon. All Company contributions vest over a five-year period. The expense for Hardie U.S. related to this plan was $360,487 for the year ended December 1, 1996.</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1"/>
          </w:cols>
          <w:pgMar w:left="228" w:top="616" w:right="1440" w:bottom="1440" w:gutter="0" w:footer="0" w:header="0"/>
        </w:sectPr>
      </w:pPr>
    </w:p>
    <w:bookmarkStart w:id="487" w:name="page488"/>
    <w:bookmarkEnd w:id="487"/>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Continued:</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also sponsors a defined contribution plan for employees of Hardie Australia. Employees are eligible immediately upon commencement of permanent employment, and may contribute up to 10% of their salary on a before-tax basis. Hardie Australia provides a minimum benefit of at least the superannuation guarantee amount determined by the Federal Government in Australia (currently 6% of salary). Vesting is based on years of credited service. Participants become immediately 100% vested in employee contributions and earnings thereon. The expense for Hardie Australia related to this plan was approximately $560,000 for the year ended December 1, 1996.</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have short-term amounts receivable and payable to James Hardie Industries Limited, the U.S. Parent and affiliates which are shown net in the accompanying combined financial statements. These amounts are related to various intercompany transactions including, among others, sales of products to affiliates, purchases of product from affiliates, current income taxes, and the allocation of certain operating expenses to the Companies by James Hardie Industries Limited, the U.S. Parent and affiliates. These amounts are due and payable on demand and do not bear interest.</w:t>
      </w:r>
    </w:p>
    <w:p>
      <w:pPr>
        <w:spacing w:after="0" w:line="329" w:lineRule="exact"/>
        <w:rPr>
          <w:rFonts w:ascii="Courier New" w:cs="Courier New" w:eastAsia="Courier New" w:hAnsi="Courier New"/>
          <w:sz w:val="14"/>
          <w:szCs w:val="14"/>
          <w:color w:val="auto"/>
        </w:rPr>
      </w:pPr>
    </w:p>
    <w:p>
      <w:pPr>
        <w:ind w:left="43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products to affiliates totaled approximately $1,600,000 for the year ended December 1, 1996. Purchases of product from affiliates were approximately $300,000 for the year ended December 1, 1996.</w:t>
      </w:r>
    </w:p>
    <w:p>
      <w:pPr>
        <w:spacing w:after="0" w:line="16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12, 1996, Hardie Australia sold its investment interest in certain depositary receipts issued by the Stichting Administration RIS International Finance N.V. to an affiliate. This investment was acquired in fiscal year 1988 at an initial cost of A$15,235,000 and was written down to zero prior to the fiscal year ended December 1, 1996. Hardie Australia did not receive cash in connection with this transaction but reduced an intercompany payable account and recognized a gain of $7,065,294 (A$9,057,000) for the full amount of the sales price. This gain is included in "other income, net" in the combined statement of operations.</w:t>
      </w:r>
    </w:p>
    <w:p>
      <w:pPr>
        <w:spacing w:after="0" w:line="163"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has a loan payable to the U.S. Parent which bears interest at the average six month LIBOR rate plus 0.4%. The effective interest rate on this loan was 5.9% at December 1, 1996. The outstanding balance of this loan was effectively repaid on December 2, 1996 when the companies were acquired by The Toro Company. See Note 12 to these combined financial statements.</w:t>
      </w:r>
    </w:p>
    <w:p>
      <w:pPr>
        <w:spacing w:after="0" w:line="326"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Europe has a loan due to James Hardie Holdings Ltd., which bears interest at the one-month LIBOR plus 0.75%. The effective interest rate on this loan was 6.102% at December 1, 1996. The principal amount of this loan is $5,000,000. In addition, Hardie Europe has a non-interest bearing loan totaling $2,133,375 due to RIS International Finance N.V.. This loan is denominated in Italian Lira. This loan was effectively repaid on December 2, 1996 when the companies were acquired by The Toro Company. See Note 12 to these combined financial statements.</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1"/>
          </w:cols>
          <w:pgMar w:left="228" w:top="615" w:right="1440" w:bottom="1440" w:gutter="0" w:footer="0" w:header="0"/>
        </w:sectPr>
      </w:pPr>
    </w:p>
    <w:bookmarkStart w:id="488" w:name="page489"/>
    <w:bookmarkEnd w:id="488"/>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Continued:</w:t>
      </w:r>
    </w:p>
    <w:p>
      <w:pPr>
        <w:spacing w:after="0" w:line="338"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receives interest income from or pays interest expense to the U.S. Parent based upon the level of working capital employed. Hardie U.S. also pays a management fee to the U.S. Parent and is allocated certain general and administrative expenses.</w:t>
      </w:r>
    </w:p>
    <w:p>
      <w:pPr>
        <w:spacing w:after="0" w:line="327"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Company:</w:t>
      </w:r>
    </w:p>
    <w:p>
      <w:pPr>
        <w:spacing w:after="0" w:line="172" w:lineRule="exact"/>
        <w:rPr>
          <w:rFonts w:ascii="Courier New" w:cs="Courier New" w:eastAsia="Courier New" w:hAnsi="Courier New"/>
          <w:sz w:val="14"/>
          <w:szCs w:val="14"/>
          <w:color w:val="auto"/>
        </w:rPr>
      </w:pPr>
    </w:p>
    <w:p>
      <w:pPr>
        <w:ind w:left="432"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18, 1996, the Parent entered into an agreement to sell all of the issued and outstanding shares of the Companies to The Toro Company for an initially estimated purchase price of $131,500,000. The closing date purchase price was subsequently adjusted to $119,125,000 based on the estimated unaudited aggregate shareholders' equity on December 1, 1996. Based upon the shareholder's equity of the Companies as of the closing date, the purchase price has been reduced by approximately $10,545,000.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1"/>
          </w:cols>
          <w:pgMar w:left="228" w:top="616" w:right="1440" w:bottom="1440" w:gutter="0" w:footer="0" w:header="0"/>
        </w:sectPr>
      </w:pPr>
    </w:p>
    <w:bookmarkStart w:id="489" w:name="page490"/>
    <w:bookmarkEnd w:id="489"/>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Ltd.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acquisition is accounted for using the purchase method of accounting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unaudited pro forma condensed combined balance sheet and results of operations are based on available information and certain assumptions regarding the allocation of the purchase price, which could change significantly based on the results of appraisals and finalization of the purchase price as a result of the resolution of the objections discussed in the preceeding paragraph and other analysis.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pro forma condensed combined financial statements present the effect of the acquisition on The Toro Company's financial position at October 31, 1996 and results of operations for the year then ended as if the acquisition had taken place on October 31, 1996 with respect to the balance sheet and November 1, 1995 with respect to the statement of operations. These pro forma condensed combined financial statements were prepared utilizing The Toro Company's October 31, 1996 balance sheet and results of operations for the year then ended and Hardie Irrigation Group's December 1, 1996 balance sheet and results of operations for the year then ended.</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pro forma condensed combined results of operations may not be indicative of actual results which would have been obtained if the acquisition had occurred on November 1, 1995.</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490" w:name="page491"/>
    <w:bookmarkEnd w:id="490"/>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October 31, 1996</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Hardie</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The Toro</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Irrigation</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Toro</w:t>
            </w: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Group</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2760" w:type="dxa"/>
            <w:vAlign w:val="bottom"/>
          </w:tcPr>
          <w:p>
            <w:pPr>
              <w:spacing w:after="0"/>
              <w:rPr>
                <w:sz w:val="14"/>
                <w:szCs w:val="14"/>
                <w:color w:val="auto"/>
              </w:rPr>
            </w:pPr>
          </w:p>
        </w:tc>
        <w:tc>
          <w:tcPr>
            <w:tcW w:w="134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(Historical)</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4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2760" w:type="dxa"/>
            <w:vAlign w:val="bottom"/>
          </w:tcPr>
          <w:p>
            <w:pPr>
              <w:spacing w:after="0"/>
              <w:rPr>
                <w:sz w:val="14"/>
                <w:szCs w:val="14"/>
                <w:color w:val="auto"/>
              </w:rPr>
            </w:pPr>
          </w:p>
        </w:tc>
        <w:tc>
          <w:tcPr>
            <w:tcW w:w="56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Receivables, net</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239,637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24,067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263,704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130,288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31,049</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35,010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7,418</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42,428</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405,001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63,505</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468,506</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73,810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28,727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102,537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18,066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68,189</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98,730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639,232</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Bank overdrafts</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2,602</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Current portion of long-term</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350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41,025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119,667</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160,692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liabilites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166,482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19,837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186,319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Payable to affiliates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48,813</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(48,813)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207,857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71,252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70,854</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349,963</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portion</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53,015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53,015</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long term liabilities</w:t>
            </w:r>
          </w:p>
        </w:tc>
        <w:tc>
          <w:tcPr>
            <w:tcW w:w="34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22,438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22,687</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283,310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71,501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70,854</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425,665</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34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213,567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27,229</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(27,229)</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213,567</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common stockholders'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equity</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98,730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639,232</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3"/>
        </w:trPr>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B-2</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491" w:name="page492"/>
    <w:bookmarkEnd w:id="491"/>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Year ended October 31, 1996</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Hardie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The Toro</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Irrigation</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Toro</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Group</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 forma</w:t>
            </w:r>
          </w:p>
        </w:tc>
        <w:tc>
          <w:tcPr>
            <w:tcW w:w="9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adjustments</w:t>
            </w:r>
          </w:p>
        </w:tc>
        <w:tc>
          <w:tcPr>
            <w:tcW w:w="202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100" w:type="dxa"/>
            <w:vAlign w:val="bottom"/>
          </w:tcPr>
          <w:p>
            <w:pPr>
              <w:spacing w:after="0"/>
              <w:rPr>
                <w:sz w:val="14"/>
                <w:szCs w:val="14"/>
                <w:color w:val="auto"/>
              </w:rPr>
            </w:pPr>
          </w:p>
        </w:tc>
        <w:tc>
          <w:tcPr>
            <w:tcW w:w="604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930,909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143,874</w:t>
            </w:r>
          </w:p>
        </w:tc>
        <w:tc>
          <w:tcPr>
            <w:tcW w:w="1340" w:type="dxa"/>
            <w:vAlign w:val="bottom"/>
          </w:tcPr>
          <w:p>
            <w:pPr>
              <w:spacing w:after="0"/>
              <w:rPr>
                <w:sz w:val="24"/>
                <w:szCs w:val="2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$ 1,074,783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589,186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101,072</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690,258</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341,723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42,802</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384,525</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expenses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278,284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41,798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2,181</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321,881</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Earnings from operations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63,439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(1,799)</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62,644</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 to third parties</w:t>
            </w:r>
          </w:p>
        </w:tc>
        <w:tc>
          <w:tcPr>
            <w:tcW w:w="2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13,590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9,063</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22,735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Management fees to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 to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3,349</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(3,349)</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income from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1,364</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(10,331)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7,065</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(10,377)</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Earnings before income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60,180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(14,645)</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50,286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23,771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(3,395)</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19,863</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36,409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30,423</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earnings per share of</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equivalent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2.42</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Weighted average shares of</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and common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stock equivalents outstanding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for the year (primary and fully</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12,554,715</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12,554,715</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828"/>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B-3</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92" w:name="page493"/>
    <w:bookmarkEnd w:id="492"/>
    <w:p>
      <w:pPr>
        <w:jc w:val="center"/>
        <w:ind w:right="282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Notes to Unaudited Pro Forma Condensed Consolidated Balance Sheet</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and Statement of Operations</w:t>
      </w:r>
    </w:p>
    <w:p>
      <w:pPr>
        <w:spacing w:after="0" w:line="338" w:lineRule="exact"/>
        <w:rPr>
          <w:sz w:val="20"/>
          <w:szCs w:val="20"/>
          <w:color w:val="auto"/>
        </w:rPr>
      </w:pPr>
    </w:p>
    <w:p>
      <w:pPr>
        <w:ind w:left="352" w:right="3519" w:hanging="352"/>
        <w:spacing w:after="0" w:line="251" w:lineRule="auto"/>
        <w:tabs>
          <w:tab w:leader="none" w:pos="352"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reflect the acquisition of James Hardie Irrigation Group and the allocation of the estimated purchase price and related capitalized acquisition costs on the basis of estimated fair values of assets acquired and liabilities assumed. The actual purchase price is based on the assets acquired and liabilities assumed as of December 1, 1996, and is subject to adjustment based on final audit results.</w:t>
      </w:r>
    </w:p>
    <w:p>
      <w:pPr>
        <w:spacing w:after="0" w:line="164" w:lineRule="exact"/>
        <w:rPr>
          <w:sz w:val="20"/>
          <w:szCs w:val="20"/>
          <w:color w:val="auto"/>
        </w:rPr>
      </w:pPr>
    </w:p>
    <w:tbl>
      <w:tblPr>
        <w:tblLayout w:type="fixed"/>
        <w:tblInd w:w="772"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Hardie shareholder's equity at December 1, 1996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27,229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Plus liabilities not assumed</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48,813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Excess of purchase price over net book value of</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assets acquired, including $16,725 of</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estimated capitalized acquisition costs</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43,625</w:t>
            </w: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119,667</w:t>
            </w: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52" w:right="3519" w:hanging="352"/>
        <w:spacing w:after="0" w:line="252" w:lineRule="auto"/>
        <w:tabs>
          <w:tab w:leader="none" w:pos="352"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has initially been financed with temporary short-term bank debt; however, the Company has filed a shelf registration for issuance of public debt which would replace all or a portion of the short-term debt with long-term debt.</w:t>
      </w:r>
    </w:p>
    <w:p>
      <w:pPr>
        <w:spacing w:after="0" w:line="162" w:lineRule="exact"/>
        <w:rPr>
          <w:rFonts w:ascii="Courier New" w:cs="Courier New" w:eastAsia="Courier New" w:hAnsi="Courier New"/>
          <w:sz w:val="14"/>
          <w:szCs w:val="14"/>
          <w:color w:val="auto"/>
        </w:rPr>
      </w:pPr>
    </w:p>
    <w:p>
      <w:pPr>
        <w:ind w:left="352" w:right="3779" w:hanging="352"/>
        <w:spacing w:after="0" w:line="255" w:lineRule="auto"/>
        <w:tabs>
          <w:tab w:leader="none" w:pos="352"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amortization of the excess purchase price on a straight-line basis over 20 years.</w:t>
      </w:r>
    </w:p>
    <w:p>
      <w:pPr>
        <w:spacing w:after="0" w:line="159"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interest expense related to the acquisition, assuming average borrowings for acquisition debt and Hardie working capital of $125 million at an annual interest rate of 7.25% representing the approximate average of the long and short-term rates for the year. See Note 2 above regarding the acquisition debt.</w:t>
      </w:r>
    </w:p>
    <w:p>
      <w:pPr>
        <w:spacing w:after="0" w:line="164" w:lineRule="exact"/>
        <w:rPr>
          <w:rFonts w:ascii="Courier New" w:cs="Courier New" w:eastAsia="Courier New" w:hAnsi="Courier New"/>
          <w:sz w:val="14"/>
          <w:szCs w:val="14"/>
          <w:color w:val="auto"/>
        </w:rPr>
      </w:pPr>
    </w:p>
    <w:p>
      <w:pPr>
        <w:ind w:left="352" w:right="3339" w:hanging="352"/>
        <w:spacing w:after="0" w:line="252" w:lineRule="auto"/>
        <w:tabs>
          <w:tab w:leader="none" w:pos="352"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intercompany interest income, interest expense, management fees and other expenses to affiliates of Hardie which will not be recurring after the acquisition.</w:t>
      </w:r>
    </w:p>
    <w:p>
      <w:pPr>
        <w:spacing w:after="0" w:line="16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1996, Hardie sold a depositary receipt and realized a gain of</w:t>
      </w:r>
    </w:p>
    <w:p>
      <w:pPr>
        <w:spacing w:after="0" w:line="7" w:lineRule="exact"/>
        <w:rPr>
          <w:rFonts w:ascii="Courier New" w:cs="Courier New" w:eastAsia="Courier New" w:hAnsi="Courier New"/>
          <w:sz w:val="14"/>
          <w:szCs w:val="14"/>
          <w:color w:val="auto"/>
        </w:rPr>
      </w:pPr>
    </w:p>
    <w:p>
      <w:pPr>
        <w:ind w:left="35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$7,065. This gain is not expected to be a recurring item subsequent to the acquisition.</w:t>
      </w:r>
    </w:p>
    <w:p>
      <w:pPr>
        <w:spacing w:after="0" w:line="159" w:lineRule="exact"/>
        <w:rPr>
          <w:rFonts w:ascii="Courier New" w:cs="Courier New" w:eastAsia="Courier New" w:hAnsi="Courier New"/>
          <w:sz w:val="14"/>
          <w:szCs w:val="14"/>
          <w:color w:val="auto"/>
        </w:rPr>
      </w:pPr>
    </w:p>
    <w:p>
      <w:pPr>
        <w:ind w:left="352" w:right="3859" w:hanging="352"/>
        <w:spacing w:after="0" w:line="252" w:lineRule="auto"/>
        <w:tabs>
          <w:tab w:leader="none" w:pos="352"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adjustment to tax expense required to arrive at a combined pro forma tax rate of 39.5%. The income tax rate is based on The Toro Company's tax structure.</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1"/>
          </w:cols>
          <w:pgMar w:left="228" w:top="616" w:right="1440" w:bottom="1440" w:gutter="0" w:footer="0" w:header="0"/>
        </w:sectPr>
      </w:pPr>
    </w:p>
    <w:bookmarkStart w:id="493" w:name="page494"/>
    <w:bookmarkEnd w:id="493"/>
    <w:p>
      <w:pPr>
        <w:jc w:val="center"/>
        <w:ind w:right="2899"/>
        <w:spacing w:after="0"/>
        <w:rPr>
          <w:sz w:val="20"/>
          <w:szCs w:val="20"/>
          <w:color w:val="auto"/>
        </w:rPr>
      </w:pPr>
      <w:r>
        <w:rPr>
          <w:rFonts w:ascii="Courier New" w:cs="Courier New" w:eastAsia="Courier New" w:hAnsi="Courier New"/>
          <w:sz w:val="14"/>
          <w:szCs w:val="14"/>
          <w:color w:val="auto"/>
        </w:rPr>
        <w:t>FORM 11-K</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FOR ANNUAL REPORTS OF EMPLOYEE STOCK PURCHASE, SAVINGS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AND SIMILAR PLANS PURSUANT TO SECTION 15(d) OF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ind w:right="3519" w:firstLine="8"/>
        <w:spacing w:after="0" w:line="250" w:lineRule="auto"/>
        <w:tabs>
          <w:tab w:leader="none" w:pos="172"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ANNUAL REPORT PURSUANT TO SECTION 15(d) OF THE SECURITIES EXCHANGE ACT OF 1934</w:t>
      </w:r>
    </w:p>
    <w:p>
      <w:pPr>
        <w:spacing w:after="0" w:line="1"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For the fiscal year ended</w:t>
      </w:r>
      <w:r>
        <w:rPr>
          <w:sz w:val="20"/>
          <w:szCs w:val="20"/>
          <w:color w:val="auto"/>
        </w:rPr>
        <w:tab/>
      </w:r>
      <w:r>
        <w:rPr>
          <w:rFonts w:ascii="Courier New" w:cs="Courier New" w:eastAsia="Courier New" w:hAnsi="Courier New"/>
          <w:sz w:val="14"/>
          <w:szCs w:val="14"/>
          <w:color w:val="auto"/>
        </w:rPr>
        <w:t>December 31, 1996</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ind w:right="3859" w:firstLine="8"/>
        <w:spacing w:after="0" w:line="250" w:lineRule="auto"/>
        <w:tabs>
          <w:tab w:leader="none" w:pos="172"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15(d) OF THE SECURITIES EXCHANGE ACT OF 1934</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ectPr>
          <w:pgSz w:w="11900" w:h="16838" w:orient="portrait"/>
          <w:cols w:equalWidth="0" w:num="1">
            <w:col w:w="10239"/>
          </w:cols>
          <w:pgMar w:left="220" w:top="615" w:right="1440" w:bottom="1440" w:gutter="0" w:footer="0" w:header="0"/>
        </w:sectPr>
      </w:pP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800" w:space="260"/>
            <w:col w:w="617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900" w:space="0"/>
            <w:col w:w="8339"/>
          </w:cols>
          <w:pgMar w:left="220" w:top="615" w:right="1440" w:bottom="1440" w:gutter="0" w:footer="0" w:header="0"/>
          <w:type w:val="continuous"/>
        </w:sectPr>
      </w:pPr>
    </w:p>
    <w:p>
      <w:pPr>
        <w:ind w:left="360" w:right="5759" w:hanging="7"/>
        <w:spacing w:after="0" w:line="250" w:lineRule="auto"/>
        <w:tabs>
          <w:tab w:leader="none" w:pos="705"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 Investment and Savings Plan B The Toro Company</w:t>
      </w:r>
    </w:p>
    <w:p>
      <w:pPr>
        <w:ind w:left="700" w:right="7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8111 Lyndale Avenue South Minneapolis, MN 55420</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REQUIRED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financial statements shall be furnished for the plan:</w:t>
      </w:r>
    </w:p>
    <w:p>
      <w:pPr>
        <w:spacing w:after="0" w:line="7" w:lineRule="exact"/>
        <w:rPr>
          <w:sz w:val="20"/>
          <w:szCs w:val="20"/>
          <w:color w:val="auto"/>
        </w:rPr>
      </w:pPr>
    </w:p>
    <w:p>
      <w:pPr>
        <w:ind w:right="3419" w:firstLine="94"/>
        <w:spacing w:after="0" w:line="250" w:lineRule="auto"/>
        <w:tabs>
          <w:tab w:leader="none" w:pos="344"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audited statement of financial condition as of the end of the latest two fiscal years of the plan (or such lesser period as the plan has been in existence).</w:t>
      </w:r>
    </w:p>
    <w:p>
      <w:pPr>
        <w:spacing w:after="0" w:line="1" w:lineRule="exact"/>
        <w:rPr>
          <w:rFonts w:ascii="Courier New" w:cs="Courier New" w:eastAsia="Courier New" w:hAnsi="Courier New"/>
          <w:sz w:val="14"/>
          <w:szCs w:val="14"/>
          <w:color w:val="auto"/>
        </w:rPr>
      </w:pPr>
    </w:p>
    <w:p>
      <w:pPr>
        <w:ind w:right="3599" w:firstLine="94"/>
        <w:spacing w:after="0" w:line="250" w:lineRule="auto"/>
        <w:tabs>
          <w:tab w:leader="none" w:pos="344"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audited statement of income and changes in plan equity for each of the latest three fiscal years of the plan (or such lesser period as the plan has been in existence).</w:t>
      </w:r>
    </w:p>
    <w:p>
      <w:pPr>
        <w:spacing w:after="0" w:line="1" w:lineRule="exact"/>
        <w:rPr>
          <w:rFonts w:ascii="Courier New" w:cs="Courier New" w:eastAsia="Courier New" w:hAnsi="Courier New"/>
          <w:sz w:val="14"/>
          <w:szCs w:val="14"/>
          <w:color w:val="auto"/>
        </w:rPr>
      </w:pPr>
    </w:p>
    <w:p>
      <w:pPr>
        <w:ind w:right="3679" w:firstLine="94"/>
        <w:spacing w:after="0" w:line="250" w:lineRule="auto"/>
        <w:tabs>
          <w:tab w:leader="none" w:pos="344"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required by Items 1 and 2 shall be prepared in accordance with the applicable provisions of Article 6A of Regulation S-X (17 CFR 210.6A-01-.6A-05).</w:t>
      </w:r>
    </w:p>
    <w:p>
      <w:pPr>
        <w:spacing w:after="0" w:line="1" w:lineRule="exact"/>
        <w:rPr>
          <w:rFonts w:ascii="Courier New" w:cs="Courier New" w:eastAsia="Courier New" w:hAnsi="Courier New"/>
          <w:sz w:val="14"/>
          <w:szCs w:val="14"/>
          <w:color w:val="auto"/>
        </w:rPr>
      </w:pPr>
    </w:p>
    <w:p>
      <w:pPr>
        <w:ind w:right="3339" w:firstLine="94"/>
        <w:spacing w:after="0" w:line="251" w:lineRule="auto"/>
        <w:tabs>
          <w:tab w:leader="none" w:pos="344"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exemption" contained in Section 103(a)(3)(C) of ERISA shall not be available.</w:t>
      </w:r>
    </w:p>
    <w:p>
      <w:pPr>
        <w:spacing w:after="0" w:line="200" w:lineRule="exact"/>
        <w:rPr>
          <w:sz w:val="20"/>
          <w:szCs w:val="20"/>
          <w:color w:val="auto"/>
        </w:rPr>
      </w:pPr>
    </w:p>
    <w:p>
      <w:pPr>
        <w:spacing w:after="0" w:line="296" w:lineRule="exact"/>
        <w:rPr>
          <w:sz w:val="20"/>
          <w:szCs w:val="20"/>
          <w:color w:val="auto"/>
        </w:rPr>
      </w:pPr>
    </w:p>
    <w:p>
      <w:pPr>
        <w:ind w:right="3339" w:firstLine="86"/>
        <w:spacing w:after="0" w:line="251" w:lineRule="auto"/>
        <w:rPr>
          <w:sz w:val="20"/>
          <w:szCs w:val="20"/>
          <w:color w:val="auto"/>
        </w:rPr>
      </w:pPr>
      <w:r>
        <w:rPr>
          <w:rFonts w:ascii="Courier New" w:cs="Courier New" w:eastAsia="Courier New" w:hAnsi="Courier New"/>
          <w:sz w:val="14"/>
          <w:szCs w:val="14"/>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33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86"/>
        <w:spacing w:after="0" w:line="252" w:lineRule="auto"/>
        <w:rPr>
          <w:sz w:val="20"/>
          <w:szCs w:val="20"/>
          <w:color w:val="auto"/>
        </w:rPr>
      </w:pPr>
      <w:r>
        <w:rPr>
          <w:rFonts w:ascii="Courier New" w:cs="Courier New" w:eastAsia="Courier New" w:hAnsi="Courier New"/>
          <w:sz w:val="14"/>
          <w:szCs w:val="14"/>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Toro Company Savings and Investment Plan</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(Name of Plan)</w:t>
      </w:r>
    </w:p>
    <w:p>
      <w:pPr>
        <w:sectPr>
          <w:pgSz w:w="11900" w:h="16838" w:orient="portrait"/>
          <w:cols w:equalWidth="0" w:num="1">
            <w:col w:w="10239"/>
          </w:cols>
          <w:pgMar w:left="220" w:top="61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June 30,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60" w:space="80"/>
            <w:col w:w="1780" w:space="720"/>
            <w:col w:w="7299"/>
          </w:cols>
          <w:pgMar w:left="220" w:top="615"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615" w:right="1440" w:bottom="1440" w:gutter="0" w:footer="0" w:header="0"/>
          <w:type w:val="continuous"/>
        </w:sectPr>
      </w:pPr>
    </w:p>
    <w:bookmarkStart w:id="494" w:name="page495"/>
    <w:bookmarkEnd w:id="494"/>
    <w:p>
      <w:pPr>
        <w:ind w:left="180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INVESTMENT AND SAVINGS PLAN</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Financial Statements and Schedule</w:t>
      </w:r>
    </w:p>
    <w:p>
      <w:pPr>
        <w:spacing w:after="0" w:line="17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Year ended December 31, 1996 and the</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five-month period ended December 31, 1995</w:t>
      </w:r>
    </w:p>
    <w:p>
      <w:pPr>
        <w:sectPr>
          <w:pgSz w:w="11900" w:h="16838" w:orient="portrait"/>
          <w:cols w:equalWidth="0" w:num="1">
            <w:col w:w="9019"/>
          </w:cols>
          <w:pgMar w:left="1440" w:top="615" w:right="1440" w:bottom="1440" w:gutter="0" w:footer="0" w:header="0"/>
        </w:sectPr>
      </w:pPr>
    </w:p>
    <w:bookmarkStart w:id="495" w:name="page496"/>
    <w:bookmarkEnd w:id="495"/>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Administrator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statements of net assets available for plan benefits of The Toro Company Investment and Savings Plan (the Plan) as of December 31, 1996 and 1995, and the related statements of changes in net assets available for plan benefits for the year ended December 31, 1996 and the five-month period ended December 31, 1995. These financial statements are the responsibility of the Plan's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plan benefits as of December 31, 1996 and 1995 and the changes in net assets available for plan benefits for the year ended December 31, 1996 and the five-month period ended December 31, 1995 in conformity with generally accepted accounting principles.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fund information in the statement of net assets available for plan benefits and the statement of changes in net assets available for plan benefits is presented for purposes of additional analysis rather than to present the net assets available for plan benefits and changes in net assets available for plan benefits of each fund. The supplemental schedule and fund information have been subjected to the auditing procedures applied in the audits of the basic financial statements and, in our opinion, are fairly stated in all material respects in relation to the basic financial statements taken as a whole.</w:t>
      </w:r>
    </w:p>
    <w:p>
      <w:pPr>
        <w:sectPr>
          <w:pgSz w:w="11900" w:h="16838" w:orient="portrait"/>
          <w:cols w:equalWidth="0" w:num="1">
            <w:col w:w="10239"/>
          </w:cols>
          <w:pgMar w:left="220" w:top="616" w:right="1440" w:bottom="1440" w:gutter="0" w:footer="0" w:header="0"/>
        </w:sectPr>
      </w:pPr>
    </w:p>
    <w:bookmarkStart w:id="496" w:name="page497"/>
    <w:bookmarkEnd w:id="496"/>
    <w:p>
      <w:pPr>
        <w:ind w:left="362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Plan has not presented the schedule of reportable transactions (transactions in excess of 5% of the current value of plan assets at the beginning year). Disclosure of this information is required by the Department of Labor's Rules and Regulations for Reporting and Disclosure under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24, 1997</w:t>
      </w:r>
    </w:p>
    <w:p>
      <w:pPr>
        <w:sectPr>
          <w:pgSz w:w="11900" w:h="16838" w:orient="portrait"/>
          <w:cols w:equalWidth="0" w:num="1">
            <w:col w:w="10239"/>
          </w:cols>
          <w:pgMar w:left="220" w:top="781" w:right="1440" w:bottom="1440" w:gutter="0" w:footer="0" w:header="0"/>
        </w:sectPr>
      </w:pPr>
    </w:p>
    <w:bookmarkStart w:id="497" w:name="page498"/>
    <w:bookmarkEnd w:id="497"/>
    <w:p>
      <w:pPr>
        <w:ind w:left="268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Net Assets Available for Plan Benefits</w:t>
      </w:r>
    </w:p>
    <w:p>
      <w:pPr>
        <w:spacing w:after="0" w:line="173"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Putnam</w:t>
            </w:r>
          </w:p>
        </w:tc>
        <w:tc>
          <w:tcPr>
            <w:tcW w:w="900" w:type="dxa"/>
            <w:vAlign w:val="bottom"/>
          </w:tcPr>
          <w:p>
            <w:pPr>
              <w:spacing w:after="0"/>
              <w:rPr>
                <w:sz w:val="24"/>
                <w:szCs w:val="2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Asset</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Asset</w:t>
            </w:r>
          </w:p>
        </w:tc>
        <w:tc>
          <w:tcPr>
            <w:tcW w:w="900" w:type="dxa"/>
            <w:vAlign w:val="bottom"/>
          </w:tcPr>
          <w:p>
            <w:pPr>
              <w:spacing w:after="0"/>
              <w:rPr>
                <w:sz w:val="14"/>
                <w:szCs w:val="1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Allocation</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Putnam</w:t>
            </w:r>
          </w:p>
        </w:tc>
      </w:tr>
      <w:tr>
        <w:trPr>
          <w:trHeight w:val="166"/>
        </w:trPr>
        <w:tc>
          <w:tcPr>
            <w:tcW w:w="15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Toro Stable</w:t>
            </w: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(Balanced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(Conservative</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Growth</w:t>
            </w:r>
          </w:p>
        </w:tc>
      </w:tr>
      <w:tr>
        <w:trPr>
          <w:trHeight w:val="0"/>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Value Fund</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Portfolio)</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Portfolio)</w:t>
            </w:r>
          </w:p>
        </w:tc>
        <w:tc>
          <w:tcPr>
            <w:tcW w:w="9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Fund</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held by trustee:</w:t>
      </w:r>
    </w:p>
    <w:p>
      <w:pPr>
        <w:spacing w:after="0" w:line="7" w:lineRule="exact"/>
        <w:rPr>
          <w:sz w:val="20"/>
          <w:szCs w:val="20"/>
          <w:color w:val="auto"/>
        </w:rPr>
      </w:pPr>
    </w:p>
    <w:p>
      <w:pPr>
        <w:ind w:left="260"/>
        <w:spacing w:after="0"/>
        <w:tabs>
          <w:tab w:leader="none" w:pos="3860" w:val="left"/>
          <w:tab w:leader="none" w:pos="5240" w:val="left"/>
          <w:tab w:leader="none" w:pos="6440" w:val="left"/>
          <w:tab w:leader="none" w:pos="7740" w:val="left"/>
          <w:tab w:leader="none" w:pos="9040" w:val="left"/>
          <w:tab w:leader="none" w:pos="10320" w:val="left"/>
        </w:tabs>
        <w:rPr>
          <w:sz w:val="20"/>
          <w:szCs w:val="20"/>
          <w:color w:val="auto"/>
        </w:rPr>
      </w:pPr>
      <w:r>
        <w:rPr>
          <w:rFonts w:ascii="Courier New" w:cs="Courier New" w:eastAsia="Courier New" w:hAnsi="Courier New"/>
          <w:sz w:val="14"/>
          <w:szCs w:val="14"/>
          <w:color w:val="auto"/>
        </w:rPr>
        <w:t>Investments</w:t>
      </w:r>
      <w:r>
        <w:rPr>
          <w:sz w:val="20"/>
          <w:szCs w:val="20"/>
          <w:color w:val="auto"/>
        </w:rPr>
        <w:tab/>
      </w:r>
      <w:r>
        <w:rPr>
          <w:rFonts w:ascii="Courier New" w:cs="Courier New" w:eastAsia="Courier New" w:hAnsi="Courier New"/>
          <w:sz w:val="14"/>
          <w:szCs w:val="14"/>
          <w:color w:val="auto"/>
        </w:rPr>
        <w:t>$ 37,129,761</w:t>
      </w:r>
      <w:r>
        <w:rPr>
          <w:sz w:val="20"/>
          <w:szCs w:val="20"/>
          <w:color w:val="auto"/>
        </w:rPr>
        <w:tab/>
      </w:r>
      <w:r>
        <w:rPr>
          <w:rFonts w:ascii="Courier New" w:cs="Courier New" w:eastAsia="Courier New" w:hAnsi="Courier New"/>
          <w:sz w:val="14"/>
          <w:szCs w:val="14"/>
          <w:color w:val="auto"/>
        </w:rPr>
        <w:t>28,800,695</w:t>
      </w:r>
      <w:r>
        <w:rPr>
          <w:sz w:val="20"/>
          <w:szCs w:val="20"/>
          <w:color w:val="auto"/>
        </w:rPr>
        <w:tab/>
      </w:r>
      <w:r>
        <w:rPr>
          <w:rFonts w:ascii="Courier New" w:cs="Courier New" w:eastAsia="Courier New" w:hAnsi="Courier New"/>
          <w:sz w:val="14"/>
          <w:szCs w:val="14"/>
          <w:color w:val="auto"/>
        </w:rPr>
        <w:t>6,197,085</w:t>
      </w:r>
      <w:r>
        <w:rPr>
          <w:sz w:val="20"/>
          <w:szCs w:val="20"/>
          <w:color w:val="auto"/>
        </w:rPr>
        <w:tab/>
      </w:r>
      <w:r>
        <w:rPr>
          <w:rFonts w:ascii="Courier New" w:cs="Courier New" w:eastAsia="Courier New" w:hAnsi="Courier New"/>
          <w:sz w:val="14"/>
          <w:szCs w:val="14"/>
          <w:color w:val="auto"/>
        </w:rPr>
        <w:t>8,420,008</w:t>
      </w:r>
      <w:r>
        <w:rPr>
          <w:sz w:val="20"/>
          <w:szCs w:val="20"/>
          <w:color w:val="auto"/>
        </w:rPr>
        <w:tab/>
      </w:r>
      <w:r>
        <w:rPr>
          <w:rFonts w:ascii="Courier New" w:cs="Courier New" w:eastAsia="Courier New" w:hAnsi="Courier New"/>
          <w:sz w:val="14"/>
          <w:szCs w:val="14"/>
          <w:color w:val="auto"/>
        </w:rPr>
        <w:t>4,235,289</w:t>
      </w:r>
      <w:r>
        <w:rPr>
          <w:sz w:val="20"/>
          <w:szCs w:val="20"/>
          <w:color w:val="auto"/>
        </w:rPr>
        <w:tab/>
      </w:r>
      <w:r>
        <w:rPr>
          <w:rFonts w:ascii="Courier New" w:cs="Courier New" w:eastAsia="Courier New" w:hAnsi="Courier New"/>
          <w:sz w:val="14"/>
          <w:szCs w:val="14"/>
          <w:color w:val="auto"/>
        </w:rPr>
        <w:t>4,268,244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3860" w:val="left"/>
          <w:tab w:leader="none" w:pos="5240" w:val="left"/>
          <w:tab w:leader="none" w:pos="6440" w:val="left"/>
          <w:tab w:leader="none" w:pos="7740" w:val="left"/>
          <w:tab w:leader="none" w:pos="9040" w:val="left"/>
          <w:tab w:leader="none" w:pos="10320" w:val="left"/>
        </w:tabs>
        <w:rPr>
          <w:sz w:val="20"/>
          <w:szCs w:val="20"/>
          <w:color w:val="auto"/>
        </w:rPr>
      </w:pPr>
      <w:r>
        <w:rPr>
          <w:rFonts w:ascii="Courier New" w:cs="Courier New" w:eastAsia="Courier New" w:hAnsi="Courier New"/>
          <w:sz w:val="14"/>
          <w:szCs w:val="14"/>
          <w:color w:val="auto"/>
        </w:rPr>
        <w:t>Net assets available for plan benefits</w:t>
      </w:r>
      <w:r>
        <w:rPr>
          <w:sz w:val="20"/>
          <w:szCs w:val="20"/>
          <w:color w:val="auto"/>
        </w:rPr>
        <w:tab/>
      </w:r>
      <w:r>
        <w:rPr>
          <w:rFonts w:ascii="Courier New" w:cs="Courier New" w:eastAsia="Courier New" w:hAnsi="Courier New"/>
          <w:sz w:val="14"/>
          <w:szCs w:val="14"/>
          <w:color w:val="auto"/>
        </w:rPr>
        <w:t>$ 37,129,761</w:t>
      </w:r>
      <w:r>
        <w:rPr>
          <w:sz w:val="20"/>
          <w:szCs w:val="20"/>
          <w:color w:val="auto"/>
        </w:rPr>
        <w:tab/>
      </w:r>
      <w:r>
        <w:rPr>
          <w:rFonts w:ascii="Courier New" w:cs="Courier New" w:eastAsia="Courier New" w:hAnsi="Courier New"/>
          <w:sz w:val="14"/>
          <w:szCs w:val="14"/>
          <w:color w:val="auto"/>
        </w:rPr>
        <w:t>28,800,695</w:t>
      </w:r>
      <w:r>
        <w:rPr>
          <w:sz w:val="20"/>
          <w:szCs w:val="20"/>
          <w:color w:val="auto"/>
        </w:rPr>
        <w:tab/>
      </w:r>
      <w:r>
        <w:rPr>
          <w:rFonts w:ascii="Courier New" w:cs="Courier New" w:eastAsia="Courier New" w:hAnsi="Courier New"/>
          <w:sz w:val="14"/>
          <w:szCs w:val="14"/>
          <w:color w:val="auto"/>
        </w:rPr>
        <w:t>6,197,085</w:t>
      </w:r>
      <w:r>
        <w:rPr>
          <w:sz w:val="20"/>
          <w:szCs w:val="20"/>
          <w:color w:val="auto"/>
        </w:rPr>
        <w:tab/>
      </w:r>
      <w:r>
        <w:rPr>
          <w:rFonts w:ascii="Courier New" w:cs="Courier New" w:eastAsia="Courier New" w:hAnsi="Courier New"/>
          <w:sz w:val="14"/>
          <w:szCs w:val="14"/>
          <w:color w:val="auto"/>
        </w:rPr>
        <w:t>8,420,008</w:t>
      </w:r>
      <w:r>
        <w:rPr>
          <w:sz w:val="20"/>
          <w:szCs w:val="20"/>
          <w:color w:val="auto"/>
        </w:rPr>
        <w:tab/>
      </w:r>
      <w:r>
        <w:rPr>
          <w:rFonts w:ascii="Courier New" w:cs="Courier New" w:eastAsia="Courier New" w:hAnsi="Courier New"/>
          <w:sz w:val="14"/>
          <w:szCs w:val="14"/>
          <w:color w:val="auto"/>
        </w:rPr>
        <w:t>4,235,289</w:t>
      </w:r>
      <w:r>
        <w:rPr>
          <w:sz w:val="20"/>
          <w:szCs w:val="20"/>
          <w:color w:val="auto"/>
        </w:rPr>
        <w:tab/>
      </w:r>
      <w:r>
        <w:rPr>
          <w:rFonts w:ascii="Courier New" w:cs="Courier New" w:eastAsia="Courier New" w:hAnsi="Courier New"/>
          <w:sz w:val="14"/>
          <w:szCs w:val="14"/>
          <w:color w:val="auto"/>
        </w:rPr>
        <w:t>4,268,244</w:t>
      </w:r>
    </w:p>
    <w:p>
      <w:pPr>
        <w:spacing w:after="0" w:line="7" w:lineRule="exact"/>
        <w:rPr>
          <w:sz w:val="20"/>
          <w:szCs w:val="20"/>
          <w:color w:val="auto"/>
        </w:rPr>
      </w:pPr>
    </w:p>
    <w:p>
      <w:pPr>
        <w:ind w:left="180" w:hanging="172"/>
        <w:spacing w:after="0"/>
        <w:tabs>
          <w:tab w:leader="none" w:pos="18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220"/>
        <w:spacing w:after="0"/>
        <w:tabs>
          <w:tab w:leader="none" w:pos="54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220"/>
        <w:spacing w:after="0"/>
        <w:tabs>
          <w:tab w:leader="none" w:pos="542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p>
    <w:p>
      <w:pPr>
        <w:spacing w:after="0" w:line="7" w:lineRule="exact"/>
        <w:rPr>
          <w:sz w:val="20"/>
          <w:szCs w:val="20"/>
          <w:color w:val="auto"/>
        </w:rPr>
      </w:pPr>
    </w:p>
    <w:p>
      <w:pPr>
        <w:ind w:left="4320"/>
        <w:spacing w:after="0"/>
        <w:tabs>
          <w:tab w:leader="none" w:pos="5500" w:val="left"/>
          <w:tab w:leader="none" w:pos="670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Total</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held by trustee:</w:t>
      </w:r>
    </w:p>
    <w:p>
      <w:pPr>
        <w:spacing w:after="0" w:line="7" w:lineRule="exact"/>
        <w:rPr>
          <w:sz w:val="20"/>
          <w:szCs w:val="20"/>
          <w:color w:val="auto"/>
        </w:rPr>
      </w:pPr>
    </w:p>
    <w:p>
      <w:pPr>
        <w:ind w:left="260"/>
        <w:spacing w:after="0"/>
        <w:tabs>
          <w:tab w:leader="none" w:pos="4040" w:val="left"/>
          <w:tab w:leader="none" w:pos="5240" w:val="left"/>
          <w:tab w:leader="none" w:pos="6440" w:val="left"/>
        </w:tabs>
        <w:rPr>
          <w:sz w:val="20"/>
          <w:szCs w:val="20"/>
          <w:color w:val="auto"/>
        </w:rPr>
      </w:pPr>
      <w:r>
        <w:rPr>
          <w:rFonts w:ascii="Courier New" w:cs="Courier New" w:eastAsia="Courier New" w:hAnsi="Courier New"/>
          <w:sz w:val="14"/>
          <w:szCs w:val="14"/>
          <w:color w:val="auto"/>
        </w:rPr>
        <w:t>Investments</w:t>
      </w:r>
      <w:r>
        <w:rPr>
          <w:sz w:val="20"/>
          <w:szCs w:val="20"/>
          <w:color w:val="auto"/>
        </w:rPr>
        <w:tab/>
      </w:r>
      <w:r>
        <w:rPr>
          <w:rFonts w:ascii="Courier New" w:cs="Courier New" w:eastAsia="Courier New" w:hAnsi="Courier New"/>
          <w:sz w:val="14"/>
          <w:szCs w:val="14"/>
          <w:color w:val="auto"/>
        </w:rPr>
        <w:t>27,832,278</w:t>
      </w:r>
      <w:r>
        <w:rPr>
          <w:sz w:val="20"/>
          <w:szCs w:val="20"/>
          <w:color w:val="auto"/>
        </w:rPr>
        <w:tab/>
      </w:r>
      <w:r>
        <w:rPr>
          <w:rFonts w:ascii="Courier New" w:cs="Courier New" w:eastAsia="Courier New" w:hAnsi="Courier New"/>
          <w:sz w:val="14"/>
          <w:szCs w:val="14"/>
          <w:color w:val="auto"/>
        </w:rPr>
        <w:t>17,485,950</w:t>
      </w:r>
      <w:r>
        <w:rPr>
          <w:sz w:val="20"/>
          <w:szCs w:val="20"/>
          <w:color w:val="auto"/>
        </w:rPr>
        <w:tab/>
      </w:r>
      <w:r>
        <w:rPr>
          <w:rFonts w:ascii="Courier New" w:cs="Courier New" w:eastAsia="Courier New" w:hAnsi="Courier New"/>
          <w:sz w:val="14"/>
          <w:szCs w:val="14"/>
          <w:color w:val="auto"/>
        </w:rPr>
        <w:t>134,369,310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4040" w:val="left"/>
          <w:tab w:leader="none" w:pos="5240" w:val="left"/>
          <w:tab w:leader="none" w:pos="6440" w:val="left"/>
        </w:tabs>
        <w:rPr>
          <w:sz w:val="20"/>
          <w:szCs w:val="20"/>
          <w:color w:val="auto"/>
        </w:rPr>
      </w:pPr>
      <w:r>
        <w:rPr>
          <w:rFonts w:ascii="Courier New" w:cs="Courier New" w:eastAsia="Courier New" w:hAnsi="Courier New"/>
          <w:sz w:val="14"/>
          <w:szCs w:val="14"/>
          <w:color w:val="auto"/>
        </w:rPr>
        <w:t>Net assets available for plan benefits</w:t>
      </w:r>
      <w:r>
        <w:rPr>
          <w:sz w:val="20"/>
          <w:szCs w:val="20"/>
          <w:color w:val="auto"/>
        </w:rPr>
        <w:tab/>
      </w:r>
      <w:r>
        <w:rPr>
          <w:rFonts w:ascii="Courier New" w:cs="Courier New" w:eastAsia="Courier New" w:hAnsi="Courier New"/>
          <w:sz w:val="14"/>
          <w:szCs w:val="14"/>
          <w:color w:val="auto"/>
        </w:rPr>
        <w:t>27,832,278</w:t>
      </w:r>
      <w:r>
        <w:rPr>
          <w:sz w:val="20"/>
          <w:szCs w:val="20"/>
          <w:color w:val="auto"/>
        </w:rPr>
        <w:tab/>
      </w:r>
      <w:r>
        <w:rPr>
          <w:rFonts w:ascii="Courier New" w:cs="Courier New" w:eastAsia="Courier New" w:hAnsi="Courier New"/>
          <w:sz w:val="14"/>
          <w:szCs w:val="14"/>
          <w:color w:val="auto"/>
        </w:rPr>
        <w:t>17,485,950</w:t>
      </w:r>
      <w:r>
        <w:rPr>
          <w:sz w:val="20"/>
          <w:szCs w:val="20"/>
          <w:color w:val="auto"/>
        </w:rPr>
        <w:tab/>
      </w:r>
      <w:r>
        <w:rPr>
          <w:rFonts w:ascii="Courier New" w:cs="Courier New" w:eastAsia="Courier New" w:hAnsi="Courier New"/>
          <w:sz w:val="14"/>
          <w:szCs w:val="14"/>
          <w:color w:val="auto"/>
        </w:rPr>
        <w:t>134,369,310</w:t>
      </w:r>
    </w:p>
    <w:p>
      <w:pPr>
        <w:spacing w:after="0" w:line="7" w:lineRule="exact"/>
        <w:rPr>
          <w:sz w:val="20"/>
          <w:szCs w:val="20"/>
          <w:color w:val="auto"/>
        </w:rPr>
      </w:pPr>
    </w:p>
    <w:p>
      <w:pPr>
        <w:ind w:left="180" w:hanging="172"/>
        <w:spacing w:after="0"/>
        <w:tabs>
          <w:tab w:leader="none" w:pos="18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300"/>
          </w:cols>
          <w:pgMar w:left="220" w:top="946" w:right="379" w:bottom="1440" w:gutter="0" w:footer="0" w:header="0"/>
        </w:sectPr>
      </w:pPr>
    </w:p>
    <w:bookmarkStart w:id="498" w:name="page499"/>
    <w:bookmarkEnd w:id="498"/>
    <w:p>
      <w:pPr>
        <w:ind w:left="268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Net Assets Available for Plan Benefits</w:t>
      </w:r>
    </w:p>
    <w:p>
      <w:pPr>
        <w:spacing w:after="0" w:line="173"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Courier New" w:cs="Courier New" w:eastAsia="Courier New" w:hAnsi="Courier New"/>
                <w:sz w:val="14"/>
                <w:szCs w:val="14"/>
                <w:color w:val="auto"/>
              </w:rPr>
              <w:t>December 31, 1995</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Putnam</w:t>
            </w:r>
          </w:p>
        </w:tc>
        <w:tc>
          <w:tcPr>
            <w:tcW w:w="900" w:type="dxa"/>
            <w:vAlign w:val="bottom"/>
          </w:tcPr>
          <w:p>
            <w:pPr>
              <w:spacing w:after="0"/>
              <w:rPr>
                <w:sz w:val="24"/>
                <w:szCs w:val="2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Asset</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Asset</w:t>
            </w:r>
          </w:p>
        </w:tc>
        <w:tc>
          <w:tcPr>
            <w:tcW w:w="900" w:type="dxa"/>
            <w:vAlign w:val="bottom"/>
          </w:tcPr>
          <w:p>
            <w:pPr>
              <w:spacing w:after="0"/>
              <w:rPr>
                <w:sz w:val="14"/>
                <w:szCs w:val="1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Allocation</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Putnam</w:t>
            </w:r>
          </w:p>
        </w:tc>
      </w:tr>
      <w:tr>
        <w:trPr>
          <w:trHeight w:val="166"/>
        </w:trPr>
        <w:tc>
          <w:tcPr>
            <w:tcW w:w="15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Toro Stable</w:t>
            </w: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(Balanced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(Conservative</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Value Fund</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Portfolio)</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Portfolio)</w:t>
            </w:r>
          </w:p>
        </w:tc>
        <w:tc>
          <w:tcPr>
            <w:tcW w:w="9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Fund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Assets held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by trustee:</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Investments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20,781,618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4,404,954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6,534,932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3,165,037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20,781,618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4,404,954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6,534,932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3,165,037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spacing w:after="0" w:line="4" w:lineRule="exact"/>
        <w:rPr>
          <w:sz w:val="20"/>
          <w:szCs w:val="20"/>
          <w:color w:val="auto"/>
        </w:rPr>
      </w:pPr>
    </w:p>
    <w:p>
      <w:pPr>
        <w:ind w:left="180" w:hanging="172"/>
        <w:spacing w:after="0"/>
        <w:tabs>
          <w:tab w:leader="none" w:pos="180" w:val="left"/>
        </w:tabs>
        <w:numPr>
          <w:ilvl w:val="0"/>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220"/>
        <w:spacing w:after="0"/>
        <w:tabs>
          <w:tab w:leader="none" w:pos="54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220"/>
        <w:spacing w:after="0"/>
        <w:tabs>
          <w:tab w:leader="none" w:pos="5420" w:val="left"/>
          <w:tab w:leader="none" w:pos="644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Unallocated</w:t>
      </w:r>
    </w:p>
    <w:p>
      <w:pPr>
        <w:spacing w:after="0" w:line="7" w:lineRule="exact"/>
        <w:rPr>
          <w:sz w:val="20"/>
          <w:szCs w:val="20"/>
          <w:color w:val="auto"/>
        </w:rPr>
      </w:pPr>
    </w:p>
    <w:p>
      <w:pPr>
        <w:ind w:left="4320"/>
        <w:spacing w:after="0"/>
        <w:tabs>
          <w:tab w:leader="none" w:pos="5500" w:val="left"/>
          <w:tab w:leader="none" w:pos="6440" w:val="left"/>
          <w:tab w:leader="none" w:pos="808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Assets held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by trustee:</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Investments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16,019,914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114,141,751</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13,582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13,582</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43,150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16,019,914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spacing w:after="0" w:line="4" w:lineRule="exact"/>
        <w:rPr>
          <w:sz w:val="20"/>
          <w:szCs w:val="20"/>
          <w:color w:val="auto"/>
        </w:rPr>
      </w:pPr>
    </w:p>
    <w:p>
      <w:pPr>
        <w:ind w:left="180" w:hanging="172"/>
        <w:spacing w:after="0"/>
        <w:tabs>
          <w:tab w:leader="none" w:pos="180"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300"/>
          </w:cols>
          <w:pgMar w:left="220" w:top="1112" w:right="379" w:bottom="1440" w:gutter="0" w:footer="0" w:header="0"/>
        </w:sectPr>
      </w:pPr>
    </w:p>
    <w:bookmarkStart w:id="499" w:name="page500"/>
    <w:bookmarkEnd w:id="499"/>
    <w:p>
      <w:pPr>
        <w:ind w:left="242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Year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474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Putnam</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Asset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Asset</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Growth</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Allocation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Allocation</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w w:val="99"/>
              </w:rPr>
              <w:t>Putnam</w:t>
            </w:r>
          </w:p>
        </w:tc>
      </w:tr>
      <w:tr>
        <w:trPr>
          <w:trHeight w:val="166"/>
        </w:trPr>
        <w:tc>
          <w:tcPr>
            <w:tcW w:w="11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Fund</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Toro Stable</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(Growth</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(Balanced</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(Conservative</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Value Fund</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Portfolio)</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Portfolio)</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Fund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$ 1,301,562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2,413,654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327,202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604,156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265,079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57,647</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994,110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2,549,264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588,030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604,983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137,106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484,682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2,295,672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4,962,918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915,232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1,209,139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542,329</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384,011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725,942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172,030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201,917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119,329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645,683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1,499,130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424,444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429,955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317,597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5,207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31,931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1,034,901</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2,257,003</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608,683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643,743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175,700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448,547</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(2,801,479)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(824,506)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(195,030)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(65,457)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(58,254)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(2,826,759)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1,570,320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327,212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225,541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556,141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541,765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29,365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53,342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net</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available for plan benefits</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(2,268,300)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8,019,077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1,792,131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1,885,076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1,070,252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1,486,832</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560" w:type="dxa"/>
            <w:vAlign w:val="bottom"/>
          </w:tcPr>
          <w:p>
            <w:pPr>
              <w:spacing w:after="0"/>
              <w:rPr>
                <w:sz w:val="14"/>
                <w:szCs w:val="14"/>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39,398,061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20,781,618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4,404,954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6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$ 37,129,761   28,800,695   6,197,085   8,420,008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4,235,289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4,268,244</w:t>
            </w:r>
          </w:p>
        </w:tc>
      </w:tr>
    </w:tbl>
    <w:p>
      <w:pPr>
        <w:spacing w:after="0" w:line="4" w:lineRule="exact"/>
        <w:rPr>
          <w:sz w:val="20"/>
          <w:szCs w:val="20"/>
          <w:color w:val="auto"/>
        </w:rPr>
      </w:pPr>
    </w:p>
    <w:p>
      <w:pPr>
        <w:ind w:left="180" w:hanging="172"/>
        <w:spacing w:after="0"/>
        <w:tabs>
          <w:tab w:leader="none" w:pos="180"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840"/>
        <w:spacing w:after="0"/>
        <w:tabs>
          <w:tab w:leader="none" w:pos="60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840"/>
        <w:spacing w:after="0"/>
        <w:tabs>
          <w:tab w:leader="none" w:pos="6020" w:val="left"/>
          <w:tab w:leader="none" w:pos="706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Unallocated</w:t>
      </w:r>
    </w:p>
    <w:p>
      <w:pPr>
        <w:spacing w:after="0" w:line="7" w:lineRule="exact"/>
        <w:rPr>
          <w:sz w:val="20"/>
          <w:szCs w:val="20"/>
          <w:color w:val="auto"/>
        </w:rPr>
      </w:pPr>
    </w:p>
    <w:p>
      <w:pPr>
        <w:ind w:left="4920"/>
        <w:spacing w:after="0"/>
        <w:tabs>
          <w:tab w:leader="none" w:pos="6100" w:val="left"/>
          <w:tab w:leader="none" w:pos="7060" w:val="left"/>
          <w:tab w:leader="none" w:pos="904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1,747,782</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235,428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6,952,510</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1,216,708</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1,793,168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8,368,051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2,964,490</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2,028,596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15,320,561</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791,504</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1,781,729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4,228,380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2,123,524</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272,353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5,825,692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66,833</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154,959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2,981,861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2,058,593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10,209,031</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(806,314)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(983,527)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(5,797,482)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1,314,305</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(1,651,793)</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322,113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438,717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net</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6,776,455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1,466,036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20,170,827</w:t>
            </w:r>
          </w:p>
        </w:tc>
      </w:tr>
      <w:tr>
        <w:trPr>
          <w:trHeight w:val="166"/>
        </w:trPr>
        <w:tc>
          <w:tcPr>
            <w:tcW w:w="3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available for plan benefits</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4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16,019,914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27,832,278</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17,485,950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134,369,310</w:t>
            </w:r>
          </w:p>
        </w:tc>
      </w:tr>
    </w:tbl>
    <w:p>
      <w:pPr>
        <w:spacing w:after="0" w:line="4" w:lineRule="exact"/>
        <w:rPr>
          <w:sz w:val="20"/>
          <w:szCs w:val="20"/>
          <w:color w:val="auto"/>
        </w:rPr>
      </w:pPr>
    </w:p>
    <w:p>
      <w:pPr>
        <w:ind w:left="180" w:hanging="172"/>
        <w:spacing w:after="0"/>
        <w:tabs>
          <w:tab w:leader="none" w:pos="180"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380"/>
          </w:cols>
          <w:pgMar w:left="220" w:top="782" w:right="299" w:bottom="1440" w:gutter="0" w:footer="0" w:header="0"/>
        </w:sectPr>
      </w:pPr>
    </w:p>
    <w:bookmarkStart w:id="500" w:name="page501"/>
    <w:bookmarkEnd w:id="500"/>
    <w:p>
      <w:pPr>
        <w:ind w:left="242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Five-month period ended December 31, 1995</w:t>
      </w:r>
    </w:p>
    <w:p>
      <w:pPr>
        <w:spacing w:after="0" w:line="200" w:lineRule="exact"/>
        <w:rPr>
          <w:sz w:val="20"/>
          <w:szCs w:val="20"/>
          <w:color w:val="auto"/>
        </w:rPr>
      </w:pPr>
    </w:p>
    <w:p>
      <w:pPr>
        <w:spacing w:after="0" w:line="304" w:lineRule="exact"/>
        <w:rPr>
          <w:sz w:val="20"/>
          <w:szCs w:val="20"/>
          <w:color w:val="auto"/>
        </w:rPr>
      </w:pPr>
    </w:p>
    <w:tbl>
      <w:tblPr>
        <w:tblLayout w:type="fixed"/>
        <w:tblInd w:w="474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Putnam</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Asset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Asset</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Growth</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Allocation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Allocation</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w w:val="99"/>
              </w:rPr>
              <w:t>Putnam</w:t>
            </w:r>
          </w:p>
        </w:tc>
      </w:tr>
      <w:tr>
        <w:trPr>
          <w:trHeight w:val="166"/>
        </w:trPr>
        <w:tc>
          <w:tcPr>
            <w:tcW w:w="11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Fund</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Toro Stable</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(Growth</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(Balanced</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(Conservative</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Value Fund</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Portfolio)</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Portfolio)</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Fund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$ 1,221,334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1,112,039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192,575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309,307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54,604</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1,065,772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89,045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1,221,334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2,177,811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281,620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417,378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190,464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156,279</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94,133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152,050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36,922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42,522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22,339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350,532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698,337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210,265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213,293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154,587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8,134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447,425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858,521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247,896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255,815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63,645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184,734</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(3,263,682)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(210,490)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(40,184)</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(24,399)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(7,280)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(36,275,502)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10,368,725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(1,264,864)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5,886,138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2,917,074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2,447,679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30,894,325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2,662,790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876,733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ind w:left="180" w:hanging="172"/>
        <w:spacing w:after="0"/>
        <w:tabs>
          <w:tab w:leader="none" w:pos="180"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(decrease) in net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available for plan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(6,976,100)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15,857,357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101,201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r>
        <w:trPr>
          <w:trHeight w:val="331"/>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 for</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plan benefits:</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Beginning of period</w:t>
            </w:r>
          </w:p>
        </w:tc>
        <w:tc>
          <w:tcPr>
            <w:tcW w:w="1980" w:type="dxa"/>
            <w:vAlign w:val="bottom"/>
          </w:tcPr>
          <w:p>
            <w:pPr>
              <w:spacing w:after="0"/>
              <w:rPr>
                <w:sz w:val="14"/>
                <w:szCs w:val="14"/>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46,374,161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4,924,261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4,303,753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End of period</w:t>
            </w:r>
          </w:p>
        </w:tc>
        <w:tc>
          <w:tcPr>
            <w:tcW w:w="6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   20,781,618   4,404,954   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spacing w:after="0" w:line="4" w:lineRule="exact"/>
        <w:rPr>
          <w:sz w:val="20"/>
          <w:szCs w:val="20"/>
          <w:color w:val="auto"/>
        </w:rPr>
      </w:pPr>
    </w:p>
    <w:p>
      <w:pPr>
        <w:ind w:left="180" w:hanging="172"/>
        <w:spacing w:after="0"/>
        <w:tabs>
          <w:tab w:leader="none" w:pos="18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840"/>
        <w:spacing w:after="0"/>
        <w:tabs>
          <w:tab w:leader="none" w:pos="60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840"/>
        <w:spacing w:after="0"/>
        <w:tabs>
          <w:tab w:leader="none" w:pos="6020" w:val="left"/>
          <w:tab w:leader="none" w:pos="706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Unallocated</w:t>
      </w:r>
    </w:p>
    <w:p>
      <w:pPr>
        <w:spacing w:after="0" w:line="7" w:lineRule="exact"/>
        <w:rPr>
          <w:sz w:val="20"/>
          <w:szCs w:val="20"/>
          <w:color w:val="auto"/>
        </w:rPr>
      </w:pPr>
    </w:p>
    <w:p>
      <w:pPr>
        <w:ind w:left="4920"/>
        <w:spacing w:after="0"/>
        <w:tabs>
          <w:tab w:leader="none" w:pos="6100" w:val="left"/>
          <w:tab w:leader="none" w:pos="7060" w:val="left"/>
          <w:tab w:leader="none" w:pos="904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1,112,269</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63,836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4,196,039</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837,371</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2,091,930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4,354,253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1,949,640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2,155,766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8,550,292</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152,177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175,902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700,494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978,443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128,069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2,829,454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29,317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1,159,937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303,971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3,578,676</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(202,592)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(817,684)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(4,572,457)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18,148,838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2,027,479</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(4,255,567)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12,350,382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2,029,099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48,813,329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net</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available for plan benefits</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21,055,823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16,019,914</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(2,169,736)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56,369,840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Beginning of period</w:t>
            </w:r>
          </w:p>
        </w:tc>
        <w:tc>
          <w:tcPr>
            <w:tcW w:w="1440" w:type="dxa"/>
            <w:vAlign w:val="bottom"/>
          </w:tcPr>
          <w:p>
            <w:pPr>
              <w:spacing w:after="0"/>
              <w:rPr>
                <w:sz w:val="14"/>
                <w:szCs w:val="14"/>
                <w:color w:val="auto"/>
              </w:rPr>
            </w:pP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2,226,468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57,828,643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End of period</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21,055,823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16,019,914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spacing w:after="0" w:line="4" w:lineRule="exact"/>
        <w:rPr>
          <w:sz w:val="20"/>
          <w:szCs w:val="20"/>
          <w:color w:val="auto"/>
        </w:rPr>
      </w:pPr>
    </w:p>
    <w:p>
      <w:pPr>
        <w:ind w:left="180" w:hanging="172"/>
        <w:spacing w:after="0"/>
        <w:tabs>
          <w:tab w:leader="none" w:pos="180"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380"/>
          </w:cols>
          <w:pgMar w:left="220" w:top="781" w:right="299" w:bottom="1440" w:gutter="0" w:footer="0" w:header="0"/>
        </w:sectPr>
      </w:pPr>
    </w:p>
    <w:bookmarkStart w:id="501" w:name="page502"/>
    <w:bookmarkEnd w:id="501"/>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December 31, 1996 and 1995</w:t>
      </w:r>
    </w:p>
    <w:p>
      <w:pPr>
        <w:spacing w:after="0" w:line="338" w:lineRule="exact"/>
        <w:rPr>
          <w:sz w:val="20"/>
          <w:szCs w:val="20"/>
          <w:color w:val="auto"/>
        </w:rPr>
      </w:pPr>
    </w:p>
    <w:p>
      <w:pPr>
        <w:ind w:left="360" w:right="6259" w:hanging="352"/>
        <w:spacing w:after="0" w:line="501" w:lineRule="auto"/>
        <w:tabs>
          <w:tab w:leader="none" w:pos="36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STATEMENT PRESENTATION</w:t>
      </w: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1, 1995, The Toro Company (the Company) merged four of its profit sharing and retirement plans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with the Toro Company Profit Sharing Plan and Trust Agreement for Office Employees. As a result of this merger, the net assets of the four plans were transferred to the Toro Company Profit Sharing Plan and Trust Agreement for Office Employees on August 1, 1995. The surviving plan, The Toro Company Profit Sharing Plan and Trust Agreement for Office Employees, was then renamed and restated as the Toro Company Investment and Savings Plan (the Plan).</w:t>
      </w:r>
    </w:p>
    <w:p>
      <w:pPr>
        <w:spacing w:after="0" w:line="328"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 of the Plan was changed from July 31st to December 31st effective August 1, 1995. The periods presented in the accompanying financial statements of the Plan represent the transitional period for the change in the Plan's fiscal year and includes statements of net assets available for plan benefits as of December 31, 1996 and 1995 and statements of changes in net assets available for plan benefits for the year ended December 31, 1996 and the five-month period ended December 31, 1995.</w:t>
      </w:r>
    </w:p>
    <w:p>
      <w:pPr>
        <w:spacing w:after="0" w:line="163" w:lineRule="exact"/>
        <w:rPr>
          <w:rFonts w:ascii="Courier New" w:cs="Courier New" w:eastAsia="Courier New" w:hAnsi="Courier New"/>
          <w:sz w:val="14"/>
          <w:szCs w:val="14"/>
          <w:color w:val="auto"/>
        </w:rPr>
      </w:pPr>
    </w:p>
    <w:p>
      <w:pPr>
        <w:ind w:left="620" w:right="419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financial statements of the Plan are presented in accordance with generally accepted accounting principles.</w:t>
      </w:r>
    </w:p>
    <w:p>
      <w:pPr>
        <w:spacing w:after="0" w:line="159"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620" w:right="35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Currently, the Company maintains one fund, the Toro Stable Value Fund, within the master trust agreement for three profit sharing and retirement plans which are sponsored by the Company. The three plans include the Toro Company Profit Sharing Plan and Trust Agreement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163"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August 1, 1995, the investment assets of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were transferred to the Plan.</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02" w:name="page503"/>
    <w:bookmarkEnd w:id="502"/>
    <w:p>
      <w:pPr>
        <w:ind w:left="25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260" w:right="3599" w:hanging="257"/>
        <w:spacing w:after="0" w:line="252" w:lineRule="auto"/>
        <w:rPr>
          <w:sz w:val="20"/>
          <w:szCs w:val="20"/>
          <w:color w:val="auto"/>
        </w:rPr>
      </w:pPr>
      <w:r>
        <w:rPr>
          <w:rFonts w:ascii="Courier New" w:cs="Courier New" w:eastAsia="Courier New" w:hAnsi="Courier New"/>
          <w:sz w:val="14"/>
          <w:szCs w:val="14"/>
          <w:color w:val="auto"/>
        </w:rPr>
        <w:t>The Plan's investments were held by Putnam Fiduciary Trust Company (the Trustee) as of December 31, 1996. Plan investments are invested in the following investment funds:</w:t>
      </w:r>
    </w:p>
    <w:p>
      <w:pPr>
        <w:spacing w:after="0" w:line="163" w:lineRule="exact"/>
        <w:rPr>
          <w:sz w:val="20"/>
          <w:szCs w:val="20"/>
          <w:color w:val="auto"/>
        </w:rPr>
      </w:pPr>
    </w:p>
    <w:p>
      <w:pPr>
        <w:ind w:left="680" w:right="3419" w:hanging="429"/>
        <w:spacing w:after="0" w:line="251" w:lineRule="auto"/>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Stable Value Fund is invested in investment contracts with insurance companies, major banks, and other financial institutions. The fund's holdings may also include U.S. government agency mortgage-backed securities, AAA-rated asset-backed securities, high-quality debt securities, and money market investments.</w:t>
      </w:r>
    </w:p>
    <w:p>
      <w:pPr>
        <w:spacing w:after="0" w:line="164" w:lineRule="exact"/>
        <w:rPr>
          <w:rFonts w:ascii="Courier New" w:cs="Courier New" w:eastAsia="Courier New" w:hAnsi="Courier New"/>
          <w:sz w:val="14"/>
          <w:szCs w:val="14"/>
          <w:color w:val="auto"/>
        </w:rPr>
      </w:pPr>
    </w:p>
    <w:p>
      <w:pPr>
        <w:ind w:left="680" w:right="3679" w:hanging="429"/>
        <w:spacing w:after="0" w:line="255" w:lineRule="auto"/>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Growth and Income Fund is invested in common stock of companies with current income and capital growth.</w:t>
      </w:r>
    </w:p>
    <w:p>
      <w:pPr>
        <w:spacing w:after="0" w:line="159" w:lineRule="exact"/>
        <w:rPr>
          <w:rFonts w:ascii="Courier New" w:cs="Courier New" w:eastAsia="Courier New" w:hAnsi="Courier New"/>
          <w:sz w:val="14"/>
          <w:szCs w:val="14"/>
          <w:color w:val="auto"/>
        </w:rPr>
      </w:pPr>
    </w:p>
    <w:p>
      <w:pPr>
        <w:ind w:left="680" w:right="3339" w:hanging="429"/>
        <w:spacing w:after="0" w:line="252" w:lineRule="auto"/>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(Growth Portfolio) is invested in approximately 80% equity securities (primarily common stock) and 20% debt securities.</w:t>
      </w:r>
    </w:p>
    <w:p>
      <w:pPr>
        <w:spacing w:after="0" w:line="162" w:lineRule="exact"/>
        <w:rPr>
          <w:rFonts w:ascii="Courier New" w:cs="Courier New" w:eastAsia="Courier New" w:hAnsi="Courier New"/>
          <w:sz w:val="14"/>
          <w:szCs w:val="14"/>
          <w:color w:val="auto"/>
        </w:rPr>
      </w:pPr>
    </w:p>
    <w:p>
      <w:pPr>
        <w:jc w:val="both"/>
        <w:ind w:left="680" w:right="3339" w:hanging="429"/>
        <w:spacing w:after="0" w:line="252" w:lineRule="auto"/>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(Balanced Portfolio) is invested in approximately 65% equity securities (primarily common stock) and 35% debt securities.</w:t>
      </w:r>
    </w:p>
    <w:p>
      <w:pPr>
        <w:spacing w:after="0" w:line="162" w:lineRule="exact"/>
        <w:rPr>
          <w:rFonts w:ascii="Courier New" w:cs="Courier New" w:eastAsia="Courier New" w:hAnsi="Courier New"/>
          <w:sz w:val="14"/>
          <w:szCs w:val="14"/>
          <w:color w:val="auto"/>
        </w:rPr>
      </w:pPr>
    </w:p>
    <w:p>
      <w:pPr>
        <w:ind w:left="680" w:right="3599" w:hanging="429"/>
        <w:spacing w:after="0" w:line="252" w:lineRule="auto"/>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(Conservative Portfolio) is invested in approximately 35% equity securities (primarily common stock) and 65% debt securities.</w:t>
      </w:r>
    </w:p>
    <w:p>
      <w:pPr>
        <w:spacing w:after="0" w:line="162" w:lineRule="exact"/>
        <w:rPr>
          <w:rFonts w:ascii="Courier New" w:cs="Courier New" w:eastAsia="Courier New" w:hAnsi="Courier New"/>
          <w:sz w:val="14"/>
          <w:szCs w:val="14"/>
          <w:color w:val="auto"/>
        </w:rPr>
      </w:pPr>
    </w:p>
    <w:p>
      <w:pPr>
        <w:ind w:left="680" w:right="3779" w:hanging="429"/>
        <w:spacing w:after="0" w:line="255" w:lineRule="auto"/>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Overseas Growth Fund is invested primarily in equity securities of companies located outside North America.</w:t>
      </w:r>
    </w:p>
    <w:p>
      <w:pPr>
        <w:spacing w:after="0" w:line="159" w:lineRule="exact"/>
        <w:rPr>
          <w:rFonts w:ascii="Courier New" w:cs="Courier New" w:eastAsia="Courier New" w:hAnsi="Courier New"/>
          <w:sz w:val="14"/>
          <w:szCs w:val="14"/>
          <w:color w:val="auto"/>
        </w:rPr>
      </w:pPr>
    </w:p>
    <w:p>
      <w:pPr>
        <w:ind w:left="680" w:right="3599" w:hanging="429"/>
        <w:spacing w:after="0" w:line="252" w:lineRule="auto"/>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Voyager Fund is invested primarily in common stocks of small to medium sized companies that have the potential for long-term capital appreciation.</w:t>
      </w:r>
    </w:p>
    <w:p>
      <w:pPr>
        <w:spacing w:after="0" w:line="162" w:lineRule="exact"/>
        <w:rPr>
          <w:rFonts w:ascii="Courier New" w:cs="Courier New" w:eastAsia="Courier New" w:hAnsi="Courier New"/>
          <w:sz w:val="14"/>
          <w:szCs w:val="14"/>
          <w:color w:val="auto"/>
        </w:rPr>
      </w:pPr>
    </w:p>
    <w:p>
      <w:pPr>
        <w:ind w:left="680" w:hanging="429"/>
        <w:spacing w:after="0"/>
        <w:tabs>
          <w:tab w:leader="none" w:pos="68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Company's common stock.</w:t>
      </w:r>
    </w:p>
    <w:p>
      <w:pPr>
        <w:spacing w:after="0" w:line="173" w:lineRule="exact"/>
        <w:rPr>
          <w:sz w:val="20"/>
          <w:szCs w:val="20"/>
          <w:color w:val="auto"/>
        </w:rPr>
      </w:pPr>
    </w:p>
    <w:p>
      <w:pPr>
        <w:ind w:left="260" w:right="3679" w:hanging="257"/>
        <w:spacing w:after="0" w:line="252" w:lineRule="auto"/>
        <w:rPr>
          <w:sz w:val="20"/>
          <w:szCs w:val="20"/>
          <w:color w:val="auto"/>
        </w:rPr>
      </w:pPr>
      <w:r>
        <w:rPr>
          <w:rFonts w:ascii="Courier New" w:cs="Courier New" w:eastAsia="Courier New" w:hAnsi="Courier New"/>
          <w:sz w:val="14"/>
          <w:szCs w:val="14"/>
          <w:color w:val="auto"/>
        </w:rPr>
        <w:t>The Plan's share of net investment income from the master trust is determined by the Trustee based on the ratio of the fair value of the Plan's equity in the investment funds to the total net assets of the investment fund at the beginning of the plan year.</w:t>
      </w:r>
    </w:p>
    <w:p>
      <w:pPr>
        <w:spacing w:after="0" w:line="162" w:lineRule="exact"/>
        <w:rPr>
          <w:sz w:val="20"/>
          <w:szCs w:val="20"/>
          <w:color w:val="auto"/>
        </w:rPr>
      </w:pPr>
    </w:p>
    <w:p>
      <w:pPr>
        <w:ind w:left="260" w:right="3519" w:hanging="257"/>
        <w:spacing w:after="0" w:line="252" w:lineRule="auto"/>
        <w:rPr>
          <w:sz w:val="20"/>
          <w:szCs w:val="20"/>
          <w:color w:val="auto"/>
        </w:rPr>
      </w:pPr>
      <w:r>
        <w:rPr>
          <w:rFonts w:ascii="Courier New" w:cs="Courier New" w:eastAsia="Courier New" w:hAnsi="Courier New"/>
          <w:sz w:val="14"/>
          <w:szCs w:val="14"/>
          <w:color w:val="auto"/>
        </w:rPr>
        <w:t>The investment securities are stated at market values based upon published quotations or, in the absence of available quotations, at fair values determined by the Trustee. Purchases and sales of securities are recorded on a trade-date basis.</w:t>
      </w:r>
    </w:p>
    <w:p>
      <w:pPr>
        <w:spacing w:after="0" w:line="162" w:lineRule="exact"/>
        <w:rPr>
          <w:sz w:val="20"/>
          <w:szCs w:val="20"/>
          <w:color w:val="auto"/>
        </w:rPr>
      </w:pPr>
    </w:p>
    <w:p>
      <w:pPr>
        <w:ind w:left="260" w:right="3419" w:hanging="257"/>
        <w:spacing w:after="0" w:line="251" w:lineRule="auto"/>
        <w:rPr>
          <w:sz w:val="20"/>
          <w:szCs w:val="20"/>
          <w:color w:val="auto"/>
        </w:rPr>
      </w:pPr>
      <w:r>
        <w:rPr>
          <w:rFonts w:ascii="Courier New" w:cs="Courier New" w:eastAsia="Courier New" w:hAnsi="Courier New"/>
          <w:sz w:val="14"/>
          <w:szCs w:val="14"/>
          <w:color w:val="auto"/>
        </w:rPr>
        <w:t>The short term securities of the Toro Stable Value Fund are stated at cost, which approximates market. The Toro Stable Value Fund includes various fully benefit responsive investment contracts. These contracts are valued in the Plan at contract value, which includes cost plus accrued interest. These contracts have stated interest rates ranging from 5.41% to 8.98% and maturities ranging from the year 1997 through the year 2001.</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79"/>
          </w:cols>
          <w:pgMar w:left="580" w:top="616" w:right="1440" w:bottom="1440" w:gutter="0" w:footer="0" w:header="0"/>
        </w:sectPr>
      </w:pPr>
    </w:p>
    <w:bookmarkStart w:id="503" w:name="page504"/>
    <w:bookmarkEnd w:id="503"/>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73" w:lineRule="exact"/>
        <w:rPr>
          <w:sz w:val="20"/>
          <w:szCs w:val="20"/>
          <w:color w:val="auto"/>
        </w:rPr>
      </w:pPr>
    </w:p>
    <w:p>
      <w:pPr>
        <w:ind w:left="620" w:right="3419" w:hanging="25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left="360" w:hanging="352"/>
        <w:spacing w:after="0"/>
        <w:tabs>
          <w:tab w:leader="none" w:pos="360"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PLAN</w:t>
      </w:r>
    </w:p>
    <w:p>
      <w:pPr>
        <w:spacing w:after="0" w:line="172" w:lineRule="exact"/>
        <w:rPr>
          <w:rFonts w:ascii="Courier New" w:cs="Courier New" w:eastAsia="Courier New" w:hAnsi="Courier New"/>
          <w:sz w:val="14"/>
          <w:szCs w:val="14"/>
          <w:color w:val="auto"/>
        </w:rPr>
      </w:pPr>
    </w:p>
    <w:p>
      <w:pPr>
        <w:ind w:left="620" w:right="367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a defined contribution profit sharing plan sponsored by the Company. The Company, as administrator of the Plan, absorbs the major portion of administrative costs and trustee fees of the Plan.</w:t>
      </w:r>
    </w:p>
    <w:p>
      <w:pPr>
        <w:spacing w:after="0" w:line="162" w:lineRule="exact"/>
        <w:rPr>
          <w:rFonts w:ascii="Courier New" w:cs="Courier New" w:eastAsia="Courier New" w:hAnsi="Courier New"/>
          <w:sz w:val="14"/>
          <w:szCs w:val="14"/>
          <w:color w:val="auto"/>
        </w:rPr>
      </w:pPr>
    </w:p>
    <w:p>
      <w:pPr>
        <w:ind w:left="620" w:right="359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general description of the Plan is contained in the Plan document dated July 20, 1995. Participants should refer to the Plan document for more complete information.</w:t>
      </w:r>
    </w:p>
    <w:p>
      <w:pPr>
        <w:spacing w:after="0" w:line="162" w:lineRule="exact"/>
        <w:rPr>
          <w:rFonts w:ascii="Courier New" w:cs="Courier New" w:eastAsia="Courier New" w:hAnsi="Courier New"/>
          <w:sz w:val="14"/>
          <w:szCs w:val="14"/>
          <w:color w:val="auto"/>
        </w:rPr>
      </w:pPr>
    </w:p>
    <w:p>
      <w:pPr>
        <w:ind w:left="620" w:right="34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are made under control of the plan administrator. Unallocated contributions represent contributions receivable which have not yet been allocated to the above-mentioned funds in the participants' predetermined allocation percentages. The allocation of the participants' and Company contributions to these investment funds is selected by the participants.</w:t>
      </w:r>
    </w:p>
    <w:p>
      <w:pPr>
        <w:spacing w:after="0" w:line="326"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payments and transfers of participants' interests are made under control of the Trustee. Company matching contributions, together with income attributable thereto, will vest at the rate of 20% after one year of vesting service, with an additional 20% being accumulated annually thereafter until the participant is 100% vested.</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w:t>
      </w:r>
    </w:p>
    <w:p>
      <w:pPr>
        <w:spacing w:after="0" w:line="172"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two percent of the participant's total compensation. The contribution formula specifies a minimum annual contribution to the Plan. The Company contribution is allocated to participants based on compensation earned during the plan year. Investment income is allocated based on participants' account balances.</w:t>
      </w:r>
    </w:p>
    <w:p>
      <w:pPr>
        <w:spacing w:after="0" w:line="162" w:lineRule="exact"/>
        <w:rPr>
          <w:rFonts w:ascii="Courier New" w:cs="Courier New" w:eastAsia="Courier New" w:hAnsi="Courier New"/>
          <w:sz w:val="14"/>
          <w:szCs w:val="14"/>
          <w:color w:val="auto"/>
        </w:rPr>
      </w:pPr>
    </w:p>
    <w:p>
      <w:pPr>
        <w:ind w:left="620" w:right="367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contributions consist of salary reduction elections under a 401(k) feature and rollover funds from other qualified plans.</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5" w:right="1440" w:bottom="1440" w:gutter="0" w:footer="0" w:header="0"/>
        </w:sectPr>
      </w:pPr>
    </w:p>
    <w:bookmarkStart w:id="504" w:name="page505"/>
    <w:bookmarkEnd w:id="504"/>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360" w:hanging="352"/>
        <w:spacing w:after="0"/>
        <w:tabs>
          <w:tab w:leader="none" w:pos="36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PARTY-IN-INTEREST TRANSACTIONS</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Putnam Fiduciary Trust Company and The Toro Company are parties-in-interest</w:t>
      </w:r>
    </w:p>
    <w:p>
      <w:pPr>
        <w:spacing w:after="0" w:line="7" w:lineRule="exact"/>
        <w:rPr>
          <w:rFonts w:ascii="Courier New" w:cs="Courier New" w:eastAsia="Courier New" w:hAnsi="Courier New"/>
          <w:sz w:val="14"/>
          <w:szCs w:val="14"/>
          <w:color w:val="auto"/>
        </w:rPr>
      </w:pPr>
    </w:p>
    <w:p>
      <w:pPr>
        <w:ind w:left="6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TERMINATION</w:t>
      </w:r>
    </w:p>
    <w:p>
      <w:pPr>
        <w:spacing w:after="0" w:line="172" w:lineRule="exact"/>
        <w:rPr>
          <w:rFonts w:ascii="Courier New" w:cs="Courier New" w:eastAsia="Courier New" w:hAnsi="Courier New"/>
          <w:sz w:val="14"/>
          <w:szCs w:val="14"/>
          <w:color w:val="auto"/>
        </w:rPr>
      </w:pPr>
    </w:p>
    <w:p>
      <w:pPr>
        <w:ind w:left="620" w:right="367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164"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Guaranteed investment contracts of the Toro Stable Value Fund of $2,132,761 issued by Confederation Life Insurance Company (CL) were held as of December 31, 1996. On August 12, 1994, CL was placed under court supervised rehabilitation. Beginning August 1, 1995, payments from the CL annuity contracts have been suspended pending further court action until such time as the fair market value of the CL annuity contracts can be determined. The action suspending distributions was consistent with procedures published by the Internal Revenue Service. Effective August 1, 1995, a loan agreement has been established between the Company and the Plan providing the Company to fund payments to plan participants (or their beneficiaries) for 100% of the interests of plan participants in the CL annuity contracts based on the valuation of the CL annuity contracts as of August 11, 1994.</w:t>
      </w:r>
    </w:p>
    <w:p>
      <w:pPr>
        <w:spacing w:after="0" w:line="162" w:lineRule="exact"/>
        <w:rPr>
          <w:rFonts w:ascii="Courier New" w:cs="Courier New" w:eastAsia="Courier New" w:hAnsi="Courier New"/>
          <w:sz w:val="14"/>
          <w:szCs w:val="14"/>
          <w:color w:val="auto"/>
        </w:rPr>
      </w:pPr>
    </w:p>
    <w:p>
      <w:pPr>
        <w:ind w:left="62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CL annuity contracts are recorded in the accompanying financial statements and schedule at cost plus accrued interest as of August 11, 1994. No earnings have been recorded in the Plan's financial statements since August 11, 1994 related to these contracts.</w:t>
      </w:r>
    </w:p>
    <w:p>
      <w:pPr>
        <w:spacing w:after="0" w:line="162" w:lineRule="exact"/>
        <w:rPr>
          <w:rFonts w:ascii="Courier New" w:cs="Courier New" w:eastAsia="Courier New" w:hAnsi="Courier New"/>
          <w:sz w:val="14"/>
          <w:szCs w:val="14"/>
          <w:color w:val="auto"/>
        </w:rPr>
      </w:pPr>
    </w:p>
    <w:p>
      <w:pPr>
        <w:ind w:left="620" w:right="34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report, the Company is not aware of any principal loss associated with these investments. Accordingly, no provision for loss on the CL annuity contracts has been recognized in the accompanying financial statements.</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505" w:name="page506"/>
    <w:bookmarkEnd w:id="505"/>
    <w:p>
      <w:pPr>
        <w:ind w:left="26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260" w:right="4279" w:hanging="257"/>
        <w:spacing w:after="0" w:line="255" w:lineRule="auto"/>
        <w:rPr>
          <w:sz w:val="20"/>
          <w:szCs w:val="20"/>
          <w:color w:val="auto"/>
        </w:rPr>
      </w:pPr>
      <w:r>
        <w:rPr>
          <w:rFonts w:ascii="Courier New" w:cs="Courier New" w:eastAsia="Courier New" w:hAnsi="Courier New"/>
          <w:sz w:val="14"/>
          <w:szCs w:val="14"/>
          <w:color w:val="auto"/>
        </w:rPr>
        <w:t>The net assets available for benefits of the master trust totaled $38,396,941 at December 31,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 assets available for benefits of the master trust at December 31,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1995 were as follows:</w:t>
      </w:r>
    </w:p>
    <w:p>
      <w:pPr>
        <w:spacing w:after="0" w:line="338"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Short term investment</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funds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$824,163</w:t>
            </w: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Separate accounts</w:t>
            </w:r>
          </w:p>
        </w:tc>
        <w:tc>
          <w:tcPr>
            <w:tcW w:w="1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4,502,914</w:t>
            </w: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Guaranteed investment</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contracts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35,200,461</w:t>
            </w:r>
          </w:p>
        </w:tc>
      </w:tr>
    </w:tbl>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assets available for benefits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$40,527,538</w:t>
            </w:r>
          </w:p>
        </w:tc>
      </w:tr>
    </w:tbl>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right="3679" w:hanging="257"/>
        <w:spacing w:after="0" w:line="255" w:lineRule="auto"/>
        <w:rPr>
          <w:sz w:val="20"/>
          <w:szCs w:val="20"/>
          <w:color w:val="auto"/>
        </w:rPr>
      </w:pPr>
      <w:r>
        <w:rPr>
          <w:rFonts w:ascii="Courier New" w:cs="Courier New" w:eastAsia="Courier New" w:hAnsi="Courier New"/>
          <w:sz w:val="14"/>
          <w:szCs w:val="14"/>
          <w:color w:val="auto"/>
        </w:rPr>
        <w:t>The changes in net assets available for benefits of the master trust for the year ended December 31, 1996 were as follows:</w:t>
      </w:r>
    </w:p>
    <w:p>
      <w:pPr>
        <w:spacing w:after="0" w:line="160"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Investment income (interest and dividends)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$2,379,455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Deposits by participating plans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1,085,723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Withdrawals by participating plans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(5,595,775)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Decrease in net assets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(2,130,597)</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300" w:type="dxa"/>
            <w:vAlign w:val="bottom"/>
          </w:tcPr>
          <w:p>
            <w:pPr>
              <w:spacing w:after="0"/>
              <w:rPr>
                <w:sz w:val="24"/>
                <w:szCs w:val="2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40,527,538</w:t>
            </w:r>
          </w:p>
        </w:tc>
      </w:tr>
      <w:tr>
        <w:trPr>
          <w:trHeight w:val="166"/>
        </w:trPr>
        <w:tc>
          <w:tcPr>
            <w:tcW w:w="5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End of period year</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$38,396,941</w:t>
            </w:r>
          </w:p>
        </w:tc>
      </w:tr>
    </w:tbl>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79"/>
          </w:cols>
          <w:pgMar w:left="580" w:top="616" w:right="1440" w:bottom="1440" w:gutter="0" w:footer="0" w:header="0"/>
        </w:sectPr>
      </w:pPr>
    </w:p>
    <w:bookmarkStart w:id="506" w:name="page507"/>
    <w:bookmarkEnd w:id="506"/>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620" w:right="3679" w:hanging="257"/>
        <w:spacing w:after="0" w:line="255" w:lineRule="auto"/>
        <w:rPr>
          <w:sz w:val="20"/>
          <w:szCs w:val="20"/>
          <w:color w:val="auto"/>
        </w:rPr>
      </w:pPr>
      <w:r>
        <w:rPr>
          <w:rFonts w:ascii="Courier New" w:cs="Courier New" w:eastAsia="Courier New" w:hAnsi="Courier New"/>
          <w:sz w:val="14"/>
          <w:szCs w:val="14"/>
          <w:color w:val="auto"/>
        </w:rPr>
        <w:t>The changes in net assets available for benefits of the master trust for the year ended December 31, 1995 were as follows:</w:t>
      </w:r>
    </w:p>
    <w:p>
      <w:pPr>
        <w:spacing w:after="0" w:line="200" w:lineRule="exact"/>
        <w:rPr>
          <w:sz w:val="20"/>
          <w:szCs w:val="20"/>
          <w:color w:val="auto"/>
        </w:rPr>
      </w:pPr>
    </w:p>
    <w:p>
      <w:pPr>
        <w:spacing w:after="0" w:line="291"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(interest and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dividends)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$1,251,849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Deposits by</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participating plans</w:t>
            </w:r>
          </w:p>
        </w:tc>
        <w:tc>
          <w:tcPr>
            <w:tcW w:w="11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3,288,117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Withdrawals</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participating plans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(42,581,535)</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Decrease in net assets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(38,041,569)</w:t>
            </w:r>
          </w:p>
        </w:tc>
      </w:tr>
      <w:tr>
        <w:trPr>
          <w:trHeight w:val="331"/>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for benefits:</w:t>
            </w:r>
          </w:p>
        </w:tc>
        <w:tc>
          <w:tcPr>
            <w:tcW w:w="1640" w:type="dxa"/>
            <w:vAlign w:val="bottom"/>
          </w:tcPr>
          <w:p>
            <w:pPr>
              <w:spacing w:after="0"/>
              <w:rPr>
                <w:sz w:val="24"/>
                <w:szCs w:val="24"/>
                <w:color w:val="auto"/>
              </w:rPr>
            </w:pPr>
          </w:p>
        </w:tc>
      </w:tr>
      <w:tr>
        <w:trPr>
          <w:trHeight w:val="166"/>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178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78,569,107</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$40,527,538</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780" w:right="3599" w:hanging="430"/>
        <w:spacing w:after="0" w:line="251" w:lineRule="auto"/>
        <w:rPr>
          <w:sz w:val="20"/>
          <w:szCs w:val="20"/>
          <w:color w:val="auto"/>
        </w:rPr>
      </w:pPr>
      <w:r>
        <w:rPr>
          <w:rFonts w:ascii="Courier New" w:cs="Courier New" w:eastAsia="Courier New" w:hAnsi="Courier New"/>
          <w:sz w:val="14"/>
          <w:szCs w:val="14"/>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97% as of December 31, 1996.</w:t>
      </w:r>
    </w:p>
    <w:p>
      <w:pPr>
        <w:spacing w:after="0" w:line="165" w:lineRule="exact"/>
        <w:rPr>
          <w:sz w:val="20"/>
          <w:szCs w:val="20"/>
          <w:color w:val="auto"/>
        </w:rPr>
      </w:pPr>
    </w:p>
    <w:p>
      <w:pPr>
        <w:ind w:left="780" w:right="3779" w:hanging="430"/>
        <w:spacing w:after="0" w:line="255" w:lineRule="auto"/>
        <w:rPr>
          <w:sz w:val="20"/>
          <w:szCs w:val="20"/>
          <w:color w:val="auto"/>
        </w:rPr>
      </w:pPr>
      <w:r>
        <w:rPr>
          <w:rFonts w:ascii="Courier New" w:cs="Courier New" w:eastAsia="Courier New" w:hAnsi="Courier New"/>
          <w:sz w:val="14"/>
          <w:szCs w:val="14"/>
          <w:color w:val="auto"/>
        </w:rPr>
        <w:t>The following investments represent 5% or more of the Plan's net assets available for plan benefits as of December 31, 1996:</w:t>
      </w:r>
    </w:p>
    <w:p>
      <w:pPr>
        <w:spacing w:after="0" w:line="32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Toro Stable Value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$37,129,761</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Putnam Growth and Income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28,800,695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Putnam</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Asset Allocation Fund (Balanced Portfolio)</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8,420,008</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Putnam</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Voyager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27,832,278</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The Toro Company common stock</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17,485,950</w:t>
            </w:r>
          </w:p>
        </w:tc>
      </w:tr>
    </w:tbl>
    <w:p>
      <w:pPr>
        <w:spacing w:after="0" w:line="335" w:lineRule="exact"/>
        <w:rPr>
          <w:sz w:val="20"/>
          <w:szCs w:val="20"/>
          <w:color w:val="auto"/>
        </w:rPr>
      </w:pPr>
    </w:p>
    <w:p>
      <w:pPr>
        <w:ind w:left="360" w:hanging="352"/>
        <w:spacing w:after="0"/>
        <w:tabs>
          <w:tab w:leader="none" w:pos="360"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TAXES</w:t>
      </w:r>
    </w:p>
    <w:p>
      <w:pPr>
        <w:spacing w:after="0" w:line="172"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5" w:right="1440" w:bottom="1440" w:gutter="0" w:footer="0" w:header="0"/>
        </w:sectPr>
      </w:pPr>
    </w:p>
    <w:bookmarkStart w:id="507" w:name="page508"/>
    <w:bookmarkEnd w:id="507"/>
    <w:p>
      <w:pPr>
        <w:ind w:left="6040"/>
        <w:spacing w:after="0"/>
        <w:rPr>
          <w:sz w:val="20"/>
          <w:szCs w:val="20"/>
          <w:color w:val="auto"/>
        </w:rPr>
      </w:pPr>
      <w:r>
        <w:rPr>
          <w:rFonts w:ascii="Courier New" w:cs="Courier New" w:eastAsia="Courier New" w:hAnsi="Courier New"/>
          <w:sz w:val="14"/>
          <w:szCs w:val="14"/>
          <w:color w:val="auto"/>
        </w:rPr>
        <w:t>SCHEDULE 1</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INVESTMENT AND SAVINGS PLAN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Item 27a--Schedule of Assets Held for Investment Purposes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1996</w:t>
      </w:r>
    </w:p>
    <w:p>
      <w:pPr>
        <w:spacing w:after="0" w:line="200" w:lineRule="exact"/>
        <w:rPr>
          <w:sz w:val="20"/>
          <w:szCs w:val="20"/>
          <w:color w:val="auto"/>
        </w:rPr>
      </w:pPr>
    </w:p>
    <w:p>
      <w:pPr>
        <w:spacing w:after="0" w:line="304" w:lineRule="exact"/>
        <w:rPr>
          <w:sz w:val="20"/>
          <w:szCs w:val="20"/>
          <w:color w:val="auto"/>
        </w:rPr>
      </w:pPr>
    </w:p>
    <w:p>
      <w:pPr>
        <w:jc w:val="right"/>
        <w:ind w:right="1099"/>
        <w:spacing w:after="0"/>
        <w:tabs>
          <w:tab w:leader="none" w:pos="1020" w:val="left"/>
        </w:tabs>
        <w:rPr>
          <w:sz w:val="20"/>
          <w:szCs w:val="20"/>
          <w:color w:val="auto"/>
        </w:rPr>
      </w:pPr>
      <w:r>
        <w:rPr>
          <w:rFonts w:ascii="Courier New" w:cs="Courier New" w:eastAsia="Courier New" w:hAnsi="Courier New"/>
          <w:sz w:val="14"/>
          <w:szCs w:val="14"/>
          <w:color w:val="auto"/>
        </w:rPr>
        <w:t>Face amount</w:t>
      </w:r>
      <w:r>
        <w:rPr>
          <w:sz w:val="20"/>
          <w:szCs w:val="20"/>
          <w:color w:val="auto"/>
        </w:rPr>
        <w:tab/>
      </w:r>
      <w:r>
        <w:rPr>
          <w:rFonts w:ascii="Courier New" w:cs="Courier New" w:eastAsia="Courier New" w:hAnsi="Courier New"/>
          <w:sz w:val="14"/>
          <w:szCs w:val="14"/>
          <w:color w:val="auto"/>
        </w:rPr>
        <w:t>Market</w:t>
      </w:r>
    </w:p>
    <w:p>
      <w:pPr>
        <w:spacing w:after="0" w:line="7" w:lineRule="exact"/>
        <w:rPr>
          <w:sz w:val="20"/>
          <w:szCs w:val="20"/>
          <w:color w:val="auto"/>
        </w:rPr>
      </w:pPr>
    </w:p>
    <w:p>
      <w:pPr>
        <w:jc w:val="both"/>
        <w:spacing w:after="0"/>
        <w:tabs>
          <w:tab w:leader="none" w:pos="5240" w:val="left"/>
          <w:tab w:leader="none" w:pos="7060" w:val="left"/>
          <w:tab w:leader="none" w:pos="868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or shares</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Toro Stable Value Fund*</w:t>
            </w: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36,048,312</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36,171,281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37,129,761</w:t>
            </w:r>
          </w:p>
        </w:tc>
      </w:tr>
      <w:tr>
        <w:trPr>
          <w:trHeight w:val="166"/>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Putnam Growth and Income Fund*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1,598,263</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25,091,973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28,800,695</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(Growth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551,833</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5,459,628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6,197,085</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(Balanced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802,670</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7,739,733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8,420,008</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(Conservative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442,097</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4,053,325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4,235,289</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Putnam Overseas Growth Fund*</w:t>
            </w: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283,982</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3,698,280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4,268,244</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Voyager Fund*</w:t>
            </w: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1,726,568</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26,018,927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27,832,278</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The Toro Company common</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479,067</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11,647,495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17,485,950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investments</w:t>
            </w:r>
          </w:p>
        </w:tc>
        <w:tc>
          <w:tcPr>
            <w:tcW w:w="3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$ 119,880,642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134,369,310</w:t>
            </w:r>
          </w:p>
        </w:tc>
      </w:tr>
    </w:tbl>
    <w:p>
      <w:pPr>
        <w:spacing w:after="0" w:line="4" w:lineRule="exact"/>
        <w:rPr>
          <w:sz w:val="20"/>
          <w:szCs w:val="20"/>
          <w:color w:val="auto"/>
        </w:rPr>
      </w:pPr>
    </w:p>
    <w:p>
      <w:pPr>
        <w:ind w:left="180" w:hanging="172"/>
        <w:spacing w:after="0"/>
        <w:tabs>
          <w:tab w:leader="none" w:pos="180"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*Party-in-interest.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5" w:right="1440" w:bottom="1440" w:gutter="0" w:footer="0" w:header="0"/>
        </w:sectPr>
      </w:pPr>
    </w:p>
    <w:bookmarkStart w:id="508" w:name="page509"/>
    <w:bookmarkEnd w:id="508"/>
    <w:p>
      <w:pPr>
        <w:ind w:left="242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The Toro Company on Forms S-3 and S-8 (File Nos. 333-20901, 33-26268, 33-31586, 33-38308, 33-44668, 33-51563, 33-55550, 33-59563, and 333-4521) of our report dated June 24, 1997, relating to the statements of net assets available for plan benefits of The Toro Company Investment and Savings Plan as of December 31,</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1996 and 1995, and the related statements of changes in net assets available for plan benefits for the year ended December 31, 1996 and the five-month period ended December 31, 1995.</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1997</w:t>
      </w:r>
    </w:p>
    <w:p>
      <w:pPr>
        <w:sectPr>
          <w:pgSz w:w="11900" w:h="16838" w:orient="portrait"/>
          <w:cols w:equalWidth="0" w:num="1">
            <w:col w:w="10239"/>
          </w:cols>
          <w:pgMar w:left="220" w:top="616" w:right="1440" w:bottom="1440" w:gutter="0" w:footer="0" w:header="0"/>
        </w:sectPr>
      </w:pPr>
    </w:p>
    <w:bookmarkStart w:id="509" w:name="page510"/>
    <w:bookmarkEnd w:id="509"/>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7" w:lineRule="exact"/>
        <w:rPr>
          <w:sz w:val="20"/>
          <w:szCs w:val="20"/>
          <w:color w:val="auto"/>
        </w:rPr>
      </w:pPr>
    </w:p>
    <w:p>
      <w:pPr>
        <w:ind w:left="1040"/>
        <w:spacing w:after="0"/>
        <w:tabs>
          <w:tab w:leader="none" w:pos="5680" w:val="left"/>
        </w:tabs>
        <w:rPr>
          <w:sz w:val="20"/>
          <w:szCs w:val="20"/>
          <w:color w:val="auto"/>
        </w:rPr>
      </w:pPr>
      <w:r>
        <w:rPr>
          <w:rFonts w:ascii="Courier New" w:cs="Courier New" w:eastAsia="Courier New" w:hAnsi="Courier New"/>
          <w:sz w:val="14"/>
          <w:szCs w:val="14"/>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Filed by the Registrant /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Check the appropriate box:</w:t>
      </w:r>
    </w:p>
    <w:p>
      <w:pPr>
        <w:spacing w:after="0" w:line="7" w:lineRule="exact"/>
        <w:rPr>
          <w:sz w:val="20"/>
          <w:szCs w:val="20"/>
          <w:color w:val="auto"/>
        </w:rPr>
      </w:pPr>
    </w:p>
    <w:p>
      <w:pPr>
        <w:ind w:left="520" w:hanging="167"/>
        <w:spacing w:after="0"/>
        <w:tabs>
          <w:tab w:leader="none" w:pos="520"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w:t>
      </w:r>
    </w:p>
    <w:p>
      <w:pPr>
        <w:spacing w:after="0" w:line="7" w:lineRule="exact"/>
        <w:rPr>
          <w:rFonts w:ascii="Courier New" w:cs="Courier New" w:eastAsia="Courier New" w:hAnsi="Courier New"/>
          <w:sz w:val="14"/>
          <w:szCs w:val="14"/>
          <w:color w:val="auto"/>
        </w:rPr>
      </w:pPr>
    </w:p>
    <w:p>
      <w:pPr>
        <w:ind w:left="780" w:right="3779" w:hanging="427"/>
        <w:spacing w:after="0" w:line="255" w:lineRule="auto"/>
        <w:tabs>
          <w:tab w:leader="none" w:pos="522"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160" w:lineRule="exact"/>
        <w:rPr>
          <w:sz w:val="20"/>
          <w:szCs w:val="20"/>
          <w:color w:val="auto"/>
        </w:rPr>
      </w:pPr>
    </w:p>
    <w:p>
      <w:pPr>
        <w:ind w:left="520" w:hanging="167"/>
        <w:spacing w:after="0"/>
        <w:tabs>
          <w:tab w:leader="none" w:pos="520" w:val="left"/>
        </w:tabs>
        <w:numPr>
          <w:ilvl w:val="1"/>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7" w:lineRule="exact"/>
        <w:rPr>
          <w:rFonts w:ascii="Courier New" w:cs="Courier New" w:eastAsia="Courier New" w:hAnsi="Courier New"/>
          <w:sz w:val="14"/>
          <w:szCs w:val="14"/>
          <w:color w:val="auto"/>
        </w:rPr>
      </w:pPr>
    </w:p>
    <w:p>
      <w:pPr>
        <w:ind w:left="520" w:hanging="167"/>
        <w:spacing w:after="0"/>
        <w:tabs>
          <w:tab w:leader="none" w:pos="520" w:val="left"/>
        </w:tabs>
        <w:numPr>
          <w:ilvl w:val="1"/>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240.14a-11(c) or 240.14a-12</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No fee required</w:t>
      </w:r>
    </w:p>
    <w:p>
      <w:pPr>
        <w:spacing w:after="0" w:line="173" w:lineRule="exact"/>
        <w:rPr>
          <w:sz w:val="20"/>
          <w:szCs w:val="20"/>
          <w:color w:val="auto"/>
        </w:rPr>
      </w:pPr>
    </w:p>
    <w:p>
      <w:pPr>
        <w:ind w:left="440" w:right="4459" w:hanging="432"/>
        <w:spacing w:after="0" w:line="255" w:lineRule="auto"/>
        <w:tabs>
          <w:tab w:leader="none" w:pos="182"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59"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right="3599" w:hanging="347"/>
        <w:spacing w:after="0" w:line="252" w:lineRule="auto"/>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paid previously with preliminary materials.</w:t>
      </w:r>
    </w:p>
    <w:p>
      <w:pPr>
        <w:spacing w:after="0" w:line="172" w:lineRule="exact"/>
        <w:rPr>
          <w:rFonts w:ascii="Courier New" w:cs="Courier New" w:eastAsia="Courier New" w:hAnsi="Courier New"/>
          <w:sz w:val="14"/>
          <w:szCs w:val="14"/>
          <w:color w:val="auto"/>
        </w:rPr>
      </w:pPr>
    </w:p>
    <w:p>
      <w:pPr>
        <w:ind w:left="360" w:right="3419" w:hanging="352"/>
        <w:spacing w:after="0" w:line="252" w:lineRule="auto"/>
        <w:tabs>
          <w:tab w:leader="none" w:pos="188"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sectPr>
      </w:pPr>
    </w:p>
    <w:bookmarkStart w:id="510" w:name="page511"/>
    <w:bookmarkEnd w:id="510"/>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 Bloomington,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612/888-8801 - Telex 290928 - FAX NBR 887-8258</w:t>
      </w:r>
    </w:p>
    <w:p>
      <w:pPr>
        <w:spacing w:after="0" w:line="173" w:lineRule="exact"/>
        <w:rPr>
          <w:sz w:val="20"/>
          <w:szCs w:val="20"/>
          <w:color w:val="auto"/>
        </w:rPr>
      </w:pPr>
    </w:p>
    <w:p>
      <w:pPr>
        <w:sectPr>
          <w:pgSz w:w="11900" w:h="16838" w:orient="portrait"/>
          <w:cols w:equalWidth="0" w:num="3">
            <w:col w:w="1040" w:space="180"/>
            <w:col w:w="520" w:space="420"/>
            <w:col w:w="8079"/>
          </w:cols>
          <w:pgMar w:left="220" w:top="615" w:right="1440" w:bottom="1440" w:gutter="0" w:footer="0" w:header="0"/>
        </w:sect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Chairman and CEO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February 10, 1997</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Dear Stockholder:</w:t>
      </w:r>
    </w:p>
    <w:p>
      <w:pPr>
        <w:spacing w:after="0" w:line="173" w:lineRule="exact"/>
        <w:rPr>
          <w:sz w:val="20"/>
          <w:szCs w:val="20"/>
          <w:color w:val="auto"/>
        </w:rPr>
      </w:pPr>
    </w:p>
    <w:p>
      <w:pPr>
        <w:ind w:left="860" w:right="4199"/>
        <w:spacing w:after="0" w:line="251" w:lineRule="auto"/>
        <w:rPr>
          <w:sz w:val="20"/>
          <w:szCs w:val="20"/>
          <w:color w:val="auto"/>
        </w:rPr>
      </w:pPr>
      <w:r>
        <w:rPr>
          <w:rFonts w:ascii="Courier New" w:cs="Courier New" w:eastAsia="Courier New" w:hAnsi="Courier New"/>
          <w:sz w:val="14"/>
          <w:szCs w:val="14"/>
          <w:color w:val="auto"/>
        </w:rPr>
        <w:t>You are cordially invited to join us for the Toro Annual Meeting of Stockholders, to be held at 3:00 p.m. C.S.T. on Thursday, March 13, 1997 at the corporate offices of The Toro Company, 8111 Lyndale Avenue South, Bloomington, Minnesota. Details about the meeting, nominees for the Board of Directors and other matters to be acted upon are presented in the Notice of Annual Meeting and Proxy Statement which follow.</w:t>
      </w:r>
    </w:p>
    <w:p>
      <w:pPr>
        <w:spacing w:after="0" w:line="164" w:lineRule="exact"/>
        <w:rPr>
          <w:sz w:val="20"/>
          <w:szCs w:val="20"/>
          <w:color w:val="auto"/>
        </w:rPr>
      </w:pPr>
    </w:p>
    <w:p>
      <w:pPr>
        <w:ind w:left="860" w:right="4199"/>
        <w:spacing w:after="0" w:line="253" w:lineRule="auto"/>
        <w:rPr>
          <w:sz w:val="20"/>
          <w:szCs w:val="20"/>
          <w:color w:val="auto"/>
        </w:rPr>
      </w:pPr>
      <w:r>
        <w:rPr>
          <w:rFonts w:ascii="Courier New" w:cs="Courier New" w:eastAsia="Courier New" w:hAnsi="Courier New"/>
          <w:sz w:val="14"/>
          <w:szCs w:val="14"/>
          <w:color w:val="auto"/>
        </w:rPr>
        <w:t>In addition to Annual Meeting formalities, we plan to report to stockholders generally on the Company, and will be pleased to answer stockholders' questions relating to the Company.</w:t>
      </w:r>
    </w:p>
    <w:p>
      <w:pPr>
        <w:spacing w:after="0" w:line="32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As a stockholder of Toro, you have a vested interest in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future of the Company and we therefore hope you plan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attend the Annual Meeting. However, if you will not be able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 join us, we urge you to exercise your right as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stockholder and to vote by proxy. For this purpose, please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promptly sign, date and return the enclosed proxy card.</w:t>
      </w:r>
    </w:p>
    <w:p>
      <w:pPr>
        <w:spacing w:after="0" w:line="173" w:lineRule="exact"/>
        <w:rPr>
          <w:sz w:val="20"/>
          <w:szCs w:val="20"/>
          <w:color w:val="auto"/>
        </w:rPr>
      </w:pPr>
    </w:p>
    <w:p>
      <w:pPr>
        <w:ind w:left="860" w:right="4199"/>
        <w:spacing w:after="0" w:line="252" w:lineRule="auto"/>
        <w:rPr>
          <w:sz w:val="20"/>
          <w:szCs w:val="20"/>
          <w:color w:val="auto"/>
        </w:rPr>
      </w:pPr>
      <w:r>
        <w:rPr>
          <w:rFonts w:ascii="Courier New" w:cs="Courier New" w:eastAsia="Courier New" w:hAnsi="Courier New"/>
          <w:sz w:val="14"/>
          <w:szCs w:val="14"/>
          <w:color w:val="auto"/>
        </w:rPr>
        <w:t>On behalf of your Toro Board of Directors and management, it is my pleasure to express our appreciation for your continued support during 1997.</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173" w:lineRule="exact"/>
        <w:rPr>
          <w:sz w:val="20"/>
          <w:szCs w:val="20"/>
          <w:color w:val="auto"/>
        </w:rPr>
      </w:pPr>
    </w:p>
    <w:p>
      <w:pPr>
        <w:jc w:val="center"/>
        <w:ind w:left="260" w:right="3679"/>
        <w:spacing w:after="0" w:line="252" w:lineRule="auto"/>
        <w:rPr>
          <w:sz w:val="20"/>
          <w:szCs w:val="20"/>
          <w:color w:val="auto"/>
        </w:rPr>
      </w:pPr>
      <w:r>
        <w:rPr>
          <w:rFonts w:ascii="Courier New" w:cs="Courier New" w:eastAsia="Courier New" w:hAnsi="Courier New"/>
          <w:sz w:val="14"/>
          <w:szCs w:val="14"/>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39"/>
          </w:cols>
          <w:pgMar w:left="220" w:top="615" w:right="1440" w:bottom="1440" w:gutter="0" w:footer="0" w:header="0"/>
          <w:type w:val="continuous"/>
        </w:sectPr>
      </w:pPr>
    </w:p>
    <w:bookmarkStart w:id="511" w:name="page512"/>
    <w:bookmarkEnd w:id="511"/>
    <w:p>
      <w:pPr>
        <w:jc w:val="center"/>
        <w:ind w:right="333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NOTICE OF ANNUAL MEETING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Notice is hereby given that the Annual Meeting of Stockholders of The Toro Company will be held on Thursday, March 13, 1997 at 3:00 p.m. C.S.T. at the corporate offices of The Toro Company, 8111 Lyndale Avenue South, Bloomington, Minnesota, for the purpose of considering and acting upon the following matters as described in the accompanying Proxy Statement:</w:t>
      </w:r>
    </w:p>
    <w:p>
      <w:pPr>
        <w:spacing w:after="0" w:line="165" w:lineRule="exact"/>
        <w:rPr>
          <w:sz w:val="20"/>
          <w:szCs w:val="20"/>
          <w:color w:val="auto"/>
        </w:rPr>
      </w:pPr>
    </w:p>
    <w:p>
      <w:pPr>
        <w:ind w:left="360" w:hanging="352"/>
        <w:spacing w:after="0"/>
        <w:tabs>
          <w:tab w:leader="none" w:pos="36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each to serve for a term of three years;</w:t>
      </w:r>
    </w:p>
    <w:p>
      <w:pPr>
        <w:spacing w:after="0" w:line="172"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Continuous Performance Award Plan as described in the Proxy Statement which follows this Notice;</w:t>
      </w:r>
    </w:p>
    <w:p>
      <w:pPr>
        <w:spacing w:after="0" w:line="159"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Annual Management Incentive Plan as described in the Proxy Statement which follows this Notice;</w:t>
      </w:r>
    </w:p>
    <w:p>
      <w:pPr>
        <w:spacing w:after="0" w:line="159" w:lineRule="exact"/>
        <w:rPr>
          <w:rFonts w:ascii="Courier New" w:cs="Courier New" w:eastAsia="Courier New" w:hAnsi="Courier New"/>
          <w:sz w:val="14"/>
          <w:szCs w:val="14"/>
          <w:color w:val="auto"/>
        </w:rPr>
      </w:pPr>
    </w:p>
    <w:p>
      <w:pPr>
        <w:ind w:left="360" w:right="3599" w:hanging="352"/>
        <w:spacing w:after="0" w:line="255" w:lineRule="auto"/>
        <w:tabs>
          <w:tab w:leader="none" w:pos="36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auditors for the Company for Fiscal 1997 (the fiscal year ending October 31, 1997); and</w:t>
      </w:r>
    </w:p>
    <w:p>
      <w:pPr>
        <w:spacing w:after="0" w:line="159" w:lineRule="exact"/>
        <w:rPr>
          <w:rFonts w:ascii="Courier New" w:cs="Courier New" w:eastAsia="Courier New" w:hAnsi="Courier New"/>
          <w:sz w:val="14"/>
          <w:szCs w:val="14"/>
          <w:color w:val="auto"/>
        </w:rPr>
      </w:pPr>
    </w:p>
    <w:p>
      <w:pPr>
        <w:ind w:left="360" w:right="3859" w:hanging="352"/>
        <w:spacing w:after="0" w:line="255" w:lineRule="auto"/>
        <w:tabs>
          <w:tab w:leader="none" w:pos="36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and any adjournment thereof.</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list of stockholders entitled to vote at the Annual Meeting will be available at the corporate offices of The Toro Company, 8111 Lyndale Avenue South, Bloomington, Minnesota, commencing February 27, 1997, during ordinary business hours, for examination by any stockholder registered on the Company's Stock Ledger as of the record date, for any purpose germane to the Annual Meeting. The list of stockholders will be available at the Annual Meeting for the same purpose.</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Only stockholders of record on January 13, 1997 will be entitled to vote at the meeting. Since a majority of the outstanding shares of the Company's Common Stock must be represented either in person or by proxy to constitute a quorum for the conduct of business, PLEASE SIGN, DATE AND RETURN THE ENCLOSED PROXY CARD PROMPTLY.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10, 1997</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Vice President, Secretary and General Counsel</w:t>
      </w:r>
    </w:p>
    <w:p>
      <w:pPr>
        <w:sectPr>
          <w:pgSz w:w="11900" w:h="16838" w:orient="portrait"/>
          <w:cols w:equalWidth="0" w:num="1">
            <w:col w:w="10239"/>
          </w:cols>
          <w:pgMar w:left="220" w:top="450" w:right="1440" w:bottom="1440" w:gutter="0" w:footer="0" w:header="0"/>
        </w:sectPr>
      </w:pPr>
    </w:p>
    <w:bookmarkStart w:id="512" w:name="page513"/>
    <w:bookmarkEnd w:id="512"/>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Bloomington, Minnesota 55420-1196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enclosed proxy is solicited by the Board of Directors of The Toro Company (the "Company" or "Toro") for use at the Annual Meeting of Stockholders (the "Annual Meeting") to be held in the corporate offices of the Company, 8111 Lyndale Avenue South, Bloomington, Minnesota, on Thursday, March 13, 1997 at 3:00 p.m. C.S.T. Any stockholder giving a proxy has the power to revoke it at any time before it is voted by filing with an officer of the Company a revoking instrument or duly executed proxy bearing a later date. This Notice, Proxy Statement and enclosed form of proxy are first being mailed to stockholders of the Company on or about February 10, 1997.</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Annual Report of the Company for Fiscal 1996 (the fiscal year ended October 31, 1996) including financial statements is enclosed.</w:t>
      </w:r>
    </w:p>
    <w:p>
      <w:pPr>
        <w:spacing w:after="0" w:line="16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COST AND METHOD OF SOLICITATION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cost of soliciting proxies will be borne by the Company. Arrangements may be made with brokerage houses, custodians, nominees and other fiduciaries to send proxy material to the beneficial owners of the Common Stock, par value $1.00 per share (the "Common Stock"), and the Company will reimburse them for reasonable out-of-pocket expenses. In addition to solicitation by mail, certain officers and employees of the Company, who will receive no compensation for such services other than regular employee compensation, may solicit proxies by telephone, electronic transmission and personally. The Company has retained Morrow &amp; Co. to assist in distributing proxy materials and in making mail, telephone and personal solicitation of proxies from holders of the Common Stock. The fee of such firm is estimated to be $4,500 plus out-of-pocket costs and expenses.</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Holders of record of the Common Stock at the close of business on January 13, 1997 (the "Record Date") will be entitled to vote at the Annual Meeting and any adjournment thereof. On that date, the Company had outstanding and entitled to vote 12,125,331 shares of Common Stock. Each of such shares is entitled to one vote on each matter presented at the Annual Meeting. The presence at the Annual Meeting, in person or by proxy, of the holders of a majority of the issued and outstanding shares of Common Stock constitutes a quorum for the transaction of business. As of the Record Date, there were 749,472 shares held by the Company in its treasury which will not be counted to determine a quorum, and will not be voted. Abstentions and "broker non-votes" will be counted in determining whether a quorum is present. "Broker non-votes" will not be counted, but abstentions will be counted, in determining the total number of votes cast on a proposal. An abstention will thus be the equivalent of a negative vote.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a stockholder of record is also a participant in the Company's Dividend Reinvestment Plan, the enclosed proxy card will present the number of shares held of record by the participant, including the shares held for the account of the participant in that plan. If a stockholder of record is also a participant in a Company employee benefit plan allowing for participant-directed voting of Common Stock held in such plan, the enclosed proxy card will contain separate entries for the number of shares held by the participant in each such plan, as well as shares held of record. If a participant in such plans does not otherwise hold Common Stock of record, the participant will receive a proxy card containing entries for the number of shares held in each plan. The trustee for each plan will cause votes to be cast confidentially in accordance with the participant's instructions. In accordance with the terms of the respective plans, plan shares not voted by participants will be voted by the trustee in the same proportion as the votes cast by participants.</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Business at the Annual Meeting will be conducted in accordance with the procedures determined by the presiding officer and will be limited to matters properly brought before the Annual Meeting by or at the direction of the Board of Directors or, in the case of nominations of candidates for the Board by a stockholder, pursuant to the procedures prescribed by the Company's Bylaws.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matter will be considered at the Annual Meeting except upon a motion duly made and seconded. Any motion or second of a motion may be made only by a natural person present at the Annual Meeting who either is a Company stockholder or is acting on behalf of a Company stockholder. If the person is acting on behalf of a stockholder, a written statement must be presented, executed by the stockholder or the duly authorized representative of the stockholder on whose behalf the person purports to 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0" w:right="1440" w:bottom="1440" w:gutter="0" w:footer="0" w:header="0"/>
        </w:sectPr>
      </w:pPr>
    </w:p>
    <w:bookmarkStart w:id="513" w:name="page514"/>
    <w:bookmarkEnd w:id="513"/>
    <w:p>
      <w:pPr>
        <w:ind w:left="2340"/>
        <w:spacing w:after="0"/>
        <w:rPr>
          <w:sz w:val="20"/>
          <w:szCs w:val="20"/>
          <w:color w:val="auto"/>
        </w:rPr>
      </w:pPr>
      <w:r>
        <w:rPr>
          <w:rFonts w:ascii="Courier New" w:cs="Courier New" w:eastAsia="Courier New" w:hAnsi="Courier New"/>
          <w:sz w:val="14"/>
          <w:szCs w:val="14"/>
          <w:color w:val="auto"/>
        </w:rPr>
        <w:t>PROCEDURE FOR NOMINATIONS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Stockholders who propose to nominate a candidate for election to the Board of Directors at an annual meeting must give timely written notice to the Secretary of the Company, in accordance with the Company's Bylaws. In order to be timely, the notice must be received by the Company not less than 60 days nor more than 90 days prior to the first anniversary of the preceding year's regular meeting; provided, however, that in the event that the date of the regular meeting is advanced by more than 30 days or delayed by more than 60 days from such anniversary date, notice by the stockholder to be timely must be so delivered not earlier than the 90th day prior to such regular meeting and not later than the close of business on the later of the 60th day prior to such regular meeting or the 10th day following the day on which public announcement of the date of such meeting is first made. The notice shall set forth all information relating to such person that is required to be disclosed in solicitations of proxies for election of directors, or is otherwise required, pursuant to Regulation 14A under the Securities Exchange Act of 1934, as amended (the "Exchange Act") (including such person's written consent to being named in the Proxy Statement as a nominee and to serving as a director if elected). In addition, the notice must contain the name and address of the nominating stockholder(s) as they appear on the Company's books, and the class and number of shares of the Common Stock beneficially owned.</w:t>
      </w:r>
    </w:p>
    <w:p>
      <w:pPr>
        <w:spacing w:after="0" w:line="34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FISCAL YEAR END/TRANSITION PERIOD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August 1995, the Board of Directors of the Company approved a change in the Company's fiscal year end from July 31 to October 31. The period from August 1, 1995 through October 31, 1995 thereby became a "Transition Period". The disclosures made in this Proxy Statement relate to the fiscal year ended October 31, 1996, the Transition Period and, in some cases, the fiscal years ended July 31, 1995 and 1994.</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PRINCIPAL HOLDERS OF COMPANY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table sets forth information as of January 13, 1997 regarding the beneficial ownership of the Common Stock of the Company by each of the directors and nominees, each of the Chief Executive Officer and the four other most highly compensated executive officers (the "named executive officers"), holders of more than 5% of the Common Stock and by all directors and executive officers as a group.</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AMOUNT AND NATURE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2540" w:type="dxa"/>
            <w:vAlign w:val="bottom"/>
          </w:tcPr>
          <w:p>
            <w:pPr>
              <w:ind w:left="860"/>
              <w:spacing w:after="0"/>
              <w:rPr>
                <w:sz w:val="20"/>
                <w:szCs w:val="20"/>
                <w:color w:val="auto"/>
              </w:rPr>
            </w:pPr>
            <w:r>
              <w:rPr>
                <w:rFonts w:ascii="Courier New" w:cs="Courier New" w:eastAsia="Courier New" w:hAnsi="Courier New"/>
                <w:sz w:val="14"/>
                <w:szCs w:val="14"/>
                <w:color w:val="auto"/>
              </w:rPr>
              <w:t>NAME OF</w:t>
            </w:r>
          </w:p>
        </w:tc>
        <w:tc>
          <w:tcPr>
            <w:tcW w:w="18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OF BENEFICIAL</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OF</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BENEFICIAL OWNER (1)</w:t>
            </w: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OWNERSHIP</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Fidelity Management &amp;</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909,000(2)</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7.5%</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Research Company</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82 Devonshire Street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Boston, MA 02109-3614</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776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1,654</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2,087(3)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Calvin R. Hendrix(4)</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7,713(3)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57,846(3)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40,613(3)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69,363(3)(5)</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588,563(3)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2,804(3)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2,025(3)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7,418(3)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3,153(3)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All directors &amp; executive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919,776(5)(6)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7.2%</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officers as a group</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(17 persons)</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97"/>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  Less than</w:t>
            </w:r>
          </w:p>
        </w:tc>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1% of the outstanding shares of Common Stock.</w:t>
            </w:r>
          </w:p>
        </w:tc>
        <w:tc>
          <w:tcPr>
            <w:tcW w:w="740" w:type="dxa"/>
            <w:vAlign w:val="bottom"/>
          </w:tcPr>
          <w:p>
            <w:pPr>
              <w:spacing w:after="0"/>
              <w:rPr>
                <w:sz w:val="14"/>
                <w:szCs w:val="14"/>
                <w:color w:val="auto"/>
              </w:rPr>
            </w:pPr>
          </w:p>
        </w:tc>
      </w:tr>
      <w:tr>
        <w:trPr>
          <w:trHeight w:val="331"/>
        </w:trPr>
        <w:tc>
          <w:tcPr>
            <w:tcW w:w="1220" w:type="dxa"/>
            <w:vAlign w:val="bottom"/>
          </w:tcPr>
          <w:p>
            <w:pPr>
              <w:spacing w:after="0"/>
              <w:rPr>
                <w:sz w:val="24"/>
                <w:szCs w:val="24"/>
                <w:color w:val="auto"/>
              </w:rPr>
            </w:pPr>
          </w:p>
        </w:tc>
        <w:tc>
          <w:tcPr>
            <w:tcW w:w="2540" w:type="dxa"/>
            <w:vAlign w:val="bottom"/>
          </w:tcPr>
          <w:p>
            <w:pPr>
              <w:ind w:left="2140"/>
              <w:spacing w:after="0"/>
              <w:rPr>
                <w:sz w:val="20"/>
                <w:szCs w:val="20"/>
                <w:color w:val="auto"/>
              </w:rPr>
            </w:pPr>
            <w:r>
              <w:rPr>
                <w:rFonts w:ascii="Courier New" w:cs="Courier New" w:eastAsia="Courier New" w:hAnsi="Courier New"/>
                <w:sz w:val="14"/>
                <w:szCs w:val="14"/>
                <w:color w:val="auto"/>
              </w:rPr>
              <w:t>2</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450" w:right="1440" w:bottom="1440" w:gutter="0" w:footer="0" w:header="0"/>
        </w:sectPr>
      </w:pPr>
    </w:p>
    <w:bookmarkStart w:id="514" w:name="page515"/>
    <w:bookmarkEnd w:id="514"/>
    <w:p>
      <w:pPr>
        <w:ind w:left="352" w:right="3339" w:hanging="352"/>
        <w:spacing w:after="0" w:line="251" w:lineRule="auto"/>
        <w:tabs>
          <w:tab w:leader="none" w:pos="352"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164" w:lineRule="exact"/>
        <w:rPr>
          <w:rFonts w:ascii="Courier New" w:cs="Courier New" w:eastAsia="Courier New" w:hAnsi="Courier New"/>
          <w:sz w:val="14"/>
          <w:szCs w:val="14"/>
          <w:color w:val="auto"/>
        </w:rPr>
      </w:pPr>
    </w:p>
    <w:p>
      <w:pPr>
        <w:ind w:left="352" w:right="3339" w:hanging="352"/>
        <w:spacing w:after="0" w:line="250" w:lineRule="auto"/>
        <w:tabs>
          <w:tab w:leader="none" w:pos="352"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Form 13G filed by FMR Corp., Fidelity Management &amp; Research Company ("Fidelity"), a subsidiary of FMR Corp. and registered investment advisor, is the beneficial owner of 780,600 of these shares or 6.48% of the outstanding Common Stock. Edward C. Johnson 3d, Chairman of FMR Corp. ("Mr. Johnson"), FMR Corp., through its control of Fidelity, and Fidelity Funds each has sole power to dispose of the 780,600 shares owned by the Funds. Neither FMR Corp. nor Mr. Johnson has the sole power to vote or direct the voting of the shares owned directly by the Fidelity Funds, which power resides with the Funds' Boards of Trustees. Fidelity carries out the voting of the shares under written guidelines established by the Funds' Boards of Trustees. Fidelity Management Trust Company ("Fidelity Trust"), a wholly-owned subsidiary of FMR Corp. and a bank, is the beneficial owner of 128,400 shares or 1.07% of the outstanding Common Stock as a result of serving as investment manager of institutional accounts. Mr. Johnson and FMR Corp., through its control of Fidelity Trust, have sole dispositive power over these 128,400 shares and sole power to vote or to direct the voting of 119,400 shares, and no power to vote or to direct the voting of 9,000 shares. According to the Form 13G, members of Mr. Johnson's family and trusts for their benefit are deemed to form a controlling group with respect to FMR Corp. This information is as of March 31, 1996, the date of the most recent report on Form 13G received by the Company.</w:t>
      </w:r>
    </w:p>
    <w:p>
      <w:pPr>
        <w:spacing w:after="0" w:line="174" w:lineRule="exact"/>
        <w:rPr>
          <w:rFonts w:ascii="Courier New" w:cs="Courier New" w:eastAsia="Courier New" w:hAnsi="Courier New"/>
          <w:sz w:val="14"/>
          <w:szCs w:val="14"/>
          <w:color w:val="auto"/>
        </w:rPr>
      </w:pPr>
    </w:p>
    <w:p>
      <w:pPr>
        <w:ind w:left="352" w:right="3339" w:hanging="352"/>
        <w:spacing w:after="0" w:line="250" w:lineRule="auto"/>
        <w:tabs>
          <w:tab w:leader="none" w:pos="352"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that may be acquired upon exercise of stock options within 60 days and shares allocated under employee benefit plans. Stock options exercisable in 60 days for each of the named directors and executive officers are as follows: Janet K. Cooper 1,000 shares, Alex A. Meyer 1,000 shares, Robert H. Nassau 1,000 shares, Dale R. Olseth 1,000 shares, Edwin H. Wingate 1,000 shares, Kendrick B. Melrose 430,968 shares (including a</w:t>
      </w:r>
    </w:p>
    <w:p>
      <w:pPr>
        <w:spacing w:after="0" w:line="2" w:lineRule="exact"/>
        <w:rPr>
          <w:rFonts w:ascii="Courier New" w:cs="Courier New" w:eastAsia="Courier New" w:hAnsi="Courier New"/>
          <w:sz w:val="14"/>
          <w:szCs w:val="14"/>
          <w:color w:val="auto"/>
        </w:rPr>
      </w:pPr>
    </w:p>
    <w:p>
      <w:pPr>
        <w:ind w:left="35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300,000 share salary replacement option, the final 100,000 shares which became exercisable December 10, 1996), Gerald T. Knight 48,150 shares, J. David McIntosh 39,485 shares, Calvin R. Hendrix no shares, Charles B. Lounsbury 33,991 shares and all other executive officers as a group 82,489 shares.</w:t>
      </w:r>
    </w:p>
    <w:p>
      <w:pPr>
        <w:spacing w:after="0" w:line="164" w:lineRule="exact"/>
        <w:rPr>
          <w:rFonts w:ascii="Courier New" w:cs="Courier New" w:eastAsia="Courier New" w:hAnsi="Courier New"/>
          <w:sz w:val="14"/>
          <w:szCs w:val="14"/>
          <w:color w:val="auto"/>
        </w:rPr>
      </w:pPr>
    </w:p>
    <w:p>
      <w:pPr>
        <w:ind w:left="352" w:right="3779" w:hanging="352"/>
        <w:spacing w:after="0" w:line="255" w:lineRule="auto"/>
        <w:tabs>
          <w:tab w:leader="none" w:pos="352"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Hendrix resigned as an officer of the Company effective January 15, 1997.</w:t>
      </w:r>
    </w:p>
    <w:p>
      <w:pPr>
        <w:spacing w:after="0" w:line="159" w:lineRule="exact"/>
        <w:rPr>
          <w:rFonts w:ascii="Courier New" w:cs="Courier New" w:eastAsia="Courier New" w:hAnsi="Courier New"/>
          <w:sz w:val="14"/>
          <w:szCs w:val="14"/>
          <w:color w:val="auto"/>
        </w:rPr>
      </w:pPr>
    </w:p>
    <w:p>
      <w:pPr>
        <w:ind w:left="352" w:right="3859" w:hanging="352"/>
        <w:spacing w:after="0" w:line="255" w:lineRule="auto"/>
        <w:tabs>
          <w:tab w:leader="none" w:pos="352"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434 shares held of record by spouse as custodian for minor children. Mr. McIntosh disclaims beneficial ownership of these shares.</w:t>
      </w:r>
    </w:p>
    <w:p>
      <w:pPr>
        <w:spacing w:after="0" w:line="159" w:lineRule="exact"/>
        <w:rPr>
          <w:rFonts w:ascii="Courier New" w:cs="Courier New" w:eastAsia="Courier New" w:hAnsi="Courier New"/>
          <w:sz w:val="14"/>
          <w:szCs w:val="14"/>
          <w:color w:val="auto"/>
        </w:rPr>
      </w:pPr>
    </w:p>
    <w:p>
      <w:pPr>
        <w:ind w:left="352" w:right="4019" w:hanging="352"/>
        <w:spacing w:after="0" w:line="252" w:lineRule="auto"/>
        <w:tabs>
          <w:tab w:leader="none" w:pos="352"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2,129 shares held of record by spouses or minor children of executive officers, with respect to which the officer may disclaim beneficial ownership.</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450" w:right="1440" w:bottom="1440" w:gutter="0" w:footer="0" w:header="0"/>
        </w:sectPr>
      </w:pPr>
    </w:p>
    <w:bookmarkStart w:id="515" w:name="page516"/>
    <w:bookmarkEnd w:id="515"/>
    <w:p>
      <w:pPr>
        <w:ind w:left="2940"/>
        <w:spacing w:after="0"/>
        <w:rPr>
          <w:sz w:val="20"/>
          <w:szCs w:val="20"/>
          <w:color w:val="auto"/>
        </w:rPr>
      </w:pPr>
      <w:r>
        <w:rPr>
          <w:rFonts w:ascii="Courier New" w:cs="Courier New" w:eastAsia="Courier New" w:hAnsi="Courier New"/>
          <w:sz w:val="14"/>
          <w:szCs w:val="14"/>
          <w:color w:val="auto"/>
        </w:rPr>
        <w:t>PROPOSAL ONE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Pursuant to Article VI, Section 1 of the Certificate of Incorporation of the Company, the number of directors is to consist of not less than eight nor more than eleven directors. The maximum and minimum number of directors can be changed only by amendment of the Certificate of Incorporation approved by the affirmative vote of holders of 80% of the outstanding Common Stock of the Company. The Board has currently fixed the number of directors at eight. The Board is divided into three classes, with each class elected in a different year for a term of three years, except that shorter terms may be used from time to time in order to effect an appropriate balance among the members of the classes. The class standing for election to a three year term this year is comprised of Janet K. Cooper, Kendrick B. Melrose and Edwin H. Wingate. The three nominees have consented to serve if elected.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NOMINEES FOR ELECTION TO BOARD OF DIRECTORS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(TERM ENDING AFTER FISCAL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JANET K. COOPER, age 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Treasurer since July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The Quaker Oats Company, Chicago,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Illinois (foods and beverages). She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previously served as 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March 1990 to July 1992 and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Director-Planning of North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Foods from September 1989 to March 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elected to the Toro Board in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 is also Chairman of the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and a member of the Nominating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Cooper is a director of Midwest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 Advisory Board of Awkwright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Company.</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 age 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Toro since December 1987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Toro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1983. Elected President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December 1995. Employed by The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since 1970. First elected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Board in February 1981, Mr.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also Chairman of the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and an ex-officio member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Nominating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Melrose is a director of BSI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Donaldson Company,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Jostens, Inc. and The Valspar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type w:val="continuous"/>
        </w:sectPr>
      </w:pPr>
    </w:p>
    <w:bookmarkStart w:id="516" w:name="page517"/>
    <w:bookmarkEnd w:id="516"/>
    <w:p>
      <w:pPr>
        <w:ind w:right="3419" w:firstLine="517"/>
        <w:spacing w:after="0" w:line="252" w:lineRule="auto"/>
        <w:rPr>
          <w:sz w:val="20"/>
          <w:szCs w:val="20"/>
          <w:color w:val="auto"/>
        </w:rPr>
      </w:pPr>
      <w:r>
        <w:rPr>
          <w:rFonts w:ascii="Courier New" w:cs="Courier New" w:eastAsia="Courier New" w:hAnsi="Courier New"/>
          <w:sz w:val="14"/>
          <w:szCs w:val="14"/>
          <w:color w:val="auto"/>
        </w:rPr>
        <w:t>The Executive Committee's function is to exercise all of the powers and authority of the Board, including the power to declare dividends on the Company's Common Stock, during intervals between meetings of the Board. No meetings of the committee were held during either Fiscal 1996 or the Transition Period.</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Audit Committee, which is comprised of directors elected by the Board from among members who are not employees of the Company ("outside directors"), assists the Board of Directors in fulfilling the Board's responsibility to oversee the Company's accounting controls and policies and financial reporting practices. Principal functions of the Audit Committee include making recommendations regarding the selection, retention or termination of the Company's independent auditors; review of the professional services, proposed fees and independence of such auditors; review with the independent auditors of matters such as the scope of the audit and authorization for special reviews or audits; review of internal auditing procedures and the adequacy of internal controls; and review of policies and practices regarding conflict of interest and compliance with applicable laws. One meeting of the committee was held during Fiscal 1996 and one meeting was held during the Transition Period.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functions of the Compensation Committee, which is comprised only of outside directors, include study and analysis of and recommendations to the Board concerning specific and general matters of management compensation; periodic review of management compensation policies and practices; incentive compensation plans and officer salary adjustments; making incentive compensation awards and setting base salaries for officers referred to in Section 162(m) of the Internal Revenue Code of 1986, as amended (the "Code") and administrative oversight of stock option plans and other incentive and compensation plans. One meeting of the committee was held during Fiscal 1996 and one meeting was held during the Transition Period.</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functions of the Nominating Committee, which is comprised of outside directors (except that the Chief Executive Officer serves as an ex officio non-voting member), include determining an appropriate size and composition of the Board of Directors; considering qualifications of prospective Board member candidates, including stockholder recommendations; conducting research to identify and recommend nomination of suitable candidates who are willing to serve as members of the Board of Directors;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as described on page 2; and determining whether any prospective member of the Board has any economic or familial relationship with the Company or its directors or employees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One meeting of the committee was held during Fiscal 1996 and no meeting was held during the Transition Period.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BOARD COMPENSATION. Board compensation for outside directors includes a cash annual retainer and meeting fees, in addition to an annual Common Stock grant having a $5,000 market value (valued at the average of the closing prices of Common Stock during the three months prior to award) and a 1,000 share stock option award (with an exercise price per share equal to 100% of the fair market value of one share of Common Stock on the date of grant) pursuant to The Toro Company 1992 Directors Stock Plan. During Fiscal 1996, each outside director was paid an annual retainer of $15,000 plus a fee of $1,000 for each meeting of the Board or a committee attended, except that no more than one committee meeting fee was paid for committee meetings held in a single day. The Company also supplies directors with Company products for their personal use.</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 outside director may elect to receive the annual retainer fee and meeting fees in cash or shares of Common Stock, or a combination of both. Shares issued in lieu of cash may be authorized but unissued Common Stock or shares of Common Stock held in the Company's treasury.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517" w:name="page518"/>
    <w:bookmarkEnd w:id="517"/>
    <w:p>
      <w:pPr>
        <w:ind w:right="3339" w:firstLine="517"/>
        <w:spacing w:after="0" w:line="251" w:lineRule="auto"/>
        <w:rPr>
          <w:sz w:val="20"/>
          <w:szCs w:val="20"/>
          <w:color w:val="auto"/>
        </w:rPr>
      </w:pPr>
      <w:r>
        <w:rPr>
          <w:rFonts w:ascii="Courier New" w:cs="Courier New" w:eastAsia="Courier New" w:hAnsi="Courier New"/>
          <w:sz w:val="14"/>
          <w:szCs w:val="14"/>
          <w:color w:val="auto"/>
        </w:rPr>
        <w:t>An outside director may elect to defer receipt of any portion of or all Board compensation until a future date or until occurrence of specified events, including disability or death, resignation, retirement or other termination from the Board. Distribution of deferred amounts may be accelerated at the discretion of the Board of Directors. Amounts deferred are not subject to federal and state income tax until received by the participant, are commingled with the Company's general operating funds and earn interest at the average prime rate charged by First Bank National Association, Minneapolis, Minnesota. Although deferred funds remain a part of the general assets of the Company, upon occurrence of a threat of or change of control of the Company (as defined in the plan), or upon election by a qualified participant to direct investment of the participant's account, the Company will transfer to a trust an amount in cash equal to the total amount of all accrued compensation and interest for all participants or for the electing participant, as the case may be. Amounts deferred will be paid to the director at retirement or such other time as may be permitted by the plan.</w:t>
      </w:r>
    </w:p>
    <w:p>
      <w:pPr>
        <w:spacing w:after="0" w:line="328"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a retirement plan, an outside director who was a member of the Board of Directors prior to December 1995, who has completed five years of service and who ceases to be a member of the Board of Directors for any reason is entitled to receive, for a period of years equal to the number of full years the director served on the Board but not more than ten years, an annual payment equal to the full amount paid as an annual retainer at the date of termination. Commencing December 1995, the annual payment may not exceed $12,000 annually to any outside director, and payments to new directors will be limited to an amount equal to</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 of the amount paid as an annual retainer at the date of termination. In the event of the death of a director who qualifies for the plan, the retirement benefit will be paid to the director's beneficiary, in quarterly or annual installments or a lump sum (discounted to then present value), as previously elected by the director.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director is also a party to an indemnification agreement which assures the director of indemnification and advancement of expenses to the fullest extent permitted by Delaware law and the Company's Certificate of Incorporation (regardless of, among other things, any amendment to or revocation of the Certificate of Incorporation, any change in the composition of the Board of Directors or the occurrence of any acquisition of the Company) and of continued coverage under the Company's directors and officers liability insurance, to the extent it is maintained.</w:t>
      </w:r>
    </w:p>
    <w:p>
      <w:pPr>
        <w:spacing w:after="0" w:line="164"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HOLDERS OF A MAJORITY OF SHARES OF COMMON STOCK REPRESENTED AT THE MEETING IS REQUIRED FOR THE ADOPTION OF ITEM 1. ALL PROXIES WILL BE VOTED FOR ITEM 1 UNLESS A CONTRARY CHOICE IS INDICATED.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518" w:name="page519"/>
    <w:bookmarkEnd w:id="518"/>
    <w:p>
      <w:pPr>
        <w:spacing w:after="0" w:line="4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ind w:right="4040" w:firstLine="517"/>
        <w:spacing w:after="0" w:line="251" w:lineRule="auto"/>
        <w:rPr>
          <w:sz w:val="20"/>
          <w:szCs w:val="20"/>
          <w:color w:val="auto"/>
        </w:rPr>
      </w:pPr>
      <w:r>
        <w:rPr>
          <w:rFonts w:ascii="Courier New" w:cs="Courier New" w:eastAsia="Courier New" w:hAnsi="Courier New"/>
          <w:sz w:val="14"/>
          <w:szCs w:val="14"/>
          <w:color w:val="auto"/>
        </w:rPr>
        <w:t>The following table sets forth the cash and non-cash compensation paid for services in all capacities to the Company for the Chief Executive Officer and each of its four other highest paid executive officers who were serving as executive officers on October 31, 1996, for the fiscal years ended October 31, 1996, July 31, 1995 and July 31, 1994 and for the three-month Transition Period ended October 31, 1995 ("TP95").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LONG TERM</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 COMPENSATION</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OTHER ANNUAL</w:t>
            </w: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6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SALARY</w:t>
            </w:r>
          </w:p>
        </w:tc>
        <w:tc>
          <w:tcPr>
            <w:tcW w:w="56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BONUS</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COMPENSATION</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RESTRICTED</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OPTIONS</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STOCK($)(3)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438,337(7)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256,669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673,373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20,065</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101,625(7)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189,938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643,632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29,028</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&amp; Chief Executive Officer</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380,000(7)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1,204,329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499,993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50,255</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355,304(7)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227,652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123,628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44,921</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239,550</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95,820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105,313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2,446</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Finance &amp;</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58,656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38,126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66,068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10,893</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227,370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159,159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34,174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13,222</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218,463</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87,385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22,176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37,385</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215,328</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83,729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281,971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2,026</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50,124</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32,581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305,299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8,238</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195,246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136,672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30,702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9,750</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179,976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89,988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7,982</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213,248</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83,263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2,084</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&amp; General</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51,610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33,547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31,642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9,443</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Manager, Irrigation Division</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201,990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141,393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12,655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11,513</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166,251</w:t>
            </w:r>
          </w:p>
        </w:tc>
        <w:tc>
          <w:tcPr>
            <w:tcW w:w="56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88,805(9)(10)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210,000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14,030</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223,754</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68,491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2,123</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52,155</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33,901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33,696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9,686</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205,752</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128,904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12,710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11,802</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133,344</w:t>
            </w:r>
          </w:p>
        </w:tc>
        <w:tc>
          <w:tcPr>
            <w:tcW w:w="56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76,807(10)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49,250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13,911</w:t>
            </w:r>
          </w:p>
        </w:tc>
      </w:tr>
      <w:tr>
        <w:trPr>
          <w:trHeight w:val="663"/>
        </w:trPr>
        <w:tc>
          <w:tcPr>
            <w:tcW w:w="4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PAYOUTS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4"/>
                <w:szCs w:val="14"/>
                <w:color w:val="auto"/>
              </w:rPr>
              <w:t>LTIP</w:t>
            </w: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ALL OTHER</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PAYOUTS</w:t>
            </w:r>
          </w:p>
        </w:tc>
        <w:tc>
          <w:tcPr>
            <w:tcW w:w="24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3"/>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361,390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157,106</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&amp; Chief Executive Officer</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427,964</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139,146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317,529</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100,029</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42,161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35,786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Finance &amp;</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50,680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43,350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38,089</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15,678</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37,878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37,380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43,520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42,461</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31,379</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40,903</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37,407</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11,640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&amp; General</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Manager, Irrigation Division</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45,023</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39,381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33,163</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45,862</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37,786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16,292</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35" w:lineRule="exact"/>
        <w:rPr>
          <w:sz w:val="20"/>
          <w:szCs w:val="20"/>
          <w:color w:val="auto"/>
        </w:rPr>
      </w:pPr>
    </w:p>
    <w:p>
      <w:pPr>
        <w:ind w:left="180" w:hanging="172"/>
        <w:spacing w:after="0"/>
        <w:tabs>
          <w:tab w:leader="none" w:pos="180"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right="4040" w:hanging="266"/>
        <w:spacing w:after="0" w:line="251" w:lineRule="auto"/>
        <w:tabs>
          <w:tab w:leader="none" w:pos="446" w:val="left"/>
        </w:tabs>
        <w:numPr>
          <w:ilvl w:val="1"/>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indicated include payments made or deferred at the election of the officer pursuant to the Annual Management Incentive Plan, as in effect for Fiscal 1996, the 1995 Annual Management Incentive Plan and the 1994 Management Recovery Incentive Plan. Bonus amounts paid under the Annual Management Incentive Plan for Fiscal 1996 and the Transition Period are based on an EPS goal. See the Compensation Committee Report. Amounts for the Transition Period reflect bonus awards made in lieu of awards under the Annual Management Incentive Plan and are based on achievement of a target EPS goal established by the Committee. These amounts also include bonus payments for the Transition Period in lieu of an award under the Continuous Performance Award Plan, which amounts are not included under the LTIP Payouts column. See the Compensation Committee Report.</w:t>
      </w:r>
    </w:p>
    <w:p>
      <w:pPr>
        <w:spacing w:after="0" w:line="162" w:lineRule="exact"/>
        <w:rPr>
          <w:rFonts w:ascii="Courier New" w:cs="Courier New" w:eastAsia="Courier New" w:hAnsi="Courier New"/>
          <w:sz w:val="14"/>
          <w:szCs w:val="14"/>
          <w:color w:val="auto"/>
        </w:rPr>
      </w:pPr>
    </w:p>
    <w:p>
      <w:pPr>
        <w:ind w:left="360" w:right="4040" w:hanging="266"/>
        <w:spacing w:after="0" w:line="251" w:lineRule="auto"/>
        <w:tabs>
          <w:tab w:leader="none" w:pos="446" w:val="left"/>
        </w:tabs>
        <w:numPr>
          <w:ilvl w:val="1"/>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dollar value of the difference between the fair market value and the option exercise price (before payment of applicable income taxes) on stock options exercised. Fair market value is based on the closing price on the New York Stock Exchange as reported in THE WALL STREET JOURNAL on the date of exercise or actual sale price. The value of executive perquisites otherwise reportable as Other Annual Compensation did not exceed $50,000 or 10% of the compensation reported in the table for any named individual.</w:t>
      </w:r>
    </w:p>
    <w:p>
      <w:pPr>
        <w:sectPr>
          <w:pgSz w:w="11900" w:h="16885" w:orient="portrait"/>
          <w:cols w:equalWidth="0" w:num="1">
            <w:col w:w="10940"/>
          </w:cols>
          <w:pgMar w:left="220" w:top="450" w:right="739" w:bottom="0" w:gutter="0" w:footer="0" w:header="0"/>
        </w:sectPr>
      </w:pPr>
    </w:p>
    <w:bookmarkStart w:id="519" w:name="page520"/>
    <w:bookmarkEnd w:id="519"/>
    <w:p>
      <w:pPr>
        <w:ind w:left="266" w:right="3519" w:hanging="266"/>
        <w:spacing w:after="0" w:line="251" w:lineRule="auto"/>
        <w:tabs>
          <w:tab w:leader="none" w:pos="352"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 column reflect the value of shares awarded as of the date of award. Award of restricted stock to Mr. Melrose is subject to performance-based conditions on vesting which, if not met, will result in forfeiture of shares. A total of 17,467 shares (having the value set forth in the table) were awarded to Mr. Melrose on July 31, 1995 under the Chief Executive Officer Succession Incentive Plan which was approved by stockholders in 1994. Those shares vest 15% not later than July 31, 1998, 15% not later than July 31, 1999 and 70% not later than July 31, 2000, but only if Mr. Melrose achieves performance</w:t>
      </w:r>
    </w:p>
    <w:p>
      <w:pPr>
        <w:spacing w:after="0" w:line="164" w:lineRule="exact"/>
        <w:rPr>
          <w:sz w:val="20"/>
          <w:szCs w:val="20"/>
          <w:color w:val="auto"/>
        </w:rPr>
      </w:pPr>
    </w:p>
    <w:p>
      <w:pPr>
        <w:ind w:left="3266"/>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45"/>
          </w:cols>
          <w:pgMar w:left="314" w:top="306" w:right="1440" w:bottom="1440" w:gutter="0" w:footer="0" w:header="0"/>
        </w:sectPr>
      </w:pPr>
    </w:p>
    <w:bookmarkStart w:id="520" w:name="page521"/>
    <w:bookmarkEnd w:id="520"/>
    <w:p>
      <w:pPr>
        <w:ind w:left="352" w:right="3339"/>
        <w:spacing w:after="0" w:line="250" w:lineRule="auto"/>
        <w:rPr>
          <w:sz w:val="20"/>
          <w:szCs w:val="20"/>
          <w:color w:val="auto"/>
        </w:rPr>
      </w:pPr>
      <w:r>
        <w:rPr>
          <w:rFonts w:ascii="Courier New" w:cs="Courier New" w:eastAsia="Courier New" w:hAnsi="Courier New"/>
          <w:sz w:val="14"/>
          <w:szCs w:val="14"/>
          <w:color w:val="auto"/>
        </w:rPr>
        <w:t>goals related to planning for and implementing a plan for his succession. Under that plan, the Company also granted Mr. Melrose performance units. See the Compensation Committee Report. The shares had a value of $548,027 at October 31, 1996. Mr. Hendrix was awarded 8,400 shares of Restricted Stock in Fiscal 1994 in connection with his becoming an employee of the Company. Shares were to vest 10% per year over ten years and shares not vested were subject to forfeiture upon termination of employment. The shares had a value of $263,550 at October 31, 1996. Mr. Hendrix resigned from the Company effective January 15, 1997 and consequently forfeited 5,880 shares not vested at that time. Mr. Lounsbury was awarded 2,000 shares of Restricted Stock in Fiscal 1994 in connection with his becoming an employee of the Company, which shares vested in their entirety on November 29, 1995. The shares had a value of $62,750 at October 31, 1996. All shares of restricted stock are held by the Company until performance goals have been achieved or other restrictions lapse. Dividends will be paid, if declared, on all shares of restricted stock reported. Amounts shown in the Summary Compensation Table and in this note are calculated by multiplying the closing price of one share of Common Stock on the New York Stock Exchange as reported in THE WALL STREET JOURNAL on the date of award and on October 31, 1996, times the number of shares awarded or held.</w:t>
      </w:r>
    </w:p>
    <w:p>
      <w:pPr>
        <w:spacing w:after="0" w:line="174" w:lineRule="exact"/>
        <w:rPr>
          <w:sz w:val="20"/>
          <w:szCs w:val="20"/>
          <w:color w:val="auto"/>
        </w:rPr>
      </w:pPr>
    </w:p>
    <w:p>
      <w:pPr>
        <w:ind w:left="352" w:right="3419" w:hanging="266"/>
        <w:spacing w:after="0" w:line="251" w:lineRule="auto"/>
        <w:tabs>
          <w:tab w:leader="none" w:pos="438"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pursuant to the Company's Continuous Performance Award Plan, which are subject to cancellation or reduction in the number of shares covered in the event the Company does not achieve its long-term performance goals. The number of shares covered by each option was reduced with respect to Fiscal 1996, 1995 and 1994. Also includes options granted pursuant to the Company's stock option plans.</w:t>
      </w:r>
    </w:p>
    <w:p>
      <w:pPr>
        <w:spacing w:after="0" w:line="164" w:lineRule="exact"/>
        <w:rPr>
          <w:rFonts w:ascii="Courier New" w:cs="Courier New" w:eastAsia="Courier New" w:hAnsi="Courier New"/>
          <w:sz w:val="14"/>
          <w:szCs w:val="14"/>
          <w:color w:val="auto"/>
        </w:rPr>
      </w:pPr>
    </w:p>
    <w:p>
      <w:pPr>
        <w:ind w:left="352" w:right="3339" w:hanging="266"/>
        <w:spacing w:after="0" w:line="251" w:lineRule="auto"/>
        <w:tabs>
          <w:tab w:leader="none" w:pos="438"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reflect payments made pursuant to the Continuous Performance Award Plan. Based on the Company's ROBE and net income growth performance compared with its peer group of businesses, payments of 70.4% of the maximum possible award amount were paid or deferred with respect to the three year performance period ending with Fiscal 1996. For a more detailed description of the plan and awards, see the Compensation Committee Report and Proposal Two.</w:t>
      </w:r>
    </w:p>
    <w:p>
      <w:pPr>
        <w:spacing w:after="0" w:line="329" w:lineRule="exact"/>
        <w:rPr>
          <w:rFonts w:ascii="Courier New" w:cs="Courier New" w:eastAsia="Courier New" w:hAnsi="Courier New"/>
          <w:sz w:val="14"/>
          <w:szCs w:val="14"/>
          <w:color w:val="auto"/>
        </w:rPr>
      </w:pPr>
    </w:p>
    <w:p>
      <w:pPr>
        <w:ind w:left="352" w:right="3339" w:hanging="266"/>
        <w:spacing w:after="0" w:line="250" w:lineRule="auto"/>
        <w:tabs>
          <w:tab w:leader="none" w:pos="438"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Company contributions to defined contribution retirement plans and the Company's Matching Stock Plan (which terminated on July 31, 1995 and was replaced by a similar feature in the Company's new Investment and Savings Plan) and allocations to the Company's Employee Stock Ownership Plan. Also includes amounts accrued pursuant to the Company's Supplemental Management Retirement Plan for executive officers who receive annual compensation of $150,000 or more.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Although deferred funds remain a part of the general assets of the Company, upon occurrence of a threat of or actual change of control of the Company (as defined in the plan), or upon election by a qualified participant to direct investment of the account, the Company will transfer to a trust an amount in cash equal to the total amount of all accrued benefits for all participants (or for the electing participant, as the case may be). Because the Company's benefit plans operate on a calendar basis, amounts shown for Fiscal 1996 may have been accrued with respect to the prior fiscal year.</w:t>
      </w:r>
    </w:p>
    <w:p>
      <w:pPr>
        <w:spacing w:after="0" w:line="173" w:lineRule="exact"/>
        <w:rPr>
          <w:rFonts w:ascii="Courier New" w:cs="Courier New" w:eastAsia="Courier New" w:hAnsi="Courier New"/>
          <w:sz w:val="14"/>
          <w:szCs w:val="14"/>
          <w:color w:val="auto"/>
        </w:rPr>
      </w:pPr>
    </w:p>
    <w:p>
      <w:pPr>
        <w:ind w:left="352" w:right="3519" w:hanging="266"/>
        <w:spacing w:after="0" w:line="255" w:lineRule="auto"/>
        <w:tabs>
          <w:tab w:leader="none" w:pos="438"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reflects the effect of the $100,000 salary reduction, as discussed in the Compensation Committee Report.</w:t>
      </w:r>
    </w:p>
    <w:p>
      <w:pPr>
        <w:spacing w:after="0" w:line="159" w:lineRule="exact"/>
        <w:rPr>
          <w:rFonts w:ascii="Courier New" w:cs="Courier New" w:eastAsia="Courier New" w:hAnsi="Courier New"/>
          <w:sz w:val="14"/>
          <w:szCs w:val="14"/>
          <w:color w:val="auto"/>
        </w:rPr>
      </w:pPr>
    </w:p>
    <w:p>
      <w:pPr>
        <w:ind w:left="352" w:right="3339" w:hanging="266"/>
        <w:spacing w:after="0" w:line="255" w:lineRule="auto"/>
        <w:tabs>
          <w:tab w:leader="none" w:pos="438"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as long-term incentive payments with respect to the Transition Period are included in the amount in the Bonus column. See note (1).</w:t>
      </w:r>
    </w:p>
    <w:p>
      <w:pPr>
        <w:spacing w:after="0" w:line="159" w:lineRule="exact"/>
        <w:rPr>
          <w:rFonts w:ascii="Courier New" w:cs="Courier New" w:eastAsia="Courier New" w:hAnsi="Courier New"/>
          <w:sz w:val="14"/>
          <w:szCs w:val="14"/>
          <w:color w:val="auto"/>
        </w:rPr>
      </w:pPr>
    </w:p>
    <w:p>
      <w:pPr>
        <w:ind w:left="352" w:right="3519" w:hanging="266"/>
        <w:spacing w:after="0" w:line="255" w:lineRule="auto"/>
        <w:tabs>
          <w:tab w:leader="none" w:pos="438"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payment made in connection with Mr. Hendrix becoming employed by the Company.</w:t>
      </w:r>
    </w:p>
    <w:p>
      <w:pPr>
        <w:spacing w:after="0" w:line="159" w:lineRule="exact"/>
        <w:rPr>
          <w:rFonts w:ascii="Courier New" w:cs="Courier New" w:eastAsia="Courier New" w:hAnsi="Courier New"/>
          <w:sz w:val="14"/>
          <w:szCs w:val="14"/>
          <w:color w:val="auto"/>
        </w:rPr>
      </w:pPr>
    </w:p>
    <w:p>
      <w:pPr>
        <w:ind w:left="352" w:right="3339" w:hanging="352"/>
        <w:spacing w:after="0" w:line="252" w:lineRule="auto"/>
        <w:tabs>
          <w:tab w:leader="none" w:pos="438"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Continuous Performance Award Plan payment with respect to one-year transition performance award. Payment is not included under LTIP Payouts column.</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450" w:right="1440" w:bottom="1440" w:gutter="0" w:footer="0" w:header="0"/>
        </w:sectPr>
      </w:pPr>
    </w:p>
    <w:bookmarkStart w:id="521" w:name="page522"/>
    <w:bookmarkEnd w:id="521"/>
    <w:p>
      <w:pPr>
        <w:ind w:right="3419" w:firstLine="517"/>
        <w:spacing w:after="0" w:line="251" w:lineRule="auto"/>
        <w:rPr>
          <w:sz w:val="20"/>
          <w:szCs w:val="20"/>
          <w:color w:val="auto"/>
        </w:rPr>
      </w:pPr>
      <w:r>
        <w:rPr>
          <w:rFonts w:ascii="Courier New" w:cs="Courier New" w:eastAsia="Courier New" w:hAnsi="Courier New"/>
          <w:sz w:val="14"/>
          <w:szCs w:val="14"/>
          <w:color w:val="auto"/>
        </w:rPr>
        <w:t>EMPLOYMENT AGREEMENTS. Each of the executive officers, including those named in the Summary Compensation Table, is a party to a change of control employment agreement adopted in Fiscal 1995 (the "Agreements").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64"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Each Agreement provides that for three years after a "change in control", there will be no adverse change in the executive's salary, bonus, opportunity, benefits or location of employment. If during this three-year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his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17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Generally, and subject to certain exceptions, a "change in control" is deemed to have occurred if: (i)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(ii) another party becomes the beneficial owner of at least 20% of Toro's outstanding voting stock; or (iii) Toro's 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a "change in control" of the Company had occurred at the commencement of the 1996 calendar year (January 1, 1996)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$8,022,762. The Company has also established a trust for the benefit of these officers which, in the event of a threatened or actual change of control, will be funded in an amount equal to the Company's accrued liability related to such Agreements.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522" w:name="page523"/>
    <w:bookmarkEnd w:id="522"/>
    <w:p>
      <w:pPr>
        <w:ind w:left="2860"/>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960" w:firstLine="517"/>
        <w:spacing w:after="0" w:line="255" w:lineRule="auto"/>
        <w:rPr>
          <w:sz w:val="20"/>
          <w:szCs w:val="20"/>
          <w:color w:val="auto"/>
        </w:rPr>
      </w:pPr>
      <w:r>
        <w:rPr>
          <w:rFonts w:ascii="Courier New" w:cs="Courier New" w:eastAsia="Courier New" w:hAnsi="Courier New"/>
          <w:sz w:val="14"/>
          <w:szCs w:val="14"/>
          <w:color w:val="auto"/>
        </w:rPr>
        <w:t>The following table summarizes options granted under the Company's stock option plans during Fiscal 1996 and the Transition Period.</w:t>
      </w:r>
    </w:p>
    <w:p>
      <w:pPr>
        <w:spacing w:after="0" w:line="16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OPTION GRANTS IN FISCAL 1996 AND TP95</w:t>
      </w:r>
    </w:p>
    <w:p>
      <w:pPr>
        <w:spacing w:after="0" w:line="200" w:lineRule="exact"/>
        <w:rPr>
          <w:sz w:val="20"/>
          <w:szCs w:val="20"/>
          <w:color w:val="auto"/>
        </w:rPr>
      </w:pPr>
    </w:p>
    <w:p>
      <w:pPr>
        <w:spacing w:after="0" w:line="3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INDIVIDUAL GRANTS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POTENTIAL REALIZABLE</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VALUE AT ASSUMED</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OPTIONS</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EXERCISE</w:t>
            </w:r>
          </w:p>
        </w:tc>
        <w:tc>
          <w:tcPr>
            <w:tcW w:w="1040" w:type="dxa"/>
            <w:vAlign w:val="bottom"/>
          </w:tcPr>
          <w:p>
            <w:pPr>
              <w:spacing w:after="0"/>
              <w:rPr>
                <w:sz w:val="14"/>
                <w:szCs w:val="14"/>
                <w:color w:val="auto"/>
              </w:rPr>
            </w:pPr>
          </w:p>
        </w:tc>
        <w:tc>
          <w:tcPr>
            <w:tcW w:w="206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ANNUAL RATES OF STOCK</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GRANTED TO</w:t>
            </w:r>
          </w:p>
        </w:tc>
        <w:tc>
          <w:tcPr>
            <w:tcW w:w="18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w w:val="94"/>
              </w:rPr>
              <w:t>OR</w:t>
            </w:r>
          </w:p>
        </w:tc>
        <w:tc>
          <w:tcPr>
            <w:tcW w:w="104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Courier New" w:cs="Courier New" w:eastAsia="Courier New" w:hAnsi="Courier New"/>
                <w:sz w:val="14"/>
                <w:szCs w:val="14"/>
                <w:color w:val="auto"/>
              </w:rPr>
              <w:t>PRICE APPRECIATION FOR</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EMPLOYEES</w:t>
            </w:r>
          </w:p>
        </w:tc>
        <w:tc>
          <w:tcPr>
            <w:tcW w:w="18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BASE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OPTION TERM</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GRANTED</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IN</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PRICE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EXPIRATION</w:t>
            </w:r>
          </w:p>
        </w:tc>
        <w:tc>
          <w:tcPr>
            <w:tcW w:w="100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PERIOD</w:t>
            </w:r>
          </w:p>
        </w:tc>
        <w:tc>
          <w:tcPr>
            <w:tcW w:w="11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PER SHARE)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 (2)</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 (2)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20,065(3)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41.14%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78,651</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$ 179,970</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29,028</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$ 232,576</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$ 513,934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2,446(3)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9,587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21,939</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10,893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87,276</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$ 192,858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2,026(3)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18,171</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8,238</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66,003</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$ 145,851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2,084(3)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18,692</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9,443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75,658</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$ 167,186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2,123(3)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8,321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19,041</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9,686</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77,605</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$ 177,488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780" w:hanging="352"/>
        <w:spacing w:after="0" w:line="250" w:lineRule="auto"/>
        <w:tabs>
          <w:tab w:leader="none" w:pos="360"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granted pursuant to the 1989 Stock Option Plan and the 1993 Stock Option Plan (the "plans"). The plans are administered by the Committee which selects employees to whom options are granted. The exercise price of each incentive and nonqualified stock option is equal to 100% of the fair market value of the Common Stock on the date of grant, except for performance-based stock options, such as those granted in connection with the Continuous Performance Award Plan, for which the exercise price is an average and on the date of grant could be higher or lower than fair market value. The options are not transferable except by will or the laws of descent and distribution. An option granted under any of the plans, except those granted in connection with the Continuous Performance Award Plan, may be exercised immediately after the date of grant in whole or in part from time to time until the expiration of the option. Most options are subject to cancellation upon termination of the option holder's employment; however, some nonqualified stock options can be exercised for up to four years following retirement at or after age 60, but not later than the expiration date of the option.</w:t>
      </w:r>
    </w:p>
    <w:p>
      <w:pPr>
        <w:spacing w:after="0" w:line="338" w:lineRule="exact"/>
        <w:rPr>
          <w:rFonts w:ascii="Courier New" w:cs="Courier New" w:eastAsia="Courier New" w:hAnsi="Courier New"/>
          <w:sz w:val="14"/>
          <w:szCs w:val="14"/>
          <w:color w:val="auto"/>
        </w:rPr>
      </w:pPr>
    </w:p>
    <w:p>
      <w:pPr>
        <w:ind w:left="360" w:right="3860" w:hanging="352"/>
        <w:spacing w:after="0" w:line="251" w:lineRule="auto"/>
        <w:tabs>
          <w:tab w:leader="none" w:pos="360"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the Securities and Exchange Commission (SEC) require the information set forth in the 5% and 10% columns. The actual gains, if any, on stock option exercises depend on the future performance of the Company's Common Stock. Since there is no means of accurately predicting the future price of the Company's Common Stock, no determination can be made as to the future value of a stock option at the time of grant.</w:t>
      </w:r>
    </w:p>
    <w:p>
      <w:pPr>
        <w:spacing w:after="0" w:line="164" w:lineRule="exact"/>
        <w:rPr>
          <w:rFonts w:ascii="Courier New" w:cs="Courier New" w:eastAsia="Courier New" w:hAnsi="Courier New"/>
          <w:sz w:val="14"/>
          <w:szCs w:val="14"/>
          <w:color w:val="auto"/>
        </w:rPr>
      </w:pPr>
    </w:p>
    <w:p>
      <w:pPr>
        <w:ind w:left="360" w:right="4040" w:hanging="352"/>
        <w:spacing w:after="0" w:line="251" w:lineRule="auto"/>
        <w:tabs>
          <w:tab w:leader="none" w:pos="360"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subject to reduction and option subject to expiration if performance goals are not achieved under the Continuous Performance Award Plan. Expected to become exercisable in December 1998, after the Company first makes a public announcement of its earnings for Fiscal 1997. Expiration date will be 90 days later. For more information, see the Compensation Committee Report and Proposal Two.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680"/>
          </w:cols>
          <w:pgMar w:left="220" w:top="449" w:right="999" w:bottom="1440" w:gutter="0" w:footer="0" w:header="0"/>
        </w:sectPr>
      </w:pPr>
    </w:p>
    <w:bookmarkStart w:id="523" w:name="page524"/>
    <w:bookmarkEnd w:id="523"/>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table summarizes stock options exercised by the named executive officers during Fiscal 1996 and the Transition Period and the total number of options held by each listed individual as of the end of each of Fiscal 1996 and the Transition Period.</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AGGREGATED OPTION EXERCISES IN FISCAL 1996 AND TP95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FISCAL YEAR-END OPTION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 UNEXERCISED</w:t>
            </w: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OPTIONS AT</w:t>
            </w:r>
          </w:p>
        </w:tc>
        <w:tc>
          <w:tcPr>
            <w:tcW w:w="2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IN-THE-MONEY OPTIONS AT</w:t>
            </w: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spacing w:after="0"/>
              <w:rPr>
                <w:sz w:val="14"/>
                <w:szCs w:val="14"/>
                <w:color w:val="auto"/>
              </w:rPr>
            </w:pPr>
          </w:p>
        </w:tc>
        <w:tc>
          <w:tcPr>
            <w:tcW w:w="2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FISCAL PERIOD END (#)</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PERIOD END ($)(1)</w:t>
            </w: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ACQUIRED ON</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VALUE</w:t>
            </w: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TITLE</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EXERCISE (#)</w:t>
            </w:r>
          </w:p>
        </w:tc>
        <w:tc>
          <w:tcPr>
            <w:tcW w:w="2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REALIZED ($) EXERCISABLE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UNEXERCISABLE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EXERCISABLE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UNEXERCISABLE</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10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  -------------  -----------  -----------  -------------  -----------  ------------</w:t>
            </w:r>
          </w:p>
        </w:tc>
      </w:tr>
      <w:tr>
        <w:trPr>
          <w:trHeight w:val="497"/>
        </w:trPr>
        <w:tc>
          <w:tcPr>
            <w:tcW w:w="190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29,310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673,373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309,280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168,665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4,463,157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2,190,202(2)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35,387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643,632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209,562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277,628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2,764,486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3,199,519(2)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105,313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422,369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63,087(2)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66,068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35,482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16,685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373,089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44,745(2)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14,358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281,971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30,182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280,261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50,771(2)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17,142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305,299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12,913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417,811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35,884(2)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24,901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7,239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142,352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56,047(2)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31,642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15,458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81,280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39,869(2)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25,541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144,603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57,408(2)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33,696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15,855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14,966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81,961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40,855(2)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419" w:hanging="352"/>
        <w:spacing w:after="0" w:line="252" w:lineRule="auto"/>
        <w:tabs>
          <w:tab w:leader="none" w:pos="360"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less option exercise price before payment of applicable income taxes. Market value based on October 31, 1996 and October 31, 1995 closing prices on the New York Stock Exchange as reported in The Wall Street Journal.</w:t>
      </w:r>
    </w:p>
    <w:p>
      <w:pPr>
        <w:spacing w:after="0" w:line="162" w:lineRule="exact"/>
        <w:rPr>
          <w:rFonts w:ascii="Courier New" w:cs="Courier New" w:eastAsia="Courier New" w:hAnsi="Courier New"/>
          <w:sz w:val="14"/>
          <w:szCs w:val="14"/>
          <w:color w:val="auto"/>
        </w:rPr>
      </w:pPr>
    </w:p>
    <w:p>
      <w:pPr>
        <w:jc w:val="both"/>
        <w:ind w:left="360" w:right="3419" w:hanging="352"/>
        <w:spacing w:after="0" w:line="255" w:lineRule="auto"/>
        <w:tabs>
          <w:tab w:leader="none" w:pos="360"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subject to reduction in number of shares and expiration if performance goals are not achieved under Continuous Performance Award Plan.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sectPr>
      </w:pPr>
    </w:p>
    <w:bookmarkStart w:id="524" w:name="page525"/>
    <w:bookmarkEnd w:id="524"/>
    <w:p>
      <w:pPr>
        <w:ind w:left="2080"/>
        <w:spacing w:after="0"/>
        <w:rPr>
          <w:sz w:val="20"/>
          <w:szCs w:val="20"/>
          <w:color w:val="auto"/>
        </w:rPr>
      </w:pPr>
      <w:r>
        <w:rPr>
          <w:rFonts w:ascii="Courier New" w:cs="Courier New" w:eastAsia="Courier New" w:hAnsi="Courier New"/>
          <w:sz w:val="14"/>
          <w:szCs w:val="14"/>
          <w:color w:val="auto"/>
        </w:rPr>
        <w:t>LONG-TERM INCENTIVE COMPENSATION</w:t>
      </w:r>
    </w:p>
    <w:p>
      <w:pPr>
        <w:spacing w:after="0" w:line="173" w:lineRule="exact"/>
        <w:rPr>
          <w:sz w:val="20"/>
          <w:szCs w:val="20"/>
          <w:color w:val="auto"/>
        </w:rPr>
      </w:pPr>
    </w:p>
    <w:p>
      <w:pPr>
        <w:ind w:right="3540" w:firstLine="517"/>
        <w:spacing w:after="0" w:line="251" w:lineRule="auto"/>
        <w:rPr>
          <w:sz w:val="20"/>
          <w:szCs w:val="20"/>
          <w:color w:val="auto"/>
        </w:rPr>
      </w:pPr>
      <w:r>
        <w:rPr>
          <w:rFonts w:ascii="Courier New" w:cs="Courier New" w:eastAsia="Courier New" w:hAnsi="Courier New"/>
          <w:sz w:val="14"/>
          <w:szCs w:val="14"/>
          <w:color w:val="auto"/>
        </w:rPr>
        <w:t>The following table summarizes all awards of long-term incentive compensation made under the Company's Continuous Performance Award Plan to the named individuals during Fiscal 1996. Amounts paid pursuant to the Continuous Performance Award Plan during Fiscal 1996 are set forth in the Summary Compensation Table which appears elsewhere in this Proxy Statement.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ESTIMATED FUTURE PAYOUTS</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PERFORMANCE OR</w:t>
            </w:r>
          </w:p>
        </w:tc>
        <w:tc>
          <w:tcPr>
            <w:tcW w:w="9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UNDER NON-STOCK</w:t>
            </w: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OTHER PERIOD</w:t>
            </w:r>
          </w:p>
        </w:tc>
        <w:tc>
          <w:tcPr>
            <w:tcW w:w="328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PRICE-BASED PLANS (3)</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UNTIL</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NUMBER OF SHARES, UNITS OR</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MATURATION OR</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THRESHOLD</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TARGET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320" w:type="dxa"/>
            <w:vAlign w:val="bottom"/>
          </w:tcPr>
          <w:p>
            <w:pPr>
              <w:ind w:left="440"/>
              <w:spacing w:after="0"/>
              <w:rPr>
                <w:sz w:val="20"/>
                <w:szCs w:val="20"/>
                <w:color w:val="auto"/>
              </w:rPr>
            </w:pPr>
            <w:r>
              <w:rPr>
                <w:rFonts w:ascii="Courier New" w:cs="Courier New" w:eastAsia="Courier New" w:hAnsi="Courier New"/>
                <w:sz w:val="14"/>
                <w:szCs w:val="14"/>
                <w:color w:val="auto"/>
              </w:rPr>
              <w:t>OTHER RIGHTS (#)</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PAYOUT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 OR #)</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 OR #)</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OR #)</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98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10,830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$ 405,620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$ 565,955</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(20,065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66,026</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Option(2,446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68,250</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(2,026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Award(1)(4)</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(2,084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68,250</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(2,123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360" w:hanging="352"/>
        <w:spacing w:after="0" w:line="250" w:lineRule="auto"/>
        <w:tabs>
          <w:tab w:leader="none" w:pos="360"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is the right to receive designated target percentages of annual salary at the end of the three year performance period if the Company achieves financial performance objectives based on return on beginning stockholders equity and net income growth compared with rankings of the Company's peer group of competitors, as established by the Compensation Committee pursuant to the Continuous Performance Award Plan. The value of an award is based on a participant's base compensation estimated to be paid during the last fiscal year of an award term (three years, except for transition awards), multiplied by an individual participation factor determined by the Committee within a range set by the plan, which is intended to reflect the participant's ability to implement policy decisions which influence the financial results of the Company or its divisions or subsidiaries. Each award recipient also receives an option to purchase the number of shares of the Company's Common Stock shown, if performance goals are achieved. See the Compensation Committee Report and Proposal Two for additional information on the Continuous Performance Award Plan.</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three year performance period includes Fiscal 1996, 1997 and 1998.</w:t>
      </w:r>
    </w:p>
    <w:p>
      <w:pPr>
        <w:spacing w:after="0" w:line="172" w:lineRule="exact"/>
        <w:rPr>
          <w:rFonts w:ascii="Courier New" w:cs="Courier New" w:eastAsia="Courier New" w:hAnsi="Courier New"/>
          <w:sz w:val="14"/>
          <w:szCs w:val="14"/>
          <w:color w:val="auto"/>
        </w:rPr>
      </w:pPr>
    </w:p>
    <w:p>
      <w:pPr>
        <w:ind w:left="360" w:right="3960" w:hanging="352"/>
        <w:spacing w:after="0" w:line="255" w:lineRule="auto"/>
        <w:tabs>
          <w:tab w:leader="none" w:pos="360"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pursuant to the Continuous Performance Award Plan based on estimated Fiscal 1998 salaries.</w:t>
      </w:r>
    </w:p>
    <w:p>
      <w:pPr>
        <w:spacing w:after="0" w:line="159" w:lineRule="exact"/>
        <w:rPr>
          <w:rFonts w:ascii="Courier New" w:cs="Courier New" w:eastAsia="Courier New" w:hAnsi="Courier New"/>
          <w:sz w:val="14"/>
          <w:szCs w:val="14"/>
          <w:color w:val="auto"/>
        </w:rPr>
      </w:pPr>
    </w:p>
    <w:p>
      <w:pPr>
        <w:ind w:left="360" w:right="4040" w:hanging="352"/>
        <w:spacing w:after="0" w:line="255" w:lineRule="auto"/>
        <w:tabs>
          <w:tab w:leader="none" w:pos="360"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Hendrix resigned from the Company effective January 15, 1997 and consequently forfeited this award and related option.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60"/>
          </w:cols>
          <w:pgMar w:left="220" w:top="450" w:right="1419" w:bottom="1440" w:gutter="0" w:footer="0" w:header="0"/>
        </w:sectPr>
      </w:pPr>
    </w:p>
    <w:bookmarkStart w:id="525" w:name="page526"/>
    <w:bookmarkEnd w:id="525"/>
    <w:p>
      <w:pPr>
        <w:ind w:left="268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graph depicts total cumulative stockholder return (assuming reinvestment of dividends) of the Company's Common Stock, the S&amp;P 500 Index and an industry peer index for the preceding five fiscal years commencing with Fiscal 1992. The industry peer index is based on the Fortune 500 Industrial and Farm Equipment Index, which is comprised of the companies listed below.</w:t>
      </w:r>
    </w:p>
    <w:p>
      <w:pPr>
        <w:spacing w:after="0" w:line="16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COMPARISON OF FIVE YEAR TOTAL RETURN AMONG</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TORO COMPANY, S&amp;P 500, AND PEER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TORO CO</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S&amp;P 500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PEER GROUP</w:t>
            </w:r>
          </w:p>
        </w:tc>
      </w:tr>
      <w:tr>
        <w:trPr>
          <w:trHeight w:val="331"/>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335" w:lineRule="exact"/>
        <w:rPr>
          <w:sz w:val="20"/>
          <w:szCs w:val="20"/>
          <w:color w:val="auto"/>
        </w:rPr>
      </w:pPr>
    </w:p>
    <w:p>
      <w:pPr>
        <w:ind w:left="440" w:right="3519" w:firstLine="345"/>
        <w:spacing w:after="0" w:line="255" w:lineRule="auto"/>
        <w:rPr>
          <w:sz w:val="20"/>
          <w:szCs w:val="20"/>
          <w:color w:val="auto"/>
        </w:rPr>
      </w:pPr>
      <w:r>
        <w:rPr>
          <w:rFonts w:ascii="Courier New" w:cs="Courier New" w:eastAsia="Courier New" w:hAnsi="Courier New"/>
          <w:sz w:val="14"/>
          <w:szCs w:val="14"/>
          <w:color w:val="auto"/>
        </w:rPr>
        <w:t>This graph assumes $100 invested on November 1, 1991 in the Company's Common Stock, the S&amp;P 500 Index and the peer group index.</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peer group includes: York International, Briggs &amp; Stratton, Stewart</w:t>
      </w:r>
    </w:p>
    <w:p>
      <w:pPr>
        <w:spacing w:after="0" w:line="7" w:lineRule="exact"/>
        <w:rPr>
          <w:sz w:val="20"/>
          <w:szCs w:val="20"/>
          <w:color w:val="auto"/>
        </w:rPr>
      </w:pPr>
    </w:p>
    <w:p>
      <w:pPr>
        <w:ind w:left="440" w:right="3339" w:hanging="1"/>
        <w:spacing w:after="0" w:line="251" w:lineRule="auto"/>
        <w:tabs>
          <w:tab w:leader="none" w:pos="612"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Stevenson Services, Dover Corp., Cummins Engine, Cincinnati Milacron Inc., Harnischfeger Industries Inc., Crane Co., Tecumseh Products Co., Ingersoll-Rand Co., Nacco Industries, Parker-Hannifin Corp., Terex Corp., Dresser Industries Inc., Trinova Corp., Deere &amp; Co., Timken Co., Baker-Hughes Inc., Caterpillar Inc., The Black &amp; Decker Corporation, American Standard, Western Atlas Inc., Agco Corporation, Kennametal Inc., Lincoln Electric, Teleflex, Detroit Diesel and Case Corporation as well as the Company. Pentair Corp., Figgie International, Outboard Marine Corp., IMO Industries Inc., Tenneco Inc. and Actava Group Inc. were removed from the Industrial and Farm Group Index in 1996 and Case Corporation was added.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Neither the Compensation Committee Report nor this Performance Graph shall be deemed to be "soliciting material" or to be filed with the SEC or subject to Regulation 14A or 14C under the Securities Exchange Act of 1934, or to the liabilities of Section 18 of that Act.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49" w:right="1440" w:bottom="1440" w:gutter="0" w:footer="0" w:header="0"/>
        </w:sectPr>
      </w:pPr>
    </w:p>
    <w:bookmarkStart w:id="526" w:name="page527"/>
    <w:bookmarkEnd w:id="526"/>
    <w:p>
      <w:pPr>
        <w:jc w:val="center"/>
        <w:ind w:right="3419"/>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Fiscal 1996, the members of the Compensation Committee all were outside members of the Board, and included Messrs. Olseth, Chairman, Baukol, Meyer and Nassau. Although Mr. Melrose is not a member of the Committee, he attends the meetings for the purpose of providing continuity and detailed information about employees and compensation plans. Mr. Melrose does not participate in any option grant or award decisions or any decisions of the Committee that might affect him personally. Mr. Melrose serves on the Board of Directors and Compensation Committee of BSI Corporation of which Mr. Olseth serves as president and chief executive officer. Mr. Olseth serves on the Board of Directors and is Chairman of the Compensation Committee of the Company.</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COMPENSATION COMMITTEE REPORT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Compensation Committee is responsible for establishing policies and administering the compensation plans for executive officers of the Company. The Company's compensation policies are intended to align total compensation for its executive officers and employees with the financial performance of the Company, as compared with the financial results and compensation practices of companies with revenues in the $500 million to $1 billion range. Some of these companies are in the Company's peer group index for the Performance Graph on page 15 (29 companies comprising the Fortune 500 Industrial and Farm Equipment Group). However, the Company relies on a broader group of companies for comparative analysis of executive compensation because the Committee believes that the Company's competitors for executive talent are more varied than its business peer group.</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While the policies of the Company are designed to compensate executive officers for personal performance, a substantial portion of annual compensation, especially that of the Chief Executive Officer, is designed to align the financial interests of the executive officers with those of the Company stockholders, by making certain components of compensation contingent upon the financial performance of the Company. The Company's compensation program for executive officers as well as other key management employees continues to be composed of both cash and equity-based compensation. Cash compensation consists of base salary, an annual incentive bonus under the Annual Management Incentive Plan and long-term incentive compensation under the Continuous Performance Award Plan. Equity-based compensation in the form of stock options constitutes an additional component of long-term incentive compensation.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Base salaries for executive officers, including the Chief Executive Officer, are initially established and thereafter are reviewed at least annually by the Committee. Based on independent evaluation by professional compensation consulting firms retained by the Company, a base salary range for each executive position is established, reflecting average base salaries for similar positions in businesses with revenues comparable to those of the Company. A base salary for each executive is set within that market range by considering the experience and individual performance of the executive. For Fiscal 1996 and the Transition Period, base salaries for executive officers were within the middle one-third of the market range.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Melrose's salary with respect to Fiscal 1996 was set at $438,337,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same method used in establishing other executive officers' base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salary, but reflecting a $100,000 reduction agreed on by the Committee and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Melrose in Fiscal 1992 to increase the "at risk" portion of Mr. Melrose's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Mr. Melrose's base salary was reduced in a total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 at a rate of $100,000 per calendar year through 1996, in exchange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he was granted a ten year salary replacement option to purchase 300,000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the Company's Common Stock. The final one-third of the ten year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vested in December 1996. The purpose of the option is to encourage Mr.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focus his attention 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527" w:name="page528"/>
    <w:bookmarkEnd w:id="527"/>
    <w:p>
      <w:pPr>
        <w:ind w:right="3339"/>
        <w:spacing w:after="0" w:line="252" w:lineRule="auto"/>
        <w:rPr>
          <w:sz w:val="20"/>
          <w:szCs w:val="20"/>
          <w:color w:val="auto"/>
        </w:rPr>
      </w:pPr>
      <w:r>
        <w:rPr>
          <w:rFonts w:ascii="Courier New" w:cs="Courier New" w:eastAsia="Courier New" w:hAnsi="Courier New"/>
          <w:sz w:val="14"/>
          <w:szCs w:val="14"/>
          <w:color w:val="auto"/>
        </w:rPr>
        <w:t>increasing stockholder value. For the purpose of calculating incentive compensation, Mr. Melrose's base salary was not reduced. His base salary for the Transition Period also reflected the salary reduction on a prorated basis.</w:t>
      </w:r>
    </w:p>
    <w:p>
      <w:pPr>
        <w:spacing w:after="0" w:line="16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The Committee conducts a performance evaluation of Mr. Melrose on an annual basis. The other named executive officers receive evaluations by Mr. Melrose, which are used by the Committee in establishing base salaries.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 executive of the Company will earn total compensation that is market competitive only if incentive compensation is earned. In order for an executive to earn incentive compensation sufficient to bring total compensation to average market levels, Company financial performance targets must be achieved. If targets are exceeded incentive compensation can result in above market level compensation.</w:t>
      </w:r>
    </w:p>
    <w:p>
      <w:pPr>
        <w:spacing w:after="0" w:line="327"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incentive components of compensation are intended to encourage achievement of both short-term and long-term objectives. Short-term performance is evaluated using performance goal criteria selected annually by the Committee from among those authorized in the Annual Management Incentive Plan as approved by stockholders. Long-term performance has traditionally been evaluated by reference to the Company's return on beginning equity ("ROBE") on a relative basis compared with the performance of the peer group over a three year period. In Fiscal 1996, net income growth was added to ROBE as a measure of long-term performance for awards granted in November of 1995 with respect to the performance award term including Fiscal 1996, 1997 and 1998. In November 1996 the Committee approved the modification of the long-term performance goals to eliminate net income growth, and the Board is seeking the approval of stockholders for the amendment. See Proposal Two.</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Fiscal 1996, 59% of Mr. Melrose's total cash compensation was comprised of incentive payments under the Company's short-term and long-term plans. If the Company had not met any of its performance goals and Mr. Melrose had received no incentive payments, his total cash compensation (including the $100,000 salary reduction) would have equaled only 44% of average market levels for total cash compensation paid to chief executive officers in businesses with revenues comparable to the Company's.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ANNUAL CASH INCENTIVE COMPENSATION. Under the Company's stockholder-approved Annual Management Incentive Plan, executive officers and other key employees are eligible to receive an annual cash bonus based on a percentage of base salary. The target amount of each award is determined by the executive officer's position, the Company's achievement of performance goals and, for certain participant's, division performance. If performance goals are exceeded, award amounts increase up to a pre-established maximum, but if goals are not met, awards are reduced or not paid at all. For instance, no awards were paid for Fiscal 1991 or 1992. Proposed participants in the Annual Management Incentive Plan are recommended by management and selected by the Committee.</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the Annual Management Incentive Plan as in effect for Fiscal 1996, the Compensation Committee established an earnings per share ("EPS") performance goal as the basis for a target award amount, and a ROANA goal as the basis for payment of higher award amounts. Because the Company met the EPS goal but did not exceed the ROANA goal, a bonus in an amount equal to an executive's target award was paid. If the ROANA goal had been exceeded, a bonus amount of up to 175% of the target amount could have been paid. If the EPS had been below a minimum level established by the Committee, no bonus would have been paid. In considering and certifying achievement of performance goals for Fiscal 1996, the Committee eliminated the dilutive effect on EPS of acquisitions which had not been planned at the beginning of the Company's fiscal year. An additional performance goal applicable to division participants was based on division controllable profit contribution ("CPC"). If this goal was achieved, the award payment would be increased by up to 25% of the target amount (up to a maximum of 175% of the target), but if the goal was not achieved, the award payment amount could be reduced by up to 40% of the target. For Fiscal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0" w:right="1440" w:bottom="1440" w:gutter="0" w:footer="0" w:header="0"/>
        </w:sectPr>
      </w:pPr>
    </w:p>
    <w:bookmarkStart w:id="528" w:name="page529"/>
    <w:bookmarkEnd w:id="528"/>
    <w:p>
      <w:pPr>
        <w:ind w:right="3339"/>
        <w:spacing w:after="0" w:line="251" w:lineRule="auto"/>
        <w:rPr>
          <w:sz w:val="20"/>
          <w:szCs w:val="20"/>
          <w:color w:val="auto"/>
        </w:rPr>
      </w:pPr>
      <w:r>
        <w:rPr>
          <w:rFonts w:ascii="Courier New" w:cs="Courier New" w:eastAsia="Courier New" w:hAnsi="Courier New"/>
          <w:sz w:val="14"/>
          <w:szCs w:val="14"/>
          <w:color w:val="auto"/>
        </w:rPr>
        <w:t>1996, some divisions achieved the CPC goal and others did not, which resulted in award payments made to division participants ranging from slightly more than the target amounts to substantially reduced payments. The Committee also has the discretion to reduce award payments made to division general managers, including certain named executive officers, by up to 10% in the event division performance is below Committee expectations, judged with respect to supplemental division performance goals specified in the plan. The Committee exercised this discretion with respect to Fiscal 1996.</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An executive's target award amount is based on a percentage of base salary, 50% for Mr. Melrose and 40% for the other named executive officers. The percentage is based on the executive's salary grade and job position and not on individual factors.</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Committee has adopted amendments to the Annual Management Incentive Plan, which are being submitted to stockholders for approval in Proposal Three of this Proxy Statement. The amendments add two additional performance goal criteria for Committee use in establishing Annual Performance Awards and modifying participation factors.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Committee established a performance goal based on EPS as the basis for payment of a bonus with respect to the Transition Period, with the opportunity for an increased payment only if EPS exceeded a designated amount. If EPS had been lower than a preestablished amount, no award payment would have been made. Target award amounts were based on participation factors established under the Annual Management Incentive Plan, applied to Transition Period base compensation. Because EPS was achieved within the target range, award amounts were paid at the target level, without increase or reduction, and Mr. Melrose received a bonus equal to 50% of his Transition Period earned base compensation.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LONG-TERM INCENTIVE COMPENSATION. Under the Continuous Performance Award Plan as in effect for the three year period ending with Fiscal 1996, performance awards could be earned by eligible executive officers if the Company achieved a financial goal based on average ROBE for the three year award term, as established by the Committee, and if the relative rank of the Company's average ROBE achieved compared favorably with ROBE rankings of all companies in the Company's peer group described above. The additional performance goal of net income growth was added with respect to Fiscal 1996 only, as approved by stockholders. The maximum value of a performance award (100%) could be earned only if the Company achieved performance goals that ranked among the top 25% of companies in the peer group. The amount of an award payment is reduced proportionately the lower the Company's performance ranks compared with the peer group, and no award is paid if the Company does not rank in the top 75%.</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Company's performance goals are achieved, the amount of an individual participant's award payment is determined based on the individual's participation factor, which is a percentage of base salary ranging from 25% to 100% established by the Committee based on the individual's position and level of responsibility. Mr. Melrose participates in the plan at a factor of 1.0 (one times base salary), which means that if the Company's ROBE and net income growth, weighted in accordance with the Committee's formula, rank in the top 25% of companies in the peer group, Mr. Melrose would receive a long-term incentive payment equal to his base salary during the last fiscal year of the award, as estimated in advance by the Committee.</w:t>
      </w:r>
    </w:p>
    <w:p>
      <w:pPr>
        <w:spacing w:after="0" w:line="163" w:lineRule="exact"/>
        <w:rPr>
          <w:sz w:val="20"/>
          <w:szCs w:val="20"/>
          <w:color w:val="auto"/>
        </w:rPr>
      </w:pPr>
    </w:p>
    <w:p>
      <w:pPr>
        <w:jc w:val="both"/>
        <w:ind w:right="3419" w:firstLine="517"/>
        <w:spacing w:after="0" w:line="250" w:lineRule="auto"/>
        <w:rPr>
          <w:sz w:val="20"/>
          <w:szCs w:val="20"/>
          <w:color w:val="auto"/>
        </w:rPr>
      </w:pPr>
      <w:r>
        <w:rPr>
          <w:rFonts w:ascii="Courier New" w:cs="Courier New" w:eastAsia="Courier New" w:hAnsi="Courier New"/>
          <w:sz w:val="14"/>
          <w:szCs w:val="14"/>
          <w:color w:val="auto"/>
        </w:rPr>
        <w:t>In Fiscal 1996, the Company's three year average ROBE performance ranked at the 57th percentile level among its peer group and its net income growth for Fiscal 1996 ranked at the 39th percentile, so that the amount of awards was</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70.4% of the potential maximum for each named executive officer, including Mr. Melrose. In Fiscal 1996, 34% of Mr. Melrose's cash compensation was comprised of payments pursuant to the Continuous Performance Award Plan. This award is reflected in the Summary Compensation Table.</w:t>
      </w:r>
    </w:p>
    <w:p>
      <w:pPr>
        <w:spacing w:after="0" w:line="162"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With respect to the Transition Period, the Committee used the same EPS performance goal established in connection with the Transition Period annual bonus described above, as the basis for a bonus in lieu</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0" w:right="1440" w:bottom="1440" w:gutter="0" w:footer="0" w:header="0"/>
        </w:sectPr>
      </w:pPr>
    </w:p>
    <w:bookmarkStart w:id="529" w:name="page530"/>
    <w:bookmarkEnd w:id="529"/>
    <w:p>
      <w:pPr>
        <w:ind w:right="3339"/>
        <w:spacing w:after="0" w:line="251" w:lineRule="auto"/>
        <w:rPr>
          <w:sz w:val="20"/>
          <w:szCs w:val="20"/>
          <w:color w:val="auto"/>
        </w:rPr>
      </w:pPr>
      <w:r>
        <w:rPr>
          <w:rFonts w:ascii="Courier New" w:cs="Courier New" w:eastAsia="Courier New" w:hAnsi="Courier New"/>
          <w:sz w:val="14"/>
          <w:szCs w:val="14"/>
          <w:color w:val="auto"/>
        </w:rPr>
        <w:t>of an award under the Continuous Performance Award Plan. The amount of this bonus was determined by applying the individual participation factors otherwise applicable to plan participants under the Continuous Performance Award Plan to base compensation for the Transition Period. If EPS had been lower than a preestablished amount, no bonus in lieu of the usual Continuous Performance Award Plan bonus would have been paid. If the EPS goal had been exceeded, however, the amount of this bonus would not have been increased. Because the EPS target was achieved, Mr. Melrose received a bonus equal to 100% of his Transition Period earned base compensation.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a Continuous Performance Award Plan formula, the Committee also grants to each participant a nonqualified stock option to purchase shares of Common Stock. If performance goals for the related performance award are not achieved, the number of shares subject to the option is reduced in accordance with the formula applicable to reduction of the Performance Award. The option is exercisable for only 90 days, following the Company's release of its earnings for the last year of the award term. Payment of the option exercise price is intended to be facilitated by the incentive compensation payments made near the time the option becomes exercisable. One of the purposes of this option is to encourage stock ownership by executive officers of the Company. No such options were awarded with respect to the Transition Period. Options related to the award payment made with respect to the three year period ended with Fiscal 1996 were reduced by 29.6%.</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Fiscal 1995, a special committee of the Committee recommended, and the Board and stockholders approved, a special incentive compensation plan for Mr. Melrose, to encourage him to remain with the Company until his 60th birthday on July 31, 2000, while assuring the timely development and election of his successor as chief executive officer of the Company. Under the Chief Executive Officer Succession Incentive Agreement, on July 31, 1995, Mr. Melrose was awarded 17,467 shares of Common Stock and Common Stock performance units having a fair market value of $500,000, subject to forfeiture or reduction in the event performance goals related to the development and implementation of a senior management succession plan and chief executive officer succession plan are not met by target dates beginning in Fiscal 1997 and continuing through July 31, 2000. During Fiscal 1996, the Committee met with the Board, including Mr. Melrose, to discuss the status of development of the succession plan, including considering the advice of an executive search consultant. The Committee noted that press reports had suggested that Mr. Melrose would be required to retire from employment with the Company not later than July 31, 2000 in connection with the election of a successor under the Plan. The agreement with Mr. Melrose does not require that he retire from employment with the Company at any particular date, and therefore the Committee recommended to the Board, and the Board agreed, that the understanding regarding Mr. Melrose's retirement be made clear that Mr. Melrose is not required to retire on July 31, 2000. The Board has advised the Committee that it wishes to proceed with an orderly transition of top management of the Company as Mr. Melrose nears retirement age.</w:t>
      </w:r>
    </w:p>
    <w:p>
      <w:pPr>
        <w:spacing w:after="0" w:line="176"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 OPTION PLANS. In addition to options granted in connection with the Continuous Performance Award Plan, the Committee makes stock option grants pursuant to the Company's stock option plans. Options are granted to all key management employees, including Mr. Melrose and the named executive officers, in amounts determined based on annual base salary, salary grade and the fair market value of the Common Stock on the date of grant. Except for performance-based options granted in connection with the Continuous Performance Award Plan, all options granted under the stock option plans have exercise prices that are equal to fair market value at the date of grant. In Fiscal 1996 and the Transition Period, Mr. Melrose was granted options to purchase a total of 49,093 shares pursuant to the plans.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162(M). Under Section 162(m) of the Code, no deduction by a publicly-held corporation is allowed for remuneration paid to certain highly compensated employees to the extent that the amount of such remuneration for a taxable year for such individual exceeds $1,000,000. Section 162(m) provides for the exclusion of performance-based compensation from remuneration that is otherwise subject to the deduction limitation. It is generally the policy of the Company that the components of executive compensation that are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0" w:right="1440" w:bottom="1440" w:gutter="0" w:footer="0" w:header="0"/>
        </w:sectPr>
      </w:pPr>
    </w:p>
    <w:bookmarkStart w:id="530" w:name="page531"/>
    <w:bookmarkEnd w:id="530"/>
    <w:p>
      <w:pPr>
        <w:ind w:right="3339"/>
        <w:spacing w:after="0" w:line="251" w:lineRule="auto"/>
        <w:rPr>
          <w:sz w:val="20"/>
          <w:szCs w:val="20"/>
          <w:color w:val="auto"/>
        </w:rPr>
      </w:pPr>
      <w:r>
        <w:rPr>
          <w:rFonts w:ascii="Courier New" w:cs="Courier New" w:eastAsia="Courier New" w:hAnsi="Courier New"/>
          <w:sz w:val="14"/>
          <w:szCs w:val="14"/>
          <w:color w:val="auto"/>
        </w:rPr>
        <w:t>inherently performance-based should qualify for the exclusion from the deduction limitation under Section 162(m). The Committee believes that the annual incentive awards, stock options and long-term incentive awards described above currently qualify for the exclusion. The Committee also believes that while tax deductibility is an important factor, it is not the sole factor to be considered in setting executive compensation policy, and accordingly reserves the right, in appropriate circumstances, to pay amounts, in addition to base salary, which might not be deductible.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Certain components of the incentive plan for the Transition Period resulting from the Company's change in fiscal year end were not submitted to stockholders. The Company anticipates that neither Transition Period incentive payments nor the remaining components of individual executive compensation during the Transition Period for each highly compensated employee should cause non-deductible compensation to exceed the Section 162(m) limitation for any such employee, and should therefore qualify for deductibility.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INCENTIVE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of the recommendations of the Committee with respect to compensation attributable to Fiscal 1996 were approved and adopted by the Board of Directors. In accordance with the Company's past practice under Section 16 of the Exchange Act and practice under Section 162(m), decisions regarding the grant of stock options and certain other awards continue to be made by the Committee and reported to the Board.</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Dale R. Olseth, Chairman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Ronald O. Baukol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Alex A. Meyer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Robert H. Nassau</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531" w:name="page532"/>
    <w:bookmarkEnd w:id="531"/>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AMENDMENTS TO THE CONTINUOUS PERFORMANCE AWARD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Continuous Performance Award Plan ("Performance Award Plan") (i) to modify the financial performance goals upon which awards may be based to eliminate net income growth as a performance measure, (ii) to establish a participation factor (the percentage of base salary utilized to determine the value of a participant's award) for Group Vice Presidents at .50 and (iii) to increase the participation factor for the Chief Financial Officer and other officers. Stockholder approval is sought to attempt to ensure that incentive bonus payments made under the Performance Award Plan continue to qualify as performance-based compensation for purposes of Section 162(m) of the Code. The plan was first adopted by the Board and approved by stockholders in 1991. The Board of Directors adopted amendments to the Performance Award Plan on November 19, 1996, subject to stockholder approval.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purpose of the Performance Award Plan is to provide an incentive to members of management of the Company who are primarily responsible for the management, growth and sound development of the business of the Company and its divisions and subsidiaries, to achieve the Company's long-term financial objectives, by making cash awards based on achievement of long-term performance goals ("Performance Awards").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If stockholder approval is not received, the Compensation Committee will reconsider the amendments to the Performance Award Plan as they apply to compensation that may be paid to any person referred to in Section 162(m) and the plan will continue in effect as to such persons, as previously approved by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PERFORMANCE AWARD PLAN</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following summary description of material terms of the Performance Award Plan, as amended, is subject to the specific provisions contained in the Performance Award Plan, a copy of which is Exhibit A of this Proxy Statement. Defined terms have the meanings set forth in the Performance Award Plan.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ELIGIBILITY AND ADMINISTRATION. Performance Awards may be made to any employee who has primary responsibility for and directly influences achievement of long-term financial results of the Company. Approximately 10 individuals currently receive Awards under the plan. The Performance Award Plan is administered by the Compensation Committee, which has the power to select employees to whom Performance Awards are made, to determine the terms of the Performance Awards, to prescribe rules and regulations relating to the Performance Award Plan and to construe and otherwise implement the Performance Award Plan.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AWARD TERM. Performance Awards are generally granted for a term of three fiscal years commencing on the first day of the first year of the term and are payable only at the conclusion of the term. For the purpose of bringing a person who has not previously participated in the Performance Award Plan into the three year award cycle of the Performance Award Plan, the Committee may grant a one year or two year transition award, so that a Performance Award will be payable, if earned, at the end of each fiscal year of an individual's participation. The Committee may grant successive three year awards to any participant, and may grant partial year awards to new participants. A Performance Award may not be granted to a person who is covered by Section 162(m) later than 90 days after the commencement of the period of service to which the Performance Award relates or, under certain circumstances, after more than 25% of the period of service has elapsed.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49" w:right="1440" w:bottom="1440" w:gutter="0" w:footer="0" w:header="0"/>
        </w:sectPr>
      </w:pPr>
    </w:p>
    <w:bookmarkStart w:id="532" w:name="page533"/>
    <w:bookmarkEnd w:id="532"/>
    <w:p>
      <w:pPr>
        <w:ind w:right="3339" w:firstLine="517"/>
        <w:spacing w:after="0" w:line="251" w:lineRule="auto"/>
        <w:rPr>
          <w:sz w:val="20"/>
          <w:szCs w:val="20"/>
          <w:color w:val="auto"/>
        </w:rPr>
      </w:pPr>
      <w:r>
        <w:rPr>
          <w:rFonts w:ascii="Courier New" w:cs="Courier New" w:eastAsia="Courier New" w:hAnsi="Courier New"/>
          <w:sz w:val="14"/>
          <w:szCs w:val="14"/>
          <w:color w:val="auto"/>
        </w:rPr>
        <w:t>AWARD VALUE AND PARTICIPATION FACTORS. The value of a Performance Award is based on a Participant's actual base compensation paid during the last fiscal year of an Award Term, multiplied by an individual participation factor either set in the plan or determined by the Committee within a range established by the plan, which is intended to reflect the participant's ability to implement policy decisions which influence the financial results of the Company, or of its divisions or subsidiaries, and the participant's relative seniority within management. For any participant who is a person referred to in Section 162(m), the maximum dollar amount that may be paid under a Performance Award must be fixed at the time of grant. Participation factors, as amended, are 1.0 (or 100% of base compensation) for the Chief Executive Officer, .75 for the President and Chief Operating Officer, if one should be elected, .50 for the Group Vice Presidents and the Chief Financial Officer and .25 to .35 for other officers, including other named executive officers.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PERFORMANCE GOALS. As amended, the Performance Award Plan provides that a Performance Award will be earned only if the Company achieves a financial performance goal based upon ROBE, as established by the Committee with respect to each Performance Award. The Committee amended the plan to eliminate net income growth compared to the peer group as a financial performance goal because the measure was too sensitive to extraordinary circumstances affecting companies in the peer group, leading to volatile results. The maximum value of a Performance Award ("Award Maximum") is earned if the Company achieves a ROBE that ranks on a percentile basis among the highest 75% of comparable earnings for corporations in the Industrial and Farm Equipment Group of the Fortune 500 (as reported for the calendar year ended during the applicable fiscal year of the Company). If the Company's ROBE ranks between the 75th and 50th percentile, the Award Payout will be reduced pro rata on a straight-line basis from 100% at the 75th percentile to two-thirds of the Award Maximum at the 50th percentile. If the Company's ROBE ranks between the 50th and 25th percentile, the Award Payout will be reduced further on a straight-line basis to zero at the 25th percentile, and at or below that level, no Award Payout will be made. No Award Payout may be earned by or paid to a participant during the first six months of any Award Term.</w:t>
      </w:r>
    </w:p>
    <w:p>
      <w:pPr>
        <w:spacing w:after="0" w:line="339"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MAXIMUM AWARD. The maximum dollar amount that may be paid to a participant with respect to any Performance Award is $1,500,000.</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Award payments are made only in cash and the Performance Award Plan contemplates payment within a reasonable time following the end of any Award Term. A participant can elect to defer compensation under the Performance Award Plan in accordance with any cash deferred compensation plan of the Company in effect at the time.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CHANGE OF CONTROL. Each Performance Award provides that in the event of a threatened or actual change of control of the Company (as defined in the Performance Award Plan) during the final six months of a one year Performance Award or after the first full year of the Award Term of any other Performance Award, the award will become immediately payable and the calculation of the amount to be paid will be based on the ROBE of the Company for the fiscal period then most recently ended.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MISCELLANEOUS. A Performance Award may not be transferred. A participant may receive payment pursuant to an award only while an employee and only if continuously employed since the date of grant of the Performance Award, except that in the event of death, disability or retirement, an Award Payout, if otherwise earned, will be made with respect to the portion of the applicable Award Term completed at the date of such event. In addition, in the event of involuntary termination of employment of a participant during the Award Term, for reasons other than death, disability or retirement, an Award Payout will be made with respect to the portion of the applicable Award Term completed at the date of such event, and the payment will be based on the ROBE of the Company for the fiscal period then most recently ended and the most recent Fortune 500 publication then available.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0" w:right="1440" w:bottom="1440" w:gutter="0" w:footer="0" w:header="0"/>
        </w:sectPr>
      </w:pPr>
    </w:p>
    <w:bookmarkStart w:id="533" w:name="page534"/>
    <w:bookmarkEnd w:id="533"/>
    <w:p>
      <w:pPr>
        <w:ind w:right="3339" w:firstLine="517"/>
        <w:spacing w:after="0" w:line="250" w:lineRule="auto"/>
        <w:rPr>
          <w:sz w:val="20"/>
          <w:szCs w:val="20"/>
          <w:color w:val="auto"/>
        </w:rPr>
      </w:pPr>
      <w:r>
        <w:rPr>
          <w:rFonts w:ascii="Courier New" w:cs="Courier New" w:eastAsia="Courier New" w:hAnsi="Courier New"/>
          <w:sz w:val="14"/>
          <w:szCs w:val="14"/>
          <w:color w:val="auto"/>
        </w:rPr>
        <w:t>STOCK OPTIONS. At the time of granting a Performance Award, the Committee will also grant to each participant a nonqualified stock option to purchase shares of Common Stock under the Company's then effective stock option plan, on terms and conditions permitted under such stock option plan. The number of shares to be covered by each stock option will be determined as follows: (i) the estimated base compensation of the participant for the first fiscal year of the Award Term will be multiplied by (ii) the participation factor applicable to the participant and the result will be multiplied by (iii) either 1.0 for a one year Award Term, 1.05 for a two year Award Term or 1.1 for a three year Award Term, and the result will be divided by (iv) the fair market value of one share of Common Stock, calculated by taking the average of the closing prices of the Common Stock for the three months prior to the date of grant. However, if the Company's ROBE performance as compared with other corporations comprising the Industrial and Farm Equipment Group of the Fortune 500 ranks below the 75th percentile, the number of shares subject to the option will be reduced on a formula basis as provided in the Performance Award Plan and becomes zero at or below the 25th percentile.</w:t>
      </w:r>
    </w:p>
    <w:p>
      <w:pPr>
        <w:spacing w:after="0" w:line="33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calculation of whether the ROBE performance goal has been achieved will be made and certified by the Committee promptly after the end of each fiscal year. Provided the Committee has done so, the option will become exercisable on the date the Company releases to the public its earnings for the prior fiscal year, and will remain exercisable until 90 days thereafter. In the event of a threatened or actual Change of Control of the Company, each option will become immediately exercisable in the full option amount, unless otherwise not permitted under the Company's then effective stock option plan or federal securities laws.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Performance Award Plan at any time, with or without advance notice to plan participants, provided that no amendment to the Plan will be effective that would increase the maximum amount that may be paid to a plan participant, that would change the financial performance goal or that would modify the requirements as to eligibility for participation, unless the stockholders of the Company approve such change in accordance with the requirements of Section 162(m).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BENEFITS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benefits or amounts that will be received by or allocated to the Chief Executive Officer, the named executive officers, executive officers and officers who are not executive officers under the Performance Award Plan are not presently determinable. Amounts received by Mr. Melrose and the named executive officers during the last fiscal year are set forth in the Summary Compensation Table on page 9 and the Long-Term Incentive Compensation Table on page 14. Amounts received by or allocated to the executive officers as a group, as of October 31, 1996, equaled $641,854. Amounts received by or allocated to all employees, including all officers who were not executive officers, as a group, as of October 31, 1996, equaled $673,573. No payments under this plan were made for the Transition Period. Directors who are not executive officers and employees of the Company do not receive benefits under the Performance Award Plan. Subject to the limitations imposed by Section 162(m), the Committee may amend the Performance Award Plan so that the allocation of benefits may be altered and costs may be increased.</w:t>
      </w:r>
    </w:p>
    <w:p>
      <w:pPr>
        <w:spacing w:after="0" w:line="328"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2. ALL PROXIES WILL BE VOTED FOR ITEM 2 UNLESS A CONTRARY CHOICE IS INDICATED.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0" w:right="1440" w:bottom="1440" w:gutter="0" w:footer="0" w:header="0"/>
        </w:sectPr>
      </w:pPr>
    </w:p>
    <w:bookmarkStart w:id="534" w:name="page535"/>
    <w:bookmarkEnd w:id="534"/>
    <w:p>
      <w:pPr>
        <w:jc w:val="center"/>
        <w:ind w:right="3339"/>
        <w:spacing w:after="0"/>
        <w:rPr>
          <w:sz w:val="20"/>
          <w:szCs w:val="20"/>
          <w:color w:val="auto"/>
        </w:rPr>
      </w:pPr>
      <w:r>
        <w:rPr>
          <w:rFonts w:ascii="Courier New" w:cs="Courier New" w:eastAsia="Courier New" w:hAnsi="Courier New"/>
          <w:sz w:val="14"/>
          <w:szCs w:val="14"/>
          <w:color w:val="auto"/>
        </w:rPr>
        <w:t>PROPOSAL THREE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TO THE ANNUAL MANAGEMENT INCENTIVE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Annual Management Incentive Plan (the "Annual Plan") (i) to add economic value added and division profit adjustment to the permissable financial performance goals upon which awards may be based and (ii) to eliminate fixed participation factors (percentages of base salary utilized to determine the value of a participant's award) for appointed officers and director level employees and to establish a range from 25% to 40% for participation factors for those employees. Stockholder approval is sought to attempt to ensure that incentives under the Annual Plan continue to qualify as performance-based compensation for purposes of Section 162(m) of the Code. The Annual Plan was approved by stockholders on March 12, 1996 and was amended by the Compensation Committee and the Board of Directors on January 20, 1997, subject to stockholder approval.</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purpose of the Annual Plan is to reinforce the financial goals of the Company by providing key employees, including executive officers, with an opportunity to earn financial rewards based upon the attainment of corporate, and in some cases, division goals.</w:t>
      </w:r>
    </w:p>
    <w:p>
      <w:pPr>
        <w:spacing w:after="0" w:line="16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If stockholder approval of the amendments to the Annual Plan is not received, the Compensation Committee will reconsider the amendments as they apply to compensation that may be paid to any person referred to in Section 162(m), and the Annual Plan will continue in effect as to such persons as previously approved by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ANNUAL PLAN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summary description of material terms of the Annual Plan, as amended, is subject to the specific provisions contained in the Annual Plan, a copy of which is Exhibit B of this Proxy Statement. Defined terms have the meanings set forth in the Annual Plan.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ELIGIBILITY AND PARTICIPATION. Participation is limited to key employees of the Company, including executive officers, who are in a position to have a significant, positive impact on the Company's financial results, as determined by the Committee. Approximately 67 individuals, including the Company's Chief Executive Officer and the named executive officers, currently receive awards under the Annual Plan.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AWARD AMOUNTS. The target amount "Target Payout" that may be paid with respect to an Annual Performance Award is determined by the Committee and is based on a percentage of a Plan Participant's annual base salary (a "participation factor"), within a range established by the Annual Plan and subject to adjustment as provided in the Annual Plan.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PERFORMANCE GOALS. An award payment under an Annual Performance Award will be made only upon the achievement of Company Performance Goals established by the Committee in writing not later than 90 days after the beginning of the fiscal year to which the Performance Goals relate. The Committee may also establish Maximum Payouts of up to 175% of Target Payouts in the event Performance Goals are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0" w:right="1440" w:bottom="1440" w:gutter="0" w:footer="0" w:header="0"/>
        </w:sectPr>
      </w:pPr>
    </w:p>
    <w:bookmarkStart w:id="535" w:name="page536"/>
    <w:bookmarkEnd w:id="535"/>
    <w:p>
      <w:pPr>
        <w:ind w:right="3339"/>
        <w:spacing w:after="0" w:line="251" w:lineRule="auto"/>
        <w:rPr>
          <w:sz w:val="20"/>
          <w:szCs w:val="20"/>
          <w:color w:val="auto"/>
        </w:rPr>
      </w:pPr>
      <w:r>
        <w:rPr>
          <w:rFonts w:ascii="Courier New" w:cs="Courier New" w:eastAsia="Courier New" w:hAnsi="Courier New"/>
          <w:sz w:val="14"/>
          <w:szCs w:val="14"/>
          <w:color w:val="auto"/>
        </w:rPr>
        <w:t>exceeded by an amount specified by the Committee. At the time Annual Performance Awards are made, the Committee may decrease Target Payouts by up to 40% or increase Maximum Payouts by up to 25% but not above 175%, for division vice presidents and managers to reflect division specific Performance Goals. The Committee has the discretion to reduce by up to 10% amounts that would otherwise be paid to a division vice president or general manager based on the Committee's evaluation of the quality of division performance. The Committee may establish curves or other measurements for determination of the amount of prorated payments for achievement of Performance Goals at less than the Target Payout or Maximum Payout. With respect to any Participant who is a person referred to in Section 162(m) of the Code, the Committee has the discretion to decrease the amount of an award payment under the Annual Plan, but may not under any circumstances increase such payment.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Performance Goals may be based on earnings per share (EPS), return on average net assets (ROANA), division controllable profit contribution, return on equity, revenue growth, earnings growth, division profit adjustment or economic value added (EVA). EVA and division profit adjustment are the performance goals added by the Committee for which stockholder approval is sought. EVA is a measure similar to the microeconomic concepts of economic profit and opportunity cost, which measure the economic return to stockholders on capital utilized in a company's operating units. Division profit adjustment is controllable profit contribution less interest which the Committee may use as a means to convert to EVA. Each performance goal is to be specifically defined by the Committee on a Company basis or division basis. Supplemental Performance Goals for division vice presidents and managers may be established by the Committee and may be based on division specific operating performance goals including revenue growth, sustained earnings, product warranty experience, product recalls or inventory levels.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MAXIMUM AWARD. To comply with Code limitations, the maximum amount a Plan Participant may be paid under an Annual Performance Award with respect to any fiscal year is $1,500,000.</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any Board-approved extraordinary or non-recurring event or item.</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Annual Plan at any time, with or without advance notice to Plan Participants, provided that no amendment to the Plan will be effective which would increase the maximum amount that may be paid to a Plan Participant, which would change the stated Performance Goal criteria or which would modify the requirements as to eligibility for participation, unless the stockholders of the Company approve such change in accordance with the requirements of Section 162(m).</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EFFECTIVE DATE OF THE PLAN. The Annual Plan first became effective on August 15, 1995. Any amendment to the Annual Plan will be effective on the date established by the Committee, subject to stockholder approval.</w:t>
      </w:r>
    </w:p>
    <w:p>
      <w:pPr>
        <w:spacing w:after="0" w:line="163"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PLAN BENEFITS. The benefits or amounts that will be received by or allocated to the Chief Executive Officer, the named executive officers and executive officers and officers who are not executive officers under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49" w:right="1440" w:bottom="1440" w:gutter="0" w:footer="0" w:header="0"/>
        </w:sectPr>
      </w:pPr>
    </w:p>
    <w:bookmarkStart w:id="536" w:name="page537"/>
    <w:bookmarkEnd w:id="536"/>
    <w:p>
      <w:pPr>
        <w:ind w:right="3339"/>
        <w:spacing w:after="0" w:line="251" w:lineRule="auto"/>
        <w:rPr>
          <w:sz w:val="20"/>
          <w:szCs w:val="20"/>
          <w:color w:val="auto"/>
        </w:rPr>
      </w:pPr>
      <w:r>
        <w:rPr>
          <w:rFonts w:ascii="Courier New" w:cs="Courier New" w:eastAsia="Courier New" w:hAnsi="Courier New"/>
          <w:sz w:val="14"/>
          <w:szCs w:val="14"/>
          <w:color w:val="auto"/>
        </w:rPr>
        <w:t>the Annual Plan as amended are not presently determinable. Amounts received by Mr. Melrose and the named executive officers during the last fiscal year are set forth in the Summary Compensation Table on page 9. Amounts received by or allocated to the executive officers as a group, as of October 31, 1996, equaled $885,195. Amounts received by or allocated to all employees, including all officers who were not executive officers, as a group, as of October 31, 1996, equaled $1,369,542. Directors who are not executive 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3. ALL PROXIES WILL BE VOTED FOR ITEM 3 UNLESS A CONTRARY CHOICE IS INDICATED.</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1997. Although it is not required to do so, the Board of Directors wishes to submit the selection of KPMG Peat Marwick LLP for stockholder approval at the meeting.</w:t>
      </w:r>
    </w:p>
    <w:p>
      <w:pPr>
        <w:spacing w:after="0" w:line="162"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if so desired, and to be available to respond to appropriate questions.</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4 UNLESS A CONTRARY CHOICE IS INDICATED.</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1998 ANNUAL MEETING</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1998 Annual Meeting of Stockholders is expected to be held on March 12, 1998. Unless the date of the 1998 Annual Meeting is changed, a stockholder proposal must be received by the Secretary of the Company no later than the close of business on October 13, 1997, in order to be included in the Company's Proxy Statement for the 1998 Annual Meeting. Procedures for nominations by a stockholder of a person for election as a director at the 1998 Annual Meeting, or any other meeting, are described on page 2.</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Exchange Act. Based solely on a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1996, except that a Form 4 report with respect to one transaction was inadvertently filed late on behalf of Stephen P. Wolfe, an executive officer of the 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0" w:right="1440" w:bottom="1440" w:gutter="0" w:footer="0" w:header="0"/>
        </w:sectPr>
      </w:pPr>
    </w:p>
    <w:bookmarkStart w:id="537" w:name="page538"/>
    <w:bookmarkEnd w:id="537"/>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pacing w:after="0" w:line="165"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Dated: February 10, 1997</w:t>
      </w:r>
      <w:r>
        <w:rPr>
          <w:sz w:val="20"/>
          <w:szCs w:val="20"/>
          <w:color w:val="auto"/>
        </w:rPr>
        <w:tab/>
      </w: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Counsel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0" w:right="1440" w:bottom="1440" w:gutter="0" w:footer="0" w:header="0"/>
        </w:sectPr>
      </w:pPr>
    </w:p>
    <w:bookmarkStart w:id="538" w:name="page539"/>
    <w:bookmarkEnd w:id="538"/>
    <w:p>
      <w:pPr>
        <w:jc w:val="center"/>
        <w:ind w:right="3339"/>
        <w:spacing w:after="0"/>
        <w:rPr>
          <w:sz w:val="20"/>
          <w:szCs w:val="20"/>
          <w:color w:val="auto"/>
        </w:rPr>
      </w:pPr>
      <w:r>
        <w:rPr>
          <w:rFonts w:ascii="Courier New" w:cs="Courier New" w:eastAsia="Courier New" w:hAnsi="Courier New"/>
          <w:sz w:val="14"/>
          <w:szCs w:val="14"/>
          <w:color w:val="auto"/>
        </w:rPr>
        <w:t>PROPOSAL THREE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TO THE ANNUAL MANAGEMENT INCENTIVE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Annual Management Incentive Plan (the "Annual Plan") (i) to add to the permissable financial performance goals upon which awards may be based and (ii) to modify the percentages of base salary ("participation factors") utilized to determine the value of a participant's award. Stockholder approval is sought to attempt to ensure that incentives under the Annual Plan continue to qualify as performance-based compensation for purposes of Section 162(m) of the Code. The Annual Plan was approved by stockholders on March 12, 1996 and was amended by the Compensation Committee and the Board of Directors on January 20, 1997, subject to stockholder approval.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purpose of the Annual Plan is to reinforce the financial goals of the Company by providing key employees, including executive officers, with an opportunity to earn financial rewards based upon the attainment of corporate, and in some cases, division goals.</w:t>
      </w:r>
    </w:p>
    <w:p>
      <w:pPr>
        <w:spacing w:after="0" w:line="16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If stockholder approval of the amendments to the Annual Plan is not received, the Compensation Committee will reconsider the amendments as they apply to compensation that may be paid to any person referred to in Section 162(m), and the Annual Plan will continue in effect as to such persons as previously approved by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ANNUAL PLAN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summary description of material terms of the Annual Plan, as amended, is subject to the specific provisions contained in the Annual Plan, a copy of which is Exhibit B of this Proxy Statement. Defined terms have the meanings set forth in the Annual Plan.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ELIGIBILITY AND PARTICIPATION. Participation is limited to key employees of the Company, including executive officers, who are in a position to have a significant, positive impact on the Company's financial results, as determined by the Committee. Approximately 67 individuals, including the Company's Chief Executive Officer and the named executive officers, currently receive awards under the Annual Plan.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AWARD AMOUNTS. The target amount "Target Payout" that may be paid with respect to an Annual Performance Award is determined by the Committee and is based on a percentage of a Plan Participant's annual base salary (a "participation factor"), within a range established by the Annual Plan and subject to adjustment as provided in the Annual Plan.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PERFORMANCE GOALS. An award payment under an Annual Performance Award will be made only upon the achievement of Company Performance Goals established by the Committee in writing not later than 90 days after the beginning of the fiscal year to which the Performance Goals relate. The Committee may also establish Maximum Payouts of up to 175% of Target Payouts in the event Performance Goals are exceeded by an amount specified by the Committee. At the time Annual Performance Awards are made, the Committee may decrease Target Payouts by up to 40% or and increase Maximum Payouts by up to 25% but not above 175%, for division vice presidents and managers to reflect division specific Performance Goals. The Committee has the discretion to reduce by up to 10% amounts that would otherwise be paid to a division</w:t>
      </w:r>
    </w:p>
    <w:p>
      <w:pPr>
        <w:sectPr>
          <w:pgSz w:w="11900" w:h="16838" w:orient="portrait"/>
          <w:cols w:equalWidth="0" w:num="1">
            <w:col w:w="10239"/>
          </w:cols>
          <w:pgMar w:left="220" w:top="449" w:right="1440" w:bottom="1440" w:gutter="0" w:footer="0" w:header="0"/>
        </w:sectPr>
      </w:pPr>
    </w:p>
    <w:bookmarkStart w:id="539" w:name="page540"/>
    <w:bookmarkEnd w:id="539"/>
    <w:p>
      <w:pPr>
        <w:ind w:right="3519"/>
        <w:spacing w:after="0" w:line="251" w:lineRule="auto"/>
        <w:rPr>
          <w:sz w:val="20"/>
          <w:szCs w:val="20"/>
          <w:color w:val="auto"/>
        </w:rPr>
      </w:pPr>
      <w:r>
        <w:rPr>
          <w:rFonts w:ascii="Courier New" w:cs="Courier New" w:eastAsia="Courier New" w:hAnsi="Courier New"/>
          <w:sz w:val="14"/>
          <w:szCs w:val="14"/>
          <w:color w:val="auto"/>
        </w:rPr>
        <w:t>vice presidents or general manager based on the Committee's evaluation of the quality of division performance. The Committee may establish curves or other measurements for determination of the amount of prorated payments for achievement of Performance Goals at less than the Target Payout or Maximum Payout. With respect to any Participant who is a person referred to in Section 162(m) of the Code, the Committee has the discretion to decrease the amount of an award payment under the Annual Plan, but may not under any circumstances increase such payment.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Performance Goals may be based on earnings per share (EPS), return on average net assets (ROANA), division controllable profit contribution, return on equity, revenue growth, earnings growth, division profit adjustment or economic value added (EVA). EVA and division profit adjustment are the performance goals added by the Committee for which stockholder approval is sought. EVA is a measure similar to the microeconomic concepts of economic profit and opportunity cost, which measure the economic return to stockholders on capital utilized in a company's operating units. Division profit adjustment is controllable profit contribution less interest which the Committee may use as a means to convert to EVA. Each performance goal is to be specifically defined by the Committee on a Company basis or division basis. Supplemental Performance Goals for division vice presidents and managers may be established by the Committee and may be based on division specific operating performance goals including revenue growth, sustained earnings, product warranty experience, product recalls or inventory levels.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MAXIMUM AWARD. To comply with Code limitations, the maximum amount a Plan Participant may be paid under an Annual Performance Award with respect to any fiscal year is $1,500,000.</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any Board-approved extraordinary or non-recurring event or item.</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Annual Plan at any time, with or without advance notice to Plan Participants, provided that no amendment to the Plan will be effective which would increase the maximum amount that may be paid to a Plan Participant, which would change the stated Performance Goal criteria or which would modify the requirements as to eligibility for participation, unless the stockholders of the Company approve such change in accordance with the requirements of Section 162(m).</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EFFECTIVE DATE OF THE PLAN. The Annual Plan first became effective on August 15, 1995. Any amendment to the Annual Plan will be effective on the date established by the Committee, subject to stockholder approval.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PLAN BENEFITS. The benefits or amounts that will be received by or allocated to the Chief Executive Officer, the named executive officers and executive officers and officers who are not executive officers under the Annual Plan as amended are not presently determinable. Amounts received by Mr. Melrose and the named executive officers during the last fiscal year are set forth in the Summary Compensation Table on page . Amounts received by or allocated to the executive officers as a group, as of October 31, 1996, equaled $885,195. Amounts received by or allocated to all employees, including all officers who were not executive officers, as a group, as of October 31, 1996, equaled $1,369,542. Directors who are not executive</w:t>
      </w:r>
    </w:p>
    <w:p>
      <w:pPr>
        <w:sectPr>
          <w:pgSz w:w="11900" w:h="16838" w:orient="portrait"/>
          <w:cols w:equalWidth="0" w:num="1">
            <w:col w:w="10239"/>
          </w:cols>
          <w:pgMar w:left="220" w:top="450" w:right="1440" w:bottom="1440" w:gutter="0" w:footer="0" w:header="0"/>
        </w:sectPr>
      </w:pPr>
    </w:p>
    <w:bookmarkStart w:id="540" w:name="page541"/>
    <w:bookmarkEnd w:id="540"/>
    <w:p>
      <w:pPr>
        <w:ind w:right="3519"/>
        <w:spacing w:after="0" w:line="252" w:lineRule="auto"/>
        <w:rPr>
          <w:sz w:val="20"/>
          <w:szCs w:val="20"/>
          <w:color w:val="auto"/>
        </w:rPr>
      </w:pPr>
      <w:r>
        <w:rPr>
          <w:rFonts w:ascii="Courier New" w:cs="Courier New" w:eastAsia="Courier New" w:hAnsi="Courier New"/>
          <w:sz w:val="14"/>
          <w:szCs w:val="14"/>
          <w:color w:val="auto"/>
        </w:rPr>
        <w:t>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3. ALL PROXIES WILL BE VOTED FOR ITEM 3 UNLESS A CONTRARY CHOICE IS INDICATED.</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1997. Although it is not required to do so, the Board of Directors wishes to submit the selection of KPMG Peat Marwick LLP for stockholder approval at the meeting.</w:t>
      </w:r>
    </w:p>
    <w:p>
      <w:pPr>
        <w:spacing w:after="0" w:line="162"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if so desired, and to be available to respond to appropriate questions.</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3 UNLESS A CONTRARY CHOICE IS INDICATED.</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1998 ANNUAL MEETING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The</w:t>
            </w:r>
          </w:p>
        </w:tc>
        <w:tc>
          <w:tcPr>
            <w:tcW w:w="1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1998 Annual Meeting of</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Stockholders is expected to be held on</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March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12, 1998.</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Unless</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the date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1998 Annual Meeting is changed, a stockholder</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proposal must be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received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Secretary of the Company no later than</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close of business on October</w:t>
            </w:r>
          </w:p>
        </w:tc>
        <w:tc>
          <w:tcPr>
            <w:tcW w:w="4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9, 1997, in order to be included in the Company's</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Proxy Statement for the 1998</w:t>
            </w:r>
          </w:p>
        </w:tc>
        <w:tc>
          <w:tcPr>
            <w:tcW w:w="3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Annual Meeting. Procedures for nominations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by a</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stockholder of a</w:t>
            </w:r>
          </w:p>
        </w:tc>
        <w:tc>
          <w:tcPr>
            <w:tcW w:w="530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person for election as a director at the 1998 Annual Meeting,</w:t>
            </w:r>
          </w:p>
        </w:tc>
      </w:tr>
      <w:tr>
        <w:trPr>
          <w:trHeight w:val="166"/>
        </w:trPr>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or any other meeting, are</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described on page   .</w:t>
            </w:r>
          </w:p>
        </w:tc>
        <w:tc>
          <w:tcPr>
            <w:tcW w:w="560" w:type="dxa"/>
            <w:vAlign w:val="bottom"/>
          </w:tcPr>
          <w:p>
            <w:pPr>
              <w:spacing w:after="0"/>
              <w:rPr>
                <w:sz w:val="14"/>
                <w:szCs w:val="14"/>
                <w:color w:val="auto"/>
              </w:rPr>
            </w:pPr>
          </w:p>
        </w:tc>
      </w:tr>
    </w:tbl>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Exchange Act. Based solely on a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1996, except that a Form 4 report with respect to one transaction was inadvertently filed late on behalf of Stephen P. Wolfe, an executive officer of the Company.</w:t>
      </w:r>
    </w:p>
    <w:p>
      <w:pPr>
        <w:sectPr>
          <w:pgSz w:w="11900" w:h="16838" w:orient="portrait"/>
          <w:cols w:equalWidth="0" w:num="1">
            <w:col w:w="10239"/>
          </w:cols>
          <w:pgMar w:left="220" w:top="450" w:right="1440" w:bottom="1440" w:gutter="0" w:footer="0" w:header="0"/>
        </w:sectPr>
      </w:pPr>
    </w:p>
    <w:bookmarkStart w:id="541" w:name="page542"/>
    <w:bookmarkEnd w:id="541"/>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ectPr>
          <w:pgSz w:w="11900" w:h="16838" w:orient="portrait"/>
          <w:cols w:equalWidth="0" w:num="1">
            <w:col w:w="10239"/>
          </w:cols>
          <w:pgMar w:left="220" w:top="450"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6, 1997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Counsel</w:t>
      </w:r>
    </w:p>
    <w:p>
      <w:pPr>
        <w:sectPr>
          <w:pgSz w:w="11900" w:h="16838" w:orient="portrait"/>
          <w:cols w:equalWidth="0" w:num="2">
            <w:col w:w="2820" w:space="720"/>
            <w:col w:w="6699"/>
          </w:cols>
          <w:pgMar w:left="220" w:top="450" w:right="1440" w:bottom="1440" w:gutter="0" w:footer="0" w:header="0"/>
          <w:type w:val="continuous"/>
        </w:sectPr>
      </w:pPr>
    </w:p>
    <w:bookmarkStart w:id="542" w:name="page543"/>
    <w:bookmarkEnd w:id="542"/>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173" w:lineRule="exact"/>
        <w:rPr>
          <w:sz w:val="20"/>
          <w:szCs w:val="20"/>
          <w:color w:val="auto"/>
        </w:rPr>
      </w:pPr>
    </w:p>
    <w:p>
      <w:pPr>
        <w:ind w:left="360" w:right="3339" w:hanging="352"/>
        <w:spacing w:after="0" w:line="251" w:lineRule="auto"/>
        <w:tabs>
          <w:tab w:leader="none" w:pos="360"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64"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 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5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62"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64"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620" w:right="3339" w:hanging="267"/>
        <w:spacing w:after="0" w:line="250" w:lineRule="auto"/>
        <w:tabs>
          <w:tab w:leader="none" w:pos="620" w:val="left"/>
        </w:tabs>
        <w:numPr>
          <w:ilvl w:val="1"/>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may grant, in addition to a three year Performance Award, a Performance Award having a term of one fiscal year and a Performance Award having a term of two fiscal years, such that an award will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450" w:right="1440" w:bottom="1440" w:gutter="0" w:footer="0" w:header="0"/>
        </w:sectPr>
      </w:pPr>
    </w:p>
    <w:bookmarkStart w:id="543" w:name="page544"/>
    <w:bookmarkEnd w:id="543"/>
    <w:p>
      <w:pPr>
        <w:ind w:left="260" w:right="3339"/>
        <w:spacing w:after="0" w:line="251"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subparagraph 4.c.ii hereof.</w:t>
      </w:r>
    </w:p>
    <w:p>
      <w:pPr>
        <w:spacing w:after="0" w:line="164" w:lineRule="exact"/>
        <w:rPr>
          <w:sz w:val="20"/>
          <w:szCs w:val="20"/>
          <w:color w:val="auto"/>
        </w:rPr>
      </w:pPr>
    </w:p>
    <w:p>
      <w:pPr>
        <w:jc w:val="both"/>
        <w:ind w:left="260" w:right="3339" w:hanging="257"/>
        <w:spacing w:after="0" w:line="252" w:lineRule="auto"/>
        <w:rPr>
          <w:sz w:val="20"/>
          <w:szCs w:val="20"/>
          <w:color w:val="auto"/>
        </w:rPr>
      </w:pPr>
      <w:r>
        <w:rPr>
          <w:rFonts w:ascii="Courier New" w:cs="Courier New" w:eastAsia="Courier New" w:hAnsi="Courier New"/>
          <w:sz w:val="14"/>
          <w:szCs w:val="14"/>
          <w:color w:val="auto"/>
        </w:rPr>
        <w:t>b. DATE OF GRANT. Except as otherwise permitted under this Plan, Performance Awards, whether one year, two year or three year awards, shall be granted as of the date which marks the first day of any Award Term.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BASIS OF AWARD.</w:t>
      </w:r>
    </w:p>
    <w:p>
      <w:pPr>
        <w:spacing w:after="0" w:line="173" w:lineRule="exact"/>
        <w:rPr>
          <w:sz w:val="20"/>
          <w:szCs w:val="20"/>
          <w:color w:val="auto"/>
        </w:rPr>
      </w:pPr>
    </w:p>
    <w:p>
      <w:pPr>
        <w:ind w:left="760" w:right="3339" w:hanging="509"/>
        <w:spacing w:after="0" w:line="251" w:lineRule="auto"/>
        <w:tabs>
          <w:tab w:leader="none" w:pos="760"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participation factor, which represents a percentage of base compensation (such as .25 for 25% of base compensation) determined by the Committee at the time an award is granted, which is intended to reflect the Participant's ability to influence the financial results of the Company or of its divisions or subsidiaries and the Participant's relative seniority within management.</w:t>
      </w:r>
    </w:p>
    <w:p>
      <w:pPr>
        <w:spacing w:after="0" w:line="328" w:lineRule="exact"/>
        <w:rPr>
          <w:rFonts w:ascii="Courier New" w:cs="Courier New" w:eastAsia="Courier New" w:hAnsi="Courier New"/>
          <w:sz w:val="14"/>
          <w:szCs w:val="14"/>
          <w:color w:val="auto"/>
        </w:rPr>
      </w:pPr>
    </w:p>
    <w:p>
      <w:pPr>
        <w:ind w:left="7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With respect to a Performance Award granted to a person referred to in Section 162(m), the maximum dollar amount of the Award Maximum shall be set by the Committee at the time of grant of a Performance Award and the Committee shall have the discretion to decrease this maximum dollar amount but may not increase such amount with respect to a Performance Award granted to a person referred to in Section 162(m). The participation factors applicable to such persons, which are intended to reflect a Plan Participant's level of responsibility, are 1.0 for the Chairman and Chief Executive Officer, .75 for the President and Chief Operating Officer, if one should be elected, .50 for the Group Vice Presidents and Chief Financial Officer, and .25 to .35 for other officers, including other named executive officers.</w:t>
      </w:r>
    </w:p>
    <w:p>
      <w:pPr>
        <w:spacing w:after="0" w:line="328" w:lineRule="exact"/>
        <w:rPr>
          <w:rFonts w:ascii="Courier New" w:cs="Courier New" w:eastAsia="Courier New" w:hAnsi="Courier New"/>
          <w:sz w:val="14"/>
          <w:szCs w:val="14"/>
          <w:color w:val="auto"/>
        </w:rPr>
      </w:pPr>
    </w:p>
    <w:p>
      <w:pPr>
        <w:ind w:left="760" w:right="3339" w:hanging="509"/>
        <w:spacing w:after="0" w:line="250" w:lineRule="auto"/>
        <w:tabs>
          <w:tab w:leader="none" w:pos="760"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as compared with other similarly classified Fortune 500 companies (the "Performance Goal"), and the amount that shall be paid (the "Award Payout")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72" w:lineRule="exact"/>
        <w:rPr>
          <w:rFonts w:ascii="Courier New" w:cs="Courier New" w:eastAsia="Courier New" w:hAnsi="Courier New"/>
          <w:sz w:val="14"/>
          <w:szCs w:val="14"/>
          <w:color w:val="auto"/>
        </w:rPr>
      </w:pPr>
    </w:p>
    <w:p>
      <w:pPr>
        <w:ind w:left="7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In no case shall the Award Payout with respect to a Performance Award granted to a person referred to in Section 162(m) exceed the maximum dollar amount established by the Committee in accordance with the Special Rule set forth in subparagraph 4.c.i. or set forth in subparagraph 4.e.</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9879"/>
          </w:cols>
          <w:pgMar w:left="580" w:top="450" w:right="1440" w:bottom="1440" w:gutter="0" w:footer="0" w:header="0"/>
        </w:sectPr>
      </w:pPr>
    </w:p>
    <w:bookmarkStart w:id="544" w:name="page545"/>
    <w:bookmarkEnd w:id="544"/>
    <w:p>
      <w:pPr>
        <w:ind w:left="7"/>
        <w:spacing w:after="0"/>
        <w:rPr>
          <w:sz w:val="20"/>
          <w:szCs w:val="20"/>
          <w:color w:val="auto"/>
        </w:rPr>
      </w:pPr>
      <w:r>
        <w:rPr>
          <w:rFonts w:ascii="Courier New" w:cs="Courier New" w:eastAsia="Courier New" w:hAnsi="Courier New"/>
          <w:sz w:val="14"/>
          <w:szCs w:val="14"/>
          <w:color w:val="auto"/>
        </w:rPr>
        <w:t>d. CALCULATION OF AWARD PAYMENT.</w:t>
      </w:r>
    </w:p>
    <w:p>
      <w:pPr>
        <w:spacing w:after="0" w:line="173" w:lineRule="exact"/>
        <w:rPr>
          <w:sz w:val="20"/>
          <w:szCs w:val="20"/>
          <w:color w:val="auto"/>
        </w:rPr>
      </w:pPr>
    </w:p>
    <w:p>
      <w:pPr>
        <w:ind w:left="767" w:right="3339" w:hanging="509"/>
        <w:spacing w:after="0" w:line="250" w:lineRule="auto"/>
        <w:tabs>
          <w:tab w:leader="none" w:pos="767" w:val="left"/>
        </w:tabs>
        <w:numPr>
          <w:ilvl w:val="1"/>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for each fiscal year shall be converted to a percentile score (the "Percentile Score") by comparing the ROBE to comparable data for all companies in the Industrial and Farm Equipment Group of Fortune 500 (as reported for the calendar year ended during such fiscal year). The one year Percentile Score shall be used to determine the Award Payout with respect to a one year Award Term and the average of the Percentile Scores for a two or three year Award Term shall be used in determining the Award Payout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Payout with respect to a Performance Award covering two or three fiscal years shall not be earned or paid until the completion of the final fiscal year of the Award Term. However, no Award Payout will be earned or paid to any participant during the first six months of any Award Term.</w:t>
      </w:r>
    </w:p>
    <w:p>
      <w:pPr>
        <w:spacing w:after="0" w:line="176" w:lineRule="exact"/>
        <w:rPr>
          <w:rFonts w:ascii="Courier New" w:cs="Courier New" w:eastAsia="Courier New" w:hAnsi="Courier New"/>
          <w:sz w:val="14"/>
          <w:szCs w:val="14"/>
          <w:color w:val="auto"/>
        </w:rPr>
      </w:pPr>
    </w:p>
    <w:p>
      <w:pPr>
        <w:ind w:left="767" w:right="3339" w:hanging="509"/>
        <w:spacing w:after="0" w:line="251" w:lineRule="auto"/>
        <w:tabs>
          <w:tab w:leader="none" w:pos="767" w:val="left"/>
        </w:tabs>
        <w:numPr>
          <w:ilvl w:val="1"/>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4.d., any individual who has participated in the Plan for less than a full fiscal year during a one year Award Term shall receive a payment only for that portion of the fiscal year during which the individual was a Participant (expressed as a percentage and based on a 360 day year).</w:t>
      </w:r>
    </w:p>
    <w:p>
      <w:pPr>
        <w:spacing w:after="0" w:line="164" w:lineRule="exact"/>
        <w:rPr>
          <w:rFonts w:ascii="Courier New" w:cs="Courier New" w:eastAsia="Courier New" w:hAnsi="Courier New"/>
          <w:sz w:val="14"/>
          <w:szCs w:val="14"/>
          <w:color w:val="auto"/>
        </w:rPr>
      </w:pPr>
    </w:p>
    <w:p>
      <w:pPr>
        <w:ind w:left="267" w:right="3419" w:hanging="267"/>
        <w:spacing w:after="0" w:line="251" w:lineRule="auto"/>
        <w:tabs>
          <w:tab w:leader="none" w:pos="267"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Participant may be paid under a Performance Award with respect to any Award Term is $1,500,000. The Committee may in its discretion, decrease this maximum, but may not under any circumstances increase this maximum.</w:t>
      </w:r>
    </w:p>
    <w:p>
      <w:pPr>
        <w:spacing w:after="0" w:line="164" w:lineRule="exact"/>
        <w:rPr>
          <w:rFonts w:ascii="Courier New" w:cs="Courier New" w:eastAsia="Courier New" w:hAnsi="Courier New"/>
          <w:sz w:val="14"/>
          <w:szCs w:val="14"/>
          <w:color w:val="auto"/>
        </w:rPr>
      </w:pPr>
    </w:p>
    <w:p>
      <w:pPr>
        <w:ind w:left="267" w:right="3519" w:hanging="267"/>
        <w:spacing w:after="0" w:line="251" w:lineRule="auto"/>
        <w:tabs>
          <w:tab w:leader="none" w:pos="267"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Subject to the provisions of subparagraph 4.g.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w:t>
      </w:r>
    </w:p>
    <w:p>
      <w:pPr>
        <w:spacing w:after="0" w:line="163" w:lineRule="exact"/>
        <w:rPr>
          <w:rFonts w:ascii="Courier New" w:cs="Courier New" w:eastAsia="Courier New" w:hAnsi="Courier New"/>
          <w:sz w:val="14"/>
          <w:szCs w:val="14"/>
          <w:color w:val="auto"/>
        </w:rPr>
      </w:pPr>
    </w:p>
    <w:p>
      <w:pPr>
        <w:ind w:left="267" w:right="3339" w:hanging="267"/>
        <w:spacing w:after="0" w:line="250" w:lineRule="auto"/>
        <w:tabs>
          <w:tab w:leader="none" w:pos="267"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 year Award Term, any such Performance Award shall become immediately payable and the calculation of the amount payable shall be based on the ROBE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w:t>
      </w:r>
    </w:p>
    <w:p>
      <w:pPr>
        <w:spacing w:after="0" w:line="4" w:lineRule="exact"/>
        <w:rPr>
          <w:rFonts w:ascii="Courier New" w:cs="Courier New" w:eastAsia="Courier New" w:hAnsi="Courier New"/>
          <w:sz w:val="14"/>
          <w:szCs w:val="14"/>
          <w:color w:val="auto"/>
        </w:rPr>
      </w:pPr>
    </w:p>
    <w:p>
      <w:pPr>
        <w:ind w:left="267"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w:t>
      </w:r>
    </w:p>
    <w:p>
      <w:pPr>
        <w:spacing w:after="0" w:line="164" w:lineRule="exact"/>
        <w:rPr>
          <w:sz w:val="20"/>
          <w:szCs w:val="20"/>
          <w:color w:val="auto"/>
        </w:rPr>
      </w:pPr>
    </w:p>
    <w:p>
      <w:pPr>
        <w:ind w:left="2927"/>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9886"/>
          </w:cols>
          <w:pgMar w:left="573" w:top="449" w:right="1440" w:bottom="1440" w:gutter="0" w:footer="0" w:header="0"/>
        </w:sectPr>
      </w:pPr>
    </w:p>
    <w:bookmarkStart w:id="545" w:name="page546"/>
    <w:bookmarkEnd w:id="545"/>
    <w:p>
      <w:pPr>
        <w:ind w:left="612" w:right="3679"/>
        <w:spacing w:after="0" w:line="252" w:lineRule="auto"/>
        <w:rPr>
          <w:sz w:val="20"/>
          <w:szCs w:val="20"/>
          <w:color w:val="auto"/>
        </w:rPr>
      </w:pPr>
      <w:r>
        <w:rPr>
          <w:rFonts w:ascii="Courier New" w:cs="Courier New" w:eastAsia="Courier New" w:hAnsi="Courier New"/>
          <w:sz w:val="14"/>
          <w:szCs w:val="14"/>
          <w:color w:val="auto"/>
        </w:rPr>
        <w:t>thereof, that causes the persons who were directors of the Company immediately before such Change of Control to cease to constitute a majority of the Board of Directors of the Company or any parent of or successor to the Company.</w:t>
      </w:r>
    </w:p>
    <w:p>
      <w:pPr>
        <w:spacing w:after="0" w:line="162" w:lineRule="exact"/>
        <w:rPr>
          <w:sz w:val="20"/>
          <w:szCs w:val="20"/>
          <w:color w:val="auto"/>
        </w:rPr>
      </w:pPr>
    </w:p>
    <w:p>
      <w:pPr>
        <w:ind w:left="612" w:right="3339" w:hanging="257"/>
        <w:spacing w:after="0" w:line="251" w:lineRule="auto"/>
        <w:rPr>
          <w:sz w:val="20"/>
          <w:szCs w:val="20"/>
          <w:color w:val="auto"/>
        </w:rPr>
      </w:pPr>
      <w:r>
        <w:rPr>
          <w:rFonts w:ascii="Courier New" w:cs="Courier New" w:eastAsia="Courier New" w:hAnsi="Courier New"/>
          <w:sz w:val="14"/>
          <w:szCs w:val="14"/>
          <w:color w:val="auto"/>
        </w:rPr>
        <w:t>h. 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64" w:lineRule="exact"/>
        <w:rPr>
          <w:sz w:val="20"/>
          <w:szCs w:val="20"/>
          <w:color w:val="auto"/>
        </w:rPr>
      </w:pPr>
    </w:p>
    <w:p>
      <w:pPr>
        <w:ind w:left="1112" w:right="3419" w:hanging="509"/>
        <w:spacing w:after="0" w:line="251" w:lineRule="auto"/>
        <w:tabs>
          <w:tab w:leader="none" w:pos="1112" w:val="left"/>
        </w:tabs>
        <w:numPr>
          <w:ilvl w:val="2"/>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Payout shall be made if otherwise earned in accordance with subparagraph 4.d. hereof, with respect to the portion of the applicable Award Term completed at the date of such event (based on a 360 day year and expressed as a percentage). The amount shall be calculated and paid in accordance with the applicable provisions of subparagraphs 4.d. and 4.e., notwithstanding the earlier occurrence of such event.</w:t>
      </w:r>
    </w:p>
    <w:p>
      <w:pPr>
        <w:spacing w:after="0" w:line="163" w:lineRule="exact"/>
        <w:rPr>
          <w:rFonts w:ascii="Courier New" w:cs="Courier New" w:eastAsia="Courier New" w:hAnsi="Courier New"/>
          <w:sz w:val="14"/>
          <w:szCs w:val="14"/>
          <w:color w:val="auto"/>
        </w:rPr>
      </w:pPr>
    </w:p>
    <w:p>
      <w:pPr>
        <w:ind w:left="1112" w:right="3339" w:hanging="509"/>
        <w:spacing w:after="0" w:line="251" w:lineRule="auto"/>
        <w:tabs>
          <w:tab w:leader="none" w:pos="1112" w:val="left"/>
        </w:tabs>
        <w:numPr>
          <w:ilvl w:val="2"/>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Payout shall be made, if otherwise earned in accordance with subparagraph 4.d. hereof, with respect to the portion of the applicable Award Term completed at the date of such event (based on a 360 day year and expressed as a percentage). Any payment made under this subparagraph 4.h.ii shall be based on the ROBE of the Company for the fiscal period then most recently ended and the most recent Fortune 500 publication then available.</w:t>
      </w:r>
    </w:p>
    <w:p>
      <w:pPr>
        <w:spacing w:after="0" w:line="163"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and related Preferred Share Purchase Rights,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329" w:lineRule="exact"/>
        <w:rPr>
          <w:rFonts w:ascii="Courier New" w:cs="Courier New" w:eastAsia="Courier New" w:hAnsi="Courier New"/>
          <w:sz w:val="14"/>
          <w:szCs w:val="14"/>
          <w:color w:val="auto"/>
        </w:rPr>
      </w:pPr>
    </w:p>
    <w:p>
      <w:pPr>
        <w:ind w:left="612" w:right="4019" w:hanging="267"/>
        <w:spacing w:after="0" w:line="255" w:lineRule="auto"/>
        <w:tabs>
          <w:tab w:leader="none" w:pos="612" w:val="left"/>
        </w:tabs>
        <w:numPr>
          <w:ilvl w:val="1"/>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59" w:lineRule="exact"/>
        <w:rPr>
          <w:rFonts w:ascii="Courier New" w:cs="Courier New" w:eastAsia="Courier New" w:hAnsi="Courier New"/>
          <w:sz w:val="14"/>
          <w:szCs w:val="14"/>
          <w:color w:val="auto"/>
        </w:rPr>
      </w:pPr>
    </w:p>
    <w:p>
      <w:pPr>
        <w:ind w:left="612" w:right="3339" w:hanging="267"/>
        <w:spacing w:after="0" w:line="251" w:lineRule="auto"/>
        <w:tabs>
          <w:tab w:leader="none" w:pos="612" w:val="left"/>
        </w:tabs>
        <w:numPr>
          <w:ilvl w:val="1"/>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subject to an option granted to a Participant (the "Option Amount") shall be determined by: multiplying (i) the estimated base compensation of the Participant during the first fiscal year of the Award Term, as determined by the Human Resources department of the Company, exclusive of any bonus or other incentive compensation but including deferred compensation; times (ii) the participation factor described in subparagraph 4.c.i above; times (iii) 1.0 for a one-year Award Term, 1.05 for a two-year Award Term, and 1.1 for a three-year Award Term; and dividing that result by (iv) the Fair Market Value of one share of Common Stock of the Company determined in accordance with subparagraph 5.d. hereof.</w:t>
      </w:r>
    </w:p>
    <w:p>
      <w:pPr>
        <w:spacing w:after="0" w:line="163" w:lineRule="exact"/>
        <w:rPr>
          <w:rFonts w:ascii="Courier New" w:cs="Courier New" w:eastAsia="Courier New" w:hAnsi="Courier New"/>
          <w:sz w:val="14"/>
          <w:szCs w:val="14"/>
          <w:color w:val="auto"/>
        </w:rPr>
      </w:pPr>
    </w:p>
    <w:p>
      <w:pPr>
        <w:ind w:left="612" w:right="3339" w:hanging="267"/>
        <w:spacing w:after="0" w:line="251" w:lineRule="auto"/>
        <w:tabs>
          <w:tab w:leader="none" w:pos="612" w:val="left"/>
        </w:tabs>
        <w:numPr>
          <w:ilvl w:val="1"/>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5.b., the number of shares subject to an option shall be subject to reduction as follows: If the Company's Percentile Score (or average Percentile Score for a multiple year Award Term) as calculated in accordance with subparagraph 4.d.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4.d. above. Thus, if the Company does not achieve a Performance Goal equal to at least the 25th percentile as herein provided for the Award Term,</w:t>
      </w:r>
    </w:p>
    <w:p>
      <w:pPr>
        <w:spacing w:after="0" w:line="163"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1"/>
          </w:cols>
          <w:pgMar w:left="228" w:top="450" w:right="1440" w:bottom="1440" w:gutter="0" w:footer="0" w:header="0"/>
        </w:sectPr>
      </w:pPr>
    </w:p>
    <w:bookmarkStart w:id="546" w:name="page547"/>
    <w:bookmarkEnd w:id="546"/>
    <w:p>
      <w:pPr>
        <w:ind w:left="612" w:right="3419"/>
        <w:spacing w:after="0" w:line="251" w:lineRule="auto"/>
        <w:rPr>
          <w:sz w:val="20"/>
          <w:szCs w:val="20"/>
          <w:color w:val="auto"/>
        </w:rPr>
      </w:pPr>
      <w:r>
        <w:rPr>
          <w:rFonts w:ascii="Courier New" w:cs="Courier New" w:eastAsia="Courier New" w:hAnsi="Courier New"/>
          <w:sz w:val="14"/>
          <w:szCs w:val="14"/>
          <w:color w:val="auto"/>
        </w:rPr>
        <w:t>the option shall expire automatically. The calculation required by this subparagraph shall be made and certified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164" w:lineRule="exact"/>
        <w:rPr>
          <w:sz w:val="20"/>
          <w:szCs w:val="20"/>
          <w:color w:val="auto"/>
        </w:rPr>
      </w:pPr>
    </w:p>
    <w:p>
      <w:pPr>
        <w:ind w:left="612" w:right="3419" w:hanging="257"/>
        <w:spacing w:after="0" w:line="251" w:lineRule="auto"/>
        <w:rPr>
          <w:sz w:val="20"/>
          <w:szCs w:val="20"/>
          <w:color w:val="auto"/>
        </w:rPr>
      </w:pPr>
      <w:r>
        <w:rPr>
          <w:rFonts w:ascii="Courier New" w:cs="Courier New" w:eastAsia="Courier New" w:hAnsi="Courier New"/>
          <w:sz w:val="14"/>
          <w:szCs w:val="14"/>
          <w:color w:val="auto"/>
        </w:rPr>
        <w:t>d. The exercise price per share under any option shall be the fair market value of one share of Common Stock of the Company. The fair market value of one share of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64" w:lineRule="exact"/>
        <w:rPr>
          <w:sz w:val="20"/>
          <w:szCs w:val="20"/>
          <w:color w:val="auto"/>
        </w:rPr>
      </w:pPr>
    </w:p>
    <w:p>
      <w:pPr>
        <w:ind w:left="612" w:right="3339" w:hanging="257"/>
        <w:spacing w:after="0" w:line="251" w:lineRule="auto"/>
        <w:rPr>
          <w:sz w:val="20"/>
          <w:szCs w:val="20"/>
          <w:color w:val="auto"/>
        </w:rPr>
      </w:pPr>
      <w:r>
        <w:rPr>
          <w:rFonts w:ascii="Courier New" w:cs="Courier New" w:eastAsia="Courier New" w:hAnsi="Courier New"/>
          <w:sz w:val="14"/>
          <w:szCs w:val="14"/>
          <w:color w:val="auto"/>
        </w:rPr>
        <w:t>e. An option granted with respect to any Performance Award, or the portion thereof which remains after application of subparagraph 5.c. above, shall become exercisable on the date the Company's releases to the public its earnings for the prior fiscal year and shall remain exercisable until 90 days thereafter.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5.c. shall not be applicable.</w:t>
      </w:r>
    </w:p>
    <w:p>
      <w:pPr>
        <w:spacing w:after="0" w:line="164" w:lineRule="exact"/>
        <w:rPr>
          <w:sz w:val="20"/>
          <w:szCs w:val="20"/>
          <w:color w:val="auto"/>
        </w:rPr>
      </w:pPr>
    </w:p>
    <w:p>
      <w:pPr>
        <w:ind w:left="612" w:right="3339" w:hanging="257"/>
        <w:spacing w:after="0" w:line="251" w:lineRule="auto"/>
        <w:rPr>
          <w:sz w:val="20"/>
          <w:szCs w:val="20"/>
          <w:color w:val="auto"/>
        </w:rPr>
      </w:pPr>
      <w:r>
        <w:rPr>
          <w:rFonts w:ascii="Courier New" w:cs="Courier New" w:eastAsia="Courier New" w:hAnsi="Courier New"/>
          <w:sz w:val="14"/>
          <w:szCs w:val="14"/>
          <w:color w:val="auto"/>
        </w:rPr>
        <w:t>f. 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5.e. above.</w:t>
      </w:r>
    </w:p>
    <w:p>
      <w:pPr>
        <w:spacing w:after="0" w:line="165" w:lineRule="exact"/>
        <w:rPr>
          <w:sz w:val="20"/>
          <w:szCs w:val="20"/>
          <w:color w:val="auto"/>
        </w:rPr>
      </w:pPr>
    </w:p>
    <w:p>
      <w:pPr>
        <w:ind w:left="352" w:right="3339" w:hanging="352"/>
        <w:spacing w:after="0" w:line="250" w:lineRule="auto"/>
        <w:tabs>
          <w:tab w:leader="none" w:pos="352"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which would increase the maximum amount payable under paragraph</w:t>
      </w:r>
    </w:p>
    <w:p>
      <w:pPr>
        <w:spacing w:after="0" w:line="1" w:lineRule="exact"/>
        <w:rPr>
          <w:rFonts w:ascii="Courier New" w:cs="Courier New" w:eastAsia="Courier New" w:hAnsi="Courier New"/>
          <w:sz w:val="14"/>
          <w:szCs w:val="14"/>
          <w:color w:val="auto"/>
        </w:rPr>
      </w:pPr>
    </w:p>
    <w:p>
      <w:pPr>
        <w:ind w:left="3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4.e. to a Participant who is a person referred to in Section 162(m), which would change the Performance Goal applicable to a Participant who is a person referred to in Section 162(m) for payment of awards stated under paragraph 4.c.ii.; or which would modify the requirements as to eligibility for participation under paragraph 3, unless the stockholders of the Company shall have approved such change in accordance with the requirements of Section 162(m). Under no circumstances may the Plan be amended to permit the Committee to increase an Award Payment in contravention of the requirements of paragraph 4.c.i.</w:t>
      </w:r>
    </w:p>
    <w:p>
      <w:pPr>
        <w:spacing w:after="0" w:line="163" w:lineRule="exact"/>
        <w:rPr>
          <w:rFonts w:ascii="Courier New" w:cs="Courier New" w:eastAsia="Courier New" w:hAnsi="Courier New"/>
          <w:sz w:val="14"/>
          <w:szCs w:val="14"/>
          <w:color w:val="auto"/>
        </w:rPr>
      </w:pPr>
    </w:p>
    <w:p>
      <w:pPr>
        <w:ind w:left="352" w:right="3339" w:hanging="352"/>
        <w:spacing w:after="0" w:line="255" w:lineRule="auto"/>
        <w:tabs>
          <w:tab w:leader="none" w:pos="352"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shall be construed, administered and governed in all respects under and by the applicable laws of the State of Delaware.</w:t>
      </w:r>
    </w:p>
    <w:p>
      <w:pPr>
        <w:spacing w:after="0" w:line="159"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August 1, 1991. Any amendment to the Plan shall be effective on the date established by the Committee, subject to stockholder approval, if required under the provisions of paragraph 6.</w:t>
      </w:r>
    </w:p>
    <w:p>
      <w:pPr>
        <w:spacing w:after="0" w:line="162" w:lineRule="exact"/>
        <w:rPr>
          <w:rFonts w:ascii="Courier New" w:cs="Courier New" w:eastAsia="Courier New" w:hAnsi="Courier New"/>
          <w:sz w:val="14"/>
          <w:szCs w:val="14"/>
          <w:color w:val="auto"/>
        </w:rPr>
      </w:pPr>
    </w:p>
    <w:p>
      <w:pPr>
        <w:ind w:left="352"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amended by the Compensation Committee and Board of Directors November 19, 1996, subject to stockholder approval.</w:t>
      </w:r>
    </w:p>
    <w:p>
      <w:pPr>
        <w:spacing w:after="0" w:line="16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1"/>
          </w:cols>
          <w:pgMar w:left="228" w:top="450" w:right="1440" w:bottom="1440" w:gutter="0" w:footer="0" w:header="0"/>
        </w:sectPr>
      </w:pPr>
    </w:p>
    <w:bookmarkStart w:id="547" w:name="page548"/>
    <w:bookmarkEnd w:id="547"/>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MANAGEMENT INCENTIVE PLAN</w:t>
      </w:r>
    </w:p>
    <w:p>
      <w:pPr>
        <w:spacing w:after="0" w:line="173" w:lineRule="exact"/>
        <w:rPr>
          <w:sz w:val="20"/>
          <w:szCs w:val="20"/>
          <w:color w:val="auto"/>
        </w:rPr>
      </w:pPr>
    </w:p>
    <w:p>
      <w:pPr>
        <w:ind w:left="360" w:right="3339" w:hanging="352"/>
        <w:spacing w:after="0" w:line="251" w:lineRule="auto"/>
        <w:tabs>
          <w:tab w:leader="none" w:pos="360"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(the "Plan") is to provide an annual incentive to reinforce achievement of the performance goals of The Toro Company (the "Company"); to link a significant portion of a participating employee's annual compensation to the achievement by the Company, and in certain cases, a division, of performance goals; and to attract, motivate and retain key employees on a competitive basis by making awards based on achievement of performance goals for each fiscal year of the Company ("Annual Performance Awards").</w:t>
      </w:r>
    </w:p>
    <w:p>
      <w:pPr>
        <w:spacing w:after="0" w:line="163"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employees who, through their position or performance, can have a significant, positive impact on the Company's financial results. Nominations may be made to the Chief Executive Officer and presented by the Chief Executive Officer to the Committee. Plan Participants are designated to participate in the Plan for one fiscal year, but may be renominated and selected again. Newly-hired and newly-promoted employees may be selected as participants after the first 90 days of a fiscal year.</w:t>
      </w:r>
    </w:p>
    <w:p>
      <w:pPr>
        <w:spacing w:after="0" w:line="16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AMOUNTS.</w:t>
      </w:r>
    </w:p>
    <w:p>
      <w:pPr>
        <w:spacing w:after="0" w:line="172" w:lineRule="exact"/>
        <w:rPr>
          <w:rFonts w:ascii="Courier New" w:cs="Courier New" w:eastAsia="Courier New" w:hAnsi="Courier New"/>
          <w:sz w:val="14"/>
          <w:szCs w:val="14"/>
          <w:color w:val="auto"/>
        </w:rPr>
      </w:pPr>
    </w:p>
    <w:p>
      <w:pPr>
        <w:ind w:left="620" w:right="3339" w:hanging="267"/>
        <w:spacing w:after="0" w:line="250" w:lineRule="auto"/>
        <w:tabs>
          <w:tab w:leader="none" w:pos="620" w:val="left"/>
        </w:tabs>
        <w:numPr>
          <w:ilvl w:val="1"/>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PAYOUT. The target amount that may be paid with respect to an Annual Performance Award (the "Target Payout") shall be determined by the Compensation Committee and shall be based on a percentage of a Plan Participant's actual annual base salary ("Participation Factor"), within the range established by this subparagraph, and subject to adjustment as provided in subparagraph 4.b.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w:t>
      </w:r>
    </w:p>
    <w:p>
      <w:pPr>
        <w:spacing w:after="0" w:line="172" w:lineRule="exact"/>
        <w:rPr>
          <w:rFonts w:ascii="Courier New" w:cs="Courier New" w:eastAsia="Courier New" w:hAnsi="Courier New"/>
          <w:sz w:val="14"/>
          <w:szCs w:val="14"/>
          <w:color w:val="auto"/>
        </w:rPr>
      </w:pPr>
    </w:p>
    <w:p>
      <w:pPr>
        <w:ind w:left="620" w:right="3339" w:hanging="267"/>
        <w:spacing w:after="0" w:line="251" w:lineRule="auto"/>
        <w:tabs>
          <w:tab w:leader="none" w:pos="620" w:val="left"/>
        </w:tabs>
        <w:numPr>
          <w:ilvl w:val="1"/>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PAYOUT. The Committee may also establish a maximum potential payout level (the "Maximum Payout") with respect to an Annual Performance Award of up to 175% of the Target Payout in the event Performance Goal targets are exceeded by an amount established by the Committee at the time Performance Goals are established. The Committee may establish curves or other measurements for prorating the amount of payout for achievement of Performance Goals at less than the Target Payout or Maximum Payout.</w:t>
      </w:r>
    </w:p>
    <w:p>
      <w:pPr>
        <w:spacing w:after="0" w:line="329" w:lineRule="exact"/>
        <w:rPr>
          <w:rFonts w:ascii="Courier New" w:cs="Courier New" w:eastAsia="Courier New" w:hAnsi="Courier New"/>
          <w:sz w:val="14"/>
          <w:szCs w:val="14"/>
          <w:color w:val="auto"/>
        </w:rPr>
      </w:pPr>
    </w:p>
    <w:p>
      <w:pPr>
        <w:ind w:left="620" w:right="3339" w:hanging="267"/>
        <w:spacing w:after="0" w:line="251" w:lineRule="auto"/>
        <w:tabs>
          <w:tab w:leader="none" w:pos="620" w:val="left"/>
        </w:tabs>
        <w:numPr>
          <w:ilvl w:val="1"/>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PAYOUT. At the time an Annual Performance Award is made, the Committee may decrease the Target Payout by up to 40% or increase the Maximum Payout by up to 25% for division Plan Participants but not above 75%, to reflect division specific Performance Goals. The Committee shall also have the discretion to reduce by an amount up to 10% the amount that would otherwise be paid under the division payout formula to a division vice president or general manager based on the Committee's evaluation of the quality of division performance.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449" w:right="1440" w:bottom="1440" w:gutter="0" w:footer="0" w:header="0"/>
        </w:sectPr>
      </w:pPr>
    </w:p>
    <w:bookmarkStart w:id="548" w:name="page549"/>
    <w:bookmarkEnd w:id="548"/>
    <w:p>
      <w:pPr>
        <w:ind w:left="612" w:right="3339" w:hanging="257"/>
        <w:spacing w:after="0" w:line="251" w:lineRule="auto"/>
        <w:rPr>
          <w:sz w:val="20"/>
          <w:szCs w:val="20"/>
          <w:color w:val="auto"/>
        </w:rPr>
      </w:pPr>
      <w:r>
        <w:rPr>
          <w:rFonts w:ascii="Courier New" w:cs="Courier New" w:eastAsia="Courier New" w:hAnsi="Courier New"/>
          <w:sz w:val="14"/>
          <w:szCs w:val="14"/>
          <w:color w:val="auto"/>
        </w:rPr>
        <w:t>d. SECTION 162(M) MAXIMUM. With respect to any Plan Participant who is or may become a person referred to in Section 162(m), the maximum dollar amount that may be paid under an Annual Performance Award shall be set at the time the Committee grants the award and establishes the Performance Goals (as defined in subparagraph 4.a.) under the award.</w:t>
      </w:r>
    </w:p>
    <w:p>
      <w:pPr>
        <w:spacing w:after="0" w:line="165" w:lineRule="exact"/>
        <w:rPr>
          <w:sz w:val="20"/>
          <w:szCs w:val="20"/>
          <w:color w:val="auto"/>
        </w:rPr>
      </w:pPr>
    </w:p>
    <w:p>
      <w:pPr>
        <w:ind w:left="352" w:hanging="352"/>
        <w:spacing w:after="0"/>
        <w:tabs>
          <w:tab w:leader="none" w:pos="35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w:t>
      </w:r>
    </w:p>
    <w:p>
      <w:pPr>
        <w:spacing w:after="0" w:line="172" w:lineRule="exact"/>
        <w:rPr>
          <w:rFonts w:ascii="Courier New" w:cs="Courier New" w:eastAsia="Courier New" w:hAnsi="Courier New"/>
          <w:sz w:val="14"/>
          <w:szCs w:val="14"/>
          <w:color w:val="auto"/>
        </w:rPr>
      </w:pPr>
    </w:p>
    <w:p>
      <w:pPr>
        <w:ind w:left="612" w:right="3339" w:hanging="267"/>
        <w:spacing w:after="0" w:line="251" w:lineRule="auto"/>
        <w:tabs>
          <w:tab w:leader="none" w:pos="612" w:val="left"/>
        </w:tabs>
        <w:numPr>
          <w:ilvl w:val="1"/>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The Target Amount of an Annual Performance Award shall be paid to a Plan Participant only if the Company achieves Performance Goals, based on the criteria set forth in paragraph (4.b.)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3" w:lineRule="exact"/>
        <w:rPr>
          <w:rFonts w:ascii="Courier New" w:cs="Courier New" w:eastAsia="Courier New" w:hAnsi="Courier New"/>
          <w:sz w:val="14"/>
          <w:szCs w:val="14"/>
          <w:color w:val="auto"/>
        </w:rPr>
      </w:pPr>
    </w:p>
    <w:p>
      <w:pPr>
        <w:ind w:left="612" w:right="3419" w:hanging="267"/>
        <w:spacing w:after="0" w:line="251" w:lineRule="auto"/>
        <w:tabs>
          <w:tab w:leader="none" w:pos="612" w:val="left"/>
        </w:tabs>
        <w:numPr>
          <w:ilvl w:val="1"/>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earnings per share (EPS), return on average net assets (ROANA), division profit adjustment, division controllable profit contribution, return on equity, revenue growth, earnings growth or economic value added (EVA). Supplemental Performance Goals for division vice presidents and managers that may be established under subparagraph 4.a. may be based on division specific operating performance goals including revenue growth, sustained earnings, product warranty experience, product recalls or inventory levels. Each Performance Goal is to be specifically defined by the Compensation Committee on a Company basis or division basis and/or in comparison with peer group performance.</w:t>
      </w:r>
    </w:p>
    <w:p>
      <w:pPr>
        <w:spacing w:after="0" w:line="162"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62"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Plan Participant may be paid under an Annual Performance Award with respect to any fiscal year is $1,500,000. The Committee may, in its discretion, decrease this maximum, but may not, under any circumstances, increase this maximum.</w:t>
      </w:r>
    </w:p>
    <w:p>
      <w:pPr>
        <w:spacing w:after="0" w:line="164"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Before any payment is made under the Plan, the Committee must certify in writing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Awards shall not be assignable or transferable.</w:t>
      </w:r>
    </w:p>
    <w:p>
      <w:pPr>
        <w:spacing w:after="0" w:line="172" w:lineRule="exact"/>
        <w:rPr>
          <w:rFonts w:ascii="Courier New" w:cs="Courier New" w:eastAsia="Courier New" w:hAnsi="Courier New"/>
          <w:sz w:val="14"/>
          <w:szCs w:val="14"/>
          <w:color w:val="auto"/>
        </w:rPr>
      </w:pPr>
    </w:p>
    <w:p>
      <w:pPr>
        <w:ind w:left="352" w:right="3519" w:hanging="352"/>
        <w:spacing w:after="0" w:line="251" w:lineRule="auto"/>
        <w:tabs>
          <w:tab w:leader="none" w:pos="35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Committee shall have the authority to administer the Plan; establish policies under the Plan; amend the Plan, subject to the provisions of paragraph 11; interpret provisions of the Plan; select Plan Participants; establish Performance Goals; make Annual Performance Awards; or terminate the Plan, in its sole discretion. The Committee may delegate certain of these activities and all</w:t>
      </w:r>
    </w:p>
    <w:p>
      <w:pPr>
        <w:spacing w:after="0" w:line="164"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1"/>
          </w:cols>
          <w:pgMar w:left="228" w:top="450" w:right="1440" w:bottom="1440" w:gutter="0" w:footer="0" w:header="0"/>
        </w:sectPr>
      </w:pPr>
    </w:p>
    <w:bookmarkStart w:id="549" w:name="page550"/>
    <w:bookmarkEnd w:id="549"/>
    <w:p>
      <w:pPr>
        <w:ind w:left="360" w:right="3339"/>
        <w:spacing w:after="0" w:line="252" w:lineRule="auto"/>
        <w:rPr>
          <w:sz w:val="20"/>
          <w:szCs w:val="20"/>
          <w:color w:val="auto"/>
        </w:rPr>
      </w:pPr>
      <w:r>
        <w:rPr>
          <w:rFonts w:ascii="Courier New" w:cs="Courier New" w:eastAsia="Courier New" w:hAnsi="Courier New"/>
          <w:sz w:val="14"/>
          <w:szCs w:val="14"/>
          <w:color w:val="auto"/>
        </w:rPr>
        <w:t>decisions not required to be exercised by it under Section 162(m), as it solely determines. All decisions of the Committee shall be final and binding upon all parties including the Company, its stockholders and Plan Participants.</w:t>
      </w:r>
    </w:p>
    <w:p>
      <w:pPr>
        <w:spacing w:after="0" w:line="162" w:lineRule="exact"/>
        <w:rPr>
          <w:sz w:val="20"/>
          <w:szCs w:val="20"/>
          <w:color w:val="auto"/>
        </w:rPr>
      </w:pPr>
    </w:p>
    <w:p>
      <w:pPr>
        <w:ind w:left="360" w:right="3339" w:hanging="352"/>
        <w:spacing w:after="0" w:line="255" w:lineRule="auto"/>
        <w:tabs>
          <w:tab w:leader="none" w:pos="36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shall be construed, administered and governed in all respects under and by the applicable laws of the State of Delaware.</w:t>
      </w:r>
    </w:p>
    <w:p>
      <w:pPr>
        <w:spacing w:after="0" w:line="159"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Under no circumstances may be Plan be amended to permit the Committee to increase an award payment in contravention of the requirements of paragraph 5.</w:t>
      </w:r>
    </w:p>
    <w:p>
      <w:pPr>
        <w:spacing w:after="0" w:line="16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11.</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 amended by the Compensation Committee and Board of Directors, January 20, 1997, to be effective as of November 1, 1996, subject to stockholder approval.</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450" w:right="1440" w:bottom="1440" w:gutter="0" w:footer="0" w:header="0"/>
        </w:sectPr>
      </w:pPr>
    </w:p>
    <w:bookmarkStart w:id="550" w:name="page551"/>
    <w:bookmarkEnd w:id="550"/>
    <w:p>
      <w:pPr>
        <w:jc w:val="center"/>
        <w:ind w:right="297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Bloomington, Minnesota 55420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MARCH 13, 1997</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3:00 P.M. CENTRAL STANDARD TIME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Please detach here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Please detach here</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UNLESS YOU INDICATE OTHERWISE, THIS PROXY WILL BE VOTED IN ACCORDANCE WITH THE BOARD OF DIRECTORS' RECOMMENDATIONS.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Election</w:t>
            </w:r>
          </w:p>
        </w:tc>
        <w:tc>
          <w:tcPr>
            <w:tcW w:w="34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Directors / / FOR all nominees listed</w:t>
            </w:r>
          </w:p>
        </w:tc>
        <w:tc>
          <w:tcPr>
            <w:tcW w:w="2240" w:type="dxa"/>
            <w:vAlign w:val="bottom"/>
          </w:tcPr>
          <w:p>
            <w:pPr>
              <w:ind w:left="340"/>
              <w:spacing w:after="0"/>
              <w:rPr>
                <w:sz w:val="20"/>
                <w:szCs w:val="20"/>
                <w:color w:val="auto"/>
              </w:rPr>
            </w:pPr>
            <w:r>
              <w:rPr>
                <w:rFonts w:ascii="Courier New" w:cs="Courier New" w:eastAsia="Courier New" w:hAnsi="Courier New"/>
                <w:sz w:val="14"/>
                <w:szCs w:val="14"/>
                <w:color w:val="auto"/>
              </w:rPr>
              <w:t>/ / WITHHOLD AUTHORITY</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36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below (except as marked to</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the contrary below)</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Janet K. Cooper</w:t>
            </w:r>
          </w:p>
        </w:tc>
        <w:tc>
          <w:tcPr>
            <w:tcW w:w="9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Kendrick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B. Melrose</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r>
      <w:tr>
        <w:trPr>
          <w:trHeight w:val="331"/>
        </w:trPr>
        <w:tc>
          <w:tcPr>
            <w:tcW w:w="306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TO WITHHOLD AUTHORITY</w:t>
            </w:r>
          </w:p>
        </w:tc>
        <w:tc>
          <w:tcPr>
            <w:tcW w:w="3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VOTE FOR ONE OR MORE INDIVIDUAL NOMINEES,</w:t>
            </w: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STRIKE A LINE</w:t>
            </w:r>
          </w:p>
        </w:tc>
        <w:tc>
          <w:tcPr>
            <w:tcW w:w="1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THROUGH THE NOMINEE'S</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NAME.)</w:t>
            </w:r>
          </w:p>
        </w:tc>
        <w:tc>
          <w:tcPr>
            <w:tcW w:w="2240" w:type="dxa"/>
            <w:vAlign w:val="bottom"/>
          </w:tcPr>
          <w:p>
            <w:pPr>
              <w:spacing w:after="0"/>
              <w:rPr>
                <w:sz w:val="14"/>
                <w:szCs w:val="1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Amendment of</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Continuous</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Performance Award Plan</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ABSTAIN / /</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Amendment of</w:t>
            </w:r>
          </w:p>
        </w:tc>
        <w:tc>
          <w:tcPr>
            <w:tcW w:w="43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Annual Management Incentive Plan</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ABSTAIN / /</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Selection of</w:t>
            </w:r>
          </w:p>
        </w:tc>
        <w:tc>
          <w:tcPr>
            <w:tcW w:w="21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Independent Auditors</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ABSTAIN / /</w:t>
            </w:r>
          </w:p>
        </w:tc>
      </w:tr>
    </w:tbl>
    <w:p>
      <w:pPr>
        <w:spacing w:after="0" w:line="4" w:lineRule="exact"/>
        <w:rPr>
          <w:sz w:val="20"/>
          <w:szCs w:val="20"/>
          <w:color w:val="auto"/>
        </w:rPr>
      </w:pPr>
    </w:p>
    <w:p>
      <w:pPr>
        <w:ind w:left="440" w:right="3339" w:hanging="259"/>
        <w:spacing w:after="0" w:line="255" w:lineRule="auto"/>
        <w:tabs>
          <w:tab w:leader="none" w:pos="440" w:val="left"/>
        </w:tabs>
        <w:numPr>
          <w:ilvl w:val="0"/>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matters as may properly come before the meeting or any adjournments thereof.</w:t>
      </w:r>
    </w:p>
    <w:p>
      <w:pPr>
        <w:spacing w:after="0" w:line="160"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TORO INV. &amp; SVGS. PLAN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PLYMOUTH 401(K) PLAN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REGISTERED STOCK</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3800"/>
        <w:spacing w:after="0"/>
        <w:tabs>
          <w:tab w:leader="none" w:pos="65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This Proxy Card must be Signed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Exactly as Name Appears thereon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When shares are held by joint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tenants, both should sign. When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signing as attorney, executor,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please give full title as such. If a</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corporation, please sign in full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corporate name by president or other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 If a</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partnership, please sign in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partnership name by authorized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person.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PLEASE MARK, SIGN, DATE AND RETURN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PROXY CARD USING THE ENCLOSED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ENVELOPE.</w:t>
      </w:r>
    </w:p>
    <w:p>
      <w:pPr>
        <w:sectPr>
          <w:pgSz w:w="11900" w:h="16838" w:orient="portrait"/>
          <w:cols w:equalWidth="0" w:num="1">
            <w:col w:w="10239"/>
          </w:cols>
          <w:pgMar w:left="220" w:top="781" w:right="1440" w:bottom="1440" w:gutter="0" w:footer="0" w:header="0"/>
        </w:sectPr>
      </w:pPr>
    </w:p>
    <w:bookmarkStart w:id="551" w:name="page552"/>
    <w:bookmarkEnd w:id="551"/>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55420-1196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ON BEHALF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OF DIRECTORS</w:t>
      </w:r>
    </w:p>
    <w:p>
      <w:pPr>
        <w:spacing w:after="0" w:line="173" w:lineRule="exact"/>
        <w:rPr>
          <w:sz w:val="20"/>
          <w:szCs w:val="20"/>
          <w:color w:val="auto"/>
        </w:rPr>
      </w:pPr>
    </w:p>
    <w:p>
      <w:pPr>
        <w:sectPr>
          <w:pgSz w:w="11900" w:h="16838" w:orient="portrait"/>
          <w:cols w:equalWidth="0" w:num="2">
            <w:col w:w="3080" w:space="720"/>
            <w:col w:w="6439"/>
          </w:cols>
          <w:pgMar w:left="220" w:top="781" w:right="1440" w:bottom="1440" w:gutter="0" w:footer="0" w:header="0"/>
        </w:sectPr>
      </w:pPr>
    </w:p>
    <w:p>
      <w:pPr>
        <w:ind w:right="3599"/>
        <w:spacing w:after="0" w:line="251" w:lineRule="auto"/>
        <w:rPr>
          <w:sz w:val="20"/>
          <w:szCs w:val="20"/>
          <w:color w:val="auto"/>
        </w:rPr>
      </w:pPr>
      <w:r>
        <w:rPr>
          <w:rFonts w:ascii="Courier New" w:cs="Courier New" w:eastAsia="Courier New" w:hAnsi="Courier New"/>
          <w:sz w:val="14"/>
          <w:szCs w:val="14"/>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13th day of March, 1997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6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ON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AND RETURN THIS PROXY CARD.</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SEE REVERSE SIDE</w:t>
      </w:r>
    </w:p>
    <w:p>
      <w:pPr>
        <w:sectPr>
          <w:pgSz w:w="11900" w:h="16838" w:orient="portrait"/>
          <w:cols w:equalWidth="0" w:num="1">
            <w:col w:w="10239"/>
          </w:cols>
          <w:pgMar w:left="220" w:top="781" w:right="1440" w:bottom="1440" w:gutter="0" w:footer="0" w:header="0"/>
          <w:type w:val="continuous"/>
        </w:sectPr>
      </w:pPr>
    </w:p>
    <w:bookmarkStart w:id="552" w:name="page553"/>
    <w:bookmarkEnd w:id="552"/>
    <w:p>
      <w:pPr>
        <w:jc w:val="center"/>
        <w:ind w:right="4539"/>
        <w:spacing w:after="0"/>
        <w:rPr>
          <w:sz w:val="20"/>
          <w:szCs w:val="20"/>
          <w:color w:val="auto"/>
        </w:rPr>
      </w:pPr>
      <w:r>
        <w:rPr>
          <w:rFonts w:ascii="Courier New" w:cs="Courier New" w:eastAsia="Courier New" w:hAnsi="Courier New"/>
          <w:sz w:val="14"/>
          <w:szCs w:val="14"/>
          <w:color w:val="auto"/>
        </w:rPr>
        <w:t>FORM 8-A</w:t>
      </w:r>
    </w:p>
    <w:p>
      <w:pPr>
        <w:spacing w:after="0" w:line="17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PURSUANT TO SECTION 12(b) OF (g) OF THE</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80" w:hanging="172"/>
        <w:spacing w:after="0"/>
        <w:tabs>
          <w:tab w:leader="none" w:pos="180"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0"/>
          <w:szCs w:val="20"/>
          <w:color w:val="auto"/>
        </w:rPr>
      </w:pPr>
    </w:p>
    <w:p>
      <w:pPr>
        <w:ind w:left="860"/>
        <w:spacing w:after="0"/>
        <w:tabs>
          <w:tab w:leader="none" w:pos="438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41-0580470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(State of incorporation or organization)</w:t>
      </w:r>
      <w:r>
        <w:rPr>
          <w:sz w:val="20"/>
          <w:szCs w:val="20"/>
          <w:color w:val="auto"/>
        </w:rPr>
        <w:tab/>
      </w:r>
      <w:r>
        <w:rPr>
          <w:rFonts w:ascii="Courier New" w:cs="Courier New" w:eastAsia="Courier New" w:hAnsi="Courier New"/>
          <w:sz w:val="14"/>
          <w:szCs w:val="14"/>
          <w:color w:val="auto"/>
        </w:rPr>
        <w:t>(IRS Employer</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Identification No.)</w:t>
      </w:r>
    </w:p>
    <w:p>
      <w:pPr>
        <w:spacing w:after="0" w:line="338" w:lineRule="exact"/>
        <w:rPr>
          <w:sz w:val="20"/>
          <w:szCs w:val="20"/>
          <w:color w:val="auto"/>
        </w:rPr>
      </w:pPr>
    </w:p>
    <w:p>
      <w:pPr>
        <w:ind w:left="260"/>
        <w:spacing w:after="0"/>
        <w:tabs>
          <w:tab w:leader="none" w:pos="5680" w:val="left"/>
        </w:tabs>
        <w:rPr>
          <w:sz w:val="20"/>
          <w:szCs w:val="20"/>
          <w:color w:val="auto"/>
        </w:rPr>
      </w:pPr>
      <w:r>
        <w:rPr>
          <w:rFonts w:ascii="Courier New" w:cs="Courier New" w:eastAsia="Courier New" w:hAnsi="Courier New"/>
          <w:sz w:val="14"/>
          <w:szCs w:val="14"/>
          <w:color w:val="auto"/>
        </w:rPr>
        <w:t>8111 Lyndale Avenue South, Bloomington, MN</w:t>
      </w:r>
      <w:r>
        <w:rPr>
          <w:sz w:val="20"/>
          <w:szCs w:val="20"/>
          <w:color w:val="auto"/>
        </w:rPr>
        <w:tab/>
      </w:r>
      <w:r>
        <w:rPr>
          <w:rFonts w:ascii="Courier New" w:cs="Courier New" w:eastAsia="Courier New" w:hAnsi="Courier New"/>
          <w:sz w:val="14"/>
          <w:szCs w:val="14"/>
          <w:color w:val="auto"/>
        </w:rPr>
        <w:t>55420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55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be so registered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class is to be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450" w:right="1440" w:bottom="1440" w:gutter="0" w:footer="0" w:header="0"/>
          <w:type w:val="continuous"/>
        </w:sectPr>
      </w:pPr>
    </w:p>
    <w:p>
      <w:pPr>
        <w:ind w:left="520" w:right="560"/>
        <w:spacing w:after="0" w:line="255" w:lineRule="auto"/>
        <w:rPr>
          <w:sz w:val="20"/>
          <w:szCs w:val="20"/>
          <w:color w:val="auto"/>
        </w:rPr>
      </w:pPr>
      <w:r>
        <w:rPr>
          <w:rFonts w:ascii="Courier New" w:cs="Courier New" w:eastAsia="Courier New" w:hAnsi="Courier New"/>
          <w:sz w:val="14"/>
          <w:szCs w:val="14"/>
          <w:color w:val="auto"/>
        </w:rPr>
        <w:t>Common Shares, par value $1.00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78" w:lineRule="exact"/>
        <w:rPr>
          <w:sz w:val="20"/>
          <w:szCs w:val="20"/>
          <w:color w:val="auto"/>
        </w:rPr>
      </w:pPr>
    </w:p>
    <w:p>
      <w:pPr>
        <w:sectPr>
          <w:pgSz w:w="11900" w:h="16838" w:orient="portrait"/>
          <w:cols w:equalWidth="0" w:num="2">
            <w:col w:w="2900" w:space="720"/>
            <w:col w:w="6619"/>
          </w:cols>
          <w:pgMar w:left="220" w:top="450"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450" w:right="1440" w:bottom="1440" w:gutter="0" w:footer="0" w:header="0"/>
          <w:type w:val="continuous"/>
        </w:sectPr>
      </w:pPr>
    </w:p>
    <w:bookmarkStart w:id="553" w:name="page554"/>
    <w:bookmarkEnd w:id="553"/>
    <w:p>
      <w:pPr>
        <w:spacing w:after="0"/>
        <w:tabs>
          <w:tab w:leader="none" w:pos="840" w:val="left"/>
        </w:tabs>
        <w:rPr>
          <w:sz w:val="20"/>
          <w:szCs w:val="20"/>
          <w:color w:val="auto"/>
        </w:rPr>
      </w:pPr>
      <w:r>
        <w:rPr>
          <w:rFonts w:ascii="Courier New" w:cs="Courier New" w:eastAsia="Courier New" w:hAnsi="Courier New"/>
          <w:sz w:val="14"/>
          <w:szCs w:val="14"/>
          <w:color w:val="auto"/>
        </w:rPr>
        <w:t>Item 1.</w:t>
        <w:tab/>
        <w:t>CAPITAL STOCK TO BE REGISTERED.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DESCRIPTION OF COMMON SHARES</w:t>
      </w:r>
    </w:p>
    <w:p>
      <w:pPr>
        <w:spacing w:after="0" w:line="173" w:lineRule="exact"/>
        <w:rPr>
          <w:sz w:val="20"/>
          <w:szCs w:val="20"/>
          <w:color w:val="auto"/>
        </w:rPr>
      </w:pPr>
    </w:p>
    <w:p>
      <w:pPr>
        <w:ind w:right="4639" w:firstLine="861"/>
        <w:spacing w:after="0" w:line="250" w:lineRule="auto"/>
        <w:rPr>
          <w:sz w:val="20"/>
          <w:szCs w:val="20"/>
          <w:color w:val="auto"/>
        </w:rPr>
      </w:pPr>
      <w:r>
        <w:rPr>
          <w:rFonts w:ascii="Courier New" w:cs="Courier New" w:eastAsia="Courier New" w:hAnsi="Courier New"/>
          <w:sz w:val="14"/>
          <w:szCs w:val="14"/>
          <w:color w:val="auto"/>
        </w:rPr>
        <w:t>COMMON SHARES. The Toro Company is a Minnesota corporation. Its Restated Articles of Incorporation, as amended, authorize 5,000,000 Common Shares of a par value of $1.00 per share. As of July 14, 1976, a total of 2,648,592 Common Shares were outstanding; 99,500 Common Shares were reserved for issuance to key employees under stock options granted or to be granted under the Company's 1976 Stock Option Plan; 55,198 Common Shares were reserved for issuance to key employees under stock options granted under the Company's 1972 Parallel Stock Option Plan; 250,000 Common Shares were reserved for issuance to key officers under a Performance Unit Award Plan; and 175,000 Common Shares were reserved for issuance to employees under the terms of the Toro Employee Stock Purchase Plan. The Transfer Agent and Registrar for the Common Shares is the First National Bank, Minneapolis, Minnesota. The Common Shares are presently traded on the national over-the-counter market.</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DIVIDEND RIGHTS. Holders of Common Shares are entitled to receive such dividends as may be declared by the Board of Directors. Under the terms of various senior notes and revolving credit agreements with banks, the Company must maintain at least $20,000,000.00 of working capital, limit the amount of long-term debt to 80% of tangible net worth as defined, and is subject to restrictions, among other things, on payment of cash dividends on Common Shares. At July 31, 1997, the Company had complied with such requirements and, under the most restrictive agreement, retained earnings of approximately $16,700,000.00 were free from such restrictions.</w:t>
      </w:r>
    </w:p>
    <w:p>
      <w:pPr>
        <w:spacing w:after="0" w:line="16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VOTING RIGHTS. Holders of Common shares are entitled to one vote for each Common Share held. Shareholders do not have any cumulative rights. The Board of Directors has the power to issue authorized but unissued Shares of the Company at such times and upon such terms and conditions as it may deem to be in the best interest of the Company. The vote of Shareholders is not required for the creation of debt. The holders of a majority of the outstanding Common Shares have the power to authorize the sale, lease, exchange or other disposal of all or substantially all of the property and assets of the Company, including its good will, and to amend the Articles of Incorporation.</w:t>
      </w:r>
    </w:p>
    <w:p>
      <w:pPr>
        <w:spacing w:after="0" w:line="16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OTHER PROVISIONS. The holders of Common Shares have no preemptive right to subscribe to any new issue of Shares of the Company. In any liquidation, the Common Shares will be entitled to share ratably in all remaining assets available for shareholders. No redemption or sinking fund provisions are applicable to the Common Shares. There are no restrictions on the repurchase or redemption of the Common shares by the Company while there is any arrearage in the payment of dividends except as may be imposed by the applicable provision of the Minnesota Business Corporation Act. The issued and outstanding Common Shares are fully paid and nonassessable.</w:t>
      </w:r>
    </w:p>
    <w:p>
      <w:pPr>
        <w:sectPr>
          <w:pgSz w:w="11900" w:h="16838" w:orient="portrait"/>
          <w:cols w:equalWidth="0" w:num="1">
            <w:col w:w="10239"/>
          </w:cols>
          <w:pgMar w:left="220" w:top="616" w:right="1440" w:bottom="1440" w:gutter="0" w:footer="0" w:header="0"/>
        </w:sectPr>
      </w:pPr>
    </w:p>
    <w:bookmarkStart w:id="554" w:name="page555"/>
    <w:bookmarkEnd w:id="554"/>
    <w:p>
      <w:pPr>
        <w:spacing w:after="0"/>
        <w:tabs>
          <w:tab w:leader="none" w:pos="840" w:val="left"/>
        </w:tabs>
        <w:rPr>
          <w:sz w:val="20"/>
          <w:szCs w:val="20"/>
          <w:color w:val="auto"/>
        </w:rPr>
      </w:pPr>
      <w:r>
        <w:rPr>
          <w:rFonts w:ascii="Courier New" w:cs="Courier New" w:eastAsia="Courier New" w:hAnsi="Courier New"/>
          <w:sz w:val="14"/>
          <w:szCs w:val="14"/>
          <w:color w:val="auto"/>
        </w:rPr>
        <w:t>Item 2.</w:t>
        <w:tab/>
        <w:t>DEBT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tab/>
        <w:t>OTHER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tab/>
        <w:t>EXHIBITS.</w:t>
      </w:r>
    </w:p>
    <w:p>
      <w:pPr>
        <w:spacing w:after="0" w:line="173" w:lineRule="exact"/>
        <w:rPr>
          <w:sz w:val="20"/>
          <w:szCs w:val="20"/>
          <w:color w:val="auto"/>
        </w:rPr>
      </w:pPr>
    </w:p>
    <w:p>
      <w:pPr>
        <w:ind w:right="4899" w:firstLine="861"/>
        <w:spacing w:after="0" w:line="252" w:lineRule="auto"/>
        <w:rPr>
          <w:sz w:val="20"/>
          <w:szCs w:val="20"/>
          <w:color w:val="auto"/>
        </w:rPr>
      </w:pPr>
      <w:r>
        <w:rPr>
          <w:rFonts w:ascii="Courier New" w:cs="Courier New" w:eastAsia="Courier New" w:hAnsi="Courier New"/>
          <w:sz w:val="14"/>
          <w:szCs w:val="14"/>
          <w:color w:val="auto"/>
        </w:rPr>
        <w:t>The following Exhibits are filed only with copies of this Registration Statement filed with the New York Stock Exchange:</w:t>
      </w:r>
    </w:p>
    <w:p>
      <w:pPr>
        <w:spacing w:after="0" w:line="16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Annual Report on Form 10-K for the year ended July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31, 1977.</w:t>
      </w:r>
    </w:p>
    <w:p>
      <w:pPr>
        <w:spacing w:after="0" w:line="173" w:lineRule="exact"/>
        <w:rPr>
          <w:sz w:val="20"/>
          <w:szCs w:val="20"/>
          <w:color w:val="auto"/>
        </w:rPr>
      </w:pPr>
    </w:p>
    <w:p>
      <w:pPr>
        <w:ind w:right="4639" w:firstLine="870"/>
        <w:spacing w:after="0" w:line="255" w:lineRule="auto"/>
        <w:tabs>
          <w:tab w:leader="none" w:pos="1292"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 October 31, 1977.</w:t>
      </w:r>
    </w:p>
    <w:p>
      <w:pPr>
        <w:spacing w:after="0" w:line="159" w:lineRule="exact"/>
        <w:rPr>
          <w:rFonts w:ascii="Courier New" w:cs="Courier New" w:eastAsia="Courier New" w:hAnsi="Courier New"/>
          <w:sz w:val="14"/>
          <w:szCs w:val="14"/>
          <w:color w:val="auto"/>
        </w:rPr>
      </w:pPr>
    </w:p>
    <w:p>
      <w:pPr>
        <w:ind w:right="4639" w:firstLine="870"/>
        <w:spacing w:after="0" w:line="255" w:lineRule="auto"/>
        <w:tabs>
          <w:tab w:leader="none" w:pos="1292"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 January 31, 1978.</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April 30, 1978.</w:t>
      </w:r>
    </w:p>
    <w:p>
      <w:pPr>
        <w:spacing w:after="0" w:line="172" w:lineRule="exact"/>
        <w:rPr>
          <w:rFonts w:ascii="Courier New" w:cs="Courier New" w:eastAsia="Courier New" w:hAnsi="Courier New"/>
          <w:sz w:val="14"/>
          <w:szCs w:val="14"/>
          <w:color w:val="auto"/>
        </w:rPr>
      </w:pPr>
    </w:p>
    <w:p>
      <w:pPr>
        <w:ind w:right="4639" w:firstLine="870"/>
        <w:spacing w:after="0" w:line="255" w:lineRule="auto"/>
        <w:tabs>
          <w:tab w:leader="none" w:pos="1292"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for Annual Meeting of Stockholders held November 10, 1977.</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as amended, and By-Laws, as amended.</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copy of Stock Certificate.</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to Stockholders for year ended July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31, 1977.</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the requirements of Section 12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 of 1934, the Registrant has duly caused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to be signed on its behalf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thereto duly authorized.</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/s/David T. McLaughlin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David T. McLaughlin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Its Chairman of the Board of Directors</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August 16, 1978</w:t>
      </w:r>
    </w:p>
    <w:p>
      <w:pPr>
        <w:sectPr>
          <w:pgSz w:w="11900" w:h="16838" w:orient="portrait"/>
          <w:cols w:equalWidth="0" w:num="1">
            <w:col w:w="10239"/>
          </w:cols>
          <w:pgMar w:left="220" w:top="615" w:right="1440" w:bottom="1440" w:gutter="0" w:footer="0" w:header="0"/>
        </w:sectPr>
      </w:pPr>
    </w:p>
    <w:bookmarkStart w:id="555" w:name="page556"/>
    <w:bookmarkEnd w:id="555"/>
    <w:p>
      <w:pPr>
        <w:ind w:left="3020"/>
        <w:spacing w:after="0"/>
        <w:rPr>
          <w:sz w:val="20"/>
          <w:szCs w:val="20"/>
          <w:color w:val="auto"/>
        </w:rPr>
      </w:pPr>
      <w:r>
        <w:rPr>
          <w:rFonts w:ascii="Courier New" w:cs="Courier New" w:eastAsia="Courier New" w:hAnsi="Courier New"/>
          <w:sz w:val="14"/>
          <w:szCs w:val="14"/>
          <w:color w:val="auto"/>
        </w:rPr>
        <w:t>FORM 8-A</w:t>
      </w:r>
    </w:p>
    <w:p>
      <w:pPr>
        <w:spacing w:after="0" w:line="33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PURSUANT TO SECTION 12(b) OF (g) OF THE</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 or organization)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3460" w:space="600"/>
            <w:col w:w="6179"/>
          </w:cols>
          <w:pgMar w:left="220" w:top="616" w:right="1440" w:bottom="1440" w:gutter="0" w:footer="0" w:header="0"/>
          <w:type w:val="continuous"/>
        </w:sectPr>
      </w:pPr>
    </w:p>
    <w:p>
      <w:pPr>
        <w:spacing w:after="0" w:line="138" w:lineRule="exact"/>
        <w:rPr>
          <w:sz w:val="20"/>
          <w:szCs w:val="20"/>
          <w:color w:val="auto"/>
        </w:rPr>
      </w:pPr>
    </w:p>
    <w:p>
      <w:pPr>
        <w:ind w:left="700" w:right="920" w:hanging="439"/>
        <w:spacing w:after="0" w:line="255" w:lineRule="auto"/>
        <w:tabs>
          <w:tab w:leader="none" w:pos="680" w:val="left"/>
        </w:tabs>
        <w:rPr>
          <w:sz w:val="20"/>
          <w:szCs w:val="20"/>
          <w:color w:val="auto"/>
        </w:rPr>
      </w:pPr>
      <w:r>
        <w:rPr>
          <w:rFonts w:ascii="Courier New" w:cs="Courier New" w:eastAsia="Courier New" w:hAnsi="Courier New"/>
          <w:sz w:val="14"/>
          <w:szCs w:val="14"/>
          <w:color w:val="auto"/>
        </w:rPr>
        <w:t>8111</w:t>
        <w:tab/>
        <w:t>Lyndale Avenue South, Bloomington, MN (Address of principal executive offices)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55420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5060" w:space="720"/>
            <w:col w:w="4459"/>
          </w:cols>
          <w:pgMar w:left="220" w:top="616"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be so registered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class is to be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spacing w:after="0" w:line="138" w:lineRule="exact"/>
        <w:rPr>
          <w:sz w:val="20"/>
          <w:szCs w:val="20"/>
          <w:color w:val="auto"/>
        </w:rPr>
      </w:pPr>
    </w:p>
    <w:p>
      <w:pPr>
        <w:jc w:val="right"/>
        <w:ind w:right="3859"/>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(Title of Class)</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1 of 5</w:t>
      </w:r>
    </w:p>
    <w:p>
      <w:pPr>
        <w:sectPr>
          <w:pgSz w:w="11900" w:h="16838" w:orient="portrait"/>
          <w:cols w:equalWidth="0" w:num="1">
            <w:col w:w="10239"/>
          </w:cols>
          <w:pgMar w:left="220" w:top="616" w:right="1440" w:bottom="1440" w:gutter="0" w:footer="0" w:header="0"/>
          <w:type w:val="continuous"/>
        </w:sectPr>
      </w:pPr>
    </w:p>
    <w:bookmarkStart w:id="556" w:name="page557"/>
    <w:bookmarkEnd w:id="556"/>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REGISTRANT'S SECURITIES TO BE REGISTERED.</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April 8, 1986 the Board of Directors of THE TORO COMPANY (the "Company") declared a dividend one one preferred share purchase right (a "Right") for each outstanding share of Common Stock, $1.00 par value (the "Common Shares"), of the Company, payable to shareholders of record on April 28, 1986. Each Right will entitle the holder thereof until the earlier of</w:t>
      </w:r>
    </w:p>
    <w:p>
      <w:pPr>
        <w:spacing w:after="0" w:line="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April 28, 1996 and the redemption of the Rights to buy one one-hundredth of a share of Series B Junior Participating Voting Preferred Stock, $1.00 par value (the "Preferred Shares"), of the Company, at an exercise price of $75 per one one-hundredth of a share, subject to adjustment. The Rights will be represented by the certificates for Common Shares, will not be exercisable, and will not be transferable apart from the Common Shares, until the earlier of the tenth day after the announcement that a person or group has acquired beneficial ownership of 20% or more of the Common Shares or the tenth day after a person commences, or announces an intention to commence, an offer the consummation of which would result in a person beneficially owning 30% or more of the Common Shares (the earlier of such dates being called the "Distribution Date"). Separate certificates for the Rights will be mailed to holders of record of the Common Shares as of such date. The Rights could then begin trading separately from the Common Shares.</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each Right will entitle its holder to purchase, at the then current exercise price of the Right, that number of shares of common stock of the surviving company which at the time of such transaction will have a market value of two times the then current exercise price of the Right. Alternatively, if a holder of 20% or more of the Common Shares acquires the Company by means of a reverse merger in which the Company and its stock survive, or engages in one of a number of self-dealing transactions, each Right not owned by such holder will become exercisable for that number of Common Shares which, at that time, will have a market value of two times the then current exercise price of the Right.</w:t>
      </w:r>
    </w:p>
    <w:p>
      <w:pPr>
        <w:spacing w:after="0" w:line="16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Rights are redeemable in whole, but not in part, at $.05 per Right at any time prior to the acquisition by a person or group of beneficial ownership of 20% or more of the Common Shares. The right to exercise the Rights terminates at the time that the Board of Directors elects to redeem the Rights. Notice of redemption shall be given by mailing such notice to the registered holders of the Rights. The Rights will expire on April 28, 1996 (unless sooner redeemed). At no time will the Rights have any voting rights. The Rights Agent is First Trust Company, Inc. (the "Rights Agent").</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exercise price payable, and the number of Preferred Shares or other securities or property issuable, upon exercise of the Rights are subject to adjustment from time to time to prevent dilution (i) in the event of a stock dividend on, or a subdivision,</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2 of 5</w:t>
      </w:r>
    </w:p>
    <w:p>
      <w:pPr>
        <w:sectPr>
          <w:pgSz w:w="11900" w:h="16838" w:orient="portrait"/>
          <w:cols w:equalWidth="0" w:num="1">
            <w:col w:w="10239"/>
          </w:cols>
          <w:pgMar w:left="220" w:top="616" w:right="1440" w:bottom="1440" w:gutter="0" w:footer="0" w:header="0"/>
        </w:sectPr>
      </w:pPr>
    </w:p>
    <w:bookmarkStart w:id="557" w:name="page558"/>
    <w:bookmarkEnd w:id="557"/>
    <w:p>
      <w:pPr>
        <w:ind w:right="3599"/>
        <w:spacing w:after="0" w:line="251" w:lineRule="auto"/>
        <w:rPr>
          <w:sz w:val="20"/>
          <w:szCs w:val="20"/>
          <w:color w:val="auto"/>
        </w:rPr>
      </w:pPr>
      <w:r>
        <w:rPr>
          <w:rFonts w:ascii="Courier New" w:cs="Courier New" w:eastAsia="Courier New" w:hAnsi="Courier New"/>
          <w:sz w:val="14"/>
          <w:szCs w:val="14"/>
          <w:color w:val="auto"/>
        </w:rPr>
        <w:t>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 are also subject to adjustment in the event of a stock split of, or stock dividend on, or subdivision, consolidation or combination of, the Common Shares prior to the Distribution Date. With certain exceptions, no adjustment in the exercise price will be required until cumulative adjustments require an adjustment of at least 1% in such exercise price.</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Upon exercise of the Rights, no fractional Preferred Shares probably will be issued (other than fractions which are integral multiples of one one-hundredth of a share, which may, at the election of the Company, be evidenced by depositary receipts) and in lieu thereof an adjustment in cash will be made.</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As of April 8, 1986 there were 6,998,807 Common Shares issued and outstanding (excluding 231,069 Common Shares held in the Company's treasury). As of such date an additional 790,584 Common Shares were reserved for issuance pursuant to the Company's employee benefit plans. One Right will be distributed to shareholders of the Company for each Common Share owned of record by them on April 28, 1986. Until the Distribution Date, the Company will issue one Right with each Common Share that shall become outstanding so that all Common Shares will have attached Rights. The Company has initially reserved 100,000 Preferred Shares for issuance upon exercise of the Rights.</w:t>
      </w:r>
    </w:p>
    <w:p>
      <w:pPr>
        <w:spacing w:after="0" w:line="164"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Rights have certain anti-takeover effects. The Rights may cause substantial dilution to a person or group that attempts to acquire the Company on terms not approved by the Board of Directors of the Company, except pursuant to an offer conditioned on a substantial number of Rights being acquired. The Rights should not interfere with any merger or other business combination approved by the Board of Directors since the Rights may be redeemed by the Company at $.05 per Right prior to the acquisition by a person or group of beneficial ownership of 20% or more of the Common Shares.</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Preferred Shares purchasable upon exercise of the Rights will be junior to the Company's outstanding series of Preferred Stock and to such other series of the Company's Preferred Stock as provide that they shall be prior to the Preferred Shares and</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3 of 5</w:t>
      </w:r>
    </w:p>
    <w:p>
      <w:pPr>
        <w:sectPr>
          <w:pgSz w:w="11900" w:h="16838" w:orient="portrait"/>
          <w:cols w:equalWidth="0" w:num="1">
            <w:col w:w="10239"/>
          </w:cols>
          <w:pgMar w:left="220" w:top="615" w:right="1440" w:bottom="1440" w:gutter="0" w:footer="0" w:header="0"/>
        </w:sectPr>
      </w:pPr>
    </w:p>
    <w:bookmarkStart w:id="558" w:name="page559"/>
    <w:bookmarkEnd w:id="558"/>
    <w:p>
      <w:pPr>
        <w:ind w:right="3599"/>
        <w:spacing w:after="0" w:line="251" w:lineRule="auto"/>
        <w:rPr>
          <w:sz w:val="20"/>
          <w:szCs w:val="20"/>
          <w:color w:val="auto"/>
        </w:rPr>
      </w:pPr>
      <w:r>
        <w:rPr>
          <w:rFonts w:ascii="Courier New" w:cs="Courier New" w:eastAsia="Courier New" w:hAnsi="Courier New"/>
          <w:sz w:val="14"/>
          <w:szCs w:val="14"/>
          <w:color w:val="auto"/>
        </w:rPr>
        <w:t>will be nonredeemable. Each Preferred Share will be entitled to a minimum preferential quarterly dividend of $10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In the event of any merger, consolidation or other transaction in which Common Shares are exchanged, each Preferred Share will be entitled to receive 100 times the amount and type of consideration received per Common Share. These rights are protected by customary anti-dilution provisions. Because of the nature of the Preferred Shares' dividend, liquidation and voting rights, the value of the interest in a Preferred Share purchasable upon the exercise of each Right should approximate the value of one Common Share.</w:t>
      </w:r>
    </w:p>
    <w:p>
      <w:pPr>
        <w:spacing w:after="0" w:line="328"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form of Rights Agreement between the Company and the Rights Agent specifying the terms of the Rights, which includes as Exhibit B the form of Right Certificate, is attached hereto as an exhibit and incorporated herein by reference. The foregoing description of the Rights is qualified by reference to such exhibit.</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w:t>
      </w:r>
    </w:p>
    <w:p>
      <w:pPr>
        <w:spacing w:after="0" w:line="173" w:lineRule="exact"/>
        <w:rPr>
          <w:sz w:val="20"/>
          <w:szCs w:val="20"/>
          <w:color w:val="auto"/>
        </w:rPr>
      </w:pPr>
    </w:p>
    <w:p>
      <w:pPr>
        <w:ind w:left="1300" w:right="3599" w:hanging="430"/>
        <w:spacing w:after="0" w:line="251" w:lineRule="auto"/>
        <w:tabs>
          <w:tab w:leader="none" w:pos="1300"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Rights Agreement dated as of April 8, 1986 between THE TORO COMPANY and First Trust Company, Inc., as Rights Agent, which includes as Exhibit B the form of Right Certificate. Pursuant to the Rights Agreement, Right Certificates will not be mailed until as soon as practicable after the earlier of the tenth day after announcement that a person or group has acquired beneficial ownership of 20% or more of the Common Shares or the tenth day after a person commences, or announces an intention to commence, an offer the consummation of which would result in a person beneficially owning 30% or more of the Common Shares.</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4 of 5</w:t>
      </w:r>
    </w:p>
    <w:p>
      <w:pPr>
        <w:sectPr>
          <w:pgSz w:w="11900" w:h="16838" w:orient="portrait"/>
          <w:cols w:equalWidth="0" w:num="1">
            <w:col w:w="10239"/>
          </w:cols>
          <w:pgMar w:left="220" w:top="615" w:right="1440" w:bottom="1440" w:gutter="0" w:footer="0" w:header="0"/>
        </w:sectPr>
      </w:pPr>
    </w:p>
    <w:bookmarkStart w:id="559" w:name="page560"/>
    <w:bookmarkEnd w:id="559"/>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registration statement to be signed on its behalf by the undersigned, thereto duly authorized.</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1986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/s/Vernon A.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 and General Counsel</w:t>
      </w:r>
    </w:p>
    <w:p>
      <w:pPr>
        <w:spacing w:after="0" w:line="200" w:lineRule="exact"/>
        <w:rPr>
          <w:sz w:val="20"/>
          <w:szCs w:val="20"/>
          <w:color w:val="auto"/>
        </w:rPr>
      </w:pPr>
    </w:p>
    <w:p>
      <w:pPr>
        <w:sectPr>
          <w:pgSz w:w="11900" w:h="16838" w:orient="portrait"/>
          <w:cols w:equalWidth="0" w:num="4">
            <w:col w:w="440" w:space="180"/>
            <w:col w:w="2540" w:space="720"/>
            <w:col w:w="260" w:space="180"/>
            <w:col w:w="591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5 of 5</w:t>
      </w:r>
    </w:p>
    <w:p>
      <w:pPr>
        <w:sectPr>
          <w:pgSz w:w="11900" w:h="16838" w:orient="portrait"/>
          <w:cols w:equalWidth="0" w:num="1">
            <w:col w:w="10239"/>
          </w:cols>
          <w:pgMar w:left="220" w:top="616" w:right="1440" w:bottom="1440" w:gutter="0" w:footer="0" w:header="0"/>
          <w:type w:val="continuous"/>
        </w:sectPr>
      </w:pPr>
    </w:p>
    <w:bookmarkStart w:id="560" w:name="page561"/>
    <w:bookmarkEnd w:id="560"/>
    <w:p>
      <w:pPr>
        <w:jc w:val="center"/>
        <w:ind w:right="47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1740"/>
        <w:spacing w:after="0"/>
        <w:tabs>
          <w:tab w:leader="none" w:pos="3340" w:val="left"/>
        </w:tabs>
        <w:rPr>
          <w:sz w:val="20"/>
          <w:szCs w:val="20"/>
          <w:color w:val="auto"/>
        </w:rPr>
      </w:pPr>
      <w:r>
        <w:rPr>
          <w:rFonts w:ascii="Courier New" w:cs="Courier New" w:eastAsia="Courier New" w:hAnsi="Courier New"/>
          <w:sz w:val="14"/>
          <w:szCs w:val="14"/>
          <w:color w:val="auto"/>
        </w:rPr>
        <w:t>Washington , D.C.</w:t>
        <w:tab/>
        <w:t>20549</w:t>
      </w:r>
    </w:p>
    <w:p>
      <w:pPr>
        <w:spacing w:after="0" w:line="338"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FORM 8</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AMENDMENT TO APPLICATION OR REPORT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Filed pursuant to Section 12, 13 or 15(d) of</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(Exact name of registrant as specified in charter)</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AMENDMENT NO. 1</w:t>
      </w:r>
    </w:p>
    <w:p>
      <w:pPr>
        <w:spacing w:after="0" w:line="173" w:lineRule="exact"/>
        <w:rPr>
          <w:sz w:val="20"/>
          <w:szCs w:val="20"/>
          <w:color w:val="auto"/>
        </w:rPr>
      </w:pPr>
    </w:p>
    <w:p>
      <w:pPr>
        <w:ind w:right="3859" w:firstLine="861"/>
        <w:spacing w:after="0" w:line="252" w:lineRule="auto"/>
        <w:rPr>
          <w:sz w:val="20"/>
          <w:szCs w:val="20"/>
          <w:color w:val="auto"/>
        </w:rPr>
      </w:pPr>
      <w:r>
        <w:rPr>
          <w:rFonts w:ascii="Courier New" w:cs="Courier New" w:eastAsia="Courier New" w:hAnsi="Courier New"/>
          <w:sz w:val="14"/>
          <w:szCs w:val="14"/>
          <w:color w:val="auto"/>
        </w:rPr>
        <w:t>The undersigned Registrant hereby amends the following items, financial statements, exhibits or other portions of its Registration Statement on Form 8-A dated April 11, 1986 with respect to its Preferred Share Purchase Rights as set forth below and on the pages attached hereto:</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REGISTRANT'S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1 is hereby amended by adding thereto the following:</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On May 18, 1987, a three-for-two split of the Common Stock, $1.00 par value (the "Common Shares"), of the Registrant was effected. As a result of such stock split, certain adjustments were required with respect to the Preferred Share Purchase Rights of the Registrant in accordance with the terms and provisions of the Rights Agreement, dated as of April 8, 1986 (the "Rights Agreement"), between the Registrant and First Trust Company, Inc., as Rights Agent (the "Rights Agent"). A copy of the Certificate of Adjustment delivered to the Rights Agent pursuant to Section 12 of the Rights Agreement, which Certificate sets forth such required adjustments, is attached hereto as Exhibit 2 and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2 is hereby amended by adding thereto the following:</w:t>
      </w:r>
    </w:p>
    <w:p>
      <w:pPr>
        <w:spacing w:after="0" w:line="173" w:lineRule="exact"/>
        <w:rPr>
          <w:sz w:val="20"/>
          <w:szCs w:val="20"/>
          <w:color w:val="auto"/>
        </w:rPr>
      </w:pPr>
    </w:p>
    <w:p>
      <w:pPr>
        <w:ind w:right="4719" w:firstLine="870"/>
        <w:spacing w:after="0" w:line="252" w:lineRule="auto"/>
        <w:tabs>
          <w:tab w:leader="none" w:pos="1292"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Adjustment delivered by The Toro Company to First Trust Company, Inc., as Rights Agent on May 13, 1987.</w:t>
      </w:r>
    </w:p>
    <w:p>
      <w:pPr>
        <w:sectPr>
          <w:pgSz w:w="11900" w:h="16838" w:orient="portrait"/>
          <w:cols w:equalWidth="0" w:num="1">
            <w:col w:w="10239"/>
          </w:cols>
          <w:pgMar w:left="220" w:top="781" w:right="1440" w:bottom="1440" w:gutter="0" w:footer="0" w:header="0"/>
        </w:sectPr>
      </w:pPr>
    </w:p>
    <w:bookmarkStart w:id="561" w:name="page562"/>
    <w:bookmarkEnd w:id="561"/>
    <w:p>
      <w:pPr>
        <w:ind w:left="860"/>
        <w:spacing w:after="0"/>
        <w:rPr>
          <w:sz w:val="20"/>
          <w:szCs w:val="20"/>
          <w:color w:val="auto"/>
        </w:rPr>
      </w:pPr>
      <w:r>
        <w:rPr>
          <w:rFonts w:ascii="Courier New" w:cs="Courier New" w:eastAsia="Courier New" w:hAnsi="Courier New"/>
          <w:sz w:val="14"/>
          <w:szCs w:val="14"/>
          <w:color w:val="auto"/>
        </w:rPr>
        <w:t>Pursuant to the requirements of the Securities Exchange Act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of 1934, the Registrant has duly caused this amendment to be signed on its behalf by the undersigned, thereunto duly authorized.</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May 13, 1987</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 /s/ Vernon A. Johnson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562" w:name="page563"/>
    <w:bookmarkEnd w:id="562"/>
    <w:p>
      <w:pPr>
        <w:jc w:val="center"/>
        <w:ind w:right="239"/>
        <w:spacing w:after="0"/>
        <w:rPr>
          <w:sz w:val="20"/>
          <w:szCs w:val="20"/>
          <w:color w:val="auto"/>
        </w:rPr>
      </w:pPr>
      <w:r>
        <w:rPr>
          <w:rFonts w:ascii="Courier New" w:cs="Courier New" w:eastAsia="Courier New" w:hAnsi="Courier New"/>
          <w:sz w:val="14"/>
          <w:szCs w:val="14"/>
          <w:color w:val="auto"/>
        </w:rPr>
        <w:t>EXHIBIT #2</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OF ADJUSTMENT</w:t>
      </w:r>
    </w:p>
    <w:p>
      <w:pPr>
        <w:spacing w:after="0" w:line="17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Pursuant to Section 12 of the Rights Agreement, dated as of April 8, 1986 (the "Rights Agreement"), between The Toro Company (the "Company") and First Trust Company, Inc., as Rights Agent, the Company hereby certifies as follows:</w:t>
      </w:r>
    </w:p>
    <w:p>
      <w:pPr>
        <w:spacing w:after="0" w:line="162" w:lineRule="exact"/>
        <w:rPr>
          <w:sz w:val="20"/>
          <w:szCs w:val="20"/>
          <w:color w:val="auto"/>
        </w:rPr>
      </w:pPr>
    </w:p>
    <w:p>
      <w:pPr>
        <w:ind w:left="440" w:hanging="432"/>
        <w:spacing w:after="0"/>
        <w:tabs>
          <w:tab w:leader="none" w:pos="440"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FACTS.</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At its April 14, 1987 meeting, the Company's Board of Directors adopted resolutions effecting a three-for-two split of the shares of common stock, $1.00 par value (the "Common Shares"), of the Company (the "Split") in the form of a 50% share dividend. Pursuant to such resolutions, the appropriate officers of the Company were authorized and directed to issue to each stockholder of record at the close of business on May 18, 1987, one additional Common Share and one additional Preferred Share Purchase Right (a "Right") for each two Common Shares and Rights held of record by such stockholder at the close of business on said date, payable June 10, 1987. Pursuant to the provisions of Sections 11 and 23 of the Rights Agreement, as a result of the Split, certain adjustments to the number of one one-hundredths of a Preferred Share (as defined in the Rights Agreement) purchasable upon exercise of a Right and to the Redemption Price (as defined in the Rights Agreement) will be effected as set forth below.</w:t>
      </w:r>
    </w:p>
    <w:p>
      <w:pPr>
        <w:spacing w:after="0" w:line="162" w:lineRule="exact"/>
        <w:rPr>
          <w:sz w:val="20"/>
          <w:szCs w:val="20"/>
          <w:color w:val="auto"/>
        </w:rPr>
      </w:pPr>
    </w:p>
    <w:p>
      <w:pPr>
        <w:ind w:left="440" w:hanging="432"/>
        <w:spacing w:after="0"/>
        <w:tabs>
          <w:tab w:leader="none" w:pos="44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3" w:lineRule="exact"/>
        <w:rPr>
          <w:sz w:val="20"/>
          <w:szCs w:val="20"/>
          <w:color w:val="auto"/>
        </w:rPr>
      </w:pPr>
    </w:p>
    <w:p>
      <w:pPr>
        <w:ind w:right="4119" w:firstLine="861"/>
        <w:spacing w:after="0" w:line="255" w:lineRule="auto"/>
        <w:rPr>
          <w:sz w:val="20"/>
          <w:szCs w:val="20"/>
          <w:color w:val="auto"/>
        </w:rPr>
      </w:pPr>
      <w:r>
        <w:rPr>
          <w:rFonts w:ascii="Courier New" w:cs="Courier New" w:eastAsia="Courier New" w:hAnsi="Courier New"/>
          <w:sz w:val="14"/>
          <w:szCs w:val="14"/>
          <w:color w:val="auto"/>
        </w:rPr>
        <w:t>The following adjustments will be effected as of May 18, 1987 pursuant to the terms of the Rights Agreement:</w:t>
      </w:r>
    </w:p>
    <w:p>
      <w:pPr>
        <w:spacing w:after="0" w:line="160" w:lineRule="exact"/>
        <w:rPr>
          <w:sz w:val="20"/>
          <w:szCs w:val="20"/>
          <w:color w:val="auto"/>
        </w:rPr>
      </w:pPr>
    </w:p>
    <w:p>
      <w:pPr>
        <w:ind w:right="3679" w:firstLine="870"/>
        <w:spacing w:after="0" w:line="251" w:lineRule="auto"/>
        <w:tabs>
          <w:tab w:leader="none" w:pos="1292"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PREFERRED SHARES. Pursuant to Section 11(n) of the Rights Agreement, the number of one one-hundredths of a Preferred Share purchasable upon exercise of a Right will be adjusted so that after May 18, 1987, each Right will represent the right to purchase two-thirds of one one-hundredths of a Preferred Share.</w:t>
      </w:r>
    </w:p>
    <w:p>
      <w:pPr>
        <w:spacing w:after="0" w:line="164" w:lineRule="exact"/>
        <w:rPr>
          <w:rFonts w:ascii="Courier New" w:cs="Courier New" w:eastAsia="Courier New" w:hAnsi="Courier New"/>
          <w:sz w:val="14"/>
          <w:szCs w:val="14"/>
          <w:color w:val="auto"/>
        </w:rPr>
      </w:pPr>
    </w:p>
    <w:p>
      <w:pPr>
        <w:ind w:right="3519" w:firstLine="870"/>
        <w:spacing w:after="0" w:line="255" w:lineRule="auto"/>
        <w:tabs>
          <w:tab w:leader="none" w:pos="1292"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PRICE. Pursuant to Section 23(a) of the Rights Agreement, the Redemption Price will be adjusted from $.05 to $.033 per Right.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13th day of May, 1987.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Vernon A. Johnson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Vernon A.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563" w:name="page564"/>
    <w:bookmarkEnd w:id="563"/>
    <w:p>
      <w:pPr>
        <w:ind w:left="2060"/>
        <w:spacing w:after="0"/>
        <w:rPr>
          <w:sz w:val="20"/>
          <w:szCs w:val="20"/>
          <w:color w:val="auto"/>
        </w:rPr>
      </w:pPr>
      <w:r>
        <w:rPr>
          <w:rFonts w:ascii="Courier New" w:cs="Courier New" w:eastAsia="Courier New" w:hAnsi="Courier New"/>
          <w:sz w:val="14"/>
          <w:szCs w:val="14"/>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615" w:right="1440" w:bottom="1440" w:gutter="0" w:footer="0" w:header="0"/>
        </w:sectPr>
      </w:pPr>
    </w:p>
    <w:bookmarkStart w:id="564" w:name="page565"/>
    <w:bookmarkEnd w:id="564"/>
    <w:p>
      <w:pPr>
        <w:ind w:left="13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1820"/>
        <w:spacing w:after="0"/>
        <w:tabs>
          <w:tab w:leader="none" w:pos="334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FORM 8-A</w:t>
      </w:r>
    </w:p>
    <w:p>
      <w:pPr>
        <w:spacing w:after="0" w:line="17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7"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PURSUANT TO SECTION 12(b) OR (g) OF THE</w:t>
      </w:r>
    </w:p>
    <w:p>
      <w:pPr>
        <w:spacing w:after="0" w:line="7"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5" w:right="1440" w:bottom="1440" w:gutter="0" w:footer="0" w:header="0"/>
        </w:sectPr>
      </w:pP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 or organization)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0"/>
          <w:szCs w:val="20"/>
          <w:color w:val="auto"/>
        </w:rPr>
      </w:pPr>
    </w:p>
    <w:p>
      <w:pPr>
        <w:sectPr>
          <w:pgSz w:w="11900" w:h="16838" w:orient="portrait"/>
          <w:cols w:equalWidth="0" w:num="2">
            <w:col w:w="3460" w:space="600"/>
            <w:col w:w="6179"/>
          </w:cols>
          <w:pgMar w:left="220" w:top="615" w:right="1440" w:bottom="1440" w:gutter="0" w:footer="0" w:header="0"/>
          <w:type w:val="continuous"/>
        </w:sectPr>
      </w:pPr>
    </w:p>
    <w:p>
      <w:pPr>
        <w:spacing w:after="0" w:line="138"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8111 Lyndale Avenue South, Bloomington, Minnesota (Address of principal executive officers)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55420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4220" w:space="520"/>
            <w:col w:w="5499"/>
          </w:cols>
          <w:pgMar w:left="220" w:top="615"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30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Title of each class</w:t>
            </w: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Name</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of each exchange on which</w:t>
            </w:r>
          </w:p>
        </w:tc>
      </w:tr>
      <w:tr>
        <w:trPr>
          <w:trHeight w:val="166"/>
        </w:trPr>
        <w:tc>
          <w:tcPr>
            <w:tcW w:w="330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to be so registered</w:t>
            </w: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each class is to be registered</w:t>
            </w:r>
          </w:p>
        </w:tc>
      </w:tr>
      <w:tr>
        <w:trPr>
          <w:trHeight w:val="166"/>
        </w:trPr>
        <w:tc>
          <w:tcPr>
            <w:tcW w:w="330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w:t>
            </w: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0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Preferred Share Purchase Rights</w:t>
            </w:r>
          </w:p>
        </w:tc>
        <w:tc>
          <w:tcPr>
            <w:tcW w:w="1040" w:type="dxa"/>
            <w:vAlign w:val="bottom"/>
          </w:tcPr>
          <w:p>
            <w:pPr>
              <w:spacing w:after="0"/>
              <w:rPr>
                <w:sz w:val="14"/>
                <w:szCs w:val="14"/>
                <w:color w:val="auto"/>
              </w:rPr>
            </w:pP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of Class)</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Page 1 of 8</w:t>
      </w:r>
    </w:p>
    <w:p>
      <w:pPr>
        <w:sectPr>
          <w:pgSz w:w="11900" w:h="16838" w:orient="portrait"/>
          <w:cols w:equalWidth="0" w:num="1">
            <w:col w:w="10239"/>
          </w:cols>
          <w:pgMar w:left="220" w:top="615" w:right="1440" w:bottom="1440" w:gutter="0" w:footer="0" w:header="0"/>
          <w:type w:val="continuous"/>
        </w:sectPr>
      </w:pPr>
    </w:p>
    <w:bookmarkStart w:id="565" w:name="page566"/>
    <w:bookmarkEnd w:id="565"/>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SECURITIES TO BE REGISTERED.</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On June 14, 1988, the Board of Directors of The Toro Company (the "Company") declared a dividend of one preferred share purchase right (a "Right") for each outstanding share of Common Stock, $1.00 par value (the "Common Shares"), of the Company. The dividend is payable on June 24, 1988 (the "Record Date") to the stockholders of record on that date. Each Right entitles the registered holder to purchase from the Company one one-hundredth of a share of Series B Junior Participating Voting Preferred Stock, $1.00 par value (the "Preferred Shares"), of the Company, at a price of $85 per one one-hundredth of a Preferred Share (the "Purchase Price"), subject to adjustment. The description and terms of the Rights are set forth in a Rights Agreement (the "Rights Agreement") between the Company and Norwest Bank Minnesota, National Association, as Rights Agent (the "Rights Agent").</w:t>
      </w:r>
    </w:p>
    <w:p>
      <w:pPr>
        <w:spacing w:after="0" w:line="16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Until the earlier to occur of (i) 10 days following a public announcement that a person or group of affiliated or associated persons (an "Acquiring Person") have acquired beneficial ownership of 20% or more of the outstanding Common Shares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Common Shares (the earlier of such dates being called the "Distribution Date"), the Rights will be evidenced, with respect to any of the Common Share certificates outstanding as of the Record Date, by such Common Share certificate with a copy of the Summary of Rights attached thereto.</w:t>
      </w:r>
    </w:p>
    <w:p>
      <w:pPr>
        <w:spacing w:after="0" w:line="163"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The Rights Agreement provides that, until the Distribution Date,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the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172"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on June 14, 1998 (the "Final Expiration Date"), unless the Final Expiration Date is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2 of 8</w:t>
      </w:r>
    </w:p>
    <w:p>
      <w:pPr>
        <w:sectPr>
          <w:pgSz w:w="11900" w:h="16838" w:orient="portrait"/>
          <w:cols w:equalWidth="0" w:num="1">
            <w:col w:w="10239"/>
          </w:cols>
          <w:pgMar w:left="220" w:top="615" w:right="1440" w:bottom="1440" w:gutter="0" w:footer="0" w:header="0"/>
        </w:sectPr>
      </w:pPr>
    </w:p>
    <w:bookmarkStart w:id="566" w:name="page567"/>
    <w:bookmarkEnd w:id="566"/>
    <w:p>
      <w:pPr>
        <w:ind w:right="3859"/>
        <w:spacing w:after="0" w:line="255" w:lineRule="auto"/>
        <w:rPr>
          <w:sz w:val="20"/>
          <w:szCs w:val="20"/>
          <w:color w:val="auto"/>
        </w:rPr>
      </w:pPr>
      <w:r>
        <w:rPr>
          <w:rFonts w:ascii="Courier New" w:cs="Courier New" w:eastAsia="Courier New" w:hAnsi="Courier New"/>
          <w:sz w:val="14"/>
          <w:szCs w:val="14"/>
          <w:color w:val="auto"/>
        </w:rPr>
        <w:t>extended or unless the Rights are earlier redeemed by the Company, in each case, as described below.</w:t>
      </w:r>
    </w:p>
    <w:p>
      <w:pPr>
        <w:spacing w:after="0" w:line="160"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w:t>
      </w:r>
    </w:p>
    <w:p>
      <w:pPr>
        <w:spacing w:after="0" w:line="3" w:lineRule="exact"/>
        <w:rPr>
          <w:sz w:val="20"/>
          <w:szCs w:val="20"/>
          <w:color w:val="auto"/>
        </w:rPr>
      </w:pPr>
    </w:p>
    <w:p>
      <w:pPr>
        <w:ind w:right="3599" w:firstLine="8"/>
        <w:spacing w:after="0" w:line="252" w:lineRule="auto"/>
        <w:tabs>
          <w:tab w:leader="none" w:pos="517"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162"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164"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Preferred Shares purchasable upon exercise of the Rights will not be redeemable. Each Preferred Share will be entitled to a minimum preferential quarterly dividend payment of $1.00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329"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Because of the nature of the Preferred Shares' dividend, voting and liquidation rights, the value of the one one-hundredth interest in a Preferred Share purchasable upon exercise of each Right should approximate the value of one Common Share.</w:t>
      </w:r>
    </w:p>
    <w:p>
      <w:pPr>
        <w:spacing w:after="0" w:line="162"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or 50% or more of its consolidated assets or earning power are sold, proper provision will be made so that each holder of a Right will thereafter have the right to receive, upon the exercise thereof at the then current exercise price of the</w:t>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3 of 8</w:t>
      </w:r>
    </w:p>
    <w:p>
      <w:pPr>
        <w:sectPr>
          <w:pgSz w:w="11900" w:h="16838" w:orient="portrait"/>
          <w:cols w:equalWidth="0" w:num="1">
            <w:col w:w="10239"/>
          </w:cols>
          <w:pgMar w:left="220" w:top="616" w:right="1440" w:bottom="1440" w:gutter="0" w:footer="0" w:header="0"/>
        </w:sectPr>
      </w:pPr>
    </w:p>
    <w:bookmarkStart w:id="567" w:name="page568"/>
    <w:bookmarkEnd w:id="567"/>
    <w:p>
      <w:pPr>
        <w:ind w:right="3599"/>
        <w:spacing w:after="0" w:line="250" w:lineRule="auto"/>
        <w:rPr>
          <w:sz w:val="20"/>
          <w:szCs w:val="20"/>
          <w:color w:val="auto"/>
        </w:rPr>
      </w:pPr>
      <w:r>
        <w:rPr>
          <w:rFonts w:ascii="Courier New" w:cs="Courier New" w:eastAsia="Courier New" w:hAnsi="Courier New"/>
          <w:sz w:val="14"/>
          <w:szCs w:val="14"/>
          <w:color w:val="auto"/>
        </w:rPr>
        <w:t>Rights, that number of shares of common stock of the acquiring company which at the time of such transaction will have a market value of two times the exercise price of the Rights. In the event that (i) any person becomes an Acquiring Person (unless such person first acquires 20% or more of the outstanding Common Shares by a purchase pursuant to a tender offer for all of the Common Shares for cash, which purchase increases such person's beneficial ownership to 80% or more of the outstanding Common Shares) or (ii) during such time as there is an Acquiring Person, there shall be any reclassification of securities or recapitalization or reorganization of the Company which has the effect of increasing by more than 1% the proportionate share of the outstanding shares of any class of equity securities of the Company or any of its subsidiaries beneficially owned by the Acquiring Person, proper provision shall be made so that each holder of a Right, other than Rights beneficially owned by the Acquiring Person (which will thereafter be void), will thereafter have the right to receive upon exercise that number of Common Shares having a market value of two times the exercise price of the Rights.</w:t>
      </w:r>
    </w:p>
    <w:p>
      <w:pPr>
        <w:spacing w:after="0" w:line="338"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At any time after the acquisition by a person or group of affiliated or associated persons of beneficial ownership of 20% or more of the outstanding Common Shares and prior to the acquisition by such person or group of 50% or more of the outstanding Common Shares, the Board of Directors of the Company may exchange the Rights (other than Rights owned by such person or group which have become void), in whole or in part, at an exchange ratio of one Common Share, or one one-hundredth of a Preferred Share (or of a share of a class of series of the Company's preferred stock having equivalent rights, preferences and privileges), per Right (subject to adjustment).</w:t>
      </w:r>
    </w:p>
    <w:p>
      <w:pPr>
        <w:spacing w:after="0" w:line="164"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164"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in its sole discretion may establish. In addition, if a bidder who does not beneficially own more than 1% of the Common Shares (and who has not within the past year owned in excess of 1% of the Common Shares and, at a time he held such greater than 1% stake, disclosed, or caused the disclosure of, an intention which relates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4 of 8</w:t>
      </w:r>
    </w:p>
    <w:p>
      <w:pPr>
        <w:sectPr>
          <w:pgSz w:w="11900" w:h="16838" w:orient="portrait"/>
          <w:cols w:equalWidth="0" w:num="1">
            <w:col w:w="10239"/>
          </w:cols>
          <w:pgMar w:left="220" w:top="781" w:right="1440" w:bottom="1440" w:gutter="0" w:footer="0" w:header="0"/>
        </w:sectPr>
      </w:pPr>
    </w:p>
    <w:bookmarkStart w:id="568" w:name="page569"/>
    <w:bookmarkEnd w:id="568"/>
    <w:p>
      <w:pPr>
        <w:ind w:right="3599"/>
        <w:spacing w:after="0" w:line="250" w:lineRule="auto"/>
        <w:rPr>
          <w:sz w:val="20"/>
          <w:szCs w:val="20"/>
          <w:color w:val="auto"/>
        </w:rPr>
      </w:pPr>
      <w:r>
        <w:rPr>
          <w:rFonts w:ascii="Courier New" w:cs="Courier New" w:eastAsia="Courier New" w:hAnsi="Courier New"/>
          <w:sz w:val="14"/>
          <w:szCs w:val="14"/>
          <w:color w:val="auto"/>
        </w:rPr>
        <w:t>to or would result in the acquisition or influence of control of the Company) proposes to acquire all of the Common Shares (and all other shares of capital stock of the Company entitled to vote with the Common Shares in the election of directors or on mergers, consolidations, sales of all or substantially all of the Company's assets, liquidation,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PROVIDED, HOWEVER, that no redemption will be permitted or required after the acquisition by any person or group of affiliated or associated persons of beneficial ownership of 20% or more of the outstanding Common Shares. Immediately upon any redemption of the Rights, the right to exercise the Rights will terminate and the only right of the holders of Rights will be to receive the Redemption Price.</w:t>
      </w:r>
    </w:p>
    <w:p>
      <w:pPr>
        <w:spacing w:after="0" w:line="340"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The terms of the Rights may be amended by the Board of Directors of the Company without the consent of the holders of the Rights, including an amendment to lower the threshold for exercisability of the Rights from 20% to not less than the greater of (i) any percentage greater than the largest percentage of the outstanding Common Shares then known to the Company to be beneficially owned by any person or group of affiliated or associated persons and (ii) 10%, except that from and after such time as any person becomes an Acquiring Person no such amendment may adversely affect the interests of the holders of the Rights.</w:t>
      </w:r>
    </w:p>
    <w:p>
      <w:pPr>
        <w:spacing w:after="0" w:line="164"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Until a Right is exercised, the holder thereof, as such, will have no rights as a stockholder of the Company, including, without limitation, the right to vote or to receive dividends.</w:t>
      </w:r>
    </w:p>
    <w:p>
      <w:pPr>
        <w:spacing w:after="0" w:line="163" w:lineRule="exact"/>
        <w:rPr>
          <w:sz w:val="20"/>
          <w:szCs w:val="20"/>
          <w:color w:val="auto"/>
        </w:rPr>
      </w:pPr>
    </w:p>
    <w:p>
      <w:pPr>
        <w:ind w:right="3679" w:firstLine="861"/>
        <w:spacing w:after="0" w:line="251" w:lineRule="auto"/>
        <w:rPr>
          <w:sz w:val="20"/>
          <w:szCs w:val="20"/>
          <w:color w:val="auto"/>
        </w:rPr>
      </w:pPr>
      <w:r>
        <w:rPr>
          <w:rFonts w:ascii="Courier New" w:cs="Courier New" w:eastAsia="Courier New" w:hAnsi="Courier New"/>
          <w:sz w:val="14"/>
          <w:szCs w:val="14"/>
          <w:color w:val="auto"/>
        </w:rPr>
        <w:t>The Rights have certain anti-takeover effects. The Rights will cause substantial dilution to a person or group that attempts to acquire the Company on terms not approved by the Company's Board of Directors, except pursuant to an offer conditioned on a substantial number of Rights being acquired. The Rights should not interfere with any merger or other business combination approved by the Board of Directors since the Rights may be redeemed by the Company at the Redemption Price prior to the time that a person or group has acquired beneficial ownership of 20% or more of the Common Shares.</w:t>
      </w:r>
    </w:p>
    <w:p>
      <w:pPr>
        <w:spacing w:after="0" w:line="16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5 of 8</w:t>
      </w:r>
    </w:p>
    <w:p>
      <w:pPr>
        <w:sectPr>
          <w:pgSz w:w="11900" w:h="16838" w:orient="portrait"/>
          <w:cols w:equalWidth="0" w:num="1">
            <w:col w:w="10239"/>
          </w:cols>
          <w:pgMar w:left="220" w:top="616" w:right="1440" w:bottom="1440" w:gutter="0" w:footer="0" w:header="0"/>
        </w:sectPr>
      </w:pPr>
    </w:p>
    <w:bookmarkStart w:id="569" w:name="page570"/>
    <w:bookmarkEnd w:id="569"/>
    <w:p>
      <w:pPr>
        <w:ind w:right="3599" w:firstLine="861"/>
        <w:spacing w:after="0" w:line="251" w:lineRule="auto"/>
        <w:rPr>
          <w:sz w:val="20"/>
          <w:szCs w:val="20"/>
          <w:color w:val="auto"/>
        </w:rPr>
      </w:pPr>
      <w:r>
        <w:rPr>
          <w:rFonts w:ascii="Courier New" w:cs="Courier New" w:eastAsia="Courier New" w:hAnsi="Courier New"/>
          <w:sz w:val="14"/>
          <w:szCs w:val="14"/>
          <w:color w:val="auto"/>
        </w:rPr>
        <w:t>The Rights Agreement, dated as of June 14, 1988, between the Company and Norwest Bank Minnesota, N.A., as Rights Agent, specifying the terms of the Rights and including the form of the Certificate of Designation, Preferences and Rights setting forth the terms of the Preferred Shares as an exhibit thereto and the form of press release announcing the declaration of the Rights are attached hereto as exhibits and are incorporated herein by reference. The foregoing description of the Rights is qualified in its entirety by reference to such exhibits.</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left="1560" w:right="3599" w:hanging="518"/>
        <w:spacing w:after="0" w:line="250" w:lineRule="auto"/>
        <w:tabs>
          <w:tab w:leader="none" w:pos="1560"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Agreement, dated as of June 14, 1988, between The Toro Company and Norwest Bank Minnesota, N.A., which includes the form of Certificate of Designation, Preferences and Rights setting forth the terms of the Series B Junior Participating Voting Preferred Stock, $1.00 par value, as Exhibit A, the form of Right Certificate as Exhibit B and the Summary of Rights to Purchase Preferred Shares as Exhibit C. Pursuant to the Rights Agreement, printed Right Certificates will not be mailed until as soon as practicable after the earlier of the tenth day after public announcement that a person or group has acquired beneficial ownership of 20% or more of the Common Shares or the tenth business day (or such later date as may be determined by action of the Board of Directors) after a person commences, or announces its intention to commence, a tender offer or exchange offer the consummation of which would result in the beneficial ownership by a person or group of 20% or more of the Common Shares.</w:t>
      </w:r>
    </w:p>
    <w:p>
      <w:pPr>
        <w:spacing w:after="0" w:line="173"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press release dated June 14, 1988.</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stockholders dated June 15, 1988.</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6 of 8</w:t>
      </w:r>
    </w:p>
    <w:p>
      <w:pPr>
        <w:sectPr>
          <w:pgSz w:w="11900" w:h="16838" w:orient="portrait"/>
          <w:cols w:equalWidth="0" w:num="1">
            <w:col w:w="10239"/>
          </w:cols>
          <w:pgMar w:left="220" w:top="615" w:right="1440" w:bottom="1440" w:gutter="0" w:footer="0" w:header="0"/>
        </w:sectPr>
      </w:pPr>
    </w:p>
    <w:bookmarkStart w:id="570" w:name="page571"/>
    <w:bookmarkEnd w:id="570"/>
    <w:p>
      <w:pPr>
        <w:ind w:left="242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right="4119" w:firstLine="861"/>
        <w:spacing w:after="0" w:line="252"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registration statement to be signed on its behalf by the undersigned, thereunto duly authorized.</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June 17, 1988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5" w:right="1440" w:bottom="1440" w:gutter="0" w:footer="0" w:header="0"/>
        </w:sectPr>
      </w:pP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Vernon A. Johnson</w:t>
      </w:r>
    </w:p>
    <w:p>
      <w:pPr>
        <w:spacing w:after="0" w:line="7" w:lineRule="exact"/>
        <w:rPr>
          <w:sz w:val="20"/>
          <w:szCs w:val="20"/>
          <w:color w:val="auto"/>
        </w:rPr>
      </w:pPr>
    </w:p>
    <w:p>
      <w:pPr>
        <w:sectPr>
          <w:pgSz w:w="11900" w:h="16838" w:orient="portrait"/>
          <w:cols w:equalWidth="0" w:num="2">
            <w:col w:w="3460" w:space="260"/>
            <w:col w:w="6519"/>
          </w:cols>
          <w:pgMar w:left="220" w:top="615"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 and General</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Counsel</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7 of 8</w:t>
      </w:r>
    </w:p>
    <w:p>
      <w:pPr>
        <w:sectPr>
          <w:pgSz w:w="11900" w:h="16838" w:orient="portrait"/>
          <w:cols w:equalWidth="0" w:num="1">
            <w:col w:w="10239"/>
          </w:cols>
          <w:pgMar w:left="220" w:top="615" w:right="1440" w:bottom="1440" w:gutter="0" w:footer="0" w:header="0"/>
          <w:type w:val="continuous"/>
        </w:sectPr>
      </w:pPr>
    </w:p>
    <w:bookmarkStart w:id="571" w:name="page572"/>
    <w:bookmarkEnd w:id="571"/>
    <w:p>
      <w:pPr>
        <w:ind w:left="2332"/>
        <w:spacing w:after="0"/>
        <w:rPr>
          <w:sz w:val="20"/>
          <w:szCs w:val="20"/>
          <w:color w:val="auto"/>
        </w:rPr>
      </w:pPr>
      <w:r>
        <w:rPr>
          <w:rFonts w:ascii="Courier New" w:cs="Courier New" w:eastAsia="Courier New" w:hAnsi="Courier New"/>
          <w:sz w:val="14"/>
          <w:szCs w:val="14"/>
          <w:color w:val="auto"/>
        </w:rPr>
        <w:t>EXHIBIT LIST</w:t>
      </w:r>
    </w:p>
    <w:p>
      <w:pPr>
        <w:spacing w:after="0" w:line="173" w:lineRule="exact"/>
        <w:rPr>
          <w:sz w:val="20"/>
          <w:szCs w:val="20"/>
          <w:color w:val="auto"/>
        </w:rPr>
      </w:pPr>
    </w:p>
    <w:p>
      <w:pPr>
        <w:ind w:left="432" w:right="3339" w:hanging="432"/>
        <w:spacing w:after="0" w:line="251" w:lineRule="auto"/>
        <w:tabs>
          <w:tab w:leader="none" w:pos="432"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Agreement, dated as of June 14, 1988, between The Toro Company and Norwest Bank Minnesota, N.A., which includes the form of Certificate of Designation, Preferences and Rights setting forth the terms of the Series B Junior Participating Voting Preferred Stock, $1.00 par value, as Exhibit A, the form of Right Certificate as Exhibit B and the Summary of Rights to Purchase Preferred Shares as Exhibit C. Pursuant to the Rights Agreement, printed Right Certificates will not be mailed until as soon as practicable after the earlier of the tenth day after public announcement that a person or group has acquired beneficial ownership of 20% or more of the Common Shares or the tenth business day (or such later date as may be determined by action of the Board of Directors) after a person commences, or announces its intention to commence, a tender offer or exchange offer the consumption of which would result in the beneficial ownership by a person or group of 20% or more of the Common Shares.</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press release dated June 14, 1988.</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stockholders dated June 15, 1988.</w:t>
      </w:r>
    </w:p>
    <w:p>
      <w:pPr>
        <w:spacing w:after="0" w:line="338"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Page 8 of 8</w:t>
      </w:r>
    </w:p>
    <w:p>
      <w:pPr>
        <w:sectPr>
          <w:pgSz w:w="11900" w:h="16838" w:orient="portrait"/>
          <w:cols w:equalWidth="0" w:num="1">
            <w:col w:w="10231"/>
          </w:cols>
          <w:pgMar w:left="228" w:top="615" w:right="1440" w:bottom="1440" w:gutter="0" w:footer="0" w:header="0"/>
        </w:sectPr>
      </w:pPr>
    </w:p>
    <w:bookmarkStart w:id="572" w:name="page573"/>
    <w:bookmarkEnd w:id="572"/>
    <w:p>
      <w:pPr>
        <w:jc w:val="center"/>
        <w:ind w:right="51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FORM 8</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AMENDMENT TO APPLICATION OR REPORT</w:t>
      </w:r>
    </w:p>
    <w:p>
      <w:pPr>
        <w:spacing w:after="0" w:line="17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Filed pursuant to Section 12, 13, or 15(d) of the</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AMENDMENT NO. 1</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Registration Statement on Form 8-A</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filed with the Commission on June 17, 1988)</w:t>
      </w:r>
    </w:p>
    <w:p>
      <w:pPr>
        <w:sectPr>
          <w:pgSz w:w="11900" w:h="16838" w:orient="portrait"/>
          <w:cols w:equalWidth="0" w:num="1">
            <w:col w:w="9799"/>
          </w:cols>
          <w:pgMar w:left="660" w:top="616" w:right="1440" w:bottom="1440" w:gutter="0" w:footer="0" w:header="0"/>
        </w:sectPr>
      </w:pPr>
    </w:p>
    <w:bookmarkStart w:id="573" w:name="page574"/>
    <w:bookmarkEnd w:id="573"/>
    <w:p>
      <w:pPr>
        <w:ind w:right="4719" w:firstLine="861"/>
        <w:spacing w:after="0" w:line="252" w:lineRule="auto"/>
        <w:rPr>
          <w:sz w:val="20"/>
          <w:szCs w:val="20"/>
          <w:color w:val="auto"/>
        </w:rPr>
      </w:pPr>
      <w:r>
        <w:rPr>
          <w:rFonts w:ascii="Courier New" w:cs="Courier New" w:eastAsia="Courier New" w:hAnsi="Courier New"/>
          <w:sz w:val="14"/>
          <w:szCs w:val="14"/>
          <w:color w:val="auto"/>
        </w:rPr>
        <w:t>The undersigned registrant hereby amends Items 1 and 2 of its Registration Statement on Form 8-A, as heretofore amended (the "Registration Statement"), as set forth in the pages attached hereto:</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SECURITIES.</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On August 14, 1990, the Board of Directors of The Toro Company (the "Company") approved an amendment (the "Amendment") to the Rights Agreement dated as of June 14, 1988 (the "Rights Agreement"), between the Company and Norwest Bank Minnesota, National Association, as Rights Agent. The Amendment, among other things, (i) eliminates the 80% acquisition exception that renders the "flip-in" provision of the Rights Plan inapplicable in the event that at least 80% of the Common Shares are acquired through an all-cash, all-shares tender offer, and (ii) eliminates the stockholder referendum procedure that permits the Rights to be redeemed by direct action of the stockholders without the approval of the Company's Board of Directors.</w:t>
      </w:r>
    </w:p>
    <w:p>
      <w:pPr>
        <w:spacing w:after="0" w:line="163" w:lineRule="exact"/>
        <w:rPr>
          <w:sz w:val="20"/>
          <w:szCs w:val="20"/>
          <w:color w:val="auto"/>
        </w:rPr>
      </w:pPr>
    </w:p>
    <w:p>
      <w:pPr>
        <w:jc w:val="both"/>
        <w:ind w:right="4799" w:firstLine="861"/>
        <w:spacing w:after="0" w:line="252" w:lineRule="auto"/>
        <w:rPr>
          <w:sz w:val="20"/>
          <w:szCs w:val="20"/>
          <w:color w:val="auto"/>
        </w:rPr>
      </w:pPr>
      <w:r>
        <w:rPr>
          <w:rFonts w:ascii="Courier New" w:cs="Courier New" w:eastAsia="Courier New" w:hAnsi="Courier New"/>
          <w:sz w:val="14"/>
          <w:szCs w:val="14"/>
          <w:color w:val="auto"/>
        </w:rPr>
        <w:t>The Amendment is attached hereto as an exhibit and is incorporated herein by reference. The foregoing description of the Amendment is qualified by reference to the Amendment.</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right="4639" w:firstLine="439"/>
        <w:spacing w:after="0" w:line="252" w:lineRule="auto"/>
        <w:tabs>
          <w:tab w:leader="none" w:pos="861"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August 14, 1990, between The Toro Company and Norwest Bank Minnesota, National Association, as Rights Agent.</w:t>
      </w:r>
    </w:p>
    <w:p>
      <w:pPr>
        <w:sectPr>
          <w:pgSz w:w="11900" w:h="16838" w:orient="portrait"/>
          <w:cols w:equalWidth="0" w:num="1">
            <w:col w:w="10239"/>
          </w:cols>
          <w:pgMar w:left="220" w:top="615" w:right="1440" w:bottom="1440" w:gutter="0" w:footer="0" w:header="0"/>
        </w:sectPr>
      </w:pPr>
    </w:p>
    <w:bookmarkStart w:id="574" w:name="page575"/>
    <w:bookmarkEnd w:id="574"/>
    <w:p>
      <w:pPr>
        <w:ind w:left="23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463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amendment to be signed on its behalf by the undersigned, thereunto duly authorized.</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3020"/>
        <w:spacing w:after="0"/>
        <w:tabs>
          <w:tab w:leader="none" w:pos="3440" w:val="left"/>
        </w:tabs>
        <w:rPr>
          <w:sz w:val="20"/>
          <w:szCs w:val="20"/>
          <w:color w:val="auto"/>
        </w:rPr>
      </w:pPr>
      <w:r>
        <w:rPr>
          <w:rFonts w:ascii="Courier New" w:cs="Courier New" w:eastAsia="Courier New" w:hAnsi="Courier New"/>
          <w:sz w:val="14"/>
          <w:szCs w:val="14"/>
          <w:color w:val="auto"/>
        </w:rPr>
        <w:t>By:</w:t>
        <w:tab/>
        <w: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Name:</w:t>
        <w:tab/>
        <w:t>Kendrick B. Melrose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70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August 14, 1990</w:t>
      </w:r>
    </w:p>
    <w:p>
      <w:pPr>
        <w:sectPr>
          <w:pgSz w:w="11900" w:h="16838" w:orient="portrait"/>
          <w:cols w:equalWidth="0" w:num="1">
            <w:col w:w="10239"/>
          </w:cols>
          <w:pgMar w:left="220" w:top="616" w:right="1440" w:bottom="1440" w:gutter="0" w:footer="0" w:header="0"/>
        </w:sectPr>
      </w:pPr>
    </w:p>
    <w:bookmarkStart w:id="575" w:name="page576"/>
    <w:bookmarkEnd w:id="575"/>
    <w:p>
      <w:pPr>
        <w:ind w:left="19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320" w:space="720"/>
            <w:col w:w="4199"/>
          </w:cols>
          <w:pgMar w:left="220" w:top="616" w:right="1440" w:bottom="1440" w:gutter="0" w:footer="0" w:header="0"/>
          <w:type w:val="continuous"/>
        </w:sectPr>
      </w:pPr>
    </w:p>
    <w:p>
      <w:pPr>
        <w:ind w:left="860" w:right="4719" w:hanging="852"/>
        <w:spacing w:after="0" w:line="252" w:lineRule="auto"/>
        <w:tabs>
          <w:tab w:leader="none" w:pos="860"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August 14, 1990 between The Toro Company and Norwest Bank Minnesota, National Association, as Rights Agent.</w:t>
      </w:r>
    </w:p>
    <w:p>
      <w:pPr>
        <w:sectPr>
          <w:pgSz w:w="11900" w:h="16838" w:orient="portrait"/>
          <w:cols w:equalWidth="0" w:num="1">
            <w:col w:w="10239"/>
          </w:cols>
          <w:pgMar w:left="220" w:top="616" w:right="1440" w:bottom="1440" w:gutter="0" w:footer="0" w:header="0"/>
          <w:type w:val="continuous"/>
        </w:sectPr>
      </w:pPr>
    </w:p>
    <w:bookmarkStart w:id="576" w:name="page577"/>
    <w:bookmarkEnd w:id="576"/>
    <w:p>
      <w:pPr>
        <w:ind w:left="1480"/>
        <w:spacing w:after="0"/>
        <w:rPr>
          <w:sz w:val="20"/>
          <w:szCs w:val="20"/>
          <w:color w:val="auto"/>
        </w:rPr>
      </w:pPr>
      <w:r>
        <w:rPr>
          <w:rFonts w:ascii="Courier New" w:cs="Courier New" w:eastAsia="Courier New" w:hAnsi="Courier New"/>
          <w:sz w:val="14"/>
          <w:szCs w:val="14"/>
          <w:color w:val="auto"/>
        </w:rPr>
        <w:t>AMENDMENT TO RIGHTS AGREEMENT</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AMENDMENT, dated as of August 14, 1990, to the Rights Agreement, dated as of June 14, 1988 (the "Rights Agreement"), between The Toro Company, a Deleware corporation (the "Company"), and Norwest Bank Minnesota, National Association, as Rights Agent (the "Rights Agent").</w:t>
      </w:r>
    </w:p>
    <w:p>
      <w:pPr>
        <w:spacing w:after="0" w:line="165" w:lineRule="exact"/>
        <w:rPr>
          <w:sz w:val="20"/>
          <w:szCs w:val="20"/>
          <w:color w:val="auto"/>
        </w:rPr>
      </w:pPr>
    </w:p>
    <w:p>
      <w:pPr>
        <w:ind w:right="4719" w:firstLine="861"/>
        <w:spacing w:after="0" w:line="251" w:lineRule="auto"/>
        <w:rPr>
          <w:sz w:val="20"/>
          <w:szCs w:val="20"/>
          <w:color w:val="auto"/>
        </w:rPr>
      </w:pPr>
      <w:r>
        <w:rPr>
          <w:rFonts w:ascii="Courier New" w:cs="Courier New" w:eastAsia="Courier New" w:hAnsi="Courier New"/>
          <w:sz w:val="14"/>
          <w:szCs w:val="14"/>
          <w:color w:val="auto"/>
        </w:rPr>
        <w:t>The Company and the Rights Agent have heretofore executed and entered into the Rights Agreement. Pursuant to Section 27 of the Rights Agreement, the Company and the Rights Agent may from time to time supplement or amend the Rights Agreement in accordance with the provisions of Section 27 thereof. All acts and things necessary to make this Amendment a valid agreement, enforceable according to its terms, have been done and performed, and the execution and delivery of this Amendment by the Company and the Rights Agent have been in all respects duly authorized by the Company and the Rights Agent.</w:t>
      </w:r>
    </w:p>
    <w:p>
      <w:pPr>
        <w:spacing w:after="0" w:line="163" w:lineRule="exact"/>
        <w:rPr>
          <w:sz w:val="20"/>
          <w:szCs w:val="20"/>
          <w:color w:val="auto"/>
        </w:rPr>
      </w:pPr>
    </w:p>
    <w:p>
      <w:pPr>
        <w:ind w:right="4719" w:firstLine="431"/>
        <w:spacing w:after="0" w:line="255" w:lineRule="auto"/>
        <w:rPr>
          <w:sz w:val="20"/>
          <w:szCs w:val="20"/>
          <w:color w:val="auto"/>
        </w:rPr>
      </w:pPr>
      <w:r>
        <w:rPr>
          <w:rFonts w:ascii="Courier New" w:cs="Courier New" w:eastAsia="Courier New" w:hAnsi="Courier New"/>
          <w:sz w:val="14"/>
          <w:szCs w:val="14"/>
          <w:color w:val="auto"/>
        </w:rPr>
        <w:t>In consideration of the foregoing and the mutual agreements set forth herein, the parties hereto agree as follows:</w:t>
      </w:r>
    </w:p>
    <w:p>
      <w:pPr>
        <w:spacing w:after="0" w:line="160" w:lineRule="exact"/>
        <w:rPr>
          <w:sz w:val="20"/>
          <w:szCs w:val="20"/>
          <w:color w:val="auto"/>
        </w:rPr>
      </w:pPr>
    </w:p>
    <w:p>
      <w:pPr>
        <w:ind w:right="4719" w:firstLine="870"/>
        <w:spacing w:after="0" w:line="252" w:lineRule="auto"/>
        <w:tabs>
          <w:tab w:leader="none" w:pos="1292"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1(a) of the Rights Agreement is hereby modified and amended by adding the following sentence to the end thereof:</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Notwithstanding the foregoing, if the Board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Directors of the Company determines in good faith that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Person who would otherwise be an Acquiring Person,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defined pursuant to the foregoing provisions of this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paragraph (a), has become such inadvertently, and such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Person divests as promptly as practicable a sufficient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 of Common Shares so that</w:t>
      </w:r>
    </w:p>
    <w:p>
      <w:pPr>
        <w:sectPr>
          <w:pgSz w:w="11900" w:h="16838" w:orient="portrait"/>
          <w:cols w:equalWidth="0" w:num="1">
            <w:col w:w="10239"/>
          </w:cols>
          <w:pgMar w:left="220" w:top="616" w:right="1440" w:bottom="1440" w:gutter="0" w:footer="0" w:header="0"/>
        </w:sectPr>
      </w:pPr>
    </w:p>
    <w:bookmarkStart w:id="577" w:name="page578"/>
    <w:bookmarkEnd w:id="577"/>
    <w:p>
      <w:pPr>
        <w:ind w:left="432"/>
        <w:spacing w:after="0"/>
        <w:rPr>
          <w:sz w:val="20"/>
          <w:szCs w:val="20"/>
          <w:color w:val="auto"/>
        </w:rPr>
      </w:pPr>
      <w:r>
        <w:rPr>
          <w:rFonts w:ascii="Courier New" w:cs="Courier New" w:eastAsia="Courier New" w:hAnsi="Courier New"/>
          <w:sz w:val="14"/>
          <w:szCs w:val="14"/>
          <w:color w:val="auto"/>
        </w:rPr>
        <w:t>such Person would no longer be an Acquiring Person, as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defined pursuant to the foregoing provisions of this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paragraph (a), then such Person shall not be deemed to</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be an "Acquiring Person" for any purposes of this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8" w:right="4719" w:firstLine="870"/>
        <w:spacing w:after="0" w:line="250" w:lineRule="auto"/>
        <w:tabs>
          <w:tab w:leader="none" w:pos="1284"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 of the Rights Agreement is hereby further modified and amended by deleting paragraphs (i) and (o) thereof in their entirety and relettering paragraphs (j) through</w:t>
      </w:r>
    </w:p>
    <w:p>
      <w:pPr>
        <w:spacing w:after="0" w:line="1"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thereof accordingly.</w:t>
      </w:r>
    </w:p>
    <w:p>
      <w:pPr>
        <w:spacing w:after="0" w:line="172" w:lineRule="exact"/>
        <w:rPr>
          <w:rFonts w:ascii="Courier New" w:cs="Courier New" w:eastAsia="Courier New" w:hAnsi="Courier New"/>
          <w:sz w:val="14"/>
          <w:szCs w:val="14"/>
          <w:color w:val="auto"/>
        </w:rPr>
      </w:pPr>
    </w:p>
    <w:p>
      <w:pPr>
        <w:ind w:left="-8" w:right="4719" w:firstLine="870"/>
        <w:spacing w:after="0" w:line="251" w:lineRule="auto"/>
        <w:tabs>
          <w:tab w:leader="none" w:pos="1284" w:val="left"/>
        </w:tabs>
        <w:numPr>
          <w:ilvl w:val="1"/>
          <w:numId w:val="5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11(a) of the Rights Agreement is hereby modified and amended by deleting subparagraph (iii) thereof in its entirety, renumbering subparagraph (iv) thereof as subparagraph (iii), and amending and modifying subparagraph (ii) thereof to read in its entirety as follows:</w:t>
      </w:r>
    </w:p>
    <w:p>
      <w:pPr>
        <w:spacing w:after="0" w:line="165" w:lineRule="exact"/>
        <w:rPr>
          <w:sz w:val="20"/>
          <w:szCs w:val="20"/>
          <w:color w:val="auto"/>
        </w:rPr>
      </w:pPr>
    </w:p>
    <w:p>
      <w:pPr>
        <w:ind w:left="432" w:right="5059" w:firstLine="430"/>
        <w:spacing w:after="0" w:line="251" w:lineRule="auto"/>
        <w:tabs>
          <w:tab w:leader="none" w:pos="1293"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24 of this Agreement, in the event any Person becomes an Acquiring Person, each holder of a Right shall thereafter have a right to receive, upon exercise thereof at a price equal to the then current Purchase Price multiplied by the number of one-hundredths of a Preferred Share for which a Right is then exercisable, in accordance with the terms of this Agreement and in lieu of Preferred Shares, such number of Common Shares or the Company as shall equal the result obtained by (x) multiplying the then current Purchase Price by the number of one-hundredths of a Preferred Share for which a Right is then exercisable and dividing that product by (y) 50% of the then current</w:t>
      </w:r>
    </w:p>
    <w:p>
      <w:pPr>
        <w:spacing w:after="0" w:line="328"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5" w:right="1440" w:bottom="1440" w:gutter="0" w:footer="0" w:header="0"/>
        </w:sectPr>
      </w:pPr>
    </w:p>
    <w:bookmarkStart w:id="578" w:name="page579"/>
    <w:bookmarkEnd w:id="578"/>
    <w:p>
      <w:pPr>
        <w:spacing w:after="0"/>
        <w:rPr>
          <w:sz w:val="20"/>
          <w:szCs w:val="20"/>
          <w:color w:val="auto"/>
        </w:rPr>
      </w:pPr>
      <w:r>
        <w:rPr>
          <w:rFonts w:ascii="Courier New" w:cs="Courier New" w:eastAsia="Courier New" w:hAnsi="Courier New"/>
          <w:sz w:val="14"/>
          <w:szCs w:val="14"/>
          <w:color w:val="auto"/>
        </w:rPr>
        <w:t>per share market price of the Company's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(determined pursuant to Section II(d) hereof) on</w:t>
      </w:r>
    </w:p>
    <w:p>
      <w:pPr>
        <w:spacing w:after="0" w:line="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4"/>
          <w:szCs w:val="14"/>
          <w:color w:val="auto"/>
        </w:rPr>
        <w:t>the date of the occurrence of such event.</w:t>
        <w:tab/>
        <w:t>In the event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any Person shall become an Acquiring Person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Rights shall then be outstanding, the Company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take any action which would eliminate or diminish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benefits intended to be afforded by the Rights.</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From and after the occurrence of such event,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that are or were acquired or beneficially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any Acquiring Person (or any Associate or Affiliate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Acquiring Person) shall be void and any 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Rights shall thereafter have no right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such Rights under any provision of this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Agreement.</w:t>
        <w:tab/>
        <w:t>No Right Certificate shall be issued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3 that represents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 owned by an Acquiring Person whose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would be void pursuant to the preceding sentence</w:t>
      </w:r>
    </w:p>
    <w:p>
      <w:pPr>
        <w:spacing w:after="0" w:line="7"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4"/>
          <w:szCs w:val="14"/>
          <w:color w:val="auto"/>
        </w:rPr>
        <w:t>or any Associate or Affiliate thereof;</w:t>
        <w:tab/>
        <w:t>no 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shall be issued at any time upon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of any Rights to an Acquiring Person whose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would be void pursuant to the preceding sentence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Associate or Affiliate thereof or to any nominee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Acquiring Person, Associate or Affiliate;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Right Certificate delivered to the Rights Agent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to an Acquiring Person whose Rights would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void pursuant to the preceding sentence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616" w:right="1440" w:bottom="1440" w:gutter="0" w:footer="0" w:header="0"/>
        </w:sectPr>
      </w:pPr>
    </w:p>
    <w:bookmarkStart w:id="579" w:name="page580"/>
    <w:bookmarkEnd w:id="579"/>
    <w:p>
      <w:pPr>
        <w:ind w:left="-440" w:right="4899" w:firstLine="870"/>
        <w:spacing w:after="0" w:line="252" w:lineRule="auto"/>
        <w:tabs>
          <w:tab w:leader="none" w:pos="852"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II(a) of the Rights Agreement is hereby further modified and amended by adding to the end of newly renumbered subparagraph (iii) thereof the following sentence: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the Company shall, after good faith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effort, be unable to take all such action as may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to authorize such additional Common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shall substitute, for each Common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would otherwise be issuable upon exercise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a number of Preferred Shares or fraction thereof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that the current per share market price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 multiplied by such number or fraction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equal to the current per share market price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 as of the date of issuance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 or fraction thereof.</w:t>
      </w:r>
    </w:p>
    <w:p>
      <w:pPr>
        <w:spacing w:after="0" w:line="173" w:lineRule="exact"/>
        <w:rPr>
          <w:sz w:val="20"/>
          <w:szCs w:val="20"/>
          <w:color w:val="auto"/>
        </w:rPr>
      </w:pPr>
    </w:p>
    <w:p>
      <w:pPr>
        <w:ind w:left="-440" w:right="5139" w:firstLine="870"/>
        <w:spacing w:after="0" w:line="255" w:lineRule="auto"/>
        <w:tabs>
          <w:tab w:leader="none" w:pos="852"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23 of the Rights Agreement is hereby modified and amended to read in its entirety as follows:</w:t>
      </w:r>
    </w:p>
    <w:p>
      <w:pPr>
        <w:spacing w:after="0" w:line="160" w:lineRule="exact"/>
        <w:rPr>
          <w:sz w:val="20"/>
          <w:szCs w:val="20"/>
          <w:color w:val="auto"/>
        </w:rPr>
      </w:pPr>
    </w:p>
    <w:p>
      <w:pPr>
        <w:ind w:left="420"/>
        <w:spacing w:after="0"/>
        <w:tabs>
          <w:tab w:leader="none" w:pos="2560" w:val="left"/>
        </w:tabs>
        <w:rPr>
          <w:sz w:val="20"/>
          <w:szCs w:val="20"/>
          <w:color w:val="auto"/>
        </w:rPr>
      </w:pPr>
      <w:r>
        <w:rPr>
          <w:rFonts w:ascii="Courier New" w:cs="Courier New" w:eastAsia="Courier New" w:hAnsi="Courier New"/>
          <w:sz w:val="14"/>
          <w:szCs w:val="14"/>
          <w:color w:val="auto"/>
        </w:rPr>
        <w:t>Section 23. REDEMPTION.</w:t>
        <w:tab/>
        <w:t>(a)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the Company may, at its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any time prior to such time as any Person becomes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Acquiring Person, redeem all but not less than all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outstanding Rights at a redemption price of $.01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Right, appropriately adjusted to reflect any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 stock dividend or similar transaction occurring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date hereof (such redemption price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referred to as the "Redemption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redemption of the Rights by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made effective at such time, on such basis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15" w:right="1440" w:bottom="1440" w:gutter="0" w:footer="0" w:header="0"/>
        </w:sectPr>
      </w:pPr>
    </w:p>
    <w:bookmarkStart w:id="580" w:name="page581"/>
    <w:bookmarkEnd w:id="580"/>
    <w:p>
      <w:pPr>
        <w:spacing w:after="0"/>
        <w:rPr>
          <w:sz w:val="20"/>
          <w:szCs w:val="20"/>
          <w:color w:val="auto"/>
        </w:rPr>
      </w:pPr>
      <w:r>
        <w:rPr>
          <w:rFonts w:ascii="Courier New" w:cs="Courier New" w:eastAsia="Courier New" w:hAnsi="Courier New"/>
          <w:sz w:val="14"/>
          <w:szCs w:val="14"/>
          <w:color w:val="auto"/>
        </w:rPr>
        <w:t>and with such conditions as the Board of Directors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sole discretion may establish.</w:t>
      </w:r>
    </w:p>
    <w:p>
      <w:pPr>
        <w:spacing w:after="0" w:line="173" w:lineRule="exact"/>
        <w:rPr>
          <w:sz w:val="20"/>
          <w:szCs w:val="20"/>
          <w:color w:val="auto"/>
        </w:rPr>
      </w:pPr>
    </w:p>
    <w:p>
      <w:pPr>
        <w:ind w:right="5059" w:firstLine="430"/>
        <w:spacing w:after="0" w:line="250" w:lineRule="auto"/>
        <w:tabs>
          <w:tab w:leader="none" w:pos="861" w:val="left"/>
        </w:tabs>
        <w:numPr>
          <w:ilvl w:val="0"/>
          <w:numId w:val="5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of the Company ordering the redemption of the Rights pursuant to subsection (a) of this Section 23, and without any further action and without any notice, the right to exercise the Rights will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such action of the Board of Directors ordering the redemption of the Rights,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9"/>
          </w:cols>
          <w:pgMar w:left="660" w:top="615" w:right="1440" w:bottom="1440" w:gutter="0" w:footer="0" w:header="0"/>
        </w:sectPr>
      </w:pPr>
    </w:p>
    <w:bookmarkStart w:id="581" w:name="page582"/>
    <w:bookmarkEnd w:id="581"/>
    <w:p>
      <w:pPr>
        <w:spacing w:after="0"/>
        <w:rPr>
          <w:sz w:val="20"/>
          <w:szCs w:val="20"/>
          <w:color w:val="auto"/>
        </w:rPr>
      </w:pPr>
      <w:r>
        <w:rPr>
          <w:rFonts w:ascii="Courier New" w:cs="Courier New" w:eastAsia="Courier New" w:hAnsi="Courier New"/>
          <w:sz w:val="14"/>
          <w:szCs w:val="14"/>
          <w:color w:val="auto"/>
        </w:rPr>
        <w:t>forth in this Section 23 or in Section 24 hereof,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than in connection with the purchase of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prior to the Distribution Date.</w:t>
      </w:r>
    </w:p>
    <w:p>
      <w:pPr>
        <w:spacing w:after="0" w:line="173" w:lineRule="exact"/>
        <w:rPr>
          <w:sz w:val="20"/>
          <w:szCs w:val="20"/>
          <w:color w:val="auto"/>
        </w:rPr>
      </w:pPr>
    </w:p>
    <w:p>
      <w:pPr>
        <w:ind w:left="-440" w:right="4799" w:firstLine="870"/>
        <w:spacing w:after="0" w:line="251" w:lineRule="auto"/>
        <w:tabs>
          <w:tab w:leader="none" w:pos="852"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 of the Rights Agreement is hereby modified and amended by deleting paragraph (c) thereof in its entirety, relettering paragraphs (d) and (e) thereof as paragraphs (c) and (d) respectively, and amending and modifying the newly relettered paragraph (c) thereof to read in its entirety as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that there shall not be sufficient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issued but not outstanding or authorized but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unissued to permit any exchange of Rights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in accordance with this Section 24,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shall take all such action as may be necessary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authorize additional Common Shares for issuance upon</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exchange of the Rights.</w:t>
        <w:tab/>
        <w:t>In the event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after good faith effort, be unable to take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action as may be necessary to authorize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Common Shares, the Company shall substitute,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Common Share that would otherwise be issuable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exchange of a Right, a number of Preferred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fraction thereof such that the current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one Preferred Share multiplied by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or fraction is equal to the current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one Common Share as of the date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or such Preferred Shares or fraction thereof.</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615" w:right="1440" w:bottom="1440" w:gutter="0" w:footer="0" w:header="0"/>
        </w:sectPr>
      </w:pPr>
    </w:p>
    <w:bookmarkStart w:id="582" w:name="page583"/>
    <w:bookmarkEnd w:id="582"/>
    <w:p>
      <w:pPr>
        <w:ind w:left="-870" w:right="4639" w:firstLine="870"/>
        <w:spacing w:after="0" w:line="251" w:lineRule="auto"/>
        <w:tabs>
          <w:tab w:leader="none" w:pos="422"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 the Rights Agreement shall be governed by and construed in accordance with the laws of the State of Deleware and for all purposes shall be governed by and construed in accordance with the laws of such State applicable to contracts to be made and performed entirely within such State.</w:t>
      </w:r>
    </w:p>
    <w:p>
      <w:pPr>
        <w:spacing w:after="0" w:line="164" w:lineRule="exact"/>
        <w:rPr>
          <w:rFonts w:ascii="Courier New" w:cs="Courier New" w:eastAsia="Courier New" w:hAnsi="Courier New"/>
          <w:sz w:val="14"/>
          <w:szCs w:val="14"/>
          <w:color w:val="auto"/>
        </w:rPr>
      </w:pPr>
    </w:p>
    <w:p>
      <w:pPr>
        <w:ind w:left="-870" w:right="4639" w:firstLine="870"/>
        <w:spacing w:after="0" w:line="251" w:lineRule="auto"/>
        <w:tabs>
          <w:tab w:leader="none" w:pos="422"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 the Rights Agreement may be executed in any number of counterparts, each of which shall be an original, but such counterparts shall together constituted one and the same instrument. Terms not defined herein shall, unless the context otherwise requires, have the meanings assigned to such terms in the Rights Agreement.</w:t>
      </w:r>
    </w:p>
    <w:p>
      <w:pPr>
        <w:spacing w:after="0" w:line="164" w:lineRule="exact"/>
        <w:rPr>
          <w:rFonts w:ascii="Courier New" w:cs="Courier New" w:eastAsia="Courier New" w:hAnsi="Courier New"/>
          <w:sz w:val="14"/>
          <w:szCs w:val="14"/>
          <w:color w:val="auto"/>
        </w:rPr>
      </w:pPr>
    </w:p>
    <w:p>
      <w:pPr>
        <w:ind w:left="-870" w:right="4899" w:firstLine="870"/>
        <w:spacing w:after="0" w:line="251" w:lineRule="auto"/>
        <w:tabs>
          <w:tab w:leader="none" w:pos="422"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respects not inconsistent with the terms and provisions of this Amendment to the Rights Agreement, the Rights Agreement is hereby ratified, adopted, approved and confirmed. In executing and delivering this Amendment, the Rights Agent shall be entitled to all the privileges and immunities afforded to the Rights Agent under the terms and conditions of the Rights Agreement.</w:t>
      </w:r>
    </w:p>
    <w:p>
      <w:pPr>
        <w:spacing w:after="0" w:line="164" w:lineRule="exact"/>
        <w:rPr>
          <w:rFonts w:ascii="Courier New" w:cs="Courier New" w:eastAsia="Courier New" w:hAnsi="Courier New"/>
          <w:sz w:val="14"/>
          <w:szCs w:val="14"/>
          <w:color w:val="auto"/>
        </w:rPr>
      </w:pPr>
    </w:p>
    <w:p>
      <w:pPr>
        <w:ind w:left="-870" w:right="4639" w:firstLine="870"/>
        <w:spacing w:after="0" w:line="251" w:lineRule="auto"/>
        <w:tabs>
          <w:tab w:leader="none" w:pos="422"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term, provision, covenant or restriction of this Amendment to the Rights Agreement is held by a court of competent jurisdiction or other authority to be invalid, void or unenforceable, the remainder of the terms, provisions, covenants and restrictions of this Amendment to the Rights Agreement, and of the Rights Agreement, shall remain in full force and effect and shall in no way be affected, impaired or invalidated.</w:t>
      </w:r>
    </w:p>
    <w:p>
      <w:pPr>
        <w:spacing w:after="0" w:line="164" w:lineRule="exact"/>
        <w:rPr>
          <w:sz w:val="20"/>
          <w:szCs w:val="20"/>
          <w:color w:val="auto"/>
        </w:rPr>
      </w:pPr>
    </w:p>
    <w:p>
      <w:pPr>
        <w:ind w:left="155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0"/>
          </w:cols>
          <w:pgMar w:left="1090" w:top="615" w:right="1440" w:bottom="1440" w:gutter="0" w:footer="0" w:header="0"/>
        </w:sectPr>
      </w:pPr>
    </w:p>
    <w:bookmarkStart w:id="583" w:name="page584"/>
    <w:bookmarkEnd w:id="583"/>
    <w:p>
      <w:pPr>
        <w:ind w:right="489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and attested, all as of the date and year first above written.</w:t>
      </w:r>
    </w:p>
    <w:p>
      <w:pPr>
        <w:sectPr>
          <w:pgSz w:w="11900" w:h="16838" w:orient="portrait"/>
          <w:cols w:equalWidth="0" w:num="1">
            <w:col w:w="10239"/>
          </w:cols>
          <w:pgMar w:left="220" w:top="615"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200" w:lineRule="exact"/>
        <w:rPr>
          <w:sz w:val="20"/>
          <w:szCs w:val="20"/>
          <w:color w:val="auto"/>
        </w:rPr>
      </w:pPr>
    </w:p>
    <w:p>
      <w:pPr>
        <w:sectPr>
          <w:pgSz w:w="11900" w:h="16838" w:orient="portrait"/>
          <w:cols w:equalWidth="0" w:num="2">
            <w:col w:w="2300" w:space="720"/>
            <w:col w:w="7219"/>
          </w:cols>
          <w:pgMar w:left="220" w:top="61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340" w:space="680"/>
            <w:col w:w="721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NORWEST BANK MINNESOTA,</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NATIONAL ASSOCIATION</w:t>
      </w:r>
    </w:p>
    <w:p>
      <w:pPr>
        <w:spacing w:after="0" w:line="173" w:lineRule="exact"/>
        <w:rPr>
          <w:sz w:val="20"/>
          <w:szCs w:val="20"/>
          <w:color w:val="auto"/>
        </w:rPr>
      </w:pPr>
    </w:p>
    <w:p>
      <w:pPr>
        <w:sectPr>
          <w:pgSz w:w="11900" w:h="16838" w:orient="portrait"/>
          <w:cols w:equalWidth="0" w:num="2">
            <w:col w:w="2300" w:space="720"/>
            <w:col w:w="721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340" w:space="680"/>
            <w:col w:w="7219"/>
          </w:cols>
          <w:pgMar w:left="220" w:top="615" w:right="1440" w:bottom="1440" w:gutter="0" w:footer="0" w:header="0"/>
          <w:type w:val="continuous"/>
        </w:sect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5" w:right="1440" w:bottom="1440" w:gutter="0" w:footer="0" w:header="0"/>
          <w:type w:val="continuous"/>
        </w:sectPr>
      </w:pPr>
    </w:p>
    <w:bookmarkStart w:id="584" w:name="page585"/>
    <w:bookmarkEnd w:id="584"/>
    <w:p>
      <w:pPr>
        <w:jc w:val="center"/>
        <w:ind w:right="-20"/>
        <w:spacing w:after="0"/>
        <w:rPr>
          <w:sz w:val="20"/>
          <w:szCs w:val="20"/>
          <w:color w:val="auto"/>
        </w:rPr>
      </w:pPr>
      <w:r>
        <w:rPr>
          <w:rFonts w:ascii="Courier New" w:cs="Courier New" w:eastAsia="Courier New" w:hAnsi="Courier New"/>
          <w:sz w:val="14"/>
          <w:szCs w:val="14"/>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TORO COMPANY LETTERHEAD]</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November 6,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Judiciary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Re:</w:t>
        <w:tab/>
        <w:t>Registration Statement on Form S-4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I am Vice President, Secretary and General Counsel for The Toro Company, a Delaware corporation (the "Company"). Pursuant to an Agreement and Plan of Merger (the "Merger Agreement") by and among the Company, EMCI Acquisition Corp., a Nebraska corporation and wholly owned subsidiary of the Company ("Merger Subsidiary"), and Exmark Manufacturing Company Incorporated, a Nebraska corporation ("Exmark"), Merger Subsidiary will be merged with and into Exmark (the "Merger"). In connection with the Merger, the Company is filing with the Securities and Exchange Commission a Registration Statement on Form S-4 (the "Registration Statement") under the Securities Act of 1933, as amended, relating to the issuance of up to 1,646,600 shares of common stock of the Company, par value $1.00 per share (the "Common Stock").</w:t>
      </w:r>
    </w:p>
    <w:p>
      <w:pPr>
        <w:spacing w:after="0" w:line="163" w:lineRule="exact"/>
        <w:rPr>
          <w:sz w:val="20"/>
          <w:szCs w:val="20"/>
          <w:color w:val="auto"/>
        </w:rPr>
      </w:pPr>
    </w:p>
    <w:p>
      <w:pPr>
        <w:ind w:right="4459" w:firstLine="861"/>
        <w:spacing w:after="0" w:line="250" w:lineRule="auto"/>
        <w:rPr>
          <w:sz w:val="20"/>
          <w:szCs w:val="20"/>
          <w:color w:val="auto"/>
        </w:rPr>
      </w:pPr>
      <w:r>
        <w:rPr>
          <w:rFonts w:ascii="Courier New" w:cs="Courier New" w:eastAsia="Courier New" w:hAnsi="Courier New"/>
          <w:sz w:val="14"/>
          <w:szCs w:val="14"/>
          <w:color w:val="auto"/>
        </w:rPr>
        <w:t>In connection with the rendering of this opinion, I, or members of my staff, have examined originals or copies, certified or otherwise identified to my satisfaction, of such instruments, documents, certificates, agreements and records as I have deemed necessary or appropriate under the circumstances for the purpose of rendering this opinion. In all such examinations, I have assumed the authenticity of all documents submitted to me as originals, the genuineness of all signatures and the conformity to authentic originals of all documents submitted to me as copies. I also have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my opinion, I have relied upon certificates of officers of the Company and of public officials.</w:t>
      </w:r>
    </w:p>
    <w:p>
      <w:pPr>
        <w:spacing w:after="0" w:line="175"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Based on the foregoing, I am of the opinion that the shares of Common Stock to be issued in connection with the Merger, when issued in accordance with the terms of the Merger Agreement, will be duly authorized, validly issued, fully paid and nonassessable.</w:t>
      </w:r>
    </w:p>
    <w:p>
      <w:pPr>
        <w:sectPr>
          <w:pgSz w:w="11900" w:h="16838" w:orient="portrait"/>
          <w:cols w:equalWidth="0" w:num="1">
            <w:col w:w="10239"/>
          </w:cols>
          <w:pgMar w:left="220" w:top="472" w:right="1440" w:bottom="1440" w:gutter="0" w:footer="0" w:header="0"/>
        </w:sectPr>
      </w:pPr>
    </w:p>
    <w:bookmarkStart w:id="585" w:name="page586"/>
    <w:bookmarkEnd w:id="585"/>
    <w:p>
      <w:pPr>
        <w:ind w:right="4539" w:firstLine="861"/>
        <w:spacing w:after="0" w:line="255" w:lineRule="auto"/>
        <w:rPr>
          <w:sz w:val="20"/>
          <w:szCs w:val="20"/>
          <w:color w:val="auto"/>
        </w:rPr>
      </w:pPr>
      <w:r>
        <w:rPr>
          <w:rFonts w:ascii="Courier New" w:cs="Courier New" w:eastAsia="Courier New" w:hAnsi="Courier New"/>
          <w:sz w:val="14"/>
          <w:szCs w:val="14"/>
          <w:color w:val="auto"/>
        </w:rPr>
        <w:t>My opinion expressed above is limited to the laws of the State of Minnesota and the Delaware General Corporation Law.</w:t>
      </w:r>
    </w:p>
    <w:p>
      <w:pPr>
        <w:spacing w:after="0" w:line="160" w:lineRule="exact"/>
        <w:rPr>
          <w:sz w:val="20"/>
          <w:szCs w:val="20"/>
          <w:color w:val="auto"/>
        </w:rPr>
      </w:pPr>
    </w:p>
    <w:p>
      <w:pPr>
        <w:ind w:right="4459" w:firstLine="861"/>
        <w:spacing w:after="0" w:line="252" w:lineRule="auto"/>
        <w:rPr>
          <w:sz w:val="20"/>
          <w:szCs w:val="20"/>
          <w:color w:val="auto"/>
        </w:rPr>
      </w:pPr>
      <w:r>
        <w:rPr>
          <w:rFonts w:ascii="Courier New" w:cs="Courier New" w:eastAsia="Courier New" w:hAnsi="Courier New"/>
          <w:sz w:val="14"/>
          <w:szCs w:val="14"/>
          <w:color w:val="auto"/>
        </w:rPr>
        <w:t>I hereby consent to the filing of this opinion as an exhibit to the Registration Statement and to the reference to me under the heading "Legal Matters" in the Proxy Statement/Prospectus constituting part of the Registration Statement.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J. Lawrence McIntyre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Secretary &amp;</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General Counsel</w:t>
      </w:r>
    </w:p>
    <w:p>
      <w:pPr>
        <w:sectPr>
          <w:pgSz w:w="11900" w:h="16838" w:orient="portrait"/>
          <w:cols w:equalWidth="0" w:num="1">
            <w:col w:w="10239"/>
          </w:cols>
          <w:pgMar w:left="220" w:top="615" w:right="1440" w:bottom="1440" w:gutter="0" w:footer="0" w:header="0"/>
        </w:sectPr>
      </w:pPr>
    </w:p>
    <w:bookmarkStart w:id="586" w:name="page587"/>
    <w:bookmarkEnd w:id="586"/>
    <w:p>
      <w:pPr>
        <w:ind w:left="5000"/>
        <w:spacing w:after="0"/>
        <w:rPr>
          <w:sz w:val="20"/>
          <w:szCs w:val="20"/>
          <w:color w:val="auto"/>
        </w:rPr>
      </w:pPr>
      <w:r>
        <w:rPr>
          <w:rFonts w:ascii="Courier New" w:cs="Courier New" w:eastAsia="Courier New" w:hAnsi="Courier New"/>
          <w:sz w:val="14"/>
          <w:szCs w:val="14"/>
          <w:color w:val="auto"/>
        </w:rPr>
        <w:t>EXHIBIT 8.1</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[CROKER, HUCK, KASHER, DEWITT, ANDERSON &amp; GODERINGER, P.C. LETTERHEAD]</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November 7,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2101 Ashland Avenue</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Beatrice, NE</w:t>
        <w:tab/>
        <w:t>68310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Ladies and Gentlemen:</w:t>
      </w:r>
    </w:p>
    <w:p>
      <w:pPr>
        <w:spacing w:after="0" w:line="173" w:lineRule="exact"/>
        <w:rPr>
          <w:sz w:val="20"/>
          <w:szCs w:val="20"/>
          <w:color w:val="auto"/>
        </w:rPr>
      </w:pPr>
    </w:p>
    <w:p>
      <w:pPr>
        <w:ind w:right="3679" w:firstLine="861"/>
        <w:spacing w:after="0" w:line="251" w:lineRule="auto"/>
        <w:rPr>
          <w:sz w:val="20"/>
          <w:szCs w:val="20"/>
          <w:color w:val="auto"/>
        </w:rPr>
      </w:pPr>
      <w:r>
        <w:rPr>
          <w:rFonts w:ascii="Courier New" w:cs="Courier New" w:eastAsia="Courier New" w:hAnsi="Courier New"/>
          <w:sz w:val="14"/>
          <w:szCs w:val="14"/>
          <w:color w:val="auto"/>
        </w:rPr>
        <w:t>We have acted as your counsel in connection with the Registration Statement on Form S-4 filed on November 7, 1997, (the "Registration Statement") with the Securities and Exchange Commission under the Securities Act of 1933, as amended (the "Securities Act"). The Registration Statement relates to the proposed merger of EMCI Acquisition Corp., a wholly owned subsidiary of The Toro Company, with and into Exmark Manufacturing Company Incorporated. This opinion is delivered in accordance with the requirements of Item 601(b)(8) of Regulation S-K under the Securities Act.</w:t>
      </w:r>
    </w:p>
    <w:p>
      <w:pPr>
        <w:spacing w:after="0" w:line="164" w:lineRule="exact"/>
        <w:rPr>
          <w:sz w:val="20"/>
          <w:szCs w:val="20"/>
          <w:color w:val="auto"/>
        </w:rPr>
      </w:pPr>
    </w:p>
    <w:p>
      <w:pPr>
        <w:ind w:right="3679" w:firstLine="861"/>
        <w:spacing w:after="0" w:line="251" w:lineRule="auto"/>
        <w:rPr>
          <w:sz w:val="20"/>
          <w:szCs w:val="20"/>
          <w:color w:val="auto"/>
        </w:rPr>
      </w:pPr>
      <w:r>
        <w:rPr>
          <w:rFonts w:ascii="Courier New" w:cs="Courier New" w:eastAsia="Courier New" w:hAnsi="Courier New"/>
          <w:sz w:val="14"/>
          <w:szCs w:val="14"/>
          <w:color w:val="auto"/>
        </w:rPr>
        <w:t>In connection with this opinion, we have examined and are familiar with originals or copies, certified or otherwise identified to our satisfaction, of the Registration Statement, the Proxy Statement/Prospectus included therein (the "Proxy Statement/Prospectus") and such other documents as we have deemed necessary or appropriate.</w:t>
      </w:r>
    </w:p>
    <w:p>
      <w:pPr>
        <w:spacing w:after="0" w:line="165"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We hereby confirm that the discussions in the Proxy Statement/Prospectus under the captions "SUMMARY--The Merger--Certain Federal Income Tax Consequences" and "THE MERGER--Certain Federal Income Tax Consequences" are a fair and accurate summary of the matters addressed therein, based upon current law and the facts and assumptions stated or referred to therein. There can be no assurance that contrary positions may not be taken by the Internal Revenue Service.</w:t>
      </w:r>
    </w:p>
    <w:p>
      <w:pPr>
        <w:spacing w:after="0" w:line="164" w:lineRule="exact"/>
        <w:rPr>
          <w:sz w:val="20"/>
          <w:szCs w:val="20"/>
          <w:color w:val="auto"/>
        </w:rPr>
      </w:pPr>
    </w:p>
    <w:p>
      <w:pPr>
        <w:ind w:right="4719" w:firstLine="861"/>
        <w:spacing w:after="0" w:line="251" w:lineRule="auto"/>
        <w:rPr>
          <w:sz w:val="20"/>
          <w:szCs w:val="20"/>
          <w:color w:val="auto"/>
        </w:rPr>
      </w:pPr>
      <w:r>
        <w:rPr>
          <w:rFonts w:ascii="Courier New" w:cs="Courier New" w:eastAsia="Courier New" w:hAnsi="Courier New"/>
          <w:sz w:val="14"/>
          <w:szCs w:val="14"/>
          <w:color w:val="auto"/>
        </w:rPr>
        <w:t>We hereby consent to the filing of this opinion as Exhibit 8.1 to the Registration Statement and to the use of our name under the caption "THE MERGER--Certain Federal Income Tax Consequences" in the Proxy Statement/Prospectus. In giving such consent, we do not thereby admit that we are in the category of persons whose consent is required under Section 7 of the Securities Act.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Croker, Huck, Kasher,DeWitt,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Anderson &amp; Gonderinger, P.C.</w:t>
      </w:r>
    </w:p>
    <w:p>
      <w:pPr>
        <w:sectPr>
          <w:pgSz w:w="11900" w:h="16838" w:orient="portrait"/>
          <w:cols w:equalWidth="0" w:num="1">
            <w:col w:w="10239"/>
          </w:cols>
          <w:pgMar w:left="220" w:top="472" w:right="1440" w:bottom="1440" w:gutter="0" w:footer="0" w:header="0"/>
        </w:sectPr>
      </w:pPr>
    </w:p>
    <w:bookmarkStart w:id="587" w:name="page588"/>
    <w:bookmarkEnd w:id="587"/>
    <w:p>
      <w:pPr>
        <w:jc w:val="right"/>
        <w:ind w:right="3339"/>
        <w:spacing w:after="0"/>
        <w:rPr>
          <w:sz w:val="20"/>
          <w:szCs w:val="20"/>
          <w:color w:val="auto"/>
        </w:rPr>
      </w:pPr>
      <w:r>
        <w:rPr>
          <w:rFonts w:ascii="Courier New" w:cs="Courier New" w:eastAsia="Courier New" w:hAnsi="Courier New"/>
          <w:sz w:val="14"/>
          <w:szCs w:val="14"/>
          <w:color w:val="auto"/>
        </w:rPr>
        <w:t>EXHIBIT 10.1</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STOCKHOLDER AGREEMENT</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IRREVOCABLE PROXY</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This Stockholder Agreement (the "Agreement"), dated as of __________, 1997</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is made and entered into by and among The Toro Company, a Delaware corporation ("Toro"), and the undersigned stockholder (the "Stockholder") of Exmark Manufacturing Company Incorporated, a Nebraska corporation (the "Company").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WHEREAS, concurrently with delivery of this Agreement, Toro, the Company</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and EMCI Acquisition Corp., a Nebraska corporation and a wholly owned subsidiary of Toro ("Merger Subsidiary"), are entering into an Agreement and Plan of Merger (the "Merger Agreement"), which provides for the merger (the "Merger") of the Merger Subsidiary with and into the Company.</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WHEREAS, pursuant to the terms of the Merger Agreement, the shares of capital stock of the Company will be converted into the right to receive cash and shares of Toro Common Stock on the basis described in the Merger Agreement.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WHEREAS, the Stockholder is the record holder and beneficial owner (as defined in Rule 13d-3 under the Securities Exchange Act of 1934, as amended (the "Exchange Act")) of the number of shares of the outstanding capital stock of the Company and has the right to acquire the number of shares of capital stock of the Company as is indicated on the signature page of this Agreement (all of such outstanding shares and any shares of the Company's capital stock hereafter acquired by the Stockholder are referred to herein as the "Shares").</w:t>
      </w:r>
    </w:p>
    <w:p>
      <w:pPr>
        <w:spacing w:after="0" w:line="164" w:lineRule="exact"/>
        <w:rPr>
          <w:sz w:val="20"/>
          <w:szCs w:val="20"/>
          <w:color w:val="auto"/>
        </w:rPr>
      </w:pPr>
    </w:p>
    <w:p>
      <w:pPr>
        <w:ind w:right="3779" w:firstLine="344"/>
        <w:spacing w:after="0" w:line="251" w:lineRule="auto"/>
        <w:rPr>
          <w:sz w:val="20"/>
          <w:szCs w:val="20"/>
          <w:color w:val="auto"/>
        </w:rPr>
      </w:pPr>
      <w:r>
        <w:rPr>
          <w:rFonts w:ascii="Courier New" w:cs="Courier New" w:eastAsia="Courier New" w:hAnsi="Courier New"/>
          <w:sz w:val="14"/>
          <w:szCs w:val="14"/>
          <w:color w:val="auto"/>
        </w:rPr>
        <w:t>WHEREAS, Toro has made it a condition to its entering into the Merger Agreement that the Stockholder enter into and be bound by this Agreement pursuant to which the Stockholder agrees (a) not to transfer or otherwise dispose of any of the Shares, or any other shares of capital stock of the Company acquired hereafter and prior to the Expiration Date (as defined in Section 1.1 below), and (b) to vote the Shares and any other such shares of capital stock of the Company held by the Stockholder so as to facilitate consummation of the Merger.</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respective representations and covenants set forth herein, and other good and valuable consideration, the receipt and sufficiency of which is hereby acknowledged, and intending to be legally bound hereby, the parties hereby agree as follows:</w:t>
      </w:r>
    </w:p>
    <w:p>
      <w:pPr>
        <w:sectPr>
          <w:pgSz w:w="11900" w:h="16838" w:orient="portrait"/>
          <w:cols w:equalWidth="0" w:num="1">
            <w:col w:w="10239"/>
          </w:cols>
          <w:pgMar w:left="220" w:top="472" w:right="1440" w:bottom="1440" w:gutter="0" w:footer="0" w:header="0"/>
        </w:sectPr>
      </w:pPr>
    </w:p>
    <w:bookmarkStart w:id="588" w:name="page589"/>
    <w:bookmarkEnd w:id="588"/>
    <w:p>
      <w:pPr>
        <w:ind w:right="3419" w:firstLine="353"/>
        <w:spacing w:after="0" w:line="251" w:lineRule="auto"/>
        <w:tabs>
          <w:tab w:leader="none" w:pos="775"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used but not defined in this Agreement shall have the respective meanings ascribed to them in the Merger Agreement. The term "Expiration Date" shall mean the earlier to occur of (a) such date and time as the Merger shall become effective in accordance with the terms and provisions of the Merger Agreement, and (b) such date and time as the Merger Agreement shall be terminated pursuant to Article 9 thereof.</w:t>
      </w:r>
    </w:p>
    <w:p>
      <w:pPr>
        <w:spacing w:after="0" w:line="164"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TO RETAIN SHARES.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2.1 TRANSFER AND ENCUMBRANCE. The Stockholder agrees not to transfer (except as may be specifically required by court order), sell, exchange, pledge or otherwise dispose of or encumber any of the Shares or any New Shares (as defined in Section 2.2 below), grant any proxies (except the proxy referred to in Section 3(b)) with respect to the Shares or any New Shares), or make any offer or agreement relating thereto, at any time prior to the Expiration Date.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2.2 ADDITIONAL PURCHASES. The Stockholder agrees that any shares of capital stock of the Company that such Stockholder purchases or with respect to which such Stockholder otherwise acquires beneficial ownership after the execution of this Agreement and prior to the Expiration Date ("New Shares") shall be Subject to the terms and conditions of this Agreement to the same extent as if they constituted Shares.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2.3 LEGEND. Stockholder further agrees to submit the certificate(s) representing the Shares, and certificates representing any New Shares, to the Company for placement thereon of a legend in the following form:</w:t>
      </w:r>
    </w:p>
    <w:p>
      <w:pPr>
        <w:spacing w:after="0" w:line="16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The securities represented by this certificate are subject to the terms of a Stockholder Agreement dated October 23, 1997 between the holder and The Toro Company, a Delaware corporation, under which The Toro Company has been granted an irrevocable proxy to vote the share(s) represented by this certificate with respect to certain corporate transactions.</w:t>
      </w:r>
    </w:p>
    <w:p>
      <w:pPr>
        <w:spacing w:after="0" w:line="165" w:lineRule="exact"/>
        <w:rPr>
          <w:sz w:val="20"/>
          <w:szCs w:val="20"/>
          <w:color w:val="auto"/>
        </w:rPr>
      </w:pPr>
    </w:p>
    <w:p>
      <w:pPr>
        <w:ind w:left="780" w:hanging="427"/>
        <w:spacing w:after="0"/>
        <w:tabs>
          <w:tab w:leader="none" w:pos="78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TO VOTE SHARES AND IRREVOCABLE PROXY.</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every meeting of the stockholders of the Company called with respect to any of the following, and at every adjournment thereof, and on every action or approval by written consent of the stockholders of the Company with respect to any of the following, the Stockholder agrees to vote the Shares and any New Shares: (i) in favor of approval of the Merger Agreement, the Merger, the Signing Bonuses and the New Articles of Incorporation, and any other matter that could reasonably be expected to facilitate the Merger; and (ii) against approval of any proposal made in opposition to or competition with consummation of the Merger and against any merger, consolidation, sale of assets, reorganization or recapitalization, with any party other than Toro, the Merger Subsidiary and their affiliates and against any liquidation or winding up of the Company (each of the</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1" w:right="1440" w:bottom="1440" w:gutter="0" w:footer="0" w:header="0"/>
        </w:sectPr>
      </w:pPr>
    </w:p>
    <w:bookmarkStart w:id="589" w:name="page590"/>
    <w:bookmarkEnd w:id="589"/>
    <w:p>
      <w:pPr>
        <w:ind w:right="3939"/>
        <w:spacing w:after="0" w:line="252" w:lineRule="auto"/>
        <w:rPr>
          <w:sz w:val="20"/>
          <w:szCs w:val="20"/>
          <w:color w:val="auto"/>
        </w:rPr>
      </w:pPr>
      <w:r>
        <w:rPr>
          <w:rFonts w:ascii="Courier New" w:cs="Courier New" w:eastAsia="Courier New" w:hAnsi="Courier New"/>
          <w:sz w:val="14"/>
          <w:szCs w:val="14"/>
          <w:color w:val="auto"/>
        </w:rPr>
        <w:t>foregoing is hereinafter referred to as an "Opposing Proposal"). The Stockholder agrees not to take any actions contrary to such Stockholder's obligations under this Agreement.</w:t>
      </w:r>
    </w:p>
    <w:p>
      <w:pPr>
        <w:spacing w:after="0" w:line="163" w:lineRule="exact"/>
        <w:rPr>
          <w:sz w:val="20"/>
          <w:szCs w:val="20"/>
          <w:color w:val="auto"/>
        </w:rPr>
      </w:pPr>
    </w:p>
    <w:p>
      <w:pPr>
        <w:ind w:right="3519" w:firstLine="784"/>
        <w:spacing w:after="0" w:line="251" w:lineRule="auto"/>
        <w:tabs>
          <w:tab w:leader="none" w:pos="1206" w:val="left"/>
        </w:tabs>
        <w:numPr>
          <w:ilvl w:val="1"/>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of Section 3(a) and limited to the issues set forth therein, the Stockholder hereby irrevocably appoints, during the term of this Agreement, Toro as proxy to vote the Shares and any New Shares which the Stockholder is entitled to vote, for and in the name, place and stead of such Stockholder (the "Proxy"), at any annual, special or other meeting of the holders of capital stock of the Company and at any adjournments thereof or pursuant to any consent in lieu of a meeting or otherwise.</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206" w:val="left"/>
        </w:tabs>
        <w:numPr>
          <w:ilvl w:val="1"/>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is granted in consideration of the execution and delivery of the Merger Agreement by Toro. The Stockholder agrees that the Proxy is coupled with an interest sufficient in law to support an irrevocable proxy.</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206" w:val="left"/>
        </w:tabs>
        <w:numPr>
          <w:ilvl w:val="1"/>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shall revoke all prior proxies given by the Stockholder with respect to any Shares or New Shares.</w:t>
      </w:r>
    </w:p>
    <w:p>
      <w:pPr>
        <w:spacing w:after="0" w:line="159"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1"/>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Stockholder shall not be required to take any action hereunder that would constitute a violation of Stockholder's fiduciary duties as a director of the Company.</w:t>
      </w:r>
    </w:p>
    <w:p>
      <w:pPr>
        <w:spacing w:after="0" w:line="162" w:lineRule="exact"/>
        <w:rPr>
          <w:rFonts w:ascii="Courier New" w:cs="Courier New" w:eastAsia="Courier New" w:hAnsi="Courier New"/>
          <w:sz w:val="14"/>
          <w:szCs w:val="14"/>
          <w:color w:val="auto"/>
        </w:rPr>
      </w:pPr>
    </w:p>
    <w:p>
      <w:pPr>
        <w:ind w:right="3339" w:firstLine="353"/>
        <w:spacing w:after="0" w:line="250" w:lineRule="auto"/>
        <w:tabs>
          <w:tab w:leader="none" w:pos="775"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During the term of this Agreement, the Stockholder shall not, directly or indirectly, solicit, initiate or encourage submission of any proposal or offer from any person, group or entity relating to any acquisition of the assets, business or capital stock of the Company, or other similar transaction or business combination involving the business of the Company; shall not participate in any negotiations or discussions regarding or furnish to any other person any information with respect to, or otherwise cooperate in any way with, or assist or participate in, facilitate or encourage any effort or attempt by any other person or entity to do or seek such acquisition or other transaction; and shall inform Toro of any such inquiry. Without limiting the generality of the foregoing, the Stockholder will not, and will not permit any person or entity under Stockholder's control to, (a) solicit proxies or become a "participant" in a "solicitation" (as such terms are defined in Regulation 14A under the Exchange Act) with respect to an Opposing Proposal or otherwise encourage or assist any party in taking or planning any action that would compete with, restrain or otherwise serve to interfere with or inhibit the timely consummation of the Merger in accordance with the terms of the Merger Agreement; (b) initiate a stockholders' vote or action by consent of the Company stockholders with respect to an Opposing Proposal; or (c) become a member of a "group" (as such term is used in Section 13(d) of the Exchange Act) with respect to any voting securities of the Company with respect to an Opposing Proposal.</w:t>
      </w:r>
    </w:p>
    <w:p>
      <w:pPr>
        <w:spacing w:after="0" w:line="174" w:lineRule="exact"/>
        <w:rPr>
          <w:rFonts w:ascii="Courier New" w:cs="Courier New" w:eastAsia="Courier New" w:hAnsi="Courier New"/>
          <w:sz w:val="14"/>
          <w:szCs w:val="14"/>
          <w:color w:val="auto"/>
        </w:rPr>
      </w:pPr>
    </w:p>
    <w:p>
      <w:pPr>
        <w:ind w:right="3599" w:firstLine="353"/>
        <w:spacing w:after="0" w:line="255" w:lineRule="auto"/>
        <w:tabs>
          <w:tab w:leader="none" w:pos="775"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STOCKHOLDERS. The Stockholder hereby represents and warrants to Toro as follows: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90" w:name="page591"/>
    <w:bookmarkEnd w:id="590"/>
    <w:p>
      <w:pPr>
        <w:ind w:right="3339" w:firstLine="775"/>
        <w:spacing w:after="0" w:line="251" w:lineRule="auto"/>
        <w:rPr>
          <w:sz w:val="20"/>
          <w:szCs w:val="20"/>
          <w:color w:val="auto"/>
        </w:rPr>
      </w:pPr>
      <w:r>
        <w:rPr>
          <w:rFonts w:ascii="Courier New" w:cs="Courier New" w:eastAsia="Courier New" w:hAnsi="Courier New"/>
          <w:sz w:val="14"/>
          <w:szCs w:val="14"/>
          <w:color w:val="auto"/>
        </w:rPr>
        <w:t>5.1 OWNERSHIP OF SHARES. The Stockholder (a) is the beneficial owner of the number of Shares set forth on the signature page of this Agreement, which at the date hereof and at all times up until the Expiration Date will be free and clear of any liens, claims, options, charges or other encumbrances; and (b) does not beneficially own any shares of capital stock of the Company other than such Shares (excluding shares as to which Stockholder currently disclaims beneficial ownership in accordance with applicable law).</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5.2 AUTHORITY; ENFORCEABILITY. The Stockholder has the legal right and power, and all authorization and approval required by law, to enter into this Agreement and to grant the Proxy. This Agreement, including the Proxy, has been duly authorized, executed and delivered by or on behalf of the Stockholder and constitutes a valid and binding obligation of the Stockholder enforceable in accordance with its respective terms.</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5.3 NO CONFLICT. The execution and delivery by the Stockholder of, and the performance by the Stockholder of its obligations under, this Agreement will not contravene any provision of applicable law, or the articles of incorporation or bylaws, partnership agreement, limited liability company agreement, trust agreement or other charter documents of the Company or the Stockholder, any agreement or other instrument binding upon the Company or the Stockholder, or any judgment, order or decree of any governmental body, agency or court having jurisdiction over the Company or the Stockholder. No consent, approval, authorization or order of, or qualification with, any governmental body or agency is required for the performance by the Stockholder of its obligations under this Agreement, except (i) such consents, approvals, orders, authorizations, registrations, declarations and filings as may be required under applicable state and federal securities laws, (ii) filings under the Hart-Scott-Rodino Act, and (iii) such other consents, authorizations, filings, approvals and registrations which if not obtained or made would not have a material adverse effect on the ability of the Stockholder to consummate the transactions contemplated by this Agreement and the Merger Agreement.</w:t>
      </w:r>
    </w:p>
    <w:p>
      <w:pPr>
        <w:spacing w:after="0" w:line="173" w:lineRule="exact"/>
        <w:rPr>
          <w:sz w:val="20"/>
          <w:szCs w:val="20"/>
          <w:color w:val="auto"/>
        </w:rPr>
      </w:pPr>
    </w:p>
    <w:p>
      <w:pPr>
        <w:ind w:right="3519" w:firstLine="353"/>
        <w:spacing w:after="0" w:line="252" w:lineRule="auto"/>
        <w:tabs>
          <w:tab w:leader="none" w:pos="775"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The Stockholder hereby covenants and agrees to execute and deliver any additional documents necessary or desirable, in the reasonable opinion of Toro, to carry out the intent of this Agreement.</w:t>
      </w:r>
    </w:p>
    <w:p>
      <w:pPr>
        <w:spacing w:after="0" w:line="162" w:lineRule="exact"/>
        <w:rPr>
          <w:rFonts w:ascii="Courier New" w:cs="Courier New" w:eastAsia="Courier New" w:hAnsi="Courier New"/>
          <w:sz w:val="14"/>
          <w:szCs w:val="14"/>
          <w:color w:val="auto"/>
        </w:rPr>
      </w:pPr>
    </w:p>
    <w:p>
      <w:pPr>
        <w:ind w:right="3519" w:firstLine="353"/>
        <w:spacing w:after="0" w:line="252" w:lineRule="auto"/>
        <w:tabs>
          <w:tab w:leader="none" w:pos="775"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AND WAIVER. The Stockholder hereby gives any consents or waivers that are reasonably required for the consummation of the Merger under the terms of any agreements to which the Stockholder is a party or pursuant to any rights the Stockholder may have.</w:t>
      </w:r>
    </w:p>
    <w:p>
      <w:pPr>
        <w:spacing w:after="0" w:line="162" w:lineRule="exact"/>
        <w:rPr>
          <w:rFonts w:ascii="Courier New" w:cs="Courier New" w:eastAsia="Courier New" w:hAnsi="Courier New"/>
          <w:sz w:val="14"/>
          <w:szCs w:val="14"/>
          <w:color w:val="auto"/>
        </w:rPr>
      </w:pPr>
    </w:p>
    <w:p>
      <w:pPr>
        <w:ind w:right="3679" w:firstLine="353"/>
        <w:spacing w:after="0" w:line="252" w:lineRule="auto"/>
        <w:tabs>
          <w:tab w:leader="none" w:pos="775"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and the Proxy delivered in connection herewith shall terminate and shall have no further force or effect as of the Expiration Date.</w:t>
      </w:r>
    </w:p>
    <w:p>
      <w:pPr>
        <w:spacing w:after="0" w:line="16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5" w:right="1440" w:bottom="1440" w:gutter="0" w:footer="0" w:header="0"/>
        </w:sectPr>
      </w:pPr>
    </w:p>
    <w:bookmarkStart w:id="591" w:name="page592"/>
    <w:bookmarkEnd w:id="591"/>
    <w:p>
      <w:pPr>
        <w:ind w:right="3419" w:firstLine="775"/>
        <w:spacing w:after="0" w:line="251" w:lineRule="auto"/>
        <w:rPr>
          <w:sz w:val="20"/>
          <w:szCs w:val="20"/>
          <w:color w:val="auto"/>
        </w:rPr>
      </w:pPr>
      <w:r>
        <w:rPr>
          <w:rFonts w:ascii="Courier New" w:cs="Courier New" w:eastAsia="Courier New" w:hAnsi="Courier New"/>
          <w:sz w:val="14"/>
          <w:szCs w:val="14"/>
          <w:color w:val="auto"/>
        </w:rPr>
        <w:t>9.1 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9.2 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any Stockholder may be assigned by the Stockholder without the prior written consent of Toro.</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9.3 AMENDMENTS AND MODIFICATION. This Agreement may not be modified, amended, altered or supplemented except upon the execution and delivery of a written agreement executed by the party against whom enforcement is sought.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9.4 SPECIFIC PERFORMANCE; INJUNCTIVE RELIEF. The parties hereto acknowledge that Toro will be irreparably harmed and that there will be no adequate remedy at law for a violation of any of the covenants or agreements of any Stockholder set forth herein. Therefore, it is agreed that, in addition to any other remedies that may be available to Toro upon any such violation, Toro shall have the right to enforce such covenants and agreements by specific performance, injunctive relief or by any other means available to Toro at law or in equity, in any event without the necessity of posting bond or proving actual damages.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9.5 NOTICES. All notices, demands and other communications to be given or delivered under or by reason of the provisions of this Agreement will be in writing and will be deemed to have been given when personally delivered or three days after being mailed, if mailed by first class mail, return receipt requested, or when receipt is acknowledged, if sent by facsimile, telecopy or other electronic transmission device. Notices, demands and communications to Toro and the Stockholder will, unless another address is specified in writing, be sent to the address indicated below:</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TO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 55420</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General Counsel</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Dorsey &amp; Whitney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South Sixth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 55402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J. Andrew Herring</w:t>
      </w:r>
    </w:p>
    <w:p>
      <w:pPr>
        <w:spacing w:after="0" w:line="173"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(612) 340-8738</w:t>
      </w:r>
    </w:p>
    <w:p>
      <w:pPr>
        <w:spacing w:after="0" w:line="7" w:lineRule="exact"/>
        <w:rPr>
          <w:sz w:val="20"/>
          <w:szCs w:val="20"/>
          <w:color w:val="auto"/>
        </w:rPr>
      </w:pPr>
    </w:p>
    <w:p>
      <w:pPr>
        <w:sectPr>
          <w:pgSz w:w="11900" w:h="16838" w:orient="portrait"/>
          <w:cols w:equalWidth="0" w:num="2">
            <w:col w:w="4660" w:space="180"/>
            <w:col w:w="53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NOTICES TO THE STOCKHOLDER: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592" w:name="page593"/>
    <w:bookmarkEnd w:id="592"/>
    <w:p>
      <w:pPr>
        <w:spacing w:after="0"/>
        <w:rPr>
          <w:sz w:val="20"/>
          <w:szCs w:val="20"/>
          <w:color w:val="auto"/>
        </w:rPr>
      </w:pPr>
      <w:r>
        <w:rPr>
          <w:rFonts w:ascii="Courier New" w:cs="Courier New" w:eastAsia="Courier New" w:hAnsi="Courier New"/>
          <w:sz w:val="14"/>
          <w:szCs w:val="14"/>
          <w:color w:val="auto"/>
        </w:rPr>
        <w:t>To the address set forth on the signature page.</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9.6 GOVERNING LAW. This Agreement shall be governed by, and construed and enforced in accordance with, the laws of the State of Minnesota.</w:t>
      </w:r>
    </w:p>
    <w:p>
      <w:pPr>
        <w:spacing w:after="0" w:line="16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9.7 ENTIRE AGREEMENT. This Agreement contains the entire understanding of the parties with respect of the subject matter hereof, and supersedes all prior negotiations and understandings between the parties with respect to such subject matter.</w:t>
      </w:r>
    </w:p>
    <w:p>
      <w:pPr>
        <w:spacing w:after="0" w:line="162"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9.8 COUNTERPARTS. This Agreement may be executed in several counterparts, each of which shall be an original, but all of which together shall constitute one and the same agreement.</w:t>
      </w:r>
    </w:p>
    <w:p>
      <w:pPr>
        <w:spacing w:after="0" w:line="163" w:lineRule="exact"/>
        <w:rPr>
          <w:sz w:val="20"/>
          <w:szCs w:val="20"/>
          <w:color w:val="auto"/>
        </w:rPr>
      </w:pPr>
    </w:p>
    <w:p>
      <w:pPr>
        <w:ind w:right="3339" w:firstLine="775"/>
        <w:spacing w:after="0" w:line="257" w:lineRule="auto"/>
        <w:rPr>
          <w:sz w:val="20"/>
          <w:szCs w:val="20"/>
          <w:color w:val="auto"/>
        </w:rPr>
      </w:pPr>
      <w:r>
        <w:rPr>
          <w:rFonts w:ascii="Courier New" w:cs="Courier New" w:eastAsia="Courier New" w:hAnsi="Courier New"/>
          <w:sz w:val="14"/>
          <w:szCs w:val="14"/>
          <w:color w:val="auto"/>
        </w:rPr>
        <w:t>9.9 EFFECT OF HEADINGS. The section headings herein are for convenience only and shall not affect the construction or interpretation of this Agreement.</w:t>
      </w:r>
    </w:p>
    <w:p>
      <w:pPr>
        <w:spacing w:after="0" w:line="32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9.10 EFFECTIVE TIME. This Agreement shall become effective only upon execution of the Merger Agreement by each of the Company, Toro and Merger Subsidiary.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5" w:right="1440" w:bottom="1440" w:gutter="0" w:footer="0" w:header="0"/>
        </w:sectPr>
      </w:pPr>
    </w:p>
    <w:bookmarkStart w:id="593" w:name="page594"/>
    <w:bookmarkEnd w:id="593"/>
    <w:p>
      <w:pPr>
        <w:ind w:right="351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duly executed on the date and year first above written.</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STOCKHOLDER: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5" w:right="1440" w:bottom="1440" w:gutter="0" w:footer="0" w:header="0"/>
        </w:sectPr>
      </w:pPr>
    </w:p>
    <w:bookmarkStart w:id="594" w:name="page595"/>
    <w:bookmarkEnd w:id="594"/>
    <w:p>
      <w:pPr>
        <w:jc w:val="right"/>
        <w:ind w:right="3339"/>
        <w:spacing w:after="0"/>
        <w:rPr>
          <w:sz w:val="20"/>
          <w:szCs w:val="20"/>
          <w:color w:val="auto"/>
        </w:rPr>
      </w:pPr>
      <w:r>
        <w:rPr>
          <w:rFonts w:ascii="Courier New" w:cs="Courier New" w:eastAsia="Courier New" w:hAnsi="Courier New"/>
          <w:sz w:val="14"/>
          <w:szCs w:val="14"/>
          <w:color w:val="auto"/>
        </w:rPr>
        <w:t>EXHIBIT 10.2</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AFFILIATE AGREEMENT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OCTOBER 23,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Minneapolis, MN</w:t>
        <w:tab/>
        <w:t>55420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terms of the Agreement and Plan of Merger, dated as of October 23, 1997 (the "Agreement"), among The Toro Company, a Delaware corporation ("Toro"), EMCI Acquisition Corp., a Nebraska corporation and wholly owned subsidiary of Toro ("Merger Subsidiary"), and Exmark Manufacturing Company Incorporated, a Nebraska corporation (the "Exmark"), Toro will acquire Exmark through the merger of the Merger Subsidiary with and into Exmark (the "Merger"). Subject to the terms and conditions of the Agreement, at the Effective Time (as defined in the Agreement), outstanding shares of the capital stock of Exmark (the "Exmark Capital Stock") will be converted into the right to receive cash and shares of common stock of Toro ("Toro Common Stock").</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undersigned has been advised that as of the date hereof the undersigned may be deemed to be an "affiliate" of Exmark, as the term "affiliate" is used in paragraphs (c) and (d) of Rule 145 of the rules and regulations (the "Rules and Regulations") of the Securities and Exchange Commission (the "SEC") under the Securities Act of 1933, as amended (the "Securities Act").</w:t>
      </w:r>
    </w:p>
    <w:p>
      <w:pPr>
        <w:spacing w:after="0" w:line="165" w:lineRule="exact"/>
        <w:rPr>
          <w:sz w:val="20"/>
          <w:szCs w:val="20"/>
          <w:color w:val="auto"/>
        </w:rPr>
      </w:pPr>
    </w:p>
    <w:p>
      <w:pPr>
        <w:ind w:right="4019" w:firstLine="344"/>
        <w:spacing w:after="0" w:line="255" w:lineRule="auto"/>
        <w:rPr>
          <w:sz w:val="20"/>
          <w:szCs w:val="20"/>
          <w:color w:val="auto"/>
        </w:rPr>
      </w:pPr>
      <w:r>
        <w:rPr>
          <w:rFonts w:ascii="Courier New" w:cs="Courier New" w:eastAsia="Courier New" w:hAnsi="Courier New"/>
          <w:sz w:val="14"/>
          <w:szCs w:val="14"/>
          <w:color w:val="auto"/>
        </w:rPr>
        <w:t>The undersigned understands that the representations, warranties and covenants set forth herein will be relied upon by Toro and Exmark.</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undersigned represents and warrants to and agrees with Toro that:</w:t>
      </w:r>
    </w:p>
    <w:p>
      <w:pPr>
        <w:spacing w:after="0" w:line="173" w:lineRule="exact"/>
        <w:rPr>
          <w:sz w:val="20"/>
          <w:szCs w:val="20"/>
          <w:color w:val="auto"/>
        </w:rPr>
      </w:pPr>
    </w:p>
    <w:p>
      <w:pPr>
        <w:ind w:right="3519" w:firstLine="353"/>
        <w:spacing w:after="0" w:line="252" w:lineRule="auto"/>
        <w:tabs>
          <w:tab w:leader="none" w:pos="775"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full power to execute and deliver this Affiliate Agreement and to make the representations and warranties herein and to perform its obligations hereunder.</w:t>
      </w:r>
    </w:p>
    <w:p>
      <w:pPr>
        <w:spacing w:after="0" w:line="162" w:lineRule="exact"/>
        <w:rPr>
          <w:rFonts w:ascii="Courier New" w:cs="Courier New" w:eastAsia="Courier New" w:hAnsi="Courier New"/>
          <w:sz w:val="14"/>
          <w:szCs w:val="14"/>
          <w:color w:val="auto"/>
        </w:rPr>
      </w:pPr>
    </w:p>
    <w:p>
      <w:pPr>
        <w:ind w:right="3519" w:firstLine="353"/>
        <w:spacing w:after="0" w:line="252" w:lineRule="auto"/>
        <w:tabs>
          <w:tab w:leader="none" w:pos="775"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carefully read this Affiliate Agreement and the Agreement and has discussed the applicable limitations upon his/her ability to sell, transfer or otherwise dispose of Toro Common Stock to the extent the undersigned felt necessary with his/her counsel or counsel for Exmark.</w:t>
      </w:r>
    </w:p>
    <w:p>
      <w:pPr>
        <w:spacing w:after="0" w:line="162" w:lineRule="exact"/>
        <w:rPr>
          <w:rFonts w:ascii="Courier New" w:cs="Courier New" w:eastAsia="Courier New" w:hAnsi="Courier New"/>
          <w:sz w:val="14"/>
          <w:szCs w:val="14"/>
          <w:color w:val="auto"/>
        </w:rPr>
      </w:pPr>
    </w:p>
    <w:p>
      <w:pPr>
        <w:ind w:right="3419" w:firstLine="353"/>
        <w:spacing w:after="0" w:line="252" w:lineRule="auto"/>
        <w:tabs>
          <w:tab w:leader="none" w:pos="775"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shall not make any sale, transfer or other disposition of Toro Common Stock in violation of the Securities Act or the Rules and Regulations.</w:t>
      </w:r>
    </w:p>
    <w:p>
      <w:pPr>
        <w:spacing w:after="0" w:line="16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been advised that, since, at the time the Merger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is to be submitted for a vote of the shareholders of Exmark, the undersigned may be deemed to be an affiliate of Exmark, the undersigned may not sell, transfer or otherwise dispose of Toro Common Stock issued to the undersigned in the Merger unless such sale, transfer or other disposition is made in conformity with the requirements of Rule 145 promulgated by the SEC under the Securities Act.</w:t>
      </w:r>
    </w:p>
    <w:p>
      <w:pPr>
        <w:spacing w:after="0" w:line="327" w:lineRule="exact"/>
        <w:rPr>
          <w:sz w:val="20"/>
          <w:szCs w:val="20"/>
          <w:color w:val="auto"/>
        </w:rPr>
      </w:pPr>
    </w:p>
    <w:p>
      <w:pPr>
        <w:ind w:right="3679" w:firstLine="353"/>
        <w:spacing w:after="0" w:line="251" w:lineRule="auto"/>
        <w:tabs>
          <w:tab w:leader="none" w:pos="775"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the Agreement, Toro is under no obligation to register the sale, transfer or other disposition of Toro Common Stock by the undersigned or on its behalf under the Securities Act or to take any other action necessary in order to make compliance with an exemption from such registration available.</w:t>
      </w:r>
    </w:p>
    <w:p>
      <w:pPr>
        <w:spacing w:after="0" w:line="164" w:lineRule="exact"/>
        <w:rPr>
          <w:rFonts w:ascii="Courier New" w:cs="Courier New" w:eastAsia="Courier New" w:hAnsi="Courier New"/>
          <w:sz w:val="14"/>
          <w:szCs w:val="14"/>
          <w:color w:val="auto"/>
        </w:rPr>
      </w:pPr>
    </w:p>
    <w:p>
      <w:pPr>
        <w:ind w:right="3339" w:firstLine="353"/>
        <w:spacing w:after="0" w:line="252" w:lineRule="auto"/>
        <w:tabs>
          <w:tab w:leader="none" w:pos="775"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Stop transfer instructions will be given to Toro's transfer agent with respect to the Toro Common Stock and a legend will be placed on the certificates for the Toro Common Stock issued to the undersigned, or any substitutions therefor, stating in substance:</w:t>
      </w:r>
    </w:p>
    <w:p>
      <w:pPr>
        <w:sectPr>
          <w:pgSz w:w="11900" w:h="16838" w:orient="portrait"/>
          <w:cols w:equalWidth="0" w:num="1">
            <w:col w:w="10239"/>
          </w:cols>
          <w:pgMar w:left="220" w:top="472" w:right="1440" w:bottom="1440" w:gutter="0" w:footer="0" w:header="0"/>
        </w:sectPr>
      </w:pPr>
    </w:p>
    <w:bookmarkStart w:id="595" w:name="page596"/>
    <w:bookmarkEnd w:id="595"/>
    <w:p>
      <w:pPr>
        <w:ind w:left="360" w:right="3419" w:firstLine="431"/>
        <w:spacing w:after="0" w:line="251" w:lineRule="auto"/>
        <w:rPr>
          <w:sz w:val="20"/>
          <w:szCs w:val="20"/>
          <w:color w:val="auto"/>
        </w:rPr>
      </w:pPr>
      <w:r>
        <w:rPr>
          <w:rFonts w:ascii="Courier New" w:cs="Courier New" w:eastAsia="Courier New" w:hAnsi="Courier New"/>
          <w:sz w:val="14"/>
          <w:szCs w:val="14"/>
          <w:color w:val="auto"/>
        </w:rPr>
        <w:t>"The shares represented by this certificate were issued in a transaction to which Rule 145 promulgated under the Securities Act of 1933 applies. The shares represented by this certificate may only be transferred in accordance with the terms of an Affiliate Agreement dated October 23, 1997 between the registered holder hereof and The Toro Company, a copy of which agreement is on file at the principal offices of The Toro Company."</w:t>
      </w:r>
    </w:p>
    <w:p>
      <w:pPr>
        <w:spacing w:after="0" w:line="330" w:lineRule="exact"/>
        <w:rPr>
          <w:sz w:val="20"/>
          <w:szCs w:val="20"/>
          <w:color w:val="auto"/>
        </w:rPr>
      </w:pPr>
    </w:p>
    <w:p>
      <w:pPr>
        <w:ind w:right="3339" w:firstLine="353"/>
        <w:spacing w:after="0" w:line="251" w:lineRule="auto"/>
        <w:tabs>
          <w:tab w:leader="none" w:pos="775"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legend set forth above shall be removed by delivery of substitute certificates without such legend if the undersigned shall have delivered to Toro a copy of an opinion of counsel, in form and substance reasonably satisfactory to Toro, to the effect that such legend is not required for purposes of the Securities Act.</w:t>
      </w:r>
    </w:p>
    <w:p>
      <w:pPr>
        <w:spacing w:after="0" w:line="164"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is the beneficial owner of all the shares of Exmark Capital Stock and options to purchase Exmark Capital Stock as is indicated below on this Affiliate Agreement (the "Exmark Securities"). Except for Exmark Securities, the undersigned does not beneficially own any shares of Exmark Capital Stock or any other equity securities of Exmark or any options, warrants or other rights to acquire any equity securities of Exmark.</w:t>
      </w:r>
    </w:p>
    <w:p>
      <w:pPr>
        <w:spacing w:after="0" w:line="164" w:lineRule="exact"/>
        <w:rPr>
          <w:sz w:val="20"/>
          <w:szCs w:val="20"/>
          <w:color w:val="auto"/>
        </w:rPr>
      </w:pPr>
    </w:p>
    <w:p>
      <w:pPr>
        <w:ind w:right="4199" w:firstLine="344"/>
        <w:spacing w:after="0" w:line="255" w:lineRule="auto"/>
        <w:rPr>
          <w:sz w:val="20"/>
          <w:szCs w:val="20"/>
          <w:color w:val="auto"/>
        </w:rPr>
      </w:pPr>
      <w:r>
        <w:rPr>
          <w:rFonts w:ascii="Courier New" w:cs="Courier New" w:eastAsia="Courier New" w:hAnsi="Courier New"/>
          <w:sz w:val="14"/>
          <w:szCs w:val="14"/>
          <w:color w:val="auto"/>
        </w:rPr>
        <w:t>Number of shares of Exmark Capital Stock beneficially owned by the undersigned:</w:t>
      </w:r>
    </w:p>
    <w:p>
      <w:pPr>
        <w:sectPr>
          <w:pgSz w:w="11900" w:h="16838" w:orient="portrait"/>
          <w:cols w:equalWidth="0" w:num="1">
            <w:col w:w="10239"/>
          </w:cols>
          <w:pgMar w:left="220" w:top="781" w:right="1440" w:bottom="1440" w:gutter="0" w:footer="0" w:header="0"/>
        </w:sectPr>
      </w:pP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Preferred Stock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Class B Preferred Stock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Class C Preferred Stock</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sectPr>
          <w:pgSz w:w="11900" w:h="16838" w:orient="portrait"/>
          <w:cols w:equalWidth="0" w:num="2">
            <w:col w:w="3080" w:space="720"/>
            <w:col w:w="6439"/>
          </w:cols>
          <w:pgMar w:left="220" w:top="781" w:right="1440" w:bottom="1440" w:gutter="0" w:footer="0" w:header="0"/>
          <w:type w:val="continuous"/>
        </w:sectPr>
      </w:pPr>
    </w:p>
    <w:p>
      <w:pPr>
        <w:ind w:right="3779" w:firstLine="344"/>
        <w:spacing w:after="0" w:line="255" w:lineRule="auto"/>
        <w:rPr>
          <w:sz w:val="20"/>
          <w:szCs w:val="20"/>
          <w:color w:val="auto"/>
        </w:rPr>
      </w:pPr>
      <w:r>
        <w:rPr>
          <w:rFonts w:ascii="Courier New" w:cs="Courier New" w:eastAsia="Courier New" w:hAnsi="Courier New"/>
          <w:sz w:val="14"/>
          <w:szCs w:val="14"/>
          <w:color w:val="auto"/>
        </w:rPr>
        <w:t>Number of shares of Exmark Capital Stock subject to options or warrants beneficially owned by the undersigned:</w:t>
      </w:r>
    </w:p>
    <w:p>
      <w:pPr>
        <w:sectPr>
          <w:pgSz w:w="11900" w:h="16838" w:orient="portrait"/>
          <w:cols w:equalWidth="0" w:num="1">
            <w:col w:w="10239"/>
          </w:cols>
          <w:pgMar w:left="220" w:top="781" w:right="1440" w:bottom="1440" w:gutter="0" w:footer="0" w:header="0"/>
          <w:type w:val="continuous"/>
        </w:sectPr>
      </w:pP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Preferred Stock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Class B Preferred Stock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Class C Preferred Stock</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200" w:lineRule="exact"/>
        <w:rPr>
          <w:sz w:val="20"/>
          <w:szCs w:val="20"/>
          <w:color w:val="auto"/>
        </w:rPr>
      </w:pPr>
    </w:p>
    <w:p>
      <w:pPr>
        <w:sectPr>
          <w:pgSz w:w="11900" w:h="16838" w:orient="portrait"/>
          <w:cols w:equalWidth="0" w:num="2">
            <w:col w:w="3080" w:space="720"/>
            <w:col w:w="6439"/>
          </w:cols>
          <w:pgMar w:left="220" w:top="781" w:right="1440" w:bottom="1440" w:gutter="0" w:footer="0" w:header="0"/>
          <w:type w:val="continuous"/>
        </w:sect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(print name of stockholder above)</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 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781"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1" w:right="1440" w:bottom="1440" w:gutter="0" w:footer="0" w:header="0"/>
          <w:type w:val="continuous"/>
        </w:sectPr>
      </w:pPr>
    </w:p>
    <w:bookmarkStart w:id="596" w:name="page597"/>
    <w:bookmarkEnd w:id="596"/>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5" w:right="1440" w:bottom="1440" w:gutter="0" w:footer="0" w:header="0"/>
        </w:sectPr>
      </w:pPr>
    </w:p>
    <w:bookmarkStart w:id="597" w:name="page598"/>
    <w:bookmarkEnd w:id="597"/>
    <w:p>
      <w:pPr>
        <w:jc w:val="right"/>
        <w:ind w:right="3339"/>
        <w:spacing w:after="0"/>
        <w:rPr>
          <w:sz w:val="20"/>
          <w:szCs w:val="20"/>
          <w:color w:val="auto"/>
        </w:rPr>
      </w:pPr>
      <w:r>
        <w:rPr>
          <w:rFonts w:ascii="Courier New" w:cs="Courier New" w:eastAsia="Courier New" w:hAnsi="Courier New"/>
          <w:sz w:val="14"/>
          <w:szCs w:val="14"/>
          <w:color w:val="auto"/>
        </w:rPr>
        <w:t>EXHIBIT 10.3</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EMPLOYMENT AGREEMENT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COVENANT NOT TO COMPETE</w:t>
      </w:r>
    </w:p>
    <w:p>
      <w:pPr>
        <w:spacing w:after="0" w:line="338"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THIS EMPLOYMENT AGREEMENT AND COVENANT NOT TO COMPETE (the "Agreement") dated October 23, 1997, is made and entered into by and among The Toro Company, a Delaware corporation ("Toro"), Exmark Manufacturing Company Incorporated, a Nebraska corporation ("Exmark"), and _____________, a resident of 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("Employee").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WHEREAS, Employee is employed by Exmark;</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WHEREAS, Toro has agreed, subject to certain terms and conditions, to acquire Exmark pursuant to the terms of an Agreement and Plan of Merger dated October 23, 1997 (the "Merger Agreement"), by and among Toro, Exmark and EMCI Acquisition Corp., a wholly owned subsidiary of Toro ("Merger Subsidiary");</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WHEREAS, under the terms of the Merger Agreement, Merger Subsidiary will be merged with and into Exmark (the "Merger"), and Exmark will be the surviving corporation and a wholly owned subsidiary of Toro ("Surviving Corporation");</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WHEREAS, Employee is a shareholder of Exmark and will receive a portion of the consideration paid by Toro in connection with the Merger, and the execution of this Agreement is an express condition of Toro to the consummation of the Merger;</w:t>
      </w:r>
    </w:p>
    <w:p>
      <w:pPr>
        <w:spacing w:after="0" w:line="162" w:lineRule="exact"/>
        <w:rPr>
          <w:sz w:val="20"/>
          <w:szCs w:val="20"/>
          <w:color w:val="auto"/>
        </w:rPr>
      </w:pPr>
    </w:p>
    <w:p>
      <w:pPr>
        <w:ind w:right="3419" w:firstLine="344"/>
        <w:spacing w:after="0" w:line="253" w:lineRule="auto"/>
        <w:rPr>
          <w:sz w:val="20"/>
          <w:szCs w:val="20"/>
          <w:color w:val="auto"/>
        </w:rPr>
      </w:pPr>
      <w:r>
        <w:rPr>
          <w:rFonts w:ascii="Courier New" w:cs="Courier New" w:eastAsia="Courier New" w:hAnsi="Courier New"/>
          <w:sz w:val="14"/>
          <w:szCs w:val="14"/>
          <w:color w:val="auto"/>
        </w:rPr>
        <w:t>WHEREAS, Toro desires Employee to continue to be employed by Exmark following the Merger because Employee possesses certain unique skills, talents, contacts, judgment, and knowledge of Exmark's businesses, strategies, and objectives;</w:t>
      </w:r>
    </w:p>
    <w:p>
      <w:pPr>
        <w:spacing w:after="0" w:line="327"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WHEREAS, in order to provide for continuity in the management of the Surviving Corporation as a subsidiary of Toro, which continuity is deemed to be vital to the continued growth and success of Toro, and in order that Toro and the Surviving Corporation may continue to avail itself of the unique skills, talents, contacts, judgment, and knowledge of Employee, Toro desires to ensure the retention of Employee in the employ of the Surviving Corporation;</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WHEREAS, the parties recognize the critical importance to Toro, its employees and shareholders of preserving the confidentiality of Toro's and the Surviving Corporation's trade secrets and its proprietary and confidential information, and of protecting Toro and the Surviving Corporation against competition from former executives or other key employees of Toro and the Surviving Corporation following their separation from the Surviving Corporation;</w:t>
      </w:r>
    </w:p>
    <w:p>
      <w:pPr>
        <w:sectPr>
          <w:pgSz w:w="11900" w:h="16838" w:orient="portrait"/>
          <w:cols w:equalWidth="0" w:num="1">
            <w:col w:w="10239"/>
          </w:cols>
          <w:pgMar w:left="220" w:top="472" w:right="1440" w:bottom="1440" w:gutter="0" w:footer="0" w:header="0"/>
        </w:sectPr>
      </w:pPr>
    </w:p>
    <w:bookmarkStart w:id="598" w:name="page599"/>
    <w:bookmarkEnd w:id="598"/>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WHEREAS, for the benefit of all of the parties, each of Toro, the Surviving Corporation and Employee desire to set forth the terms and conditions of future employment as provided herein;</w:t>
      </w:r>
    </w:p>
    <w:p>
      <w:pPr>
        <w:spacing w:after="0" w:line="163"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NOW, THEREFORE, in consideration of the mutual promises herein and the terms and conditions set forth herein, the parties hereto mutually agree as follows:</w:t>
      </w:r>
    </w:p>
    <w:p>
      <w:pPr>
        <w:spacing w:after="0" w:line="163" w:lineRule="exact"/>
        <w:rPr>
          <w:sz w:val="20"/>
          <w:szCs w:val="20"/>
          <w:color w:val="auto"/>
        </w:rPr>
      </w:pPr>
    </w:p>
    <w:p>
      <w:pPr>
        <w:ind w:right="3599" w:firstLine="353"/>
        <w:spacing w:after="0" w:line="255" w:lineRule="auto"/>
        <w:tabs>
          <w:tab w:leader="none" w:pos="775"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For purposes of this Agreement, the terms listed below shall be defined as follows:</w:t>
      </w:r>
    </w:p>
    <w:p>
      <w:pPr>
        <w:spacing w:after="0" w:line="159" w:lineRule="exact"/>
        <w:rPr>
          <w:rFonts w:ascii="Courier New" w:cs="Courier New" w:eastAsia="Courier New" w:hAnsi="Courier New"/>
          <w:sz w:val="14"/>
          <w:szCs w:val="14"/>
          <w:color w:val="auto"/>
        </w:rPr>
      </w:pPr>
    </w:p>
    <w:p>
      <w:pPr>
        <w:ind w:left="360" w:right="3519" w:firstLine="424"/>
        <w:spacing w:after="0" w:line="252" w:lineRule="auto"/>
        <w:tabs>
          <w:tab w:leader="none" w:pos="1221" w:val="left"/>
        </w:tabs>
        <w:numPr>
          <w:ilvl w:val="1"/>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individually and collectively, each of Toro, Exmark and the Surviving Corporation following the Merger and any past, present or future parent, subsidiary or affiliate of Toro, Exmark or the Surviving Corporation.</w:t>
      </w:r>
    </w:p>
    <w:p>
      <w:pPr>
        <w:spacing w:after="0" w:line="162" w:lineRule="exact"/>
        <w:rPr>
          <w:rFonts w:ascii="Courier New" w:cs="Courier New" w:eastAsia="Courier New" w:hAnsi="Courier New"/>
          <w:sz w:val="14"/>
          <w:szCs w:val="14"/>
          <w:color w:val="auto"/>
        </w:rPr>
      </w:pPr>
    </w:p>
    <w:p>
      <w:pPr>
        <w:ind w:left="360" w:right="3419" w:firstLine="424"/>
        <w:spacing w:after="0" w:line="251" w:lineRule="auto"/>
        <w:tabs>
          <w:tab w:leader="none" w:pos="1221" w:val="left"/>
        </w:tabs>
        <w:numPr>
          <w:ilvl w:val="1"/>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shall mean all products and services developed, manufactured, marketed, licensed, leased, sold, or serviced by Exmark, the Surviving Corporation, the Landscape Contractor Group of Toro or any other subsidiary of Toro engaged directly or indirectly in the commercial landscape equipment business (collectively, the "LCG Group") individually or jointly with third parties, or by their employees, agents or independent representatives in the course of their relationship with the LCG Group. Products shall specifically exclude products and services relating to the residential consumer landscape equipment business.</w:t>
      </w:r>
    </w:p>
    <w:p>
      <w:pPr>
        <w:spacing w:after="0" w:line="163" w:lineRule="exact"/>
        <w:rPr>
          <w:rFonts w:ascii="Courier New" w:cs="Courier New" w:eastAsia="Courier New" w:hAnsi="Courier New"/>
          <w:sz w:val="14"/>
          <w:szCs w:val="14"/>
          <w:color w:val="auto"/>
        </w:rPr>
      </w:pPr>
    </w:p>
    <w:p>
      <w:pPr>
        <w:ind w:left="360" w:right="3419" w:firstLine="424"/>
        <w:spacing w:after="0" w:line="251" w:lineRule="auto"/>
        <w:tabs>
          <w:tab w:leader="none" w:pos="1221" w:val="left"/>
        </w:tabs>
        <w:numPr>
          <w:ilvl w:val="1"/>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"Customers" shall mean any person, firm, corporation, partnership, joint venture or other entity or enterprise called upon by any member of the LCG Group or by their employees, agents or independent representatives for the purposes of developing, manufacturing, marketing, licensing, leasing, selling, or servicing products of the LCG Group at any time during the 18-month period immediately preceding the effective date of the termination of Employee's employment with the Surviving Corporation. Customers shall also include all existing customers, licensees, lessees, or clients of the LCG Group.</w:t>
      </w:r>
    </w:p>
    <w:p>
      <w:pPr>
        <w:spacing w:after="0" w:line="163" w:lineRule="exact"/>
        <w:rPr>
          <w:rFonts w:ascii="Courier New" w:cs="Courier New" w:eastAsia="Courier New" w:hAnsi="Courier New"/>
          <w:sz w:val="14"/>
          <w:szCs w:val="14"/>
          <w:color w:val="auto"/>
        </w:rPr>
      </w:pPr>
    </w:p>
    <w:p>
      <w:pPr>
        <w:ind w:left="360" w:right="3419" w:firstLine="424"/>
        <w:spacing w:after="0" w:line="251" w:lineRule="auto"/>
        <w:tabs>
          <w:tab w:leader="none" w:pos="1221" w:val="left"/>
        </w:tabs>
        <w:numPr>
          <w:ilvl w:val="1"/>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shall include, but is not limited to, the following types of Company information and other information of a similar nature (whether or not reduced to writing): names of Customers and other information relating to Customers, lists of Customers, employee expense records containing the names of Customers, price lists, pricing policy, Company strategy and business plans, Company tactics, sales forecasts, sales reports and other sales materials, computer software in various stages of development, computer software source codes and object codes, copyrights, concepts, data, designs, diagrams, documentation, drawings, discoveries, financial statements or reports, flowcharts,</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0" w:right="1440" w:bottom="1440" w:gutter="0" w:footer="0" w:header="0"/>
        </w:sectPr>
      </w:pPr>
    </w:p>
    <w:bookmarkStart w:id="599" w:name="page600"/>
    <w:bookmarkEnd w:id="599"/>
    <w:p>
      <w:pPr>
        <w:ind w:left="360" w:right="3419"/>
        <w:spacing w:after="0" w:line="251" w:lineRule="auto"/>
        <w:rPr>
          <w:sz w:val="20"/>
          <w:szCs w:val="20"/>
          <w:color w:val="auto"/>
        </w:rPr>
      </w:pPr>
      <w:r>
        <w:rPr>
          <w:rFonts w:ascii="Courier New" w:cs="Courier New" w:eastAsia="Courier New" w:hAnsi="Courier New"/>
          <w:sz w:val="14"/>
          <w:szCs w:val="14"/>
          <w:color w:val="auto"/>
        </w:rPr>
        <w:t>ideas, inventions, "know-how," manuals, marketing and development plans, marketing techniques and materials, models, prototypes, procedures, processes, research, trade secrets, techniques and any other proprietary information. Confidential Information also includes any information described above that the Company obtains from another party and that the Company or such other party treats as proprietary or designates as confidential information, whether or not owned or developed by the Company.</w:t>
      </w:r>
    </w:p>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Confidential Information shall NOT include any of the following:</w:t>
      </w:r>
    </w:p>
    <w:p>
      <w:pPr>
        <w:spacing w:after="0" w:line="7" w:lineRule="exact"/>
        <w:rPr>
          <w:sz w:val="20"/>
          <w:szCs w:val="20"/>
          <w:color w:val="auto"/>
        </w:rPr>
      </w:pPr>
    </w:p>
    <w:p>
      <w:pPr>
        <w:ind w:left="360" w:right="3419" w:hanging="7"/>
        <w:spacing w:after="0" w:line="251" w:lineRule="auto"/>
        <w:tabs>
          <w:tab w:leader="none" w:pos="705"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in the public domain at the time of the disclosure to Employee by the Company; (ii) information that, after disclosure to Employee, becomes part of the public domain, other than by an act or omission of Employee; (iii) information that is subsequently disclosed or made available to Employee without any obligation of confidence by a third party having a bona fide right to disclose or make available such information; and (iv) information that has been made public by way of sales literature, Company newsletters, public speeches by officers of the Company, or information disclosed to the media by officers of the Company.</w:t>
      </w:r>
    </w:p>
    <w:p>
      <w:pPr>
        <w:spacing w:after="0" w:line="163" w:lineRule="exact"/>
        <w:rPr>
          <w:rFonts w:ascii="Courier New" w:cs="Courier New" w:eastAsia="Courier New" w:hAnsi="Courier New"/>
          <w:sz w:val="14"/>
          <w:szCs w:val="14"/>
          <w:color w:val="auto"/>
        </w:rPr>
      </w:pPr>
    </w:p>
    <w:p>
      <w:pPr>
        <w:ind w:left="360" w:right="3419" w:firstLine="424"/>
        <w:spacing w:after="0" w:line="252" w:lineRule="auto"/>
        <w:tabs>
          <w:tab w:leader="none" w:pos="1221" w:val="left"/>
        </w:tabs>
        <w:numPr>
          <w:ilvl w:val="1"/>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means the date the Merger becomes effective in accordance with the terms of the Merger Agreement. In the event the Merger is not consummated, this Agreement shall be of no force or effect.</w:t>
      </w:r>
    </w:p>
    <w:p>
      <w:pPr>
        <w:spacing w:after="0" w:line="163" w:lineRule="exact"/>
        <w:rPr>
          <w:sz w:val="20"/>
          <w:szCs w:val="20"/>
          <w:color w:val="auto"/>
        </w:rPr>
      </w:pPr>
    </w:p>
    <w:p>
      <w:pPr>
        <w:ind w:left="780" w:hanging="427"/>
        <w:spacing w:after="0"/>
        <w:tabs>
          <w:tab w:leader="none" w:pos="780"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2.01 LENGTH OF EMPLOYMENT. Subject to the terms and conditions provided herein, and subject to the consummation of the Merger, the Surviving Corporation hereby agrees to employ Employee, and Employee hereby accepts employment by the Surviving Corporation, for a term commencing as of the Effective Date and continuing until October 31, 1999 (the "Initial Employment Term"). The Initial Employment Term of Employee will expire on October 31, 1999, without further obligation for either party. In addition, the Surviving Corporation may terminate the employment of Employee at any time during the Initial Employment Term upon 30 days notice, without cause, provided the Surviving Corporation pays Employee severance pay as described in Section 6 of this Agreement. Following the expiration of the Initial Employment Term, the parties hereto acknowledge and agree that Employee's employment with the Surviving Corporation shall be an at-will relationship, that either Employee or the Surviving Corporation may terminate such employment, without cause, at any time, and that such termination shall not constitute a breach of any express or implied contract or covenant, and will not be deemed tortious, wrongful or give rise to any claim or liability whatsoever (unless a waiver of such a claim is expressly prohibited by statute). Further, after the Initial Employment Term, Employee's employment shall continue to be subject to the terms and conditions of this Agreement, specifically including, without limitation, Sections 7, 8, 9, 10, 11 and 18 hereof.</w:t>
      </w:r>
    </w:p>
    <w:p>
      <w:pPr>
        <w:spacing w:after="0" w:line="200" w:lineRule="exact"/>
        <w:rPr>
          <w:sz w:val="20"/>
          <w:szCs w:val="20"/>
          <w:color w:val="auto"/>
        </w:rPr>
      </w:pPr>
    </w:p>
    <w:p>
      <w:pPr>
        <w:spacing w:after="0" w:line="30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5" w:right="1440" w:bottom="1440" w:gutter="0" w:footer="0" w:header="0"/>
        </w:sectPr>
      </w:pPr>
    </w:p>
    <w:bookmarkStart w:id="600" w:name="page601"/>
    <w:bookmarkEnd w:id="600"/>
    <w:p>
      <w:pPr>
        <w:ind w:right="3419" w:firstLine="775"/>
        <w:spacing w:after="0" w:line="252" w:lineRule="auto"/>
        <w:rPr>
          <w:sz w:val="20"/>
          <w:szCs w:val="20"/>
          <w:color w:val="auto"/>
        </w:rPr>
      </w:pPr>
      <w:r>
        <w:rPr>
          <w:rFonts w:ascii="Courier New" w:cs="Courier New" w:eastAsia="Courier New" w:hAnsi="Courier New"/>
          <w:sz w:val="14"/>
          <w:szCs w:val="14"/>
          <w:color w:val="auto"/>
        </w:rPr>
        <w:t>2.02 TERMINATION FOR CAUSE. Notwithstanding the foregoing, the Surviving Corporation may terminate Employee's employment for cause without notice and without further obligation of any kind to Employee. For purposes of this Agreement, "cause" shall mean:</w:t>
      </w:r>
    </w:p>
    <w:p>
      <w:pPr>
        <w:spacing w:after="0" w:line="162" w:lineRule="exact"/>
        <w:rPr>
          <w:sz w:val="20"/>
          <w:szCs w:val="20"/>
          <w:color w:val="auto"/>
        </w:rPr>
      </w:pPr>
    </w:p>
    <w:p>
      <w:pPr>
        <w:ind w:left="360" w:right="3779" w:firstLine="424"/>
        <w:spacing w:after="0" w:line="252" w:lineRule="auto"/>
        <w:tabs>
          <w:tab w:leader="none" w:pos="1221"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misappropriation of funds or any corporate opportunity, dishonesty, sexual or other harassment, or embezzlement by Employee in connection with the business of the Surviving Corporation;</w:t>
      </w:r>
    </w:p>
    <w:p>
      <w:pPr>
        <w:spacing w:after="0" w:line="162" w:lineRule="exact"/>
        <w:rPr>
          <w:rFonts w:ascii="Courier New" w:cs="Courier New" w:eastAsia="Courier New" w:hAnsi="Courier New"/>
          <w:sz w:val="14"/>
          <w:szCs w:val="14"/>
          <w:color w:val="auto"/>
        </w:rPr>
      </w:pPr>
    </w:p>
    <w:p>
      <w:pPr>
        <w:ind w:left="360" w:right="3419" w:firstLine="424"/>
        <w:spacing w:after="0" w:line="252" w:lineRule="auto"/>
        <w:tabs>
          <w:tab w:leader="none" w:pos="1221"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conviction of or nolo contendere plea to a felony by Employee that has or can reasonably be expected to have a demonstrably detrimental effect on the Surviving Corporation;</w:t>
      </w:r>
    </w:p>
    <w:p>
      <w:pPr>
        <w:spacing w:after="0" w:line="162" w:lineRule="exact"/>
        <w:rPr>
          <w:rFonts w:ascii="Courier New" w:cs="Courier New" w:eastAsia="Courier New" w:hAnsi="Courier New"/>
          <w:sz w:val="14"/>
          <w:szCs w:val="14"/>
          <w:color w:val="auto"/>
        </w:rPr>
      </w:pPr>
    </w:p>
    <w:p>
      <w:pPr>
        <w:ind w:left="360" w:right="3519" w:firstLine="424"/>
        <w:spacing w:after="0" w:line="251" w:lineRule="auto"/>
        <w:tabs>
          <w:tab w:leader="none" w:pos="1221"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gross neglect or persistent neglect by Employee to perform the duties assigned to him by the Surviving Corporation, provided that Employee shall first have received a written notice from the Surviving Corporation that sets forth in reasonable detail the manner in which Employee has grossly or persistently neglected his duties and Employee shall have a period of 20 days to cure the same, unless the same cannot be reasonably cured within the 20-day period, in which event Employee shall have up to an additional 20 days to cure the same so long as Employee is diligently seeking to cure the same; provided, however, that the Surviving Corporation shall not be required to give written notice of, nor shall Employee have a period to cure, the same or any similar gross neglect or persistent neglect of which the Surviving Corporation has previously given written notice to Employee hereunder;</w:t>
      </w:r>
    </w:p>
    <w:p>
      <w:pPr>
        <w:spacing w:after="0" w:line="162" w:lineRule="exact"/>
        <w:rPr>
          <w:rFonts w:ascii="Courier New" w:cs="Courier New" w:eastAsia="Courier New" w:hAnsi="Courier New"/>
          <w:sz w:val="14"/>
          <w:szCs w:val="14"/>
          <w:color w:val="auto"/>
        </w:rPr>
      </w:pPr>
    </w:p>
    <w:p>
      <w:pPr>
        <w:ind w:left="360" w:right="3419" w:firstLine="424"/>
        <w:spacing w:after="0" w:line="251" w:lineRule="auto"/>
        <w:tabs>
          <w:tab w:leader="none" w:pos="1221"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breach by Employee of Employee's obligations under this Agreement other than a breach covered by any other subsection of this Section 2.02, provided that Employee shall first have received a written notice from the Surviving Corporation that sets forth in reasonable detail the manner in which Employee materially breached this Agreement and Employee shall have a period of 20 days to cure the same, unless the same cannot be reasonably cured within the 20-day period, in which event Employee shall have up to an additional 20 days to cure the same so long as Employee is diligently seeking to cure the same; provided, however, that the Surviving Corporation shall not be required to give written notice of, nor shall Employee have a period to cure, the same or any similar material breach of this Agreement of which the Surviving Corporation has previously given written notice to Employee hereunder;</w:t>
      </w:r>
    </w:p>
    <w:p>
      <w:pPr>
        <w:spacing w:after="0" w:line="162" w:lineRule="exact"/>
        <w:rPr>
          <w:rFonts w:ascii="Courier New" w:cs="Courier New" w:eastAsia="Courier New" w:hAnsi="Courier New"/>
          <w:sz w:val="14"/>
          <w:szCs w:val="14"/>
          <w:color w:val="auto"/>
        </w:rPr>
      </w:pPr>
    </w:p>
    <w:p>
      <w:pPr>
        <w:ind w:left="360" w:right="3599" w:firstLine="424"/>
        <w:spacing w:after="0" w:line="252" w:lineRule="auto"/>
        <w:tabs>
          <w:tab w:leader="none" w:pos="1221"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use of narcotics, liquor or illicit drugs that has a demonstrably detrimental effect on the performance of his employment responsibilities; and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01" w:name="page602"/>
    <w:bookmarkEnd w:id="601"/>
    <w:p>
      <w:pPr>
        <w:ind w:left="360" w:right="3939" w:firstLine="424"/>
        <w:spacing w:after="0" w:line="252" w:lineRule="auto"/>
        <w:tabs>
          <w:tab w:leader="none" w:pos="1221" w:val="left"/>
        </w:tabs>
        <w:numPr>
          <w:ilvl w:val="0"/>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violation of Toro's then-current Ethics and Conflict of Interest Policy that has or can reasonably be expected to have a demonstrably detrimental effect on Toro or the Surviving Corporation.</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2.03 TERMINATION UPON DEATH OF EMPLOYEE. The term of Employee's employment under this Agreement shall automatically terminate in the event of Employee's death, in which case no severance payment shall be made.</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2.04 TERMINATION UPON DISABILITY OF EMPLOYEE. In the event Employee becomes mentally or physically disabled during the term of employment hereunder, his employment under this Agreement shall terminate as of the date such disability is established, in which case no severance payment shall be made.</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purposes of this Agreement, "disabled" means suffering from any mental or physical condition, other than the use of alcohol or illegal use of narcotics or other illicit drugs, which renders Employee unable to perform substantially all of Employee's duties and services under this Agreement in a satisfactory manner for a period of 90 consecutive days. The date that Employee's disability is established shall be the 91st day upon which such impaired condition exists.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2.05 TERMINATION BY MUTUAL AGREEMENT. The Surviving Corporation and Employee may terminate the employment relationship at any time by mutual written agreement signed by both the Surviving Corporation and Employee, in which case no severance payment shall be made unless specifically provided for in the mutual written agreement terminating the employment relationship. Also, if at any time Employee voluntarily terminates his employment with the Surviving Corporation, no severance payment shall be made to Employee.</w:t>
      </w:r>
    </w:p>
    <w:p>
      <w:pPr>
        <w:spacing w:after="0" w:line="164" w:lineRule="exact"/>
        <w:rPr>
          <w:sz w:val="20"/>
          <w:szCs w:val="20"/>
          <w:color w:val="auto"/>
        </w:rPr>
      </w:pPr>
    </w:p>
    <w:p>
      <w:pPr>
        <w:ind w:right="3339" w:firstLine="353"/>
        <w:spacing w:after="0" w:line="252" w:lineRule="auto"/>
        <w:tabs>
          <w:tab w:leader="none" w:pos="775"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WITH THE COMPANY. During the term of this Agreement, Employee agrees to perform such reasonable employment duties as the Surviving Corporation shall assign to him from time to time, which shall be reasonably consistent with executive level services. Employee shall not be obligated to relocate.</w:t>
      </w:r>
    </w:p>
    <w:p>
      <w:pPr>
        <w:spacing w:after="0" w:line="162" w:lineRule="exact"/>
        <w:rPr>
          <w:rFonts w:ascii="Courier New" w:cs="Courier New" w:eastAsia="Courier New" w:hAnsi="Courier New"/>
          <w:sz w:val="14"/>
          <w:szCs w:val="14"/>
          <w:color w:val="auto"/>
        </w:rPr>
      </w:pPr>
    </w:p>
    <w:p>
      <w:pPr>
        <w:ind w:right="3419" w:firstLine="353"/>
        <w:spacing w:after="0" w:line="251" w:lineRule="auto"/>
        <w:tabs>
          <w:tab w:leader="none" w:pos="775"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DUTIES. Employee agrees to serve the Surviving Corporation faithfully and to the best of his ability and to devote his full business time, attention, and efforts to the business and affairs of the Surviving Corporation during the term of this Agreement. Employee shall not at any time during the term of this Agreement render any services for compensation to any person or entity other than the Surviving Corporation and the Company; provided, however, that Employee may engage in business activities unrelated to the commercial landscape equipment business if such activities do not interfere with Employee's obligations to the Surviving Corporation and if substantially all of such activities are conducted outside regular working hours.</w:t>
      </w:r>
    </w:p>
    <w:p>
      <w:pPr>
        <w:spacing w:after="0" w:line="163"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EMPLOYEE BENEFITS.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5" w:right="1440" w:bottom="1440" w:gutter="0" w:footer="0" w:header="0"/>
        </w:sectPr>
      </w:pPr>
    </w:p>
    <w:bookmarkStart w:id="602" w:name="page603"/>
    <w:bookmarkEnd w:id="602"/>
    <w:p>
      <w:pPr>
        <w:ind w:left="780"/>
        <w:spacing w:after="0"/>
        <w:tabs>
          <w:tab w:leader="none" w:pos="2580" w:val="left"/>
        </w:tabs>
        <w:rPr>
          <w:sz w:val="20"/>
          <w:szCs w:val="20"/>
          <w:color w:val="auto"/>
        </w:rPr>
      </w:pPr>
      <w:r>
        <w:rPr>
          <w:rFonts w:ascii="Courier New" w:cs="Courier New" w:eastAsia="Courier New" w:hAnsi="Courier New"/>
          <w:sz w:val="14"/>
          <w:szCs w:val="14"/>
          <w:color w:val="auto"/>
        </w:rPr>
        <w:t>5.01 SIGNING BONUS.</w:t>
        <w:tab/>
        <w:t>On the Effective Date, Toro shall, or shall 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Surviving Corporation to, pay to Employee a one-time signing bonus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 (the "Signing Bonus"); provided, however, that Employee expressly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agrees to repay to the Surviving Corporation (a) an amount equal to 20% of the Signing Bonus plus (b) the amount of severance paid pursuant to Section 6 below, if any, and Toro and the Surviving Corporation shall have the right to seek recovery of such amounts, if Employee knowingly violates any of the obligations under Section 9 below. Employee expressly agrees that these repayment obligations are in addition to any other remedies to which the Surviving Corporation and/or Toro may be entitled, including but not limited to the remedies of injunctive relief and monetary damages.</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5.02 BASE SALARY. As base compensation for all services to be rendered by Employee under this Agreement during the Initial Employment Term, the Surviving Corporation shall pay to Employee the following annual base salary: (a) for the period between the date Employee commences employment with the Surviving Corporation through October 31, 1998, the Surviving Corporation will pay Employee an annual base salary of $_________, and (b) for the period</w:t>
      </w:r>
    </w:p>
    <w:p>
      <w:pPr>
        <w:spacing w:after="0" w:line="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from November 1, 1998 through October 31, 1999, the Surviving Corporation will pay Employee an annual base salary of $_________. The annual base salary shall</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 payable in substantially equal periodic installments in accordance with the Surviving Corporation's standard payroll procedures and policies. If Employee continues to be employed by the Surviving Corporation after the Initial Employment Term, his base salary shall remain unchanged unless Employee and the Surviving Corporation shall agree otherwise.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5.03 NO INCENTIVE OR PERFORMANCE BONUSES. During the Initial Employment Term, Employee will not be eligible to receive any incentive or performance bonuses of the Surviving Corporation or Toro. Following the Initial Employment Term, Employee shall be eligible to participate in such Toro incentive or other performance bonus programs to the extent that his position, title, tenure, salary and other qualifications make him eligible.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5.04 NO PARTICIPATION IN STOCK OPTION PLANS. During the Initial Employment Term, Employee will not be eligible to participate in any stock option plans of Toro. Following the Initial Employment Term, Employee and Toro agree to discuss whether Employee will be eligible to participate in any Toro stock option plans, which eligibility for participation shall be in the absolute and sole discretion of Toro.</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5.05 PARTICIPATION IN BENEFIT PLANS. Employee shall be entitled to participate in all employee benefit plans or programs of the Surviving Corporation, unless otherwise expressly prohibited herein, to the extent that his position, title, tenure, salary, age, health, and other qualifications make him eligible to participate and to the extent that such participation is not prohibited by this Agreement. The Surviving Corporation does not guarantee the adoption or continuation of any particular employee benefit plan or program</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03" w:name="page604"/>
    <w:bookmarkEnd w:id="603"/>
    <w:p>
      <w:pPr>
        <w:ind w:right="3519"/>
        <w:spacing w:after="0" w:line="252" w:lineRule="auto"/>
        <w:rPr>
          <w:sz w:val="20"/>
          <w:szCs w:val="20"/>
          <w:color w:val="auto"/>
        </w:rPr>
      </w:pPr>
      <w:r>
        <w:rPr>
          <w:rFonts w:ascii="Courier New" w:cs="Courier New" w:eastAsia="Courier New" w:hAnsi="Courier New"/>
          <w:sz w:val="14"/>
          <w:szCs w:val="14"/>
          <w:color w:val="auto"/>
        </w:rPr>
        <w:t>during the term of this Agreement, and Employee's participation in any plan or program shall be subject to the provisions, rules and regulations applicable thereto.</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5.06 VACATION. Employee shall be entitled to four weeks paid vacation per year pursuant to such general polices and procedures of the Surviving Corporation as are from time-to-time adopted by the Surviving Corporation.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5.07 EMPLOYMENT-RELATED EXPENSES. The Surviving Corporation shall pay or reimburse Employee for all reasonable and necessary out-of-pocket expenses incurred by him in the performance of his duties pursuant to this Agreement, according to the general policies and procedures of the Surviving Corporation, and subject to the timely presentment of appropriate vouchers in accordance with the Surviving Corporation's general policies and procedures for expense verification.</w:t>
      </w:r>
    </w:p>
    <w:p>
      <w:pPr>
        <w:spacing w:after="0" w:line="33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5.08 AUTOMOBILE. The Surviving Corporation shall provide Employee with an automobile for use in the performance of his duties for the Surviving Corporation and shall pay all reasonable and necessary maintenance, repair, insurance, fuel and other costs assigned with such automobile.</w:t>
      </w:r>
    </w:p>
    <w:p>
      <w:pPr>
        <w:spacing w:after="0" w:line="162" w:lineRule="exact"/>
        <w:rPr>
          <w:sz w:val="20"/>
          <w:szCs w:val="20"/>
          <w:color w:val="auto"/>
        </w:rPr>
      </w:pPr>
    </w:p>
    <w:p>
      <w:pPr>
        <w:ind w:right="3339" w:firstLine="353"/>
        <w:spacing w:after="0" w:line="250" w:lineRule="auto"/>
        <w:tabs>
          <w:tab w:leader="none" w:pos="775"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 If, at any time prior to October 31, 1999, Employee's employment with the Surviving Corporation is terminated without cause (as defined in Section 2.02 above) by the Surviving Corporation pursuant to Section 2.01 above, and provided Employee executes a comprehensive release of all claims acceptable to the Surviving Corporation, Employee shall be entitled to receive as severance pay (a) a lump-sum payment in an amount equal to the remainder of Employee's annual base salary from the date of such termination through October 31, 1999, as though Employee had remained in the employment of the Surviving Corporation, and (b) the continued payment of premiums for health insurance through October 31, 1999, as though Employee had remained in the employment of the Surviving Corporation. This severance pay shall be in lieu of any other compensation of any kind otherwise payable to Employee under this Agreement. Neither the Surviving Corporation nor Toro shall be required to continue providing benefits pursuant to Section 5.05 above, unless otherwise required to by the provisions, rules and regulations of a particular plan or by law or as expressly agreed in this Section 6. Employee shall not be entitled to severance pay if at any time prior to October 31, 1999, (a) the Surviving Corporation terminates Employee's employment for cause as defined in Section 2.02 above or (b) Employee dies, becomes disabled as defined in Section 2.04 above, or voluntarily terminates employment with the Surviving Corporation. If Employee's employment with the Surviving Corporation is terminated for any reason after October 31, 1999, Employee shall not be entitled to any severance pay or other severance related compensation of any kind.</w:t>
      </w:r>
    </w:p>
    <w:p>
      <w:pPr>
        <w:spacing w:after="0" w:line="175" w:lineRule="exact"/>
        <w:rPr>
          <w:rFonts w:ascii="Courier New" w:cs="Courier New" w:eastAsia="Courier New" w:hAnsi="Courier New"/>
          <w:sz w:val="14"/>
          <w:szCs w:val="14"/>
          <w:color w:val="auto"/>
        </w:rPr>
      </w:pPr>
    </w:p>
    <w:p>
      <w:pPr>
        <w:jc w:val="both"/>
        <w:ind w:right="3419" w:firstLine="353"/>
        <w:spacing w:after="0" w:line="252" w:lineRule="auto"/>
        <w:tabs>
          <w:tab w:leader="none" w:pos="775"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CONFIDENTIAL INFORMATION. Except with prior written permission from the Surviving Corporation and Toro or as required by his duties to the Surviving Corporation, Employee shall never disclose or use any Confidential Information</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5" w:right="1440" w:bottom="1440" w:gutter="0" w:footer="0" w:header="0"/>
        </w:sectPr>
      </w:pPr>
    </w:p>
    <w:bookmarkStart w:id="604" w:name="page605"/>
    <w:bookmarkEnd w:id="604"/>
    <w:p>
      <w:pPr>
        <w:ind w:right="3339"/>
        <w:spacing w:after="0" w:line="251" w:lineRule="auto"/>
        <w:rPr>
          <w:sz w:val="20"/>
          <w:szCs w:val="20"/>
          <w:color w:val="auto"/>
        </w:rPr>
      </w:pPr>
      <w:r>
        <w:rPr>
          <w:rFonts w:ascii="Courier New" w:cs="Courier New" w:eastAsia="Courier New" w:hAnsi="Courier New"/>
          <w:sz w:val="14"/>
          <w:szCs w:val="14"/>
          <w:color w:val="auto"/>
        </w:rPr>
        <w:t>of which Employee becomes informed during his past, present or future employment with the Surviving Corporation, whether or not developed by Employee. Employee agrees that he will hold in strictest confidence and not use for his own benefit, or the benefit of any third party, any Confidential Information at any time before or after termination of Employee's employment with the Company (whether by the Surviving Corporation, by Employee or by operation of this Agreement or law).</w:t>
      </w:r>
    </w:p>
    <w:p>
      <w:pPr>
        <w:spacing w:after="0" w:line="330" w:lineRule="exact"/>
        <w:rPr>
          <w:sz w:val="20"/>
          <w:szCs w:val="20"/>
          <w:color w:val="auto"/>
        </w:rPr>
      </w:pPr>
    </w:p>
    <w:p>
      <w:pPr>
        <w:ind w:left="780" w:hanging="427"/>
        <w:spacing w:after="0"/>
        <w:tabs>
          <w:tab w:leader="none" w:pos="780" w:val="left"/>
        </w:tabs>
        <w:numPr>
          <w:ilvl w:val="0"/>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CONFIDENTIAL INFORMATION.  Upon termination of his</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(whether by the Surviving Corporation, by Employee or by operation of this Agreement or law), Employee agrees to deliver to the Surviving Corporation all materials that include Confidential Information then in the possession of Employee or an agent of Employee. Employee agrees and understands that the Confidential Information and all information contained therein shall be at all times the property of the Company. Further, upon termination of his employment, Employee agrees to make available to any person designated by the Surviving Corporation all information concerning pending or prior transactions that may affect the operation of the Surviving Corporation or Toro about which Employee has knowledge. The obligations of Employee contained in this Section 8 are in addition to the obligations of Employee to return to the Surviving Corporation, upon the termination of his employment, all property of the Company then in his possession.</w:t>
      </w:r>
    </w:p>
    <w:p>
      <w:pPr>
        <w:spacing w:after="0" w:line="328"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AND NON-SOLICITATION. The execution of this Agreement is an express condition precedent of Toro to the acquisition of Exmark through the Merger, and the parties mutually agree that Employee is receiving substantial consideration through the payment of the Signing Bonus for, among other things, the covenants of Employee set forth in this Section 9. Further, it is mutually acknowledged that, by virtue of Employee's employment with the Surviving Corporation, the Company will divulge or make accessible to Employee, and Employee will become possessed of, certain Confidential Information concerning the Company's business. Without limitation, it is also specifically acknowledged that great trust on the part of the Company will reside in Employee because Employee's duties will include involvement in the management, promotion, and development of the Company's business. Accordingly, the parties deem it necessary to enter into the protective agreements set forth below, the terms and conditions of which have been negotiated by and between the parties hereto:</w:t>
      </w:r>
    </w:p>
    <w:p>
      <w:pPr>
        <w:spacing w:after="0" w:line="162" w:lineRule="exact"/>
        <w:rPr>
          <w:rFonts w:ascii="Courier New" w:cs="Courier New" w:eastAsia="Courier New" w:hAnsi="Courier New"/>
          <w:sz w:val="14"/>
          <w:szCs w:val="14"/>
          <w:color w:val="auto"/>
        </w:rPr>
      </w:pPr>
    </w:p>
    <w:p>
      <w:pPr>
        <w:ind w:left="360" w:right="3419" w:firstLine="424"/>
        <w:spacing w:after="0" w:line="251" w:lineRule="auto"/>
        <w:tabs>
          <w:tab w:leader="none" w:pos="1221" w:val="left"/>
        </w:tabs>
        <w:numPr>
          <w:ilvl w:val="1"/>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understands and agrees that Exmark has devoted and the Surviving Corporation and Toro will continue to devote a great effort in building an effective organization with the reputation of honesty, reliability, dependability, and quality in its Products by utilizing unique and effective management, sales, service, marketing, finance, and other corporate techniques. Employee further understands and agrees that the Company has gained a unique reputation in its industry by developing, marketing, licensing, leasing, and selling only high-quality Products, and for its ability to develop, market, sell, license, lease, and service these Products to the greatest extent possible. Employee further understands and agrees that this reputation is a major factor in developing and acquiring high-quality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5" w:right="1440" w:bottom="1440" w:gutter="0" w:footer="0" w:header="0"/>
        </w:sectPr>
      </w:pPr>
    </w:p>
    <w:bookmarkStart w:id="605" w:name="page606"/>
    <w:bookmarkEnd w:id="605"/>
    <w:p>
      <w:pPr>
        <w:jc w:val="both"/>
        <w:ind w:right="3679"/>
        <w:spacing w:after="0" w:line="252" w:lineRule="auto"/>
        <w:rPr>
          <w:sz w:val="20"/>
          <w:szCs w:val="20"/>
          <w:color w:val="auto"/>
        </w:rPr>
      </w:pPr>
      <w:r>
        <w:rPr>
          <w:rFonts w:ascii="Courier New" w:cs="Courier New" w:eastAsia="Courier New" w:hAnsi="Courier New"/>
          <w:sz w:val="14"/>
          <w:szCs w:val="14"/>
          <w:color w:val="auto"/>
        </w:rPr>
        <w:t>Products and bringing about the sales of such Products, and accounts for the continued success of the Company in the technologically complex and competitive business in which the Company engages.</w:t>
      </w:r>
    </w:p>
    <w:p>
      <w:pPr>
        <w:spacing w:after="0" w:line="163" w:lineRule="exact"/>
        <w:rPr>
          <w:sz w:val="20"/>
          <w:szCs w:val="20"/>
          <w:color w:val="auto"/>
        </w:rPr>
      </w:pPr>
    </w:p>
    <w:p>
      <w:pPr>
        <w:ind w:right="3419" w:firstLine="424"/>
        <w:spacing w:after="0" w:line="250" w:lineRule="auto"/>
        <w:tabs>
          <w:tab w:leader="none" w:pos="861"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understands and agrees that he will necessarily become privy to relationships with Customers and employees of the Company, names and lists of Customers, confidential plans and structures, lists and specifications of Products, and other Confidential Information. Employee also understands and agrees that, to the extent he is directly or indirectly involved in the marketing or sales aspect of the LCG Group's business, he will necessarily establish a unique and strong personal and professional relationship with certain of the LCG Group's Customers during the term of this Agreement. Furthermore, Employee understands and agrees that such information, as well as information obtained as to Customers' methods of doing business, specifications of Customers' product requirements, the time, places and other details of when, where, and how to contact and best serve the Customers, the Customers' prior, present and future product usage, the Customers' general "school" of thought as to the product, the Customers' biases and prejudices as to various products, information as to other employees or third parties who influence Customers' decisions, and the extensive and frequent contact with Customers in the personal relationship acquired with Customers, all constitute legitimate and protectable business interests of the Company. This information is now and, even if such information is enhanced by Employee, will continue to be extremely proprietary and confidential and thereby the exclusive property of the Company.</w:t>
      </w:r>
    </w:p>
    <w:p>
      <w:pPr>
        <w:spacing w:after="0" w:line="175" w:lineRule="exact"/>
        <w:rPr>
          <w:rFonts w:ascii="Courier New" w:cs="Courier New" w:eastAsia="Courier New" w:hAnsi="Courier New"/>
          <w:sz w:val="14"/>
          <w:szCs w:val="14"/>
          <w:color w:val="auto"/>
        </w:rPr>
      </w:pPr>
    </w:p>
    <w:p>
      <w:pPr>
        <w:ind w:right="3419" w:firstLine="424"/>
        <w:spacing w:after="0" w:line="250" w:lineRule="auto"/>
        <w:tabs>
          <w:tab w:leader="none" w:pos="861"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agrees that any inventions, discoveries, information, ideas, or other Confidential Information in whole or part conceived, developed, or made by Employee (at any time prior to or after the date of this Agreement) through the use of Confidential Information or any of the Company's equipment, facilities, trade secrets or time, or which resulted or will result from any work performed by any employee of the Company, belongs and shall belong exclusively to the Surviving Corporation, are, and shall be deemed part of the Confidential Information for purposes of this Agreement, and have been, or shall be disclosed to and assigned only to the Surviving Corporation. Employee shall assist the Surviving Corporation in filing any related patent applications or copyright registrations. Notwithstanding the above, Employee shall retain all rights to any invention developed by Employee for which no equipment, supplies, facilities, or trade secret information of the Company was used and which was developed entirely on Employee's own time unless: (i) the invention relates directly to the business of the LCG Group or to the LCG Group's actual or demonstrably anticipated research or development; or (ii) the invention results from any work performed by Employee for the Company.</w:t>
      </w:r>
    </w:p>
    <w:p>
      <w:pPr>
        <w:spacing w:after="0" w:line="173"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acknowledges and agrees that the Company has a</w:t>
      </w:r>
    </w:p>
    <w:p>
      <w:pPr>
        <w:spacing w:after="0" w:line="7"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legitimate protectable interest in the assets, Confidential Information and trade</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79"/>
          </w:cols>
          <w:pgMar w:left="580" w:top="615" w:right="1440" w:bottom="1440" w:gutter="0" w:footer="0" w:header="0"/>
        </w:sectPr>
      </w:pPr>
    </w:p>
    <w:bookmarkStart w:id="606" w:name="page607"/>
    <w:bookmarkEnd w:id="606"/>
    <w:p>
      <w:pPr>
        <w:ind w:right="3419"/>
        <w:spacing w:after="0" w:line="251" w:lineRule="auto"/>
        <w:rPr>
          <w:sz w:val="20"/>
          <w:szCs w:val="20"/>
          <w:color w:val="auto"/>
        </w:rPr>
      </w:pPr>
      <w:r>
        <w:rPr>
          <w:rFonts w:ascii="Courier New" w:cs="Courier New" w:eastAsia="Courier New" w:hAnsi="Courier New"/>
          <w:sz w:val="14"/>
          <w:szCs w:val="14"/>
          <w:color w:val="auto"/>
        </w:rPr>
        <w:t>secrets which will necessarily be imparted to Employee during the term of his employment by the Surviving Corporation, together with a legitimate business interest and right to prohibit the Surviving Corporation's former employees from soliciting Customers or other employees of the Company after termination of Employee's relationship with the Surviving Corporation.</w:t>
      </w:r>
    </w:p>
    <w:p>
      <w:pPr>
        <w:spacing w:after="0" w:line="165" w:lineRule="exact"/>
        <w:rPr>
          <w:sz w:val="20"/>
          <w:szCs w:val="20"/>
          <w:color w:val="auto"/>
        </w:rPr>
      </w:pPr>
    </w:p>
    <w:p>
      <w:pPr>
        <w:ind w:right="3519" w:firstLine="424"/>
        <w:spacing w:after="0" w:line="251" w:lineRule="auto"/>
        <w:tabs>
          <w:tab w:leader="none" w:pos="861"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acknowledges and agrees that the restrictions, limitations, and covenants made by Employee herein, including the non-compete and non-solicitation agreements contained in this Section 9, are reasonable and valid and should be strictly enforced and upheld by any court of competent jurisdiction.</w:t>
      </w:r>
    </w:p>
    <w:p>
      <w:pPr>
        <w:spacing w:after="0" w:line="164" w:lineRule="exact"/>
        <w:rPr>
          <w:rFonts w:ascii="Courier New" w:cs="Courier New" w:eastAsia="Courier New" w:hAnsi="Courier New"/>
          <w:sz w:val="14"/>
          <w:szCs w:val="14"/>
          <w:color w:val="auto"/>
        </w:rPr>
      </w:pPr>
    </w:p>
    <w:p>
      <w:pPr>
        <w:ind w:right="3519" w:firstLine="424"/>
        <w:spacing w:after="0" w:line="252" w:lineRule="auto"/>
        <w:tabs>
          <w:tab w:leader="none" w:pos="861"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further understands and agrees that all present Customers and all future Customers called upon by Employee during the term of his employment by the Surviving Corporation are the exclusive Customers of the Company and not those of Employee.</w:t>
      </w:r>
    </w:p>
    <w:p>
      <w:pPr>
        <w:spacing w:after="0" w:line="162" w:lineRule="exact"/>
        <w:rPr>
          <w:rFonts w:ascii="Courier New" w:cs="Courier New" w:eastAsia="Courier New" w:hAnsi="Courier New"/>
          <w:sz w:val="14"/>
          <w:szCs w:val="14"/>
          <w:color w:val="auto"/>
        </w:rPr>
      </w:pPr>
    </w:p>
    <w:p>
      <w:pPr>
        <w:ind w:right="3419" w:firstLine="424"/>
        <w:spacing w:after="0" w:line="251" w:lineRule="auto"/>
        <w:tabs>
          <w:tab w:leader="none" w:pos="861"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therefore, agrees that, during the period Employee is employed by the Surviving Corporation or associated with the Surviving Corporation or Toro and for a period of 18 months after the effective date of termination of Employee's employment (whether by the Surviving Corporation, by Employee or by operation of this Agreement or law) or Employee's association with the Surviving Corporation or Toro, whichever is later, he will not directly or indirectly, either for his own account or for the benefit of any person, firm or corporation, engage in the development, marketing, sale, service or distribution of Products of the LCG Group, of any other product or service substantially similar to such Products or that perform substantially similar functions as such Products, or of any otherwise competitive products or services, provided, however, that products and services relating to the residential consumer landscape equipment business shall not be covered by this Section 9(g).</w:t>
      </w:r>
    </w:p>
    <w:p>
      <w:pPr>
        <w:spacing w:after="0" w:line="162" w:lineRule="exact"/>
        <w:rPr>
          <w:rFonts w:ascii="Courier New" w:cs="Courier New" w:eastAsia="Courier New" w:hAnsi="Courier New"/>
          <w:sz w:val="14"/>
          <w:szCs w:val="14"/>
          <w:color w:val="auto"/>
        </w:rPr>
      </w:pPr>
    </w:p>
    <w:p>
      <w:pPr>
        <w:ind w:right="3419" w:firstLine="424"/>
        <w:spacing w:after="0" w:line="251" w:lineRule="auto"/>
        <w:tabs>
          <w:tab w:leader="none" w:pos="861"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agrees that during the period Employee is employed by the Surviving Corporation or associated with the Surviving Corporation or Toro and for a period of 18 months after the effective date of termination of Employee's employment (whether by the Surviving Corporation, by Employee or by operation of this Agreement or law) or Employee's association with the Surviving Corporation or Toro, whichever is later, Employee shall not enter into substantive discussions regarding or accept any relationship or position as a sales or marketing representative, consultant, direct manager, officer, executive, or other employee or representative with any person, firm, corporation, association, partnership or entity which, during the term of Employee's employment by the Surviving Corporation or association with the Surviving Corporation or Toro or for a period of 18 months thereafter, was or is engaged in any business that is in competition with the commercial landscape equipment business of the LCG Group.</w:t>
      </w:r>
    </w:p>
    <w:p>
      <w:pPr>
        <w:spacing w:after="0" w:line="32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879"/>
          </w:cols>
          <w:pgMar w:left="580" w:top="616" w:right="1440" w:bottom="1440" w:gutter="0" w:footer="0" w:header="0"/>
        </w:sectPr>
      </w:pPr>
    </w:p>
    <w:bookmarkStart w:id="607" w:name="page608"/>
    <w:bookmarkEnd w:id="607"/>
    <w:p>
      <w:pPr>
        <w:ind w:left="7" w:right="3419" w:firstLine="424"/>
        <w:spacing w:after="0" w:line="251" w:lineRule="auto"/>
        <w:tabs>
          <w:tab w:leader="none" w:pos="869" w:val="left"/>
        </w:tabs>
        <w:numPr>
          <w:ilvl w:val="1"/>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Employee's employment by the Surviving Corporation or association with the Surviving Corporation or Toro and for a period of 18 months after the effective date of termination of Employee's employment (whether by the Surviving Corporation, by Employee or by operation of this Agreement or law) or Employee's association with the Surviving Corporation or Toro, whichever is later, Employee shall not directly or indirectly own or be a shareholder of, member of, partner of, or otherwise participate in any company engaged in any business that is in competition with the commercial landscape equipment business of the LCG Group. Notwithstanding the above, Employee may hold or be the beneficial owner of up to a one percent (1%) interest in any publicly held or traded company and shall have an unlimited right to invest in any mutual fund which is publicly traded or managed by a financial institution.</w:t>
      </w:r>
    </w:p>
    <w:p>
      <w:pPr>
        <w:spacing w:after="0" w:line="162" w:lineRule="exact"/>
        <w:rPr>
          <w:rFonts w:ascii="Courier New" w:cs="Courier New" w:eastAsia="Courier New" w:hAnsi="Courier New"/>
          <w:sz w:val="14"/>
          <w:szCs w:val="14"/>
          <w:color w:val="auto"/>
        </w:rPr>
      </w:pPr>
    </w:p>
    <w:p>
      <w:pPr>
        <w:ind w:left="7" w:right="3519" w:firstLine="424"/>
        <w:spacing w:after="0" w:line="251" w:lineRule="auto"/>
        <w:tabs>
          <w:tab w:leader="none" w:pos="869" w:val="left"/>
        </w:tabs>
        <w:numPr>
          <w:ilvl w:val="1"/>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Employee's employment by the Surviving Corporation or association with the Surviving Corporation or Toro and for a period of 18 months after the effective date of termination of Employee's employment (whether by the Surviving Corporation, by Employee or by operation of this Agreement or law) or Employee's association with the Surviving Corporation or Toro, whichever is later, Employee agrees to refrain from directly or indirectly soliciting or enticing, on his own behalf or in the service of or on behalf of others, either (i) the Company's employees or independent agents so as to induce them to leave their employment or relationship with the Company, or (ii) any current or former Customers of the Company so as to induce them to use any company other than the Company.</w:t>
      </w:r>
    </w:p>
    <w:p>
      <w:pPr>
        <w:spacing w:after="0" w:line="163" w:lineRule="exact"/>
        <w:rPr>
          <w:rFonts w:ascii="Courier New" w:cs="Courier New" w:eastAsia="Courier New" w:hAnsi="Courier New"/>
          <w:sz w:val="14"/>
          <w:szCs w:val="14"/>
          <w:color w:val="auto"/>
        </w:rPr>
      </w:pPr>
    </w:p>
    <w:p>
      <w:pPr>
        <w:ind w:left="7" w:right="3419" w:firstLine="424"/>
        <w:spacing w:after="0" w:line="251" w:lineRule="auto"/>
        <w:tabs>
          <w:tab w:leader="none" w:pos="869" w:val="left"/>
        </w:tabs>
        <w:numPr>
          <w:ilvl w:val="1"/>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18 months after the effective date of termination of Employee's employment (whether by the Surviving Corporation, by Employee or by operation of this Agreement or law) or Employee's association with the Surviving Corporation or Toro, whichever is later, Employee shall inform any prospective new employer or associate prior to accepting any employment or any business relationship of the existence of this Agreement and provide them with a copy of this Agreement (with compensation information redacted, if desired).</w:t>
      </w:r>
    </w:p>
    <w:p>
      <w:pPr>
        <w:spacing w:after="0" w:line="163" w:lineRule="exact"/>
        <w:rPr>
          <w:rFonts w:ascii="Courier New" w:cs="Courier New" w:eastAsia="Courier New" w:hAnsi="Courier New"/>
          <w:sz w:val="14"/>
          <w:szCs w:val="14"/>
          <w:color w:val="auto"/>
        </w:rPr>
      </w:pPr>
    </w:p>
    <w:p>
      <w:pPr>
        <w:ind w:left="7" w:right="3519" w:firstLine="424"/>
        <w:spacing w:after="0" w:line="251" w:lineRule="auto"/>
        <w:tabs>
          <w:tab w:leader="none" w:pos="869" w:val="left"/>
        </w:tabs>
        <w:numPr>
          <w:ilvl w:val="1"/>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understands and agrees that the restrictions and covenants in this Section 9 will not prohibit Employee from pursuing his career upon termination of this Agreement. Further, Employee acknowledges that his career skills and livelihood are not limited to the markets or industry served by the LCG Group and that, upon termination, he could obtain employment in industries within or outside of the industry in which the LCG Group is engaged.</w:t>
      </w:r>
    </w:p>
    <w:p>
      <w:pPr>
        <w:spacing w:after="0" w:line="164" w:lineRule="exact"/>
        <w:rPr>
          <w:rFonts w:ascii="Courier New" w:cs="Courier New" w:eastAsia="Courier New" w:hAnsi="Courier New"/>
          <w:sz w:val="14"/>
          <w:szCs w:val="14"/>
          <w:color w:val="auto"/>
        </w:rPr>
      </w:pPr>
    </w:p>
    <w:p>
      <w:pPr>
        <w:ind w:left="-353" w:right="3519" w:firstLine="353"/>
        <w:spacing w:after="0" w:line="251" w:lineRule="auto"/>
        <w:tabs>
          <w:tab w:leader="none" w:pos="422"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ENFORCEMENT. Employee understands and agrees that a breach by him of any provisions of this Agreement may cause the Surviving Corporation or Toro irreparable injury and damage that cannot be compensated by receipt of money damages. Employee, therefore, expressly agrees that the Surviving Corporation and Toro shall be</w:t>
      </w:r>
    </w:p>
    <w:p>
      <w:pPr>
        <w:spacing w:after="0" w:line="330"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886"/>
          </w:cols>
          <w:pgMar w:left="573" w:top="615" w:right="1440" w:bottom="1440" w:gutter="0" w:footer="0" w:header="0"/>
        </w:sectPr>
      </w:pPr>
    </w:p>
    <w:bookmarkStart w:id="608" w:name="page609"/>
    <w:bookmarkEnd w:id="608"/>
    <w:p>
      <w:pPr>
        <w:ind w:right="3419"/>
        <w:spacing w:after="0" w:line="252" w:lineRule="auto"/>
        <w:rPr>
          <w:sz w:val="20"/>
          <w:szCs w:val="20"/>
          <w:color w:val="auto"/>
        </w:rPr>
      </w:pPr>
      <w:r>
        <w:rPr>
          <w:rFonts w:ascii="Courier New" w:cs="Courier New" w:eastAsia="Courier New" w:hAnsi="Courier New"/>
          <w:sz w:val="14"/>
          <w:szCs w:val="14"/>
          <w:color w:val="auto"/>
        </w:rPr>
        <w:t>entitled, in addition to any other remedies legally available, to injunctive and/or other equitable relief to prevent a breach of this Agreement or any part hereof.</w:t>
      </w:r>
    </w:p>
    <w:p>
      <w:pPr>
        <w:spacing w:after="0" w:line="163" w:lineRule="exact"/>
        <w:rPr>
          <w:sz w:val="20"/>
          <w:szCs w:val="20"/>
          <w:color w:val="auto"/>
        </w:rPr>
      </w:pPr>
    </w:p>
    <w:p>
      <w:pPr>
        <w:ind w:right="3419" w:firstLine="353"/>
        <w:spacing w:after="0" w:line="251" w:lineRule="auto"/>
        <w:tabs>
          <w:tab w:leader="none" w:pos="775"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RECOVERY OF ATTORNEY FEES. Except as provided for in Section 18 below concerning matters submitted to arbitration, the losing party agrees to pay all reasonable attorneys' fees and court costs that may be incurred by the prevailing party in enforcing this Agreement and any of the covenants of this Agreement, together with attorneys' fees and costs for the collection of any judgments in its favor arising out of this Agreement.</w:t>
      </w:r>
    </w:p>
    <w:p>
      <w:pPr>
        <w:spacing w:after="0" w:line="164" w:lineRule="exact"/>
        <w:rPr>
          <w:rFonts w:ascii="Courier New" w:cs="Courier New" w:eastAsia="Courier New" w:hAnsi="Courier New"/>
          <w:sz w:val="14"/>
          <w:szCs w:val="14"/>
          <w:color w:val="auto"/>
        </w:rPr>
      </w:pPr>
    </w:p>
    <w:p>
      <w:pPr>
        <w:ind w:right="3519" w:firstLine="353"/>
        <w:spacing w:after="0" w:line="251" w:lineRule="auto"/>
        <w:tabs>
          <w:tab w:leader="none" w:pos="775"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ASSIGNMENTS. This Agreement shall be binding upon and inure to the benefit of Exmark, the Surviving Corporation and Toro and their successors and assigns. Employee expressly acknowledges and agrees to any assignment of this Agreement resulting from the Merger by operation of law or otherwise and the Surviving Corporation shall for all purposes herein be deemed to be Exmark's successor in interest with all of the rights that Exmark held under this Agreement or otherwise prior to the Merger. Employee may not assign this Agreement or any rights hereunder. Any purported or attempted assignment or transfer by Employee of this Agreement or any of Employee's duties, responsibilities, or obligations hereunder shall be void.</w:t>
      </w:r>
    </w:p>
    <w:p>
      <w:pPr>
        <w:spacing w:after="0" w:line="163" w:lineRule="exact"/>
        <w:rPr>
          <w:rFonts w:ascii="Courier New" w:cs="Courier New" w:eastAsia="Courier New" w:hAnsi="Courier New"/>
          <w:sz w:val="14"/>
          <w:szCs w:val="14"/>
          <w:color w:val="auto"/>
        </w:rPr>
      </w:pPr>
    </w:p>
    <w:p>
      <w:pPr>
        <w:ind w:right="3339" w:firstLine="353"/>
        <w:spacing w:after="0" w:line="252" w:lineRule="auto"/>
        <w:tabs>
          <w:tab w:leader="none" w:pos="775"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and other communications under this Agreement shall be in writing, and shall be deemed to have been duly given on the date of service if personally served on the party to whom notice is to be given, or on the third day after mailing if mailed to the party to whom notice is given, by first class mail, postage prepaid, and properly addressed as follows:</w:t>
      </w:r>
    </w:p>
    <w:p>
      <w:pPr>
        <w:sectPr>
          <w:pgSz w:w="11900" w:h="16838" w:orient="portrait"/>
          <w:cols w:equalWidth="0" w:num="1">
            <w:col w:w="10239"/>
          </w:cols>
          <w:pgMar w:left="220" w:top="616" w:right="1440" w:bottom="1440" w:gutter="0" w:footer="0" w:header="0"/>
        </w:sectPr>
      </w:pPr>
    </w:p>
    <w:p>
      <w:pPr>
        <w:spacing w:after="0" w:line="32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 THE COMPANY AT: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Bloomington, MN 55420-1196</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General Counsel</w:t>
      </w:r>
    </w:p>
    <w:p>
      <w:pPr>
        <w:spacing w:after="0" w:line="173" w:lineRule="exact"/>
        <w:rPr>
          <w:sz w:val="20"/>
          <w:szCs w:val="20"/>
          <w:color w:val="auto"/>
        </w:rPr>
      </w:pPr>
    </w:p>
    <w:p>
      <w:pPr>
        <w:sectPr>
          <w:pgSz w:w="11900" w:h="16838" w:orient="portrait"/>
          <w:cols w:equalWidth="0" w:num="2">
            <w:col w:w="2640" w:space="720"/>
            <w:col w:w="687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TO EMPLOYEE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173" w:lineRule="exact"/>
        <w:rPr>
          <w:sz w:val="20"/>
          <w:szCs w:val="20"/>
          <w:color w:val="auto"/>
        </w:rPr>
      </w:pPr>
    </w:p>
    <w:p>
      <w:pPr>
        <w:sectPr>
          <w:pgSz w:w="11900" w:h="16838" w:orient="portrait"/>
          <w:cols w:equalWidth="0" w:num="2">
            <w:col w:w="2640" w:space="720"/>
            <w:col w:w="6879"/>
          </w:cols>
          <w:pgMar w:left="220" w:top="616" w:right="1440" w:bottom="1440" w:gutter="0" w:footer="0" w:header="0"/>
          <w:type w:val="continuous"/>
        </w:sectPr>
      </w:pPr>
    </w:p>
    <w:p>
      <w:pPr>
        <w:jc w:val="both"/>
        <w:ind w:right="3859" w:firstLine="344"/>
        <w:spacing w:after="0" w:line="252" w:lineRule="auto"/>
        <w:rPr>
          <w:sz w:val="20"/>
          <w:szCs w:val="20"/>
          <w:color w:val="auto"/>
        </w:rPr>
      </w:pPr>
      <w:r>
        <w:rPr>
          <w:rFonts w:ascii="Courier New" w:cs="Courier New" w:eastAsia="Courier New" w:hAnsi="Courier New"/>
          <w:sz w:val="14"/>
          <w:szCs w:val="14"/>
          <w:color w:val="auto"/>
        </w:rPr>
        <w:t>Any party may change the address for the purpose of this Section 13 by giving the other written notice of the new address in the manner set forth above.</w:t>
      </w:r>
    </w:p>
    <w:p>
      <w:pPr>
        <w:spacing w:after="0" w:line="163" w:lineRule="exact"/>
        <w:rPr>
          <w:sz w:val="20"/>
          <w:szCs w:val="20"/>
          <w:color w:val="auto"/>
        </w:rPr>
      </w:pPr>
    </w:p>
    <w:p>
      <w:pPr>
        <w:ind w:left="780" w:hanging="427"/>
        <w:spacing w:after="0"/>
        <w:tabs>
          <w:tab w:leader="none" w:pos="780"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AND SEVERABILITY.  The validity, interpretation,</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and enforcement of this Agreement shall be governed by the laws of the State of Minnesota. In any dispute not arbitrable under Section 18, Employee agrees to submit to the personal jurisdiction of the federal and state courts located in Minnesota, and both parties agree to commence any lawsuit related to such non-arbitrable dispute in the federal or state courts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type w:val="continuous"/>
        </w:sectPr>
      </w:pPr>
    </w:p>
    <w:bookmarkStart w:id="609" w:name="page610"/>
    <w:bookmarkEnd w:id="609"/>
    <w:p>
      <w:pPr>
        <w:ind w:right="3339"/>
        <w:spacing w:after="0" w:line="250" w:lineRule="auto"/>
        <w:rPr>
          <w:sz w:val="20"/>
          <w:szCs w:val="20"/>
          <w:color w:val="auto"/>
        </w:rPr>
      </w:pPr>
      <w:r>
        <w:rPr>
          <w:rFonts w:ascii="Courier New" w:cs="Courier New" w:eastAsia="Courier New" w:hAnsi="Courier New"/>
          <w:sz w:val="14"/>
          <w:szCs w:val="14"/>
          <w:color w:val="auto"/>
        </w:rPr>
        <w:t>located in Minnesota. To the extent that any provision of this Agreement shall be determined to be invalid or unenforceable, the invalid or unenforceable portion of such provision shall be deleted from this Agreement, and the validity and enforceability of the remainder of such provision and of this Agreement shall be unaffected. In furtherance and not in limitation of the foregoing, it is expressly agreed that, should the duration of, or geographical extent of, or business activities covered by, the non-competition and non-solicitation covenants contained in Section 9 above be determined to be in excess of that which is valid or enforceable under applicable law, then such provision shall be construed to cover only that duration, or extent, or those activities that may validly or enforceably be covered. Employee acknowledges the uncertainty of the law in this respect and expressly stipulates that this Agreement shall be construed in a manner which renders its provisions valid and enforceable to the maximum extent (not exceeding its express terms) possible under applicable law. Any provision of this Agreement that is found by a court of competent jurisdiction to be prohibited or unenforceable in any jurisdiction shall, as to such jurisdiction, be ineffective only the extent of such prohibition or unenforceability without invalidating the remaining terms hereof or affecting the validity or enforceability of such provisions in any other jurisdiction.</w:t>
      </w:r>
    </w:p>
    <w:p>
      <w:pPr>
        <w:spacing w:after="0" w:line="174" w:lineRule="exact"/>
        <w:rPr>
          <w:sz w:val="20"/>
          <w:szCs w:val="20"/>
          <w:color w:val="auto"/>
        </w:rPr>
      </w:pPr>
    </w:p>
    <w:p>
      <w:pPr>
        <w:ind w:right="3339" w:firstLine="353"/>
        <w:spacing w:after="0" w:line="251" w:lineRule="auto"/>
        <w:tabs>
          <w:tab w:leader="none" w:pos="775"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Agreement between the Surviving Corporation and Employee with respect to his employment by the Surviving Corporation, and there are no undertakings, covenants, or commitments other than as set forth herein. This Agreement may not be altered or amended, except by a writing executed by the party against whom such alteration or amendment is to be enforced. This Agreement supersedes any and all prior understandings or agreements between the parties.</w:t>
      </w:r>
    </w:p>
    <w:p>
      <w:pPr>
        <w:spacing w:after="0" w:line="164" w:lineRule="exact"/>
        <w:rPr>
          <w:rFonts w:ascii="Courier New" w:cs="Courier New" w:eastAsia="Courier New" w:hAnsi="Courier New"/>
          <w:sz w:val="14"/>
          <w:szCs w:val="14"/>
          <w:color w:val="auto"/>
        </w:rPr>
      </w:pPr>
    </w:p>
    <w:p>
      <w:pPr>
        <w:ind w:right="3519" w:firstLine="353"/>
        <w:spacing w:after="0" w:line="251" w:lineRule="auto"/>
        <w:tabs>
          <w:tab w:leader="none" w:pos="775"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The parties expressly acknowledge and agree that the provisions of this Agreement which, by their express or implied terms, extend beyond the expiration of this Agreement or the termination of Employee's employment hereunder, shall continue in full force and effect, notwithstanding the expiration of this Agreement or the termination of Employee's employment hereunder.</w:t>
      </w:r>
    </w:p>
    <w:p>
      <w:pPr>
        <w:spacing w:after="0" w:line="164"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 No failure on the part of either party to exercise, and no delay in exercising, any right or remedy hereunder shall operate as a waiver thereof; nor shall any single or partial exercise of any right or remedy hereunder preclude any other or further exercise thereof, or the exercise of any other right or remedy granted hereby or by any related document or law.</w:t>
      </w:r>
    </w:p>
    <w:p>
      <w:pPr>
        <w:spacing w:after="0" w:line="164"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OF DISPUTES. Except with respect to rights enforceable by means of injunctive relief or specific performance from a court of competent jurisdiction, including but not limited to the Company's right to recover the Signing Bonus or its right to enforce Employee's obligations under Sections 7, 8 and 9 above, if a dispute arises out of or relates to this Agreement, or the performance or breach thereof, the parties agree to resolve the controversy or claim arising out of or relating to this Agreement, or the performance or</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5" w:right="1440" w:bottom="1440" w:gutter="0" w:footer="0" w:header="0"/>
        </w:sectPr>
      </w:pPr>
    </w:p>
    <w:bookmarkStart w:id="610" w:name="page611"/>
    <w:bookmarkEnd w:id="610"/>
    <w:p>
      <w:pPr>
        <w:ind w:right="3419"/>
        <w:spacing w:after="0" w:line="251" w:lineRule="auto"/>
        <w:rPr>
          <w:sz w:val="20"/>
          <w:szCs w:val="20"/>
          <w:color w:val="auto"/>
        </w:rPr>
      </w:pPr>
      <w:r>
        <w:rPr>
          <w:rFonts w:ascii="Courier New" w:cs="Courier New" w:eastAsia="Courier New" w:hAnsi="Courier New"/>
          <w:sz w:val="14"/>
          <w:szCs w:val="14"/>
          <w:color w:val="auto"/>
        </w:rPr>
        <w:t>breach thereof, through binding arbitration by a single arbitrator pursuant to the Rules of the American Arbitration Association. The arbitration shall be conducted in Minneapolis, Minnesota, and the arbitrator shall apply the laws of the State of Minnesota. Any award rendered shall be final and conclusive upon the parties and a judgment thereon may be entered in any court of competent jurisdiction. All costs and expense, including reasonable attorney's fees, of all parties incurred in any dispute which is determined by arbitration pursuant to this Section 18 shall be borne by the party determined to be liable in respect of such dispute; provided, however, that if complete liability is not assessed against only one party, the parties shall share the total costs in proportion to their respective amounts of liability so determined. Employee agrees to continue performing his obligations under Sections 7, 8 and 9 above while the dispute is being resolved.</w:t>
      </w:r>
    </w:p>
    <w:p>
      <w:pPr>
        <w:spacing w:after="0" w:line="163" w:lineRule="exact"/>
        <w:rPr>
          <w:sz w:val="20"/>
          <w:szCs w:val="20"/>
          <w:color w:val="auto"/>
        </w:rPr>
      </w:pPr>
    </w:p>
    <w:p>
      <w:pPr>
        <w:ind w:right="3419" w:firstLine="353"/>
        <w:spacing w:after="0" w:line="252" w:lineRule="auto"/>
        <w:tabs>
          <w:tab w:leader="none" w:pos="775"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withhold from any benefits payable under this Agreement all federal, state, city or other taxes as shall be required pursuant to any law or governmental regulation or ruling.</w:t>
      </w:r>
    </w:p>
    <w:p>
      <w:pPr>
        <w:spacing w:after="0" w:line="162" w:lineRule="exact"/>
        <w:rPr>
          <w:rFonts w:ascii="Courier New" w:cs="Courier New" w:eastAsia="Courier New" w:hAnsi="Courier New"/>
          <w:sz w:val="14"/>
          <w:szCs w:val="14"/>
          <w:color w:val="auto"/>
        </w:rPr>
      </w:pPr>
    </w:p>
    <w:p>
      <w:pPr>
        <w:ind w:right="3419" w:firstLine="353"/>
        <w:spacing w:after="0" w:line="253" w:lineRule="auto"/>
        <w:tabs>
          <w:tab w:leader="none" w:pos="775"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 AND HEADINGS. The captions and section headings used in this Agreement are for convenience of reference only and shall not affect the construction or interpretation of this Agreement or any of the provisions hereof.</w:t>
      </w:r>
    </w:p>
    <w:p>
      <w:pPr>
        <w:spacing w:after="0" w:line="327"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IN WITNESS WHEREOF, the undersigned have caused this Agreement to be executed in Minneapolis, Minnesota, as of the day and year first above written.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EXMARK MANUFACTURING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INCORPORATED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________________________</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Its ______________________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________________________</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Its 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[EMPLOYEE]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611" w:name="page612"/>
    <w:bookmarkEnd w:id="611"/>
    <w:p>
      <w:pPr>
        <w:jc w:val="right"/>
        <w:ind w:right="3339"/>
        <w:spacing w:after="0"/>
        <w:rPr>
          <w:sz w:val="20"/>
          <w:szCs w:val="20"/>
          <w:color w:val="auto"/>
        </w:rPr>
      </w:pPr>
      <w:r>
        <w:rPr>
          <w:rFonts w:ascii="Courier New" w:cs="Courier New" w:eastAsia="Courier New" w:hAnsi="Courier New"/>
          <w:sz w:val="14"/>
          <w:szCs w:val="14"/>
          <w:color w:val="auto"/>
        </w:rPr>
        <w:t>EXHIBIT 10.4</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EMPLOYEE AGREEMENT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a condition of the undersigned's commencement of employment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Company, its subsidiary or affiliate (hereafter referred to collectively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the undersigned (hereinafter referred to as "Employee"), agrees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follows:</w:t>
      </w:r>
    </w:p>
    <w:p>
      <w:pPr>
        <w:sectPr>
          <w:pgSz w:w="11900" w:h="16838" w:orient="portrait"/>
          <w:cols w:equalWidth="0" w:num="1">
            <w:col w:w="10239"/>
          </w:cols>
          <w:pgMar w:left="220" w:top="472"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and address of Employee: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173" w:lineRule="exact"/>
        <w:rPr>
          <w:sz w:val="20"/>
          <w:szCs w:val="20"/>
          <w:color w:val="auto"/>
        </w:rPr>
      </w:pPr>
    </w:p>
    <w:p>
      <w:pPr>
        <w:sectPr>
          <w:pgSz w:w="11900" w:h="16838" w:orient="portrait"/>
          <w:cols w:equalWidth="0" w:num="2">
            <w:col w:w="2860" w:space="500"/>
            <w:col w:w="6879"/>
          </w:cols>
          <w:pgMar w:left="220" w:top="472" w:right="1440" w:bottom="1440" w:gutter="0" w:footer="0" w:header="0"/>
          <w:type w:val="continuous"/>
        </w:sectPr>
      </w:pPr>
    </w:p>
    <w:p>
      <w:pPr>
        <w:ind w:right="3519" w:firstLine="353"/>
        <w:spacing w:after="0" w:line="251" w:lineRule="auto"/>
        <w:tabs>
          <w:tab w:leader="none" w:pos="775"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This agreement shall remain in force and effect throughout the term of Employee's employment with the Company. Further, the covenants contained herein shall remain in force and effect subsequent to termination of this Agreement for the time periods governing such covenants. Employee acknowledges that his relationship with the Company is terminable at will by either party and that the Company and/or the Employe can terminate the relationship with or without cause, and with or without notice. Further, the parties agree that nothing contained in this Agreement shall be relied upon to alter the terminable at will relationship between the parties.</w:t>
      </w:r>
    </w:p>
    <w:p>
      <w:pPr>
        <w:spacing w:after="0" w:line="163"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PROPERTY. Employee agrees that upon leaving the employment of the Company, regardless whether his departure is voluntary or involuntary, he will not take with him any of the Company's property including, but not limited to, any and all Company apparatuses, equipment, blueprints, drawings, sketches, notebooks, computer programs, customer lists, accounting information, production costs, sales information, formulae or any copies or duplicates of any of the above.</w:t>
      </w:r>
    </w:p>
    <w:p>
      <w:pPr>
        <w:spacing w:after="0" w:line="329"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Except as required by Employee's duties at the Company, Employee will not disclose, without the Company's prior written consent, directly or indirectly, to anyone outside of the Company or to any unauthorized employee of the Company, either during or after his employment with the Company, any confidential information concerning the Company's business acquired by Employee during his employment with the Company. Employee acknowledges that "confidential information," as used herein, means information which is not publicly known, including but not limited to, information relating to the Company's product, processes, systems, research, development, manufacturing, purchasing, accounting, engineering, marketing, merchandising, inventions, designs, formulae, future plans, or strategies.</w:t>
      </w:r>
    </w:p>
    <w:p>
      <w:pPr>
        <w:spacing w:after="0" w:line="163"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COPYRIGHT AND INVENTIONS. Employee agrees to promptly and fully disclose to the Company any items subject to copyright which are useable by the Company in its business, or related thereto, which he may make or has made, individually or jointly with others, while employed by the Company and for a period of one year thereafter, whether made on the Company's time or his own time. Unless items subject to copyrights are listed on a separate sheet and attached hereto, and specifically excluded herefrom, such items subject to copyright shall be the sole property of the Company whether or not a copyright registration application has been filed thereon, and Employee hereby assigns to the Company, all of his interest in such items subject to copyright and will, without charge to the Company, but at the expense of the Company, assign and deliver promptly all papers and do all other acts necessary to assist the Company to obtain copyright registration on such items in any and all countries.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Employee further agrees to promptly and fully disclose to the Company any and all inventions which are useable by the Company in its business, or related thereto, which he may make or has made, individually or jointly with others, while employed by the Company or for one year thereafter. Employee further agrees that unless certain of said inventions are listed on a separate sheet and attached hereto, and specifically excluded herefrom, such inventions shall be the sole property of the Company, whether or not patent applications are filed thereon, and Employee hereby assigns to the Company all of his interest in such inventions and will, without charge to the Company, but at the expense of the Company, sign</w:t>
      </w:r>
    </w:p>
    <w:p>
      <w:pPr>
        <w:sectPr>
          <w:pgSz w:w="11900" w:h="16838" w:orient="portrait"/>
          <w:cols w:equalWidth="0" w:num="1">
            <w:col w:w="10239"/>
          </w:cols>
          <w:pgMar w:left="220" w:top="472" w:right="1440" w:bottom="1440" w:gutter="0" w:footer="0" w:header="0"/>
          <w:type w:val="continuous"/>
        </w:sectPr>
      </w:pPr>
    </w:p>
    <w:bookmarkStart w:id="612" w:name="page613"/>
    <w:bookmarkEnd w:id="612"/>
    <w:p>
      <w:pPr>
        <w:ind w:right="3419"/>
        <w:spacing w:after="0" w:line="251" w:lineRule="auto"/>
        <w:rPr>
          <w:sz w:val="20"/>
          <w:szCs w:val="20"/>
          <w:color w:val="auto"/>
        </w:rPr>
      </w:pPr>
      <w:r>
        <w:rPr>
          <w:rFonts w:ascii="Courier New" w:cs="Courier New" w:eastAsia="Courier New" w:hAnsi="Courier New"/>
          <w:sz w:val="14"/>
          <w:szCs w:val="14"/>
          <w:color w:val="auto"/>
        </w:rPr>
        <w:t>and deliver promptly all papers and do all other acts necessary to assist the Company to obtain patents on such inventions in any and all countries. Provided, however, that if Employee is employed by the Company in Minnesota, no provisions of this Agreement assigning or purporting to assign ownership or property rights in any such invention shall apply to an invention for which no equipment, supplies, facility or trade secret information of the Company was used and which was developed entirely on his own time, and (1) which does not relate (a) directly to the business of the Company or (b) to the Company's actual or demonstrably anticipated research or development, or (2) which does not result from any work performed by him for the Company.</w:t>
      </w:r>
    </w:p>
    <w:p>
      <w:pPr>
        <w:spacing w:after="0" w:line="163" w:lineRule="exact"/>
        <w:rPr>
          <w:sz w:val="20"/>
          <w:szCs w:val="20"/>
          <w:color w:val="auto"/>
        </w:rPr>
      </w:pPr>
    </w:p>
    <w:p>
      <w:pPr>
        <w:ind w:right="3339" w:firstLine="353"/>
        <w:spacing w:after="0" w:line="251" w:lineRule="auto"/>
        <w:tabs>
          <w:tab w:leader="none" w:pos="775" w:val="left"/>
        </w:tabs>
        <w:numPr>
          <w:ilvl w:val="1"/>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Because Employee will be exposed to or have access to the Company's confidential information and to assist the Company in protecting the confidentiality of that information, Employee agrees that for a period of one (1) year subsequent to termination of Employee's employment with the Company, he will not render services, directly or indirectly, to any firm or organization in competition with the Company, except that Employee may accept employment with such a firm or organization whose business is diversified, and for that part of its business which is not in competition with the Company, provided, the Company, prior to Employee beginning such employment, shall receive separate written assurances satisfactory to the Company from such a firm or organization and from the Employee, and further provided that the Employee will not render services directly or indirectly in connection with any product which competes with a product offered by the Company.</w:t>
      </w:r>
    </w:p>
    <w:p>
      <w:pPr>
        <w:spacing w:after="0" w:line="162"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1"/>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THIS AGREEMENT. Employee acknowledges that compliance with the covenants set forth in paragraphs 3, 4, and 5 are necessary to enable the Company to do business with its customers for the term of this Agreement and thereafter, and that any breach of these covenants will result in the irreparable and continuing damage to the Company for which there will be no adequate remedy at law. In the event of any breach of these covenants, the Company shall be entitled to injunctive or such other and further relief including damages as may be proper. In addition, if any court having jurisdiction shall at any time hereafter hold these covenants to be unenforceable or unreasonable as to scope, territory, or period of time specified therein, then the scope, territory, or period of time shall be that declared or determined by said court to be reasonable.</w:t>
      </w:r>
    </w:p>
    <w:p>
      <w:pPr>
        <w:spacing w:after="0" w:line="328" w:lineRule="exact"/>
        <w:rPr>
          <w:rFonts w:ascii="Courier New" w:cs="Courier New" w:eastAsia="Courier New" w:hAnsi="Courier New"/>
          <w:sz w:val="14"/>
          <w:szCs w:val="14"/>
          <w:color w:val="auto"/>
        </w:rPr>
      </w:pPr>
    </w:p>
    <w:p>
      <w:pPr>
        <w:ind w:right="3419" w:firstLine="353"/>
        <w:spacing w:after="0" w:line="250" w:lineRule="auto"/>
        <w:tabs>
          <w:tab w:leader="none" w:pos="775" w:val="left"/>
        </w:tabs>
        <w:numPr>
          <w:ilvl w:val="1"/>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STATUS. Employee acknowledges that the terms and conditions set forth in this Agreement will not be affected by any change in Employee's</w:t>
      </w:r>
    </w:p>
    <w:p>
      <w:pPr>
        <w:ind w:left="360" w:hanging="352"/>
        <w:spacing w:after="0"/>
        <w:tabs>
          <w:tab w:leader="none" w:pos="360"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 of employment, (2) employee benefits, or (3) wages or salary,</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execution of this Agreement, even though any such subsequent change should become the basis for the voluntary or involuntary termination of his employment with the Company, it being recognized that Company has the right to effect such changes. It is further understood that the obligations recited herein are binding, regardless of the manner in which voluntary or involuntary termination of my employment is effected, and regardless of the basis of either type of termination.</w:t>
      </w:r>
    </w:p>
    <w:p>
      <w:pPr>
        <w:spacing w:after="0" w:line="164" w:lineRule="exact"/>
        <w:rPr>
          <w:rFonts w:ascii="Courier New" w:cs="Courier New" w:eastAsia="Courier New" w:hAnsi="Courier New"/>
          <w:sz w:val="14"/>
          <w:szCs w:val="14"/>
          <w:color w:val="auto"/>
        </w:rPr>
      </w:pPr>
    </w:p>
    <w:p>
      <w:pPr>
        <w:ind w:right="3419" w:firstLine="353"/>
        <w:spacing w:after="0" w:line="251" w:lineRule="auto"/>
        <w:tabs>
          <w:tab w:leader="none" w:pos="775" w:val="left"/>
        </w:tabs>
        <w:numPr>
          <w:ilvl w:val="1"/>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Employee agrees that waiver of any of the provisions of this Agreement by the Company in any particular instance shall not be deemed to be a waiver of any such provision in any subsequent instance and/or of the Company's other rights at law or under this Agreement; that the provisions of this Agreement shall accrue to and be binding upon the heirs, successors and assigns of the parties. Employee further agrees that the Company may notify anyone hereinafter employing him of the existence and provisions of this Agreement. References herein to the masculine gender shall be construed to also apply to the feminine. The captions set forth herein shall be for reference purposes only and shall not affect in any way the meaning or interpretation of this Agreement. This Agreement shall be governed by current state law.</w:t>
      </w:r>
    </w:p>
    <w:p>
      <w:pPr>
        <w:sectPr>
          <w:pgSz w:w="11900" w:h="16838" w:orient="portrait"/>
          <w:cols w:equalWidth="0" w:num="1">
            <w:col w:w="10239"/>
          </w:cols>
          <w:pgMar w:left="220" w:top="781" w:right="1440" w:bottom="1440" w:gutter="0" w:footer="0" w:header="0"/>
        </w:sectPr>
      </w:pPr>
    </w:p>
    <w:bookmarkStart w:id="613" w:name="page614"/>
    <w:bookmarkEnd w:id="613"/>
    <w:p>
      <w:pPr>
        <w:ind w:right="3779" w:firstLine="344"/>
        <w:spacing w:after="0" w:line="255" w:lineRule="auto"/>
        <w:rPr>
          <w:sz w:val="20"/>
          <w:szCs w:val="20"/>
          <w:color w:val="auto"/>
        </w:rPr>
      </w:pPr>
      <w:r>
        <w:rPr>
          <w:rFonts w:ascii="Courier New" w:cs="Courier New" w:eastAsia="Courier New" w:hAnsi="Courier New"/>
          <w:sz w:val="14"/>
          <w:szCs w:val="14"/>
          <w:color w:val="auto"/>
        </w:rPr>
        <w:t>I have read the above and accept employment on the terms and conditions above stated.</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Employee Signature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Witness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1">
            <w:col w:w="10239"/>
          </w:cols>
          <w:pgMar w:left="220" w:top="616" w:right="1440" w:bottom="1440" w:gutter="0" w:footer="0" w:header="0"/>
        </w:sectPr>
      </w:pPr>
    </w:p>
    <w:bookmarkStart w:id="614" w:name="page615"/>
    <w:bookmarkEnd w:id="614"/>
    <w:p>
      <w:pPr>
        <w:ind w:left="5780"/>
        <w:spacing w:after="0"/>
        <w:rPr>
          <w:sz w:val="20"/>
          <w:szCs w:val="20"/>
          <w:color w:val="auto"/>
        </w:rPr>
      </w:pPr>
      <w:r>
        <w:rPr>
          <w:rFonts w:ascii="Courier New" w:cs="Courier New" w:eastAsia="Courier New" w:hAnsi="Courier New"/>
          <w:sz w:val="14"/>
          <w:szCs w:val="14"/>
          <w:color w:val="auto"/>
        </w:rPr>
        <w:t>EXHIBIT 10.5</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STOCK FOR STOCK EXCHANGE AGREEMENT</w:t>
      </w:r>
    </w:p>
    <w:p>
      <w:pPr>
        <w:spacing w:after="0" w:line="3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This Stock for Stock Exchange Agreement (this "Agreement"), dated October 23, 1997, is made and entered into by and among Exmark Manufacturing Company Incorporated, a Nebraska corporation ("Exmark"), and Roger Smith ("Smith"), an individual resident of New Cumberland, Pennsylvania, and the owner of all of the outstanding shares of capital stock of The Holiman Co., Inc., a Pennsylvania corporation ("Holiman").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RECITAL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Smith desires to deliver to Exmark, and Exmark desires to acquire from Smith, all of the capital stock of Holiman, which is owned beneficially and of record by Smith, pursuant to the terms and conditions set forth in this Agreement. It is intended that the transactions contemplated by this Agreement qualify, for federal income tax purposes, as a tax-free reorganization under the provisions of Section 368(a)(1)(B) of the Internal Revenue Code of 1986, as amended (the "Code").</w:t>
      </w:r>
    </w:p>
    <w:p>
      <w:pPr>
        <w:spacing w:after="0" w:line="33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consideration of the foregoing and the mutual covenants, conditions and agreements set forth in this Agreement (the receipt and sufficiency of which are hereby acknowledged), the parties hereto agree as follows:</w:t>
      </w:r>
    </w:p>
    <w:p>
      <w:pPr>
        <w:spacing w:after="0" w:line="163" w:lineRule="exact"/>
        <w:rPr>
          <w:sz w:val="20"/>
          <w:szCs w:val="20"/>
          <w:color w:val="auto"/>
        </w:rPr>
      </w:pPr>
    </w:p>
    <w:p>
      <w:pPr>
        <w:ind w:right="3419" w:firstLine="353"/>
        <w:spacing w:after="0" w:line="251" w:lineRule="auto"/>
        <w:tabs>
          <w:tab w:leader="none" w:pos="775"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BY SMITH TO DELIVER SHARES AND EXMARK TO ACQUIRE SHARES. Subject to the terms and conditions of this Agreement, on the Closing Date (as defined in Section 8 below), Smith agrees to deliver and Exmark agrees to acquire from Smith all of the outstanding shares of capital stock of Holiman (the "Shares"). At the Effective Time (as defined in Section 2(c) below), and subject to the terms and conditions of this Agreement, Exmark shall be the sole owner of all outstanding shares of capital stock of Holiman.</w:t>
      </w:r>
    </w:p>
    <w:p>
      <w:pPr>
        <w:spacing w:after="0" w:line="164" w:lineRule="exact"/>
        <w:rPr>
          <w:rFonts w:ascii="Courier New" w:cs="Courier New" w:eastAsia="Courier New" w:hAnsi="Courier New"/>
          <w:sz w:val="14"/>
          <w:szCs w:val="14"/>
          <w:color w:val="auto"/>
        </w:rPr>
      </w:pPr>
    </w:p>
    <w:p>
      <w:pPr>
        <w:ind w:right="3419" w:firstLine="353"/>
        <w:spacing w:after="0" w:line="252" w:lineRule="auto"/>
        <w:tabs>
          <w:tab w:leader="none" w:pos="775"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 SHARES. The Shares shall be acquired solely in exchange for shares of Class C Preferred Stock, $.01 par value per share, of Exmark (the "Exmark Class C Stock") as follows:</w:t>
      </w:r>
    </w:p>
    <w:p>
      <w:pPr>
        <w:spacing w:after="0" w:line="163" w:lineRule="exact"/>
        <w:rPr>
          <w:sz w:val="20"/>
          <w:szCs w:val="20"/>
          <w:color w:val="auto"/>
        </w:rPr>
      </w:pPr>
    </w:p>
    <w:p>
      <w:pPr>
        <w:ind w:left="1220" w:hanging="436"/>
        <w:spacing w:after="0"/>
        <w:tabs>
          <w:tab w:leader="none" w:pos="1220" w:val="left"/>
        </w:tabs>
        <w:numPr>
          <w:ilvl w:val="0"/>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 SHARES.  In exchange for the delivery of the Shares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by Smith to Exmark, Exmark shall deliver to Smith, as full consideration for the Shares, 3,689 shares of Exmark Class C Stock (the "Acquisition Consideration"). Such exchange is referred to herein as the "Share Exchange."</w:t>
      </w:r>
    </w:p>
    <w:p>
      <w:pPr>
        <w:sectPr>
          <w:pgSz w:w="11900" w:h="16838" w:orient="portrait"/>
          <w:cols w:equalWidth="0" w:num="1">
            <w:col w:w="10239"/>
          </w:cols>
          <w:pgMar w:left="220" w:top="472" w:right="1440" w:bottom="1440" w:gutter="0" w:footer="0" w:header="0"/>
        </w:sectPr>
      </w:pPr>
    </w:p>
    <w:bookmarkStart w:id="615" w:name="page616"/>
    <w:bookmarkEnd w:id="615"/>
    <w:p>
      <w:pPr>
        <w:ind w:right="3419" w:firstLine="784"/>
        <w:spacing w:after="0" w:line="252" w:lineRule="auto"/>
        <w:tabs>
          <w:tab w:leader="none" w:pos="1206" w:val="left"/>
        </w:tabs>
        <w:numPr>
          <w:ilvl w:val="1"/>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ACQUISITION CONSIDERATION. On the Closing Date, Exmark shall deliver the Acquisition Consideration to Smith and contemporaneously Smith shall deliver to Exmark share certificates representing the Shares together with duly executed stock powers attached thereto transferring the Shares to Exmark.</w:t>
      </w:r>
    </w:p>
    <w:p>
      <w:pPr>
        <w:spacing w:after="0" w:line="327"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1"/>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TIME. The Share Exchange shall be effected as promptly as practicable, but in no event more than three business days, after the satisfaction or waiver of the conditions set forth in Sections 6 and 7 of this Agreement. The time at which the Share Exchange is effected is referred to herein as the "Effective Time."</w:t>
      </w:r>
    </w:p>
    <w:p>
      <w:pPr>
        <w:spacing w:after="0" w:line="164" w:lineRule="exact"/>
        <w:rPr>
          <w:rFonts w:ascii="Courier New" w:cs="Courier New" w:eastAsia="Courier New" w:hAnsi="Courier New"/>
          <w:sz w:val="14"/>
          <w:szCs w:val="14"/>
          <w:color w:val="auto"/>
        </w:rPr>
      </w:pPr>
    </w:p>
    <w:p>
      <w:pPr>
        <w:ind w:right="3519" w:firstLine="353"/>
        <w:spacing w:after="0" w:line="251" w:lineRule="auto"/>
        <w:tabs>
          <w:tab w:leader="none" w:pos="775"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SMITH. Smith hereby represents and warrants to Exmark as follows, except as set forth in the Disclosure Schedule delivered by Smith to Exmark on the date hereof (the "Disclosure Schedule") (which Disclosure Schedule sets forth certain exhibits referenced herein and exceptions to the representations and warranties contained in this Agreement under captions referencing each and every Section to which such exhibits or exceptions apply):</w:t>
      </w:r>
    </w:p>
    <w:p>
      <w:pPr>
        <w:spacing w:after="0" w:line="164" w:lineRule="exact"/>
        <w:rPr>
          <w:rFonts w:ascii="Courier New" w:cs="Courier New" w:eastAsia="Courier New" w:hAnsi="Courier New"/>
          <w:sz w:val="14"/>
          <w:szCs w:val="14"/>
          <w:color w:val="auto"/>
        </w:rPr>
      </w:pPr>
    </w:p>
    <w:p>
      <w:pPr>
        <w:jc w:val="both"/>
        <w:ind w:right="3419" w:firstLine="784"/>
        <w:spacing w:after="0" w:line="250" w:lineRule="auto"/>
        <w:tabs>
          <w:tab w:leader="none" w:pos="1206" w:val="left"/>
        </w:tabs>
        <w:numPr>
          <w:ilvl w:val="1"/>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CORPORATE POWER. Holiman is a corporation duly incorporated, validly existing and in good standing under the laws of the state of Pennsylvania, and Holiman has the requisite corporate power and authority to execute and deliver this Agreement and to perform its obligations hereunder.</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the corporate power and authority and all authorizations, licenses, permits and certifications necessary to own and operate its properties and to carry on its business as now conducted and presently proposed to be conducted. The copies of the articles of incorporation and bylaws of Holiman are set forth in the Disclosure Schedule and reflect all amendments made thereto and are correct and complete as of the date hereof. Holiman is qualified to do business as a foreign corporation in every jurisdiction in which the nature of its business or its ownership of property requires it to be so qualified.</w:t>
      </w:r>
    </w:p>
    <w:p>
      <w:pPr>
        <w:spacing w:after="0" w:line="163" w:lineRule="exact"/>
        <w:rPr>
          <w:rFonts w:ascii="Courier New" w:cs="Courier New" w:eastAsia="Courier New" w:hAnsi="Courier New"/>
          <w:sz w:val="14"/>
          <w:szCs w:val="14"/>
          <w:color w:val="auto"/>
        </w:rPr>
      </w:pPr>
    </w:p>
    <w:p>
      <w:pPr>
        <w:ind w:right="3419" w:firstLine="784"/>
        <w:spacing w:after="0" w:line="250" w:lineRule="auto"/>
        <w:tabs>
          <w:tab w:leader="none" w:pos="1206" w:val="left"/>
        </w:tabs>
        <w:numPr>
          <w:ilvl w:val="1"/>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BREACH. The execution, delivery and performance of this Agreement by Smith and the consummation by Smith of the transactions contemplated hereby do not conflict with or result in any breach of any of the provisions of, constitute a default under, result in a violation of, result in the creation of a right of termination or acceleration or any lien, security interest, charge or encumbrance upon any assets of Holiman, or require any authorization, consent, approval, exemption or other action by or notice to any court, other governmental body or other "Person" (such term shall mean an individual, corporation, partnership, association, joint-stock company, trust, unincorporated organization, or government or political subdivision thereof) under the provisions of the articles of incorporation or bylaws of Holiman or any contract, indenture, mortgage, lease, loan agreement or other agreement, relationship, commitment or instrument, written or oral, by which Holiman or Smith are bound or affected, or any law, statute, rule or regulation or order, judgment or decree to which Holiman or Smith are subject.</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16" w:name="page617"/>
    <w:bookmarkEnd w:id="616"/>
    <w:p>
      <w:pPr>
        <w:ind w:left="-784" w:right="3339" w:firstLine="784"/>
        <w:spacing w:after="0" w:line="251" w:lineRule="auto"/>
        <w:tabs>
          <w:tab w:leader="none" w:pos="422"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AUTHORITIES; CONSENTS. Neither Smith nor Holiman is required to submit any notice, report or other filing with any governmental authority in connection with the execution or delivery by Smith of this Agreement or the consummation of the transactions contemplated hereby. No consent, approval or authorization of any governmental or regulatory authority or any other party or person is required to be obtained by Holiman or Smith in connection with Smith's execution, delivery and performance of this Agreement or the transactions contemplated hereby.</w:t>
      </w:r>
    </w:p>
    <w:p>
      <w:pPr>
        <w:spacing w:after="0" w:line="163" w:lineRule="exact"/>
        <w:rPr>
          <w:rFonts w:ascii="Courier New" w:cs="Courier New" w:eastAsia="Courier New" w:hAnsi="Courier New"/>
          <w:sz w:val="14"/>
          <w:szCs w:val="14"/>
          <w:color w:val="auto"/>
        </w:rPr>
      </w:pPr>
    </w:p>
    <w:p>
      <w:pPr>
        <w:ind w:left="-784" w:right="3419" w:firstLine="784"/>
        <w:spacing w:after="0" w:line="252" w:lineRule="auto"/>
        <w:tabs>
          <w:tab w:leader="none" w:pos="422"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PREDECESSORS. Holiman does not own any stock, partnership interest, joint venture interest or any other security or ownership interest issued by any other corporation, organization, joint venture, partnership, limited liability company or entity.</w:t>
      </w:r>
    </w:p>
    <w:p>
      <w:pPr>
        <w:spacing w:after="0" w:line="162" w:lineRule="exact"/>
        <w:rPr>
          <w:rFonts w:ascii="Courier New" w:cs="Courier New" w:eastAsia="Courier New" w:hAnsi="Courier New"/>
          <w:sz w:val="14"/>
          <w:szCs w:val="14"/>
          <w:color w:val="auto"/>
        </w:rPr>
      </w:pPr>
    </w:p>
    <w:p>
      <w:pPr>
        <w:ind w:left="436" w:hanging="436"/>
        <w:spacing w:after="0"/>
        <w:tabs>
          <w:tab w:leader="none" w:pos="436"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w:t>
      </w:r>
    </w:p>
    <w:p>
      <w:pPr>
        <w:spacing w:after="0" w:line="172" w:lineRule="exact"/>
        <w:rPr>
          <w:rFonts w:ascii="Courier New" w:cs="Courier New" w:eastAsia="Courier New" w:hAnsi="Courier New"/>
          <w:sz w:val="14"/>
          <w:szCs w:val="14"/>
          <w:color w:val="auto"/>
        </w:rPr>
      </w:pPr>
    </w:p>
    <w:p>
      <w:pPr>
        <w:ind w:left="-424" w:right="3519" w:firstLine="854"/>
        <w:spacing w:after="0" w:line="251" w:lineRule="auto"/>
        <w:tabs>
          <w:tab w:leader="none" w:pos="1127" w:val="left"/>
        </w:tabs>
        <w:numPr>
          <w:ilvl w:val="1"/>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hereof, the authorized capital stock of Holiman consists of 4,000 shares of common stock, par value $10.00 per share, ("Holiman Common Stock"), of which 2,820 shares are issued and outstanding as of the date hereof. On the date hereof and immediately prior to the Effective Time, all of Holiman's issued and outstanding capital stock is held of record by Smith. All such outstanding shares of Holiman Common Stock (A) have been duly authorized and are validly issued, fully paid and nonassessable, (B) are not subject to preemptive rights created by statute, Holiman's articles of incorporation or bylaws, or any other agreement to which either Holiman or Smith is bound and (C) were issued in full compliance with all applicable securities laws.</w:t>
      </w:r>
    </w:p>
    <w:p>
      <w:pPr>
        <w:spacing w:after="0" w:line="163" w:lineRule="exact"/>
        <w:rPr>
          <w:rFonts w:ascii="Courier New" w:cs="Courier New" w:eastAsia="Courier New" w:hAnsi="Courier New"/>
          <w:sz w:val="14"/>
          <w:szCs w:val="14"/>
          <w:color w:val="auto"/>
        </w:rPr>
      </w:pPr>
    </w:p>
    <w:p>
      <w:pPr>
        <w:ind w:left="-424" w:right="3419" w:firstLine="854"/>
        <w:spacing w:after="0" w:line="251" w:lineRule="auto"/>
        <w:tabs>
          <w:tab w:leader="none" w:pos="1127" w:val="left"/>
        </w:tabs>
        <w:numPr>
          <w:ilvl w:val="1"/>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rights, subscriptions, warrants, options, conversion rights or agreements of any kind outstanding to purchase or otherwise acquire from Holiman any shares of Holiman Common Stock or other securities of Holiman of any kind (and there are no agreements or other obligations of Holiman to grant any of the foregoing) and there are no agreements or other obligations (contingent or otherwise) which may require Holiman to repurchase or otherwise acquire any shares of Holiman Common Stock.</w:t>
      </w:r>
    </w:p>
    <w:p>
      <w:pPr>
        <w:spacing w:after="0" w:line="163" w:lineRule="exact"/>
        <w:rPr>
          <w:rFonts w:ascii="Courier New" w:cs="Courier New" w:eastAsia="Courier New" w:hAnsi="Courier New"/>
          <w:sz w:val="14"/>
          <w:szCs w:val="14"/>
          <w:color w:val="auto"/>
        </w:rPr>
      </w:pPr>
    </w:p>
    <w:p>
      <w:pPr>
        <w:ind w:left="-424" w:right="3419" w:firstLine="854"/>
        <w:spacing w:after="0" w:line="252" w:lineRule="auto"/>
        <w:tabs>
          <w:tab w:leader="none" w:pos="1127" w:val="left"/>
        </w:tabs>
        <w:numPr>
          <w:ilvl w:val="1"/>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persons other than Smith and Francine H. Smith are, in Holiman's reasonable judgment, "affiliates" of Holiman within the meaning of Rule 145 promulgated by the Securities Exchange Commission (the "SEC") under the Securities Act of 1933, as amended (the "Securities Act").</w:t>
      </w:r>
    </w:p>
    <w:p>
      <w:pPr>
        <w:spacing w:after="0" w:line="162" w:lineRule="exact"/>
        <w:rPr>
          <w:rFonts w:ascii="Courier New" w:cs="Courier New" w:eastAsia="Courier New" w:hAnsi="Courier New"/>
          <w:sz w:val="14"/>
          <w:szCs w:val="14"/>
          <w:color w:val="auto"/>
        </w:rPr>
      </w:pPr>
    </w:p>
    <w:p>
      <w:pPr>
        <w:ind w:left="-784" w:right="3339" w:firstLine="784"/>
        <w:spacing w:after="0" w:line="251" w:lineRule="auto"/>
        <w:tabs>
          <w:tab w:leader="none" w:pos="422"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The Disclosure Schedule sets forth copies of the unaudited balance sheets, as of June 30, 1997, June 30, 1996 and June 30, 1995, of Holiman and the unaudited statements of earnings, shareholders' equity and cash flows of Holiman for each of the years ended June 30, 1997, June 30, 1996 and June 30, 1995 (collectively, the "Holiman Annual Financial Statements"). Except as set forth in the Disclosure Schedule, the Holiman Annual Financial Statements are based upon the information contained in the</w:t>
      </w:r>
    </w:p>
    <w:p>
      <w:pPr>
        <w:spacing w:after="0" w:line="330"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56"/>
          </w:cols>
          <w:pgMar w:left="1004" w:top="616" w:right="1440" w:bottom="1440" w:gutter="0" w:footer="0" w:header="0"/>
        </w:sectPr>
      </w:pPr>
    </w:p>
    <w:bookmarkStart w:id="617" w:name="page618"/>
    <w:bookmarkEnd w:id="617"/>
    <w:p>
      <w:pPr>
        <w:ind w:right="3419"/>
        <w:spacing w:after="0" w:line="251" w:lineRule="auto"/>
        <w:rPr>
          <w:sz w:val="20"/>
          <w:szCs w:val="20"/>
          <w:color w:val="auto"/>
        </w:rPr>
      </w:pPr>
      <w:r>
        <w:rPr>
          <w:rFonts w:ascii="Courier New" w:cs="Courier New" w:eastAsia="Courier New" w:hAnsi="Courier New"/>
          <w:sz w:val="14"/>
          <w:szCs w:val="14"/>
          <w:color w:val="auto"/>
        </w:rPr>
        <w:t>books and records of Holiman and fairly present the financial condition of Holiman as of the dates thereof and respective results of operations for the periods referred to therein. The Holiman Annual Financial Statements have been prepared in accordance with generally accepted accounting principles (as such principles apply to unaudited financial statements ("GAAP")), on a basis consistent with the method used by Holiman in preparing the unaudited financial statements of Holiman for the three-year period from July 1, 1994 to June 30, 1997, which financial statements are presented in accordance with GAAP.</w:t>
      </w:r>
    </w:p>
    <w:p>
      <w:pPr>
        <w:spacing w:after="0" w:line="164" w:lineRule="exact"/>
        <w:rPr>
          <w:sz w:val="20"/>
          <w:szCs w:val="20"/>
          <w:color w:val="auto"/>
        </w:rPr>
      </w:pPr>
    </w:p>
    <w:p>
      <w:pPr>
        <w:ind w:right="3339" w:firstLine="784"/>
        <w:spacing w:after="0" w:line="251" w:lineRule="auto"/>
        <w:tabs>
          <w:tab w:leader="none" w:pos="1206"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UNDISCLOSED LIABILITIES. Except as reflected in the June 30, 1997 balance sheet included in the Holiman Annual Financial Statements (the "Latest Balance Sheet"), Holiman has no liabilities (whether accrued, absolute, contingent, unliquidated or otherwise, whether due or to become due, whether known or unknown, and regardless of when asserted) arising out of transactions or events heretofore entered into, or any action or inaction, or any state of facts existing, with respect to or based upon transactions or events heretofore occurring, except liabilities which have arisen in the ordinary course of business (none of which is an uninsured liability in excess of $10,000 for breach of contract, breach of warranty, tort, infringement, claim or lawsuit).</w:t>
      </w:r>
    </w:p>
    <w:p>
      <w:pPr>
        <w:spacing w:after="0" w:line="329"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CHANGES.  Since the date of the Latest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Balance Sheet, there has been no material adverse change in the assets, financial condition, operating results, co-distributor, customer, employee or supplier relations, business condition or prospects of Holiman (other than as a direct result of general economic conditions or an industry downturn).</w:t>
      </w:r>
    </w:p>
    <w:p>
      <w:pPr>
        <w:spacing w:after="0" w:line="162" w:lineRule="exact"/>
        <w:rPr>
          <w:sz w:val="20"/>
          <w:szCs w:val="20"/>
          <w:color w:val="auto"/>
        </w:rPr>
      </w:pPr>
    </w:p>
    <w:p>
      <w:pPr>
        <w:ind w:right="3519" w:firstLine="784"/>
        <w:spacing w:after="0" w:line="255" w:lineRule="auto"/>
        <w:tabs>
          <w:tab w:leader="none" w:pos="1206"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DEVELOPMENTS. Since May 1, 1997, Holiman has not (except as described in the Disclosure Schedule):</w:t>
      </w:r>
    </w:p>
    <w:p>
      <w:pPr>
        <w:spacing w:after="0" w:line="159" w:lineRule="exact"/>
        <w:rPr>
          <w:rFonts w:ascii="Courier New" w:cs="Courier New" w:eastAsia="Courier New" w:hAnsi="Courier New"/>
          <w:sz w:val="14"/>
          <w:szCs w:val="14"/>
          <w:color w:val="auto"/>
        </w:rPr>
      </w:pPr>
    </w:p>
    <w:p>
      <w:pPr>
        <w:jc w:val="both"/>
        <w:ind w:left="360" w:right="3419" w:firstLine="854"/>
        <w:spacing w:after="0" w:line="252" w:lineRule="auto"/>
        <w:tabs>
          <w:tab w:leader="none" w:pos="1910" w:val="left"/>
        </w:tabs>
        <w:numPr>
          <w:ilvl w:val="1"/>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borrowed any amount or incurred or become subject to any liability in excess of $25,000, except (A) current liabilities incurred in the ordinary course of business and (B) liabilities under contracts entered into in the ordinary course of business;</w:t>
      </w:r>
    </w:p>
    <w:p>
      <w:pPr>
        <w:spacing w:after="0" w:line="162" w:lineRule="exact"/>
        <w:rPr>
          <w:rFonts w:ascii="Courier New" w:cs="Courier New" w:eastAsia="Courier New" w:hAnsi="Courier New"/>
          <w:sz w:val="14"/>
          <w:szCs w:val="14"/>
          <w:color w:val="auto"/>
        </w:rPr>
      </w:pPr>
    </w:p>
    <w:p>
      <w:pPr>
        <w:ind w:left="360" w:right="3419" w:firstLine="854"/>
        <w:spacing w:after="0" w:line="251" w:lineRule="auto"/>
        <w:tabs>
          <w:tab w:leader="none" w:pos="1910" w:val="left"/>
        </w:tabs>
        <w:numPr>
          <w:ilvl w:val="1"/>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mortgaged, pledged or subjected to any lien, charge or any other encumbrance, any of its assets with a fair market value in excess of $25,000, except (A) liens for current property Taxes not yet due and payable, (B) liens imposed by law and incurred in the ordinary course of business for obligations not yet due to carriers, warehousemen, laborers, materialmen and the like, (C) liens in respect of pledges or deposits under workers' compensation laws, or (D) liens voluntarily created in the ordinary course of business, all of which liens aggregate less than $25,000;</w:t>
      </w:r>
    </w:p>
    <w:p>
      <w:pPr>
        <w:spacing w:after="0" w:line="329" w:lineRule="exact"/>
        <w:rPr>
          <w:rFonts w:ascii="Courier New" w:cs="Courier New" w:eastAsia="Courier New" w:hAnsi="Courier New"/>
          <w:sz w:val="14"/>
          <w:szCs w:val="14"/>
          <w:color w:val="auto"/>
        </w:rPr>
      </w:pPr>
    </w:p>
    <w:p>
      <w:pPr>
        <w:jc w:val="both"/>
        <w:ind w:left="360" w:right="3599" w:firstLine="854"/>
        <w:spacing w:after="0" w:line="252" w:lineRule="auto"/>
        <w:tabs>
          <w:tab w:leader="none" w:pos="1910" w:val="left"/>
        </w:tabs>
        <w:numPr>
          <w:ilvl w:val="1"/>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discharged or satisfied any lien or encumbrance or paid any liability, in each case with a value in excess of $25,000, other than current liabilities paid in the ordinary course of business;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18" w:name="page619"/>
    <w:bookmarkEnd w:id="618"/>
    <w:p>
      <w:pPr>
        <w:ind w:left="7" w:right="3519" w:firstLine="854"/>
        <w:spacing w:after="0" w:line="251" w:lineRule="auto"/>
        <w:tabs>
          <w:tab w:leader="none" w:pos="1558"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 transfers to any employees, affiliates or shareholders) any tangible assets with a fair market value in excess of $25,000, or canceled any debts or claims, in each case, except in the ordinary course of business;</w:t>
      </w:r>
    </w:p>
    <w:p>
      <w:pPr>
        <w:spacing w:after="0" w:line="164" w:lineRule="exact"/>
        <w:rPr>
          <w:rFonts w:ascii="Courier New" w:cs="Courier New" w:eastAsia="Courier New" w:hAnsi="Courier New"/>
          <w:sz w:val="14"/>
          <w:szCs w:val="14"/>
          <w:color w:val="auto"/>
        </w:rPr>
      </w:pPr>
    </w:p>
    <w:p>
      <w:pPr>
        <w:ind w:left="7" w:right="3779" w:firstLine="854"/>
        <w:spacing w:after="0" w:line="252" w:lineRule="auto"/>
        <w:tabs>
          <w:tab w:leader="none" w:pos="1558"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 transfers to any employees, affiliates or shareholders) any patents, trademarks, trade names, copyrights, trade secrets or other intangible assets;</w:t>
      </w:r>
    </w:p>
    <w:p>
      <w:pPr>
        <w:spacing w:after="0" w:line="162" w:lineRule="exact"/>
        <w:rPr>
          <w:rFonts w:ascii="Courier New" w:cs="Courier New" w:eastAsia="Courier New" w:hAnsi="Courier New"/>
          <w:sz w:val="14"/>
          <w:szCs w:val="14"/>
          <w:color w:val="auto"/>
        </w:rPr>
      </w:pPr>
    </w:p>
    <w:p>
      <w:pPr>
        <w:ind w:left="7" w:right="3419" w:firstLine="854"/>
        <w:spacing w:after="0" w:line="251" w:lineRule="auto"/>
        <w:tabs>
          <w:tab w:leader="none" w:pos="1558"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to any person other than Exmark, the Toro Company, a Delaware corporation ("Toro"), and authorized representatives of Exmark and Toro, any proprietary confidential information, other than pursuant to a confidentiality agreement prohibiting the use or further disclosure of such information, which agreement is identified in the Disclosure Schedule and is in full force and effect on the date hereof;</w:t>
      </w:r>
    </w:p>
    <w:p>
      <w:pPr>
        <w:spacing w:after="0" w:line="164" w:lineRule="exact"/>
        <w:rPr>
          <w:rFonts w:ascii="Courier New" w:cs="Courier New" w:eastAsia="Courier New" w:hAnsi="Courier New"/>
          <w:sz w:val="14"/>
          <w:szCs w:val="14"/>
          <w:color w:val="auto"/>
        </w:rPr>
      </w:pPr>
    </w:p>
    <w:p>
      <w:pPr>
        <w:ind w:left="7" w:right="3599" w:firstLine="854"/>
        <w:spacing w:after="0" w:line="252" w:lineRule="auto"/>
        <w:tabs>
          <w:tab w:leader="none" w:pos="1558"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any rights of material value or suffered any extraordinary losses or adverse changes in collection loss experience, whether or not in the ordinary course of business or consistent with past practice;</w:t>
      </w:r>
    </w:p>
    <w:p>
      <w:pPr>
        <w:spacing w:after="0" w:line="162" w:lineRule="exact"/>
        <w:rPr>
          <w:rFonts w:ascii="Courier New" w:cs="Courier New" w:eastAsia="Courier New" w:hAnsi="Courier New"/>
          <w:sz w:val="14"/>
          <w:szCs w:val="14"/>
          <w:color w:val="auto"/>
        </w:rPr>
      </w:pPr>
    </w:p>
    <w:p>
      <w:pPr>
        <w:ind w:left="7" w:right="3419" w:firstLine="854"/>
        <w:spacing w:after="0" w:line="250" w:lineRule="auto"/>
        <w:tabs>
          <w:tab w:leader="none" w:pos="1558"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declared or paid any dividends or other distributions with respect to any shares of Holiman's capital stock or redeemed or purchased, directly or indirectly, any shares of Holiman's capital stock or any options, warrants or other rights to purchase the same, except for the payment of a one-time cash dividend to be paid between the date hereof and the Effective Time, which dividend shall not exceed the difference between</w:t>
      </w:r>
    </w:p>
    <w:p>
      <w:pPr>
        <w:spacing w:after="0" w:line="2" w:lineRule="exact"/>
        <w:rPr>
          <w:rFonts w:ascii="Courier New" w:cs="Courier New" w:eastAsia="Courier New" w:hAnsi="Courier New"/>
          <w:sz w:val="14"/>
          <w:szCs w:val="14"/>
          <w:color w:val="auto"/>
        </w:rPr>
      </w:pPr>
    </w:p>
    <w:p>
      <w:pPr>
        <w:ind w:left="7" w:right="3519" w:hanging="7"/>
        <w:spacing w:after="0" w:line="255" w:lineRule="auto"/>
        <w:tabs>
          <w:tab w:leader="none" w:pos="352" w:val="left"/>
        </w:tabs>
        <w:numPr>
          <w:ilvl w:val="0"/>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worth of Holiman prior to the payment of such dividend and (B) $200,000;</w:t>
      </w:r>
    </w:p>
    <w:p>
      <w:pPr>
        <w:spacing w:after="0" w:line="159" w:lineRule="exact"/>
        <w:rPr>
          <w:rFonts w:ascii="Courier New" w:cs="Courier New" w:eastAsia="Courier New" w:hAnsi="Courier New"/>
          <w:sz w:val="14"/>
          <w:szCs w:val="14"/>
          <w:color w:val="auto"/>
        </w:rPr>
      </w:pPr>
    </w:p>
    <w:p>
      <w:pPr>
        <w:ind w:left="7" w:right="3419" w:firstLine="854"/>
        <w:spacing w:after="0" w:line="252" w:lineRule="auto"/>
        <w:tabs>
          <w:tab w:leader="none" w:pos="1558"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sold or transferred any of its equity securities, securities convertible into or exchangeable for its equity securities or options, warrants or other rights to acquire its equity securities, or any bonds or debt securities;</w:t>
      </w:r>
    </w:p>
    <w:p>
      <w:pPr>
        <w:spacing w:after="0" w:line="162" w:lineRule="exact"/>
        <w:rPr>
          <w:rFonts w:ascii="Courier New" w:cs="Courier New" w:eastAsia="Courier New" w:hAnsi="Courier New"/>
          <w:sz w:val="14"/>
          <w:szCs w:val="14"/>
          <w:color w:val="auto"/>
        </w:rPr>
      </w:pPr>
    </w:p>
    <w:p>
      <w:pPr>
        <w:ind w:left="7" w:right="3419" w:firstLine="854"/>
        <w:spacing w:after="0" w:line="251" w:lineRule="auto"/>
        <w:tabs>
          <w:tab w:leader="none" w:pos="1558"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taken any other action or entered into any other transaction other than in the ordinary course of business and in accordance with past custom and practice, or entered into any transaction with any "Insider" (as defined in Section 3(u) hereof) other than employment arrangements otherwise disclosed in this Agreement and the Disclosure Schedule, or the transactions expressly contemplated by this Agreement;</w:t>
      </w:r>
    </w:p>
    <w:p>
      <w:pPr>
        <w:spacing w:after="0" w:line="164" w:lineRule="exact"/>
        <w:rPr>
          <w:rFonts w:ascii="Courier New" w:cs="Courier New" w:eastAsia="Courier New" w:hAnsi="Courier New"/>
          <w:sz w:val="14"/>
          <w:szCs w:val="14"/>
          <w:color w:val="auto"/>
        </w:rPr>
      </w:pPr>
    </w:p>
    <w:p>
      <w:pPr>
        <w:ind w:left="7" w:right="3519" w:firstLine="854"/>
        <w:spacing w:after="0" w:line="252" w:lineRule="auto"/>
        <w:tabs>
          <w:tab w:leader="none" w:pos="1558"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material theft, damage, destruction or loss of or to any property or properties owned or used by it, whether or not covered by insurance;</w:t>
      </w:r>
    </w:p>
    <w:p>
      <w:pPr>
        <w:spacing w:after="0" w:line="162" w:lineRule="exact"/>
        <w:rPr>
          <w:rFonts w:ascii="Courier New" w:cs="Courier New" w:eastAsia="Courier New" w:hAnsi="Courier New"/>
          <w:sz w:val="14"/>
          <w:szCs w:val="14"/>
          <w:color w:val="auto"/>
        </w:rPr>
      </w:pPr>
    </w:p>
    <w:p>
      <w:pPr>
        <w:ind w:left="7" w:right="3519" w:firstLine="854"/>
        <w:spacing w:after="0" w:line="252" w:lineRule="auto"/>
        <w:tabs>
          <w:tab w:leader="none" w:pos="1558"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course of business consistent with past practices, and except as expressly contemplated by Section 5(b) of this</w:t>
      </w:r>
    </w:p>
    <w:p>
      <w:pPr>
        <w:spacing w:after="0" w:line="329"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86"/>
          </w:cols>
          <w:pgMar w:left="573" w:top="616" w:right="1440" w:bottom="1440" w:gutter="0" w:footer="0" w:header="0"/>
        </w:sectPr>
      </w:pPr>
    </w:p>
    <w:bookmarkStart w:id="619" w:name="page620"/>
    <w:bookmarkEnd w:id="619"/>
    <w:p>
      <w:pPr>
        <w:ind w:right="3419"/>
        <w:spacing w:after="0" w:line="251" w:lineRule="auto"/>
        <w:rPr>
          <w:sz w:val="20"/>
          <w:szCs w:val="20"/>
          <w:color w:val="auto"/>
        </w:rPr>
      </w:pPr>
      <w:r>
        <w:rPr>
          <w:rFonts w:ascii="Courier New" w:cs="Courier New" w:eastAsia="Courier New" w:hAnsi="Courier New"/>
          <w:sz w:val="14"/>
          <w:szCs w:val="14"/>
          <w:color w:val="auto"/>
        </w:rPr>
        <w:t>Agreement, made or granted any bonus, or any wage, salary or compensation increase to any director, officer, employee or consultant whose annual compensation from Holiman in the preceding fiscal year exceeded $45,000, or made or granted any increase in any employee benefit plan or arrangement, or amended or terminated any existing employee benefit plan or arrangement, or adopted any new employee benefit plan or arrangement or made any commitment or incurred any liability to any labor organization;</w:t>
      </w:r>
    </w:p>
    <w:p>
      <w:pPr>
        <w:spacing w:after="0" w:line="164" w:lineRule="exact"/>
        <w:rPr>
          <w:sz w:val="20"/>
          <w:szCs w:val="20"/>
          <w:color w:val="auto"/>
        </w:rPr>
      </w:pPr>
    </w:p>
    <w:p>
      <w:pPr>
        <w:ind w:right="3939" w:firstLine="854"/>
        <w:spacing w:after="0" w:line="255" w:lineRule="auto"/>
        <w:tabs>
          <w:tab w:leader="none" w:pos="1723"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single capital expenditure or commitment therefor in excess of $25,000;</w:t>
      </w:r>
    </w:p>
    <w:p>
      <w:pPr>
        <w:spacing w:after="0" w:line="159" w:lineRule="exact"/>
        <w:rPr>
          <w:rFonts w:ascii="Courier New" w:cs="Courier New" w:eastAsia="Courier New" w:hAnsi="Courier New"/>
          <w:sz w:val="14"/>
          <w:szCs w:val="14"/>
          <w:color w:val="auto"/>
        </w:rPr>
      </w:pPr>
    </w:p>
    <w:p>
      <w:pPr>
        <w:ind w:right="3679" w:firstLine="854"/>
        <w:spacing w:after="0" w:line="255" w:lineRule="auto"/>
        <w:tabs>
          <w:tab w:leader="none" w:pos="1723"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loans or advances to, or guarantees for the benefit of, any persons in excess of $10,000;</w:t>
      </w:r>
    </w:p>
    <w:p>
      <w:pPr>
        <w:spacing w:after="0" w:line="159" w:lineRule="exact"/>
        <w:rPr>
          <w:rFonts w:ascii="Courier New" w:cs="Courier New" w:eastAsia="Courier New" w:hAnsi="Courier New"/>
          <w:sz w:val="14"/>
          <w:szCs w:val="14"/>
          <w:color w:val="auto"/>
        </w:rPr>
      </w:pPr>
    </w:p>
    <w:p>
      <w:pPr>
        <w:ind w:left="1720" w:hanging="866"/>
        <w:spacing w:after="0"/>
        <w:tabs>
          <w:tab w:leader="none" w:pos="1720"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charitable contributions or pledges in excess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$10,000;</w:t>
      </w:r>
    </w:p>
    <w:p>
      <w:pPr>
        <w:spacing w:after="0" w:line="172" w:lineRule="exact"/>
        <w:rPr>
          <w:rFonts w:ascii="Courier New" w:cs="Courier New" w:eastAsia="Courier New" w:hAnsi="Courier New"/>
          <w:sz w:val="14"/>
          <w:szCs w:val="14"/>
          <w:color w:val="auto"/>
        </w:rPr>
      </w:pPr>
    </w:p>
    <w:p>
      <w:pPr>
        <w:ind w:right="3599" w:firstLine="854"/>
        <w:spacing w:after="0" w:line="252" w:lineRule="auto"/>
        <w:tabs>
          <w:tab w:leader="none" w:pos="1723"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change in accounting principles or practices from those utilized in the preparation of the Holiman Annual Financial Statements;</w:t>
      </w:r>
    </w:p>
    <w:p>
      <w:pPr>
        <w:spacing w:after="0" w:line="162" w:lineRule="exact"/>
        <w:rPr>
          <w:rFonts w:ascii="Courier New" w:cs="Courier New" w:eastAsia="Courier New" w:hAnsi="Courier New"/>
          <w:sz w:val="14"/>
          <w:szCs w:val="14"/>
          <w:color w:val="auto"/>
        </w:rPr>
      </w:pPr>
    </w:p>
    <w:p>
      <w:pPr>
        <w:ind w:right="3419" w:firstLine="854"/>
        <w:spacing w:after="0" w:line="251" w:lineRule="auto"/>
        <w:tabs>
          <w:tab w:leader="none" w:pos="1723"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amendment, modification or termination of any existing, or entered into any new, contract, agreement, plan, lease, license, permit or franchise which is, either individually or in the aggregate, material to the business, operations, financial position or prospects of Holiman other than in the ordinary course of business;</w:t>
      </w:r>
    </w:p>
    <w:p>
      <w:pPr>
        <w:spacing w:after="0" w:line="164" w:lineRule="exact"/>
        <w:rPr>
          <w:rFonts w:ascii="Courier New" w:cs="Courier New" w:eastAsia="Courier New" w:hAnsi="Courier New"/>
          <w:sz w:val="14"/>
          <w:szCs w:val="14"/>
          <w:color w:val="auto"/>
        </w:rPr>
      </w:pPr>
    </w:p>
    <w:p>
      <w:pPr>
        <w:ind w:left="1720" w:hanging="866"/>
        <w:spacing w:after="0"/>
        <w:tabs>
          <w:tab w:leader="none" w:pos="1720"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labor dispute material to the business,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 financial position or prospects of Holiman;</w:t>
      </w:r>
    </w:p>
    <w:p>
      <w:pPr>
        <w:spacing w:after="0" w:line="172" w:lineRule="exact"/>
        <w:rPr>
          <w:rFonts w:ascii="Courier New" w:cs="Courier New" w:eastAsia="Courier New" w:hAnsi="Courier New"/>
          <w:sz w:val="14"/>
          <w:szCs w:val="14"/>
          <w:color w:val="auto"/>
        </w:rPr>
      </w:pPr>
    </w:p>
    <w:p>
      <w:pPr>
        <w:ind w:right="3519" w:firstLine="854"/>
        <w:spacing w:after="0" w:line="252" w:lineRule="auto"/>
        <w:tabs>
          <w:tab w:leader="none" w:pos="1723"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change in any assumption underlying or method of calculating, any bad debt, inventory, contingency or other reserve;</w:t>
      </w:r>
    </w:p>
    <w:p>
      <w:pPr>
        <w:spacing w:after="0" w:line="162" w:lineRule="exact"/>
        <w:rPr>
          <w:rFonts w:ascii="Courier New" w:cs="Courier New" w:eastAsia="Courier New" w:hAnsi="Courier New"/>
          <w:sz w:val="14"/>
          <w:szCs w:val="14"/>
          <w:color w:val="auto"/>
        </w:rPr>
      </w:pPr>
    </w:p>
    <w:p>
      <w:pPr>
        <w:ind w:right="3419" w:firstLine="854"/>
        <w:spacing w:after="0" w:line="252" w:lineRule="auto"/>
        <w:tabs>
          <w:tab w:leader="none" w:pos="1723"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lapse or termination of any material permit that was issued or relates to Holiman or its business, including any failure to renew any such permit; or</w:t>
      </w:r>
    </w:p>
    <w:p>
      <w:pPr>
        <w:spacing w:after="0" w:line="162" w:lineRule="exact"/>
        <w:rPr>
          <w:rFonts w:ascii="Courier New" w:cs="Courier New" w:eastAsia="Courier New" w:hAnsi="Courier New"/>
          <w:sz w:val="14"/>
          <w:szCs w:val="14"/>
          <w:color w:val="auto"/>
        </w:rPr>
      </w:pPr>
    </w:p>
    <w:p>
      <w:pPr>
        <w:ind w:right="3599" w:firstLine="854"/>
        <w:spacing w:after="0" w:line="252" w:lineRule="auto"/>
        <w:tabs>
          <w:tab w:leader="none" w:pos="1723"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or altered, in any material respect, its advertising or promotional activities or its pricing and purchasing policies.</w:t>
      </w:r>
    </w:p>
    <w:p>
      <w:pPr>
        <w:spacing w:after="0" w:line="162"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PROPERTIES.</w:t>
      </w:r>
    </w:p>
    <w:p>
      <w:pPr>
        <w:spacing w:after="0" w:line="172" w:lineRule="exact"/>
        <w:rPr>
          <w:rFonts w:ascii="Courier New" w:cs="Courier New" w:eastAsia="Courier New" w:hAnsi="Courier New"/>
          <w:sz w:val="14"/>
          <w:szCs w:val="14"/>
          <w:color w:val="auto"/>
        </w:rPr>
      </w:pPr>
    </w:p>
    <w:p>
      <w:pPr>
        <w:ind w:right="3679" w:firstLine="854"/>
        <w:spacing w:after="0" w:line="251" w:lineRule="auto"/>
        <w:tabs>
          <w:tab w:leader="none" w:pos="1723" w:val="left"/>
        </w:tabs>
        <w:numPr>
          <w:ilvl w:val="1"/>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does not own any real property. The real property listed as leased (the "Leased Property") in the Disclosure Schedule constitutes all of the real property owned, used or occupied by Holiman (the "Real Property"). Such Disclosure Schedule includes the location, uses thereof and Holiman indebtedness</w:t>
      </w:r>
    </w:p>
    <w:p>
      <w:pPr>
        <w:spacing w:after="0" w:line="33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79"/>
          </w:cols>
          <w:pgMar w:left="580" w:top="616" w:right="1440" w:bottom="1440" w:gutter="0" w:footer="0" w:header="0"/>
        </w:sectPr>
      </w:pPr>
    </w:p>
    <w:bookmarkStart w:id="620" w:name="page621"/>
    <w:bookmarkEnd w:id="620"/>
    <w:p>
      <w:pPr>
        <w:ind w:right="3519"/>
        <w:spacing w:after="0" w:line="251" w:lineRule="auto"/>
        <w:rPr>
          <w:sz w:val="20"/>
          <w:szCs w:val="20"/>
          <w:color w:val="auto"/>
        </w:rPr>
      </w:pPr>
      <w:r>
        <w:rPr>
          <w:rFonts w:ascii="Courier New" w:cs="Courier New" w:eastAsia="Courier New" w:hAnsi="Courier New"/>
          <w:sz w:val="14"/>
          <w:szCs w:val="14"/>
          <w:color w:val="auto"/>
        </w:rPr>
        <w:t>thereon, if any, for all Real Property. The Real Property has access, sufficient for the conduct of the business of Holiman as now conducted or as presently proposed to be conducted, to public roads and to all utilities, including electricity, sanitary and storm sewer, potable water, natural gas and other utilities, used in the operation of the business of Holiman at that location.</w:t>
      </w:r>
    </w:p>
    <w:p>
      <w:pPr>
        <w:spacing w:after="0" w:line="164" w:lineRule="exact"/>
        <w:rPr>
          <w:sz w:val="20"/>
          <w:szCs w:val="20"/>
          <w:color w:val="auto"/>
        </w:rPr>
      </w:pPr>
    </w:p>
    <w:p>
      <w:pPr>
        <w:ind w:right="3519" w:firstLine="854"/>
        <w:spacing w:after="0" w:line="251" w:lineRule="auto"/>
        <w:tabs>
          <w:tab w:leader="none" w:pos="1550" w:val="left"/>
        </w:tabs>
        <w:numPr>
          <w:ilvl w:val="1"/>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leases for the Leased Property (the "Leases") are in full force and effect, and Holiman holds a valid and existing leasehold interest under each of the Leases for the term set forth in the Disclosure Schedule. Holiman has delivered to Exmark complete and accurate copies of each of the Leases, and none of the Leases has been modified in any respect, except to the extent that such modifications are disclosed by the copies delivered to Exmark. Except as set forth in the Disclosure Schedule, Holiman is not in default, and to the knowledge of Holiman no circumstances exist which, if unremedied, would, either with or without notice or the passage of time or both, result in such default under any of the Leases; nor to the knowledge of Holiman is any other party to any of the Leases in default.</w:t>
      </w:r>
    </w:p>
    <w:p>
      <w:pPr>
        <w:spacing w:after="0" w:line="162" w:lineRule="exact"/>
        <w:rPr>
          <w:rFonts w:ascii="Courier New" w:cs="Courier New" w:eastAsia="Courier New" w:hAnsi="Courier New"/>
          <w:sz w:val="14"/>
          <w:szCs w:val="14"/>
          <w:color w:val="auto"/>
        </w:rPr>
      </w:pPr>
    </w:p>
    <w:p>
      <w:pPr>
        <w:ind w:right="3419" w:firstLine="854"/>
        <w:spacing w:after="0" w:line="251" w:lineRule="auto"/>
        <w:tabs>
          <w:tab w:leader="none" w:pos="1550" w:val="left"/>
        </w:tabs>
        <w:numPr>
          <w:ilvl w:val="1"/>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owns good and marketable title to each of the tangible properties and tangible assets reflected on the Latest Balance Sheet or acquired since the date thereof, free and clear of all liens and encumbrances, except for (A) liens for current Taxes not yet due and payable, (B) liens set forth in the Disclosure Schedule, (C) the properties subject to the Leases, (D) assets disposed of since the date of the Holiman Latest Balance Sheet in the ordinary course of business, (E) liens imposed by law and incurred in the ordinary course of business for obligations not yet due to carriers, warehousemen, laborers and materialmen and (F) liens in respect of pledges or deposits under workers' compensation laws, all of which liens aggregate less than $25,000.</w:t>
      </w:r>
    </w:p>
    <w:p>
      <w:pPr>
        <w:spacing w:after="0" w:line="163" w:lineRule="exact"/>
        <w:rPr>
          <w:rFonts w:ascii="Courier New" w:cs="Courier New" w:eastAsia="Courier New" w:hAnsi="Courier New"/>
          <w:sz w:val="14"/>
          <w:szCs w:val="14"/>
          <w:color w:val="auto"/>
        </w:rPr>
      </w:pPr>
    </w:p>
    <w:p>
      <w:pPr>
        <w:ind w:right="3519" w:firstLine="854"/>
        <w:spacing w:after="0" w:line="251" w:lineRule="auto"/>
        <w:tabs>
          <w:tab w:leader="none" w:pos="1550" w:val="left"/>
        </w:tabs>
        <w:numPr>
          <w:ilvl w:val="1"/>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buildings, machinery, vehicles, equipment and other tangible assets necessary for the conduct of the business of Holiman are in good condition and repair, ordinary wear and tear excepted, and are usable in the ordinary course of business. There are no defects in such assets or other conditions relating thereto which adversely affect the operation or value of such assets. Holiman owns or leases under valid leases, all buildings, machinery, equipment and other tangible assets necessary for the conduct of its business as presently conducted, except for defects of title that do not materially affect the use of such assets by Holiman and except for such assets that can be purchased or leased for nominal consideration.</w:t>
      </w:r>
    </w:p>
    <w:p>
      <w:pPr>
        <w:spacing w:after="0" w:line="163" w:lineRule="exact"/>
        <w:rPr>
          <w:rFonts w:ascii="Courier New" w:cs="Courier New" w:eastAsia="Courier New" w:hAnsi="Courier New"/>
          <w:sz w:val="14"/>
          <w:szCs w:val="14"/>
          <w:color w:val="auto"/>
        </w:rPr>
      </w:pPr>
    </w:p>
    <w:p>
      <w:pPr>
        <w:ind w:left="-360" w:right="3339" w:firstLine="784"/>
        <w:spacing w:after="0" w:line="251" w:lineRule="auto"/>
        <w:tabs>
          <w:tab w:leader="none" w:pos="846" w:val="left"/>
        </w:tabs>
        <w:numPr>
          <w:ilvl w:val="0"/>
          <w:numId w:val="6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The accounts receivable reflected on the Holiman Latest Balance Sheet and those arising thereafter are valid receivables, are not subject to valid counterclaims or set-offs, and are collectible in accordance with their terms, except to the extent of the bad debt reserve reflected on the Holiman Latest Balance Sheet.</w:t>
      </w:r>
    </w:p>
    <w:p>
      <w:pPr>
        <w:spacing w:after="0" w:line="33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79"/>
          </w:cols>
          <w:pgMar w:left="580" w:top="615" w:right="1440" w:bottom="1440" w:gutter="0" w:footer="0" w:header="0"/>
        </w:sectPr>
      </w:pPr>
    </w:p>
    <w:bookmarkStart w:id="621" w:name="page622"/>
    <w:bookmarkEnd w:id="621"/>
    <w:p>
      <w:pPr>
        <w:ind w:left="436" w:hanging="436"/>
        <w:spacing w:after="0"/>
        <w:tabs>
          <w:tab w:leader="none" w:pos="436"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MATTERS.</w:t>
      </w:r>
    </w:p>
    <w:p>
      <w:pPr>
        <w:spacing w:after="0" w:line="172" w:lineRule="exact"/>
        <w:rPr>
          <w:rFonts w:ascii="Courier New" w:cs="Courier New" w:eastAsia="Courier New" w:hAnsi="Courier New"/>
          <w:sz w:val="14"/>
          <w:szCs w:val="14"/>
          <w:color w:val="auto"/>
        </w:rPr>
      </w:pPr>
    </w:p>
    <w:p>
      <w:pPr>
        <w:ind w:left="-424" w:right="3419" w:firstLine="854"/>
        <w:spacing w:after="0" w:line="250" w:lineRule="auto"/>
        <w:tabs>
          <w:tab w:leader="none" w:pos="1127" w:val="left"/>
        </w:tabs>
        <w:numPr>
          <w:ilvl w:val="1"/>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Holiman and any affiliated, combined or unitary group of which Holiman is or was a member, any predecessor of Holiman and any Plans (as defined in Section 3(q) hereof), as the case may be (each, a "Tax Affiliate" and, collectively, the "Tax Affiliates"), has: (A) timely filed (or has had timely filed on its behalf) all returns, declarations, reports, estimates, information returns, and statements ("Returns") required to be filed or sent by it in respect of any Taxes (as defined in Section 3(l)(xi) hereof) or required to be filed or sent by it by any taxing authority having jurisdiction and all such Returns are true and correct in all material respects; (B) timely and properly paid (or has had paid on its behalf) all Taxes due and payable with respect to the periods covered by such Returns; (C) established on its Latest Balance Sheet, in accordance with GAAP, reserves that are adequate for the payment of any Taxes not yet due and payable for all Tax periods or portions thereof ending on, prior to, or including the Closing Date, the amount of which as of the date of the Latest Balance Sheet is set forth in the Disclosure Schedule; and (D) complied with all applicable laws, rules, and regulations relating to the withholding of Taxes and the payment thereof (including, without limitation, withholding of Taxes under Sections 1441 and 1442 of the Code, or similar provisions under any foreign laws), and timely and properly withheld from individual employee wages or other payments to employees and paid over to the proper governmental authorities all amounts required to be so withheld and paid over under all applicable laws. Since the incorporation of Holiman, all of the compensation paid to Smith was "reasonable allowance for salaries or other compensation" within the meaning of Section 162(a)(1) of the Code and was fully deductible by Holiman. True and correct copies of any and all Returns filed by any Tax Affiliate have been provided to Exmark.</w:t>
      </w:r>
    </w:p>
    <w:p>
      <w:pPr>
        <w:spacing w:after="0" w:line="343" w:lineRule="exact"/>
        <w:rPr>
          <w:rFonts w:ascii="Courier New" w:cs="Courier New" w:eastAsia="Courier New" w:hAnsi="Courier New"/>
          <w:sz w:val="14"/>
          <w:szCs w:val="14"/>
          <w:color w:val="auto"/>
        </w:rPr>
      </w:pPr>
    </w:p>
    <w:p>
      <w:pPr>
        <w:ind w:left="-424" w:right="3599" w:firstLine="854"/>
        <w:spacing w:after="0" w:line="252" w:lineRule="auto"/>
        <w:tabs>
          <w:tab w:leader="none" w:pos="1127" w:val="left"/>
        </w:tabs>
        <w:numPr>
          <w:ilvl w:val="1"/>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liens for Taxes upon any assets of Holiman or of any Tax Affiliate, except liens for Taxes not yet due. Holiman is not a party to any tax sharing agreement or other arrangement for the payment or reimbursement of Taxes.</w:t>
      </w:r>
    </w:p>
    <w:p>
      <w:pPr>
        <w:spacing w:after="0" w:line="162" w:lineRule="exact"/>
        <w:rPr>
          <w:rFonts w:ascii="Courier New" w:cs="Courier New" w:eastAsia="Courier New" w:hAnsi="Courier New"/>
          <w:sz w:val="14"/>
          <w:szCs w:val="14"/>
          <w:color w:val="auto"/>
        </w:rPr>
      </w:pPr>
    </w:p>
    <w:p>
      <w:pPr>
        <w:ind w:left="-424" w:right="3419" w:firstLine="854"/>
        <w:spacing w:after="0" w:line="251" w:lineRule="auto"/>
        <w:tabs>
          <w:tab w:leader="none" w:pos="1127" w:val="left"/>
        </w:tabs>
        <w:numPr>
          <w:ilvl w:val="1"/>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deficiency for any Taxes has been proposed, asserted or assessed against Holiman or the Tax Affiliates that has not been resolved and paid in full. No waiver, extension or comparable consent given by Holiman or the Tax Affiliates regarding the application of the statute of limitations with respect to any Taxes or Returns is outstanding, nor is any request for any such waiver or consent pending. There has been no Tax audit or other administrative proceeding or court proceeding with regard to any Taxes or Returns, nor is any such Tax audit or other proceeding pending, nor has there been any notice to Holiman by any Taxing authority regarding any such Tax, audit or other proceeding, nor, to the best knowledge of Holiman, is any such Tax audit or other proceeding threatened with regard to any Taxes or Returns. Holiman does not expect the assessment of any additional Taxes of Holiman or the Tax Affiliates and is not aware of any</w:t>
      </w:r>
    </w:p>
    <w:p>
      <w:pPr>
        <w:spacing w:after="0" w:line="200" w:lineRule="exact"/>
        <w:rPr>
          <w:sz w:val="20"/>
          <w:szCs w:val="20"/>
          <w:color w:val="auto"/>
        </w:rPr>
      </w:pPr>
    </w:p>
    <w:p>
      <w:pPr>
        <w:spacing w:after="0" w:line="294"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456"/>
          </w:cols>
          <w:pgMar w:left="1004" w:top="616" w:right="1440" w:bottom="1440" w:gutter="0" w:footer="0" w:header="0"/>
        </w:sectPr>
      </w:pPr>
    </w:p>
    <w:bookmarkStart w:id="622" w:name="page623"/>
    <w:bookmarkEnd w:id="622"/>
    <w:p>
      <w:pPr>
        <w:jc w:val="both"/>
        <w:ind w:right="3419"/>
        <w:spacing w:after="0" w:line="252" w:lineRule="auto"/>
        <w:rPr>
          <w:sz w:val="20"/>
          <w:szCs w:val="20"/>
          <w:color w:val="auto"/>
        </w:rPr>
      </w:pPr>
      <w:r>
        <w:rPr>
          <w:rFonts w:ascii="Courier New" w:cs="Courier New" w:eastAsia="Courier New" w:hAnsi="Courier New"/>
          <w:sz w:val="14"/>
          <w:szCs w:val="14"/>
          <w:color w:val="auto"/>
        </w:rPr>
        <w:t>unresolved questions, claims or disputes concerning the liability for Taxes of Holiman or the Tax Affiliates which would exceed the estimated reserves established on its books and records.</w:t>
      </w:r>
    </w:p>
    <w:p>
      <w:pPr>
        <w:spacing w:after="0" w:line="163" w:lineRule="exact"/>
        <w:rPr>
          <w:sz w:val="20"/>
          <w:szCs w:val="20"/>
          <w:color w:val="auto"/>
        </w:rPr>
      </w:pPr>
    </w:p>
    <w:p>
      <w:pPr>
        <w:ind w:right="3419" w:firstLine="854"/>
        <w:spacing w:after="0" w:line="251" w:lineRule="auto"/>
        <w:tabs>
          <w:tab w:leader="none" w:pos="155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Holiman nor any Tax Affiliate is a party to any agreement, contract or arrangement that would result, separately or in the aggregate, in the payment of any "excess parachute payments" within the meaning of Section 280G of the Code and the consummation of the transactions contemplated by this Agreement will not be a factor causing payments to be made by Holiman or any Tax Affiliate that are not deductible (in whole or in part) under Section 280G of the Code.</w:t>
      </w:r>
    </w:p>
    <w:p>
      <w:pPr>
        <w:spacing w:after="0" w:line="164" w:lineRule="exact"/>
        <w:rPr>
          <w:rFonts w:ascii="Courier New" w:cs="Courier New" w:eastAsia="Courier New" w:hAnsi="Courier New"/>
          <w:sz w:val="14"/>
          <w:szCs w:val="14"/>
          <w:color w:val="auto"/>
        </w:rPr>
      </w:pPr>
    </w:p>
    <w:p>
      <w:pPr>
        <w:ind w:right="3599" w:firstLine="854"/>
        <w:spacing w:after="0" w:line="252" w:lineRule="auto"/>
        <w:tabs>
          <w:tab w:leader="none" w:pos="155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Holiman nor any Tax Affiliate has requested any extension of time within which to file any Return, which Return has not since been filed.</w:t>
      </w:r>
    </w:p>
    <w:p>
      <w:pPr>
        <w:spacing w:after="0" w:line="162" w:lineRule="exact"/>
        <w:rPr>
          <w:rFonts w:ascii="Courier New" w:cs="Courier New" w:eastAsia="Courier New" w:hAnsi="Courier New"/>
          <w:sz w:val="14"/>
          <w:szCs w:val="14"/>
          <w:color w:val="auto"/>
        </w:rPr>
      </w:pPr>
    </w:p>
    <w:p>
      <w:pPr>
        <w:ind w:right="3419" w:firstLine="854"/>
        <w:spacing w:after="0" w:line="251" w:lineRule="auto"/>
        <w:tabs>
          <w:tab w:leader="none" w:pos="155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property of Holiman or any Tax Affiliate is property that Holiman or any Tax Affiliates is or will be required to treat as being owned by another person under the provisions of Section 168(f)(8) of the Code (as in effect prior to amendment by the Tax Reform Act of 1986) or is "tax-exempt use property" within the meaning of Section 168 of the Code.</w:t>
      </w:r>
    </w:p>
    <w:p>
      <w:pPr>
        <w:spacing w:after="0" w:line="164" w:lineRule="exact"/>
        <w:rPr>
          <w:rFonts w:ascii="Courier New" w:cs="Courier New" w:eastAsia="Courier New" w:hAnsi="Courier New"/>
          <w:sz w:val="14"/>
          <w:szCs w:val="14"/>
          <w:color w:val="auto"/>
        </w:rPr>
      </w:pPr>
    </w:p>
    <w:p>
      <w:pPr>
        <w:ind w:right="3419" w:firstLine="854"/>
        <w:spacing w:after="0" w:line="251" w:lineRule="auto"/>
        <w:tabs>
          <w:tab w:leader="none" w:pos="155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Holiman nor any Tax Affiliate is required to include in income any adjustment under Section 481(a) of the Code by reason of a voluntary change in accounting method initiated by Holiman or any Tax Affiliate as a result of the Tax Reform Act of 1986 and neither Holiman nor any Tax Affiliate has knowledge that the Internal Revenue Service has proposed any such adjustment or change in accounting method.</w:t>
      </w:r>
    </w:p>
    <w:p>
      <w:pPr>
        <w:spacing w:after="0" w:line="164" w:lineRule="exact"/>
        <w:rPr>
          <w:rFonts w:ascii="Courier New" w:cs="Courier New" w:eastAsia="Courier New" w:hAnsi="Courier New"/>
          <w:sz w:val="14"/>
          <w:szCs w:val="14"/>
          <w:color w:val="auto"/>
        </w:rPr>
      </w:pPr>
    </w:p>
    <w:p>
      <w:pPr>
        <w:ind w:right="3419" w:firstLine="854"/>
        <w:spacing w:after="0" w:line="251" w:lineRule="auto"/>
        <w:tabs>
          <w:tab w:leader="none" w:pos="155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transactions that could give rise to an understatement of federal income tax (within the meaning of Section 6661 of the Code as it applied prior to repeal) or an underpayment of tax (within the meaning of Section 6662 of the Code) were reported in a manner for which there is substantial authority or were adequately disclosed (or, with respect to Returns filed before the Effective Time, will be reported in such a manner or adequately disclosed) on the Returns required in accordance with Sections 6661(b)(2)(B) and 6662(d)(2)(B) of the Code.</w:t>
      </w:r>
    </w:p>
    <w:p>
      <w:pPr>
        <w:spacing w:after="0" w:line="163" w:lineRule="exact"/>
        <w:rPr>
          <w:rFonts w:ascii="Courier New" w:cs="Courier New" w:eastAsia="Courier New" w:hAnsi="Courier New"/>
          <w:sz w:val="14"/>
          <w:szCs w:val="14"/>
          <w:color w:val="auto"/>
        </w:rPr>
      </w:pPr>
    </w:p>
    <w:p>
      <w:pPr>
        <w:ind w:right="3419" w:firstLine="854"/>
        <w:spacing w:after="0" w:line="251" w:lineRule="auto"/>
        <w:tabs>
          <w:tab w:leader="none" w:pos="155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Holiman nor any Tax Affiliate has engaged in any transaction that would result in a deemed election under Section 338(e) of the Code, and neither Holiman nor any Tax Affiliate will engage in any such transaction within any applicable "consistency period" (as such term is defined in Section 338 of the Code).</w:t>
      </w:r>
    </w:p>
    <w:p>
      <w:pPr>
        <w:spacing w:after="0" w:line="164" w:lineRule="exact"/>
        <w:rPr>
          <w:rFonts w:ascii="Courier New" w:cs="Courier New" w:eastAsia="Courier New" w:hAnsi="Courier New"/>
          <w:sz w:val="14"/>
          <w:szCs w:val="14"/>
          <w:color w:val="auto"/>
        </w:rPr>
      </w:pPr>
    </w:p>
    <w:p>
      <w:pPr>
        <w:ind w:right="3939" w:firstLine="854"/>
        <w:spacing w:after="0" w:line="255" w:lineRule="auto"/>
        <w:tabs>
          <w:tab w:leader="none" w:pos="155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Holiman nor any Tax Affiliate has filed any consent under Section 341(f) of the Code.</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79"/>
          </w:cols>
          <w:pgMar w:left="580" w:top="615" w:right="1440" w:bottom="1440" w:gutter="0" w:footer="0" w:header="0"/>
        </w:sectPr>
      </w:pPr>
    </w:p>
    <w:bookmarkStart w:id="623" w:name="page624"/>
    <w:bookmarkEnd w:id="623"/>
    <w:p>
      <w:pPr>
        <w:ind w:left="7" w:right="3519" w:firstLine="854"/>
        <w:spacing w:after="0" w:line="251" w:lineRule="auto"/>
        <w:tabs>
          <w:tab w:leader="none" w:pos="1558" w:val="left"/>
        </w:tabs>
        <w:numPr>
          <w:ilvl w:val="2"/>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"Taxes" means all taxes, charges, fees, levies, or other assessments, including, without limitation, all net income, gross income, gross receipts, sales, use, ad valorem, transfer, franchise, profits, license, withholding, payroll, employment, social security, unemployment, excise, estimated, severance, stamp, occupation, property, or other taxes, customs duties, fees, assessments, or charges of any kind whatsoever, including, without limitation, all interest and penalties thereon, and additions to tax or additional amounts imposed by any taxing authority, domestic or foreign, upon Holiman or any Tax Affiliate.</w:t>
      </w:r>
    </w:p>
    <w:p>
      <w:pPr>
        <w:spacing w:after="0" w:line="163" w:lineRule="exact"/>
        <w:rPr>
          <w:rFonts w:ascii="Courier New" w:cs="Courier New" w:eastAsia="Courier New" w:hAnsi="Courier New"/>
          <w:sz w:val="14"/>
          <w:szCs w:val="14"/>
          <w:color w:val="auto"/>
        </w:rPr>
      </w:pPr>
    </w:p>
    <w:p>
      <w:pPr>
        <w:ind w:left="867" w:hanging="436"/>
        <w:spacing w:after="0"/>
        <w:tabs>
          <w:tab w:leader="none" w:pos="867" w:val="left"/>
        </w:tabs>
        <w:numPr>
          <w:ilvl w:val="1"/>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AND COMMITMENTS.</w:t>
      </w:r>
    </w:p>
    <w:p>
      <w:pPr>
        <w:spacing w:after="0" w:line="172" w:lineRule="exact"/>
        <w:rPr>
          <w:rFonts w:ascii="Courier New" w:cs="Courier New" w:eastAsia="Courier New" w:hAnsi="Courier New"/>
          <w:sz w:val="14"/>
          <w:szCs w:val="14"/>
          <w:color w:val="auto"/>
        </w:rPr>
      </w:pPr>
    </w:p>
    <w:p>
      <w:pPr>
        <w:ind w:left="7" w:right="3419" w:firstLine="854"/>
        <w:spacing w:after="0" w:line="250" w:lineRule="auto"/>
        <w:tabs>
          <w:tab w:leader="none" w:pos="1558" w:val="left"/>
        </w:tabs>
        <w:numPr>
          <w:ilvl w:val="2"/>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 oral or written, to which Holiman is a party or by which Holiman or its assets are bound: (A) collective bargaining agreement or contract with any labor union; (B) bonus, pension, profit sharing, retirement or other form of deferred compensation plan; (C) hospitalization insurance or other welfare benefit plan or practice, whether formal or informal; (D) stock purchase or stock option plan; (E) contract for the employment of any officer, individual employee or other person on a full-time or consulting basis or relating to severance pay for any such person; (F) confidentiality agreement with employees and with consultants, vendors, customers or other third parties; (G) contract, agreement or understanding relating to the voting of Holiman's capital stock or the election of directors of Holiman;</w:t>
      </w:r>
    </w:p>
    <w:p>
      <w:pPr>
        <w:spacing w:after="0" w:line="5" w:lineRule="exact"/>
        <w:rPr>
          <w:rFonts w:ascii="Courier New" w:cs="Courier New" w:eastAsia="Courier New" w:hAnsi="Courier New"/>
          <w:sz w:val="14"/>
          <w:szCs w:val="14"/>
          <w:color w:val="auto"/>
        </w:rPr>
      </w:pPr>
    </w:p>
    <w:p>
      <w:pPr>
        <w:ind w:left="7" w:right="3679" w:hanging="7"/>
        <w:spacing w:after="0" w:line="250" w:lineRule="auto"/>
        <w:tabs>
          <w:tab w:leader="none" w:pos="352"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or indenture relating to the borrowing of money or to mortgaging, pledging or otherwise placing a lien on any of the assets of Holiman; (I) guaranty of any obligation for borrowed money or otherwise;</w:t>
      </w:r>
    </w:p>
    <w:p>
      <w:pPr>
        <w:spacing w:after="0" w:line="1" w:lineRule="exact"/>
        <w:rPr>
          <w:rFonts w:ascii="Courier New" w:cs="Courier New" w:eastAsia="Courier New" w:hAnsi="Courier New"/>
          <w:sz w:val="14"/>
          <w:szCs w:val="14"/>
          <w:color w:val="auto"/>
        </w:rPr>
      </w:pPr>
    </w:p>
    <w:p>
      <w:pPr>
        <w:ind w:left="7" w:right="3519" w:hanging="7"/>
        <w:spacing w:after="0" w:line="250" w:lineRule="auto"/>
        <w:tabs>
          <w:tab w:leader="none" w:pos="352" w:val="left"/>
        </w:tabs>
        <w:numPr>
          <w:ilvl w:val="0"/>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or agreement under which it is lessee of, or holds or operates any property, real or personal, owned by any other party; (K) lease or agreement under which it is lessor of, or permits any third party to hold or operate, any property, real or personal, for which the annual rental exceeds $10,000 (L) contract or group of related contracts with the same party (other than any contract or group of related contracts for the purchase or sale of products or services) continuing over a period of more than six months from the date or dates thereof, not terminable by it on 30 days' or less notice without penalty and involving more than $10,000;</w:t>
      </w:r>
    </w:p>
    <w:p>
      <w:pPr>
        <w:spacing w:after="0" w:line="3" w:lineRule="exact"/>
        <w:rPr>
          <w:rFonts w:ascii="Courier New" w:cs="Courier New" w:eastAsia="Courier New" w:hAnsi="Courier New"/>
          <w:sz w:val="14"/>
          <w:szCs w:val="14"/>
          <w:color w:val="auto"/>
        </w:rPr>
      </w:pPr>
    </w:p>
    <w:p>
      <w:pPr>
        <w:ind w:left="7" w:right="3679" w:hanging="7"/>
        <w:spacing w:after="0" w:line="250" w:lineRule="auto"/>
        <w:tabs>
          <w:tab w:leader="none" w:pos="352" w:val="left"/>
        </w:tabs>
        <w:numPr>
          <w:ilvl w:val="0"/>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which prohibits Holiman from freely engaging in business anywhere in the world; (N) contract for the distribution of products through or in conjunction with Holiman (including any distributor, sales and original equipment manufacturer contract); (O) franchise agreement;</w:t>
      </w:r>
    </w:p>
    <w:p>
      <w:pPr>
        <w:spacing w:after="0" w:line="1" w:lineRule="exact"/>
        <w:rPr>
          <w:rFonts w:ascii="Courier New" w:cs="Courier New" w:eastAsia="Courier New" w:hAnsi="Courier New"/>
          <w:sz w:val="14"/>
          <w:szCs w:val="14"/>
          <w:color w:val="auto"/>
        </w:rPr>
      </w:pPr>
    </w:p>
    <w:p>
      <w:pPr>
        <w:ind w:left="7" w:right="3519" w:hanging="7"/>
        <w:spacing w:after="0" w:line="250" w:lineRule="auto"/>
        <w:tabs>
          <w:tab w:leader="none" w:pos="352"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agreement or agreement providing for the payment or receipt of royalties or other compensation by Holiman in connection with the intellectual property rights set forth in the Disclosure Schedule;</w:t>
      </w:r>
    </w:p>
    <w:p>
      <w:pPr>
        <w:spacing w:after="0" w:line="1" w:lineRule="exact"/>
        <w:rPr>
          <w:rFonts w:ascii="Courier New" w:cs="Courier New" w:eastAsia="Courier New" w:hAnsi="Courier New"/>
          <w:sz w:val="14"/>
          <w:szCs w:val="14"/>
          <w:color w:val="auto"/>
        </w:rPr>
      </w:pPr>
    </w:p>
    <w:p>
      <w:pPr>
        <w:ind w:left="347" w:hanging="347"/>
        <w:spacing w:after="0"/>
        <w:tabs>
          <w:tab w:leader="none" w:pos="347"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or commitment for capital expenditures in excess of $10,000,</w:t>
      </w:r>
    </w:p>
    <w:p>
      <w:pPr>
        <w:spacing w:after="0" w:line="7" w:lineRule="exact"/>
        <w:rPr>
          <w:rFonts w:ascii="Courier New" w:cs="Courier New" w:eastAsia="Courier New" w:hAnsi="Courier New"/>
          <w:sz w:val="14"/>
          <w:szCs w:val="14"/>
          <w:color w:val="auto"/>
        </w:rPr>
      </w:pPr>
    </w:p>
    <w:p>
      <w:pPr>
        <w:ind w:left="7" w:right="3419" w:hanging="7"/>
        <w:spacing w:after="0" w:line="251" w:lineRule="auto"/>
        <w:tabs>
          <w:tab w:leader="none" w:pos="352"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for the sale of any capital asset; (S) contract with any affiliate which in any way relates to Holiman (other than for employment on customary terms); or (T) other agreement which is either material to the business of Holiman or was not entered into in the ordinary course of business (other than agreements required to be listed in the Disclosure Schedule).</w:t>
      </w:r>
    </w:p>
    <w:p>
      <w:pPr>
        <w:spacing w:after="0" w:line="330"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886"/>
          </w:cols>
          <w:pgMar w:left="573" w:top="616" w:right="1440" w:bottom="1440" w:gutter="0" w:footer="0" w:header="0"/>
        </w:sectPr>
      </w:pPr>
    </w:p>
    <w:bookmarkStart w:id="624" w:name="page625"/>
    <w:bookmarkEnd w:id="624"/>
    <w:p>
      <w:pPr>
        <w:ind w:left="-424" w:right="3419" w:firstLine="854"/>
        <w:spacing w:after="0" w:line="250" w:lineRule="auto"/>
        <w:tabs>
          <w:tab w:leader="none" w:pos="1127" w:val="left"/>
        </w:tabs>
        <w:numPr>
          <w:ilvl w:val="1"/>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 oral or written, to which Holiman is a party or by which Holiman or its assets are bound: (A) contract or group of related contracts with the same party for the purchase of products or services by Holiman under which the undelivered balance of such products or services is in excess of $10,000; (B) contract or group of related contracts with the same party for the sale of products or services by Holiman under which the undelivered balance of such products or services (including, without limitation, any free upgrades or ongoing services) has a sales price in excess of $10,000; and (C) sales agreement or other customer commitment (other than the standard form of purchase order) which entitles any purchaser to a rebate from or right of set-off against Holiman, to return any product to Holiman after acceptance thereof or to delay the acceptance thereof, to receive future services, upgrades or enhancements, or which varies in any material respect from Holiman's standard form agreements for sales.</w:t>
      </w:r>
    </w:p>
    <w:p>
      <w:pPr>
        <w:spacing w:after="0" w:line="172" w:lineRule="exact"/>
        <w:rPr>
          <w:rFonts w:ascii="Courier New" w:cs="Courier New" w:eastAsia="Courier New" w:hAnsi="Courier New"/>
          <w:sz w:val="14"/>
          <w:szCs w:val="14"/>
          <w:color w:val="auto"/>
        </w:rPr>
      </w:pPr>
    </w:p>
    <w:p>
      <w:pPr>
        <w:ind w:left="-424" w:right="3419" w:firstLine="854"/>
        <w:spacing w:after="0" w:line="251" w:lineRule="auto"/>
        <w:tabs>
          <w:tab w:leader="none" w:pos="1127" w:val="left"/>
        </w:tabs>
        <w:numPr>
          <w:ilvl w:val="1"/>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performed all material obligations required to be performed through the date hereof by it in connection with the contracts or commitments required to be disclosed in the Disclosure Schedule and has not been notified of any claim of default under any contract or commitment required to be disclosed in the Disclosure Schedule; Holiman has no present expectation or intention of not fully performing any material obligation pursuant to any contract or commitment required to be disclosed thereunder; and Holiman has no knowledge of any breach or anticipated breach by any other party to any contract or commitment required to be disclosed in the Disclosure Schedule.</w:t>
      </w:r>
    </w:p>
    <w:p>
      <w:pPr>
        <w:spacing w:after="0" w:line="163" w:lineRule="exact"/>
        <w:rPr>
          <w:rFonts w:ascii="Courier New" w:cs="Courier New" w:eastAsia="Courier New" w:hAnsi="Courier New"/>
          <w:sz w:val="14"/>
          <w:szCs w:val="14"/>
          <w:color w:val="auto"/>
        </w:rPr>
      </w:pPr>
    </w:p>
    <w:p>
      <w:pPr>
        <w:ind w:left="-424" w:right="3519" w:firstLine="854"/>
        <w:spacing w:after="0" w:line="252" w:lineRule="auto"/>
        <w:tabs>
          <w:tab w:leader="none" w:pos="1127" w:val="left"/>
        </w:tabs>
        <w:numPr>
          <w:ilvl w:val="1"/>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of this Agreement, Exmark has been provided with a correct and complete copy of each written contract or commitment referred to in the Disclosure Schedule, together with all known amendments, waivers or other changes thereto.</w:t>
      </w:r>
    </w:p>
    <w:p>
      <w:pPr>
        <w:spacing w:after="0" w:line="162" w:lineRule="exact"/>
        <w:rPr>
          <w:rFonts w:ascii="Courier New" w:cs="Courier New" w:eastAsia="Courier New" w:hAnsi="Courier New"/>
          <w:sz w:val="14"/>
          <w:szCs w:val="14"/>
          <w:color w:val="auto"/>
        </w:rPr>
      </w:pPr>
    </w:p>
    <w:p>
      <w:pPr>
        <w:ind w:left="436" w:hanging="436"/>
        <w:spacing w:after="0"/>
        <w:tabs>
          <w:tab w:leader="none" w:pos="436"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RIGHTS.</w:t>
      </w:r>
    </w:p>
    <w:p>
      <w:pPr>
        <w:spacing w:after="0" w:line="172" w:lineRule="exact"/>
        <w:rPr>
          <w:rFonts w:ascii="Courier New" w:cs="Courier New" w:eastAsia="Courier New" w:hAnsi="Courier New"/>
          <w:sz w:val="14"/>
          <w:szCs w:val="14"/>
          <w:color w:val="auto"/>
        </w:rPr>
      </w:pPr>
    </w:p>
    <w:p>
      <w:pPr>
        <w:ind w:left="-424" w:right="3419" w:firstLine="854"/>
        <w:spacing w:after="0" w:line="252" w:lineRule="auto"/>
        <w:tabs>
          <w:tab w:leader="none" w:pos="1127" w:val="left"/>
        </w:tabs>
        <w:numPr>
          <w:ilvl w:val="1"/>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does not own, hold or possess any patents, registrations for trademarks, service marks, trade names, copyrights or mask works, and none are necessary to the conduct of the business of Holiman as now conducted or as planned to be conducted as described herein.</w:t>
      </w:r>
    </w:p>
    <w:p>
      <w:pPr>
        <w:spacing w:after="0" w:line="162" w:lineRule="exact"/>
        <w:rPr>
          <w:rFonts w:ascii="Courier New" w:cs="Courier New" w:eastAsia="Courier New" w:hAnsi="Courier New"/>
          <w:sz w:val="14"/>
          <w:szCs w:val="14"/>
          <w:color w:val="auto"/>
        </w:rPr>
      </w:pPr>
    </w:p>
    <w:p>
      <w:pPr>
        <w:ind w:left="-424" w:right="3519" w:firstLine="854"/>
        <w:spacing w:after="0" w:line="251" w:lineRule="auto"/>
        <w:tabs>
          <w:tab w:leader="none" w:pos="1127" w:val="left"/>
        </w:tabs>
        <w:numPr>
          <w:ilvl w:val="1"/>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is not a party to any agreement granting to Holiman rights in patents, patent applications, trademarks, service marks, trade names, corporate names, copyrights, mask works, trade secrets or other intellectual property rights used in or necessary to the conduct of the business of Holiman as now conducted or as planned to be conducted as described herein.</w:t>
      </w:r>
    </w:p>
    <w:p>
      <w:pPr>
        <w:spacing w:after="0" w:line="164" w:lineRule="exact"/>
        <w:rPr>
          <w:rFonts w:ascii="Courier New" w:cs="Courier New" w:eastAsia="Courier New" w:hAnsi="Courier New"/>
          <w:sz w:val="14"/>
          <w:szCs w:val="14"/>
          <w:color w:val="auto"/>
        </w:rPr>
      </w:pPr>
    </w:p>
    <w:p>
      <w:pPr>
        <w:ind w:left="-424" w:right="3519" w:firstLine="854"/>
        <w:spacing w:after="0" w:line="252" w:lineRule="auto"/>
        <w:tabs>
          <w:tab w:leader="none" w:pos="1127" w:val="left"/>
        </w:tabs>
        <w:numPr>
          <w:ilvl w:val="1"/>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not received any notice of any infringement, misappropriation or violation by Holiman of any intellectual property rights of any</w:t>
      </w:r>
    </w:p>
    <w:p>
      <w:pPr>
        <w:spacing w:after="0" w:line="163"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456"/>
          </w:cols>
          <w:pgMar w:left="1004" w:top="616" w:right="1440" w:bottom="1440" w:gutter="0" w:footer="0" w:header="0"/>
        </w:sectPr>
      </w:pPr>
    </w:p>
    <w:bookmarkStart w:id="625" w:name="page626"/>
    <w:bookmarkEnd w:id="625"/>
    <w:p>
      <w:pPr>
        <w:ind w:right="3679"/>
        <w:spacing w:after="0" w:line="251" w:lineRule="auto"/>
        <w:rPr>
          <w:sz w:val="20"/>
          <w:szCs w:val="20"/>
          <w:color w:val="auto"/>
        </w:rPr>
      </w:pPr>
      <w:r>
        <w:rPr>
          <w:rFonts w:ascii="Courier New" w:cs="Courier New" w:eastAsia="Courier New" w:hAnsi="Courier New"/>
          <w:sz w:val="14"/>
          <w:szCs w:val="14"/>
          <w:color w:val="auto"/>
        </w:rPr>
        <w:t>third parties and Holiman, to its knowledge, has not infringed, misappropriated or otherwise violated any such intellectual property rights; and to the knowledge of Holiman, no infringement, misappropriation or violation of any intellectual property rights of any third parties has occurred or will occur with respect to products currently being sold by Holiman or with respect to the products currently under development (in their present state of development) or with respect to the conduct of the business of Holiman as now conducted.</w:t>
      </w:r>
    </w:p>
    <w:p>
      <w:pPr>
        <w:spacing w:after="0" w:line="164" w:lineRule="exact"/>
        <w:rPr>
          <w:sz w:val="20"/>
          <w:szCs w:val="20"/>
          <w:color w:val="auto"/>
        </w:rPr>
      </w:pPr>
    </w:p>
    <w:p>
      <w:pPr>
        <w:ind w:right="3519" w:firstLine="854"/>
        <w:spacing w:after="0" w:line="252" w:lineRule="auto"/>
        <w:tabs>
          <w:tab w:leader="none" w:pos="1550" w:val="left"/>
        </w:tabs>
        <w:numPr>
          <w:ilvl w:val="1"/>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not entered into any agreement restricting Holiman from selling, leasing or otherwise distributing any of its current products or products under development to any class of customers, in any geographic area, during any time period or in any segment of the market.</w:t>
      </w:r>
    </w:p>
    <w:p>
      <w:pPr>
        <w:spacing w:after="0" w:line="162" w:lineRule="exact"/>
        <w:rPr>
          <w:rFonts w:ascii="Courier New" w:cs="Courier New" w:eastAsia="Courier New" w:hAnsi="Courier New"/>
          <w:sz w:val="14"/>
          <w:szCs w:val="14"/>
          <w:color w:val="auto"/>
        </w:rPr>
      </w:pPr>
    </w:p>
    <w:p>
      <w:pPr>
        <w:ind w:right="3679" w:firstLine="854"/>
        <w:spacing w:after="0" w:line="252" w:lineRule="auto"/>
        <w:tabs>
          <w:tab w:leader="none" w:pos="1550" w:val="left"/>
        </w:tabs>
        <w:numPr>
          <w:ilvl w:val="1"/>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Holiman's knowledge, Holiman has the right to make available to Exmark all trade secrets and other confidential information entrusted to Holiman by third parties.</w:t>
      </w:r>
    </w:p>
    <w:p>
      <w:pPr>
        <w:spacing w:after="0" w:line="162" w:lineRule="exact"/>
        <w:rPr>
          <w:rFonts w:ascii="Courier New" w:cs="Courier New" w:eastAsia="Courier New" w:hAnsi="Courier New"/>
          <w:sz w:val="14"/>
          <w:szCs w:val="14"/>
          <w:color w:val="auto"/>
        </w:rPr>
      </w:pPr>
    </w:p>
    <w:p>
      <w:pPr>
        <w:ind w:left="-360" w:right="3419" w:firstLine="784"/>
        <w:spacing w:after="0" w:line="251" w:lineRule="auto"/>
        <w:tabs>
          <w:tab w:leader="none" w:pos="846"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There are no actions, suits, proceedings, orders or investigations pending or, to the best knowledge of Holiman, threatened against Holiman, at law or in equity, or before or by any federal, state, municipal or other governmental department, commission, board, bureau, agency or instrumentality, domestic or foreign, nor is there any basis therefor.</w:t>
      </w:r>
    </w:p>
    <w:p>
      <w:pPr>
        <w:spacing w:after="0" w:line="330" w:lineRule="exact"/>
        <w:rPr>
          <w:rFonts w:ascii="Courier New" w:cs="Courier New" w:eastAsia="Courier New" w:hAnsi="Courier New"/>
          <w:sz w:val="14"/>
          <w:szCs w:val="14"/>
          <w:color w:val="auto"/>
        </w:rPr>
      </w:pPr>
    </w:p>
    <w:p>
      <w:pPr>
        <w:ind w:left="-360" w:right="3339" w:firstLine="784"/>
        <w:spacing w:after="0" w:line="250" w:lineRule="auto"/>
        <w:tabs>
          <w:tab w:leader="none" w:pos="846"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(i) To the best knowledge of Holiman, no employee of Holiman and no group of the employees of Holiman has any plans to terminate his, her or their employment; (ii) Holiman has complied with all laws relating to the employment of labor, including provisions thereof relating to wages, hours, equal opportunity, collective bargaining and the payment of social security and other taxes; (iii) Holiman has no labor relations problem pending and Holiman's labor relations are satisfactory; (iv) there are no workers' compensation claims pending against Holiman nor is Holiman aware of any facts that would give rise to such a claim; and (v) no employee of Holiman is subject to any secrecy or noncompetition agreement or any other agreement or restriction of any kind that would impede in any way the ability of such employee to carry out fully all activities of such employee in furtherance of the business of Holiman. The Disclosure Schedule lists, as of the date set forth in the Disclosure Schedule, each employee of Holiman. The Disclosure Schedule also states the position, title, remuneration (including any scheduled salary or remuneration increases), date of employment and accrued vacation pay of each such employee.</w:t>
      </w:r>
    </w:p>
    <w:p>
      <w:pPr>
        <w:spacing w:after="0" w:line="172"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879"/>
          </w:cols>
          <w:pgMar w:left="580" w:top="615" w:right="1440" w:bottom="1440" w:gutter="0" w:footer="0" w:header="0"/>
        </w:sectPr>
      </w:pPr>
    </w:p>
    <w:bookmarkStart w:id="626" w:name="page627"/>
    <w:bookmarkEnd w:id="626"/>
    <w:p>
      <w:pPr>
        <w:ind w:left="7" w:right="3419" w:firstLine="854"/>
        <w:spacing w:after="0" w:line="251" w:lineRule="auto"/>
        <w:tabs>
          <w:tab w:leader="none" w:pos="1558"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this Section 3(u), "ERISA" means the Employee Retirement Income Security Act of 1974, as amended, and the term "plan" means every plan, fund, contract, program and arrangement (whether written or not) which is maintained or contributed to by Holiman for the benefit of present or former employees, including those intended to provide: (A) medical, surgical, health care, hospitalization, dental, vision, workers' compensation, life insurance, death, disability, legal services, severance, sickness or accident benefits (whether or not defined in Section 3(1) of ERISA), (B) pension, profit sharing, stock bonus, retirement, supplemental retirement or deferred compensation benefits (whether or not tax qualified and whether or not defined in Section 3(2) of ERISA), (C) bonus, incentive compensation, stock option, stock appreciation right, phantom stock or stock purchase benefits, or (D) salary continuation, unemployment, supplemental unemployment, termination pay, vacation or holiday benefits (whether or not defined in Section 3(3) of ERISA).</w:t>
      </w:r>
    </w:p>
    <w:p>
      <w:pPr>
        <w:spacing w:after="0" w:line="327" w:lineRule="exact"/>
        <w:rPr>
          <w:rFonts w:ascii="Courier New" w:cs="Courier New" w:eastAsia="Courier New" w:hAnsi="Courier New"/>
          <w:sz w:val="14"/>
          <w:szCs w:val="14"/>
          <w:color w:val="auto"/>
        </w:rPr>
      </w:pPr>
    </w:p>
    <w:p>
      <w:pPr>
        <w:ind w:left="7" w:right="3419" w:firstLine="854"/>
        <w:spacing w:after="0" w:line="250" w:lineRule="auto"/>
        <w:tabs>
          <w:tab w:leader="none" w:pos="1558"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"plan" shall include every such plan, fund, contract, program and arrangement: (A) which Holiman has committed to implement, establish, adopt or contribute to in the future, (B) for which Holiman is or may be financially liable as a result of the direct sponsor's affiliation to Holiman or its owners (whether or not such affiliation exists at the date of this Agreement and notwithstanding that the plan is not maintained by Holiman for the benefit of its employees or former employees), (C) which is in the process of terminating (but such term does not include any arrangement that has been terminated and completely wound up prior to the date of this Agreement such that Holiman has no present or potential liability with respect to such arrangement), or (D) for or with respect to which Holiman is or may become liable under any common law successor doctrine, express successor liability provisions of law, provisions of a collective bargaining agreement, labor or employment law or agreement with a predecessor employer.</w:t>
      </w:r>
    </w:p>
    <w:p>
      <w:pPr>
        <w:spacing w:after="0" w:line="172" w:lineRule="exact"/>
        <w:rPr>
          <w:rFonts w:ascii="Courier New" w:cs="Courier New" w:eastAsia="Courier New" w:hAnsi="Courier New"/>
          <w:sz w:val="14"/>
          <w:szCs w:val="14"/>
          <w:color w:val="auto"/>
        </w:rPr>
      </w:pPr>
    </w:p>
    <w:p>
      <w:pPr>
        <w:ind w:left="7" w:right="3519" w:firstLine="854"/>
        <w:spacing w:after="0" w:line="252" w:lineRule="auto"/>
        <w:tabs>
          <w:tab w:leader="none" w:pos="1558"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all plans by name and brief descriptions identifying: (A) the type of plan, (B) the funding arrangements for the plan, (C) the sponsorship of the plan, and (D) the participating employers in the plan.</w:t>
      </w:r>
    </w:p>
    <w:p>
      <w:pPr>
        <w:spacing w:after="0" w:line="162" w:lineRule="exact"/>
        <w:rPr>
          <w:rFonts w:ascii="Courier New" w:cs="Courier New" w:eastAsia="Courier New" w:hAnsi="Courier New"/>
          <w:sz w:val="14"/>
          <w:szCs w:val="14"/>
          <w:color w:val="auto"/>
        </w:rPr>
      </w:pPr>
    </w:p>
    <w:p>
      <w:pPr>
        <w:ind w:left="7" w:right="3519" w:firstLine="854"/>
        <w:spacing w:after="0" w:line="250" w:lineRule="auto"/>
        <w:tabs>
          <w:tab w:leader="none" w:pos="1558"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identified in the Disclosure Schedule is further identified on such Disclosure Schedule by reference to such one or more of the following characteristics as may apply to such plan:</w:t>
      </w:r>
    </w:p>
    <w:p>
      <w:pPr>
        <w:spacing w:after="0" w:line="1" w:lineRule="exact"/>
        <w:rPr>
          <w:rFonts w:ascii="Courier New" w:cs="Courier New" w:eastAsia="Courier New" w:hAnsi="Courier New"/>
          <w:sz w:val="14"/>
          <w:szCs w:val="14"/>
          <w:color w:val="auto"/>
        </w:rPr>
      </w:pPr>
    </w:p>
    <w:p>
      <w:pPr>
        <w:ind w:left="7" w:right="3519" w:hanging="7"/>
        <w:spacing w:after="0" w:line="250" w:lineRule="auto"/>
        <w:tabs>
          <w:tab w:leader="none" w:pos="352"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contribution plan as defined in Section 3(34) of ERISA or Section 414(i) of the Code, (B) defined benefit plan as defined in Section 3(35) of ERISA or Section 414(j) of the Code, (C) plan which is or is intended to be tax qualified under Section 401(a) or 403(a) of the Code,</w:t>
      </w:r>
    </w:p>
    <w:p>
      <w:pPr>
        <w:spacing w:after="0" w:line="1" w:lineRule="exact"/>
        <w:rPr>
          <w:rFonts w:ascii="Courier New" w:cs="Courier New" w:eastAsia="Courier New" w:hAnsi="Courier New"/>
          <w:sz w:val="14"/>
          <w:szCs w:val="14"/>
          <w:color w:val="auto"/>
        </w:rPr>
      </w:pPr>
    </w:p>
    <w:p>
      <w:pPr>
        <w:ind w:left="7" w:right="3419" w:hanging="7"/>
        <w:spacing w:after="0" w:line="252" w:lineRule="auto"/>
        <w:tabs>
          <w:tab w:leader="none" w:pos="352" w:val="left"/>
        </w:tabs>
        <w:numPr>
          <w:ilvl w:val="0"/>
          <w:numId w:val="6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which is or is intended to be an employee stock ownership plan as defined in Section 4975(e)(7) of the Code (and whether or not such plan has entered into an exempt loan), (E) nonqualified deferred compensation arrangement, (F) employee</w:t>
      </w:r>
    </w:p>
    <w:p>
      <w:pPr>
        <w:spacing w:after="0" w:line="328"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886"/>
          </w:cols>
          <w:pgMar w:left="573" w:top="616" w:right="1440" w:bottom="1440" w:gutter="0" w:footer="0" w:header="0"/>
        </w:sectPr>
      </w:pPr>
    </w:p>
    <w:bookmarkStart w:id="627" w:name="page628"/>
    <w:bookmarkEnd w:id="627"/>
    <w:p>
      <w:pPr>
        <w:ind w:left="7" w:right="3419"/>
        <w:spacing w:after="0" w:line="250" w:lineRule="auto"/>
        <w:rPr>
          <w:sz w:val="20"/>
          <w:szCs w:val="20"/>
          <w:color w:val="auto"/>
        </w:rPr>
      </w:pPr>
      <w:r>
        <w:rPr>
          <w:rFonts w:ascii="Courier New" w:cs="Courier New" w:eastAsia="Courier New" w:hAnsi="Courier New"/>
          <w:sz w:val="14"/>
          <w:szCs w:val="14"/>
          <w:color w:val="auto"/>
        </w:rPr>
        <w:t>welfare benefit plan as defined in Section 3(1) of ERISA, (G) multiemployer plan as defined in Section 3(37) of ERISA or Section 414(f) of the Code,</w:t>
      </w:r>
    </w:p>
    <w:p>
      <w:pPr>
        <w:spacing w:after="0" w:line="1" w:lineRule="exact"/>
        <w:rPr>
          <w:sz w:val="20"/>
          <w:szCs w:val="20"/>
          <w:color w:val="auto"/>
        </w:rPr>
      </w:pPr>
    </w:p>
    <w:p>
      <w:pPr>
        <w:ind w:left="7" w:right="3419" w:hanging="7"/>
        <w:spacing w:after="0" w:line="251" w:lineRule="auto"/>
        <w:tabs>
          <w:tab w:leader="none" w:pos="352"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maintained by more than one employer as defined in Section 413(c) of the Code (a "multiple employer plan"), (I) plan providing benefits after separation from service or termination of employment, (J) plan which owns any Company or other employer securities as an investment, (K) plan which provides benefits (or provides increased benefits or vesting) as a result of a change in control of Holiman, (L) plan which is maintained pursuant to collective bargaining, and (M) a plan funded, in whole or in part, through a voluntary employees' beneficiary association exempt from tax under Section 501(c)(9) of the Code.</w:t>
      </w:r>
    </w:p>
    <w:p>
      <w:pPr>
        <w:spacing w:after="0" w:line="163" w:lineRule="exact"/>
        <w:rPr>
          <w:rFonts w:ascii="Courier New" w:cs="Courier New" w:eastAsia="Courier New" w:hAnsi="Courier New"/>
          <w:sz w:val="14"/>
          <w:szCs w:val="14"/>
          <w:color w:val="auto"/>
        </w:rPr>
      </w:pPr>
    </w:p>
    <w:p>
      <w:pPr>
        <w:ind w:left="7" w:right="3419" w:firstLine="854"/>
        <w:spacing w:after="0" w:line="251" w:lineRule="auto"/>
        <w:tabs>
          <w:tab w:leader="none" w:pos="1558" w:val="left"/>
        </w:tabs>
        <w:numPr>
          <w:ilvl w:val="1"/>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the identity of each corporation, trade or business (separately for each category below that applies): (A) which is (or was during the preceding five years) under common control with Holiman within the meaning of Section 414(b) or (c) of the Code, (B) which is (or was during the preceding five years) in an affiliated service group with Holiman within the meaning of Section 414(m) of the Code, (C) which is (or was during the preceding five years) the legal employer of persons providing services to Holiman as leased employees within the meaning of Section 414(n) of the Code, and (D) with respect to which Holiman is a successor employer for purposes of group health or other welfare plan continuation rights (including Section 601 et. seq. of ERISA) or the Family and Medical Leave Act.</w:t>
      </w:r>
    </w:p>
    <w:p>
      <w:pPr>
        <w:spacing w:after="0" w:line="162" w:lineRule="exact"/>
        <w:rPr>
          <w:rFonts w:ascii="Courier New" w:cs="Courier New" w:eastAsia="Courier New" w:hAnsi="Courier New"/>
          <w:sz w:val="14"/>
          <w:szCs w:val="14"/>
          <w:color w:val="auto"/>
        </w:rPr>
      </w:pPr>
    </w:p>
    <w:p>
      <w:pPr>
        <w:ind w:left="7" w:right="3419" w:firstLine="854"/>
        <w:spacing w:after="0" w:line="250" w:lineRule="auto"/>
        <w:tabs>
          <w:tab w:leader="none" w:pos="1558" w:val="left"/>
        </w:tabs>
        <w:numPr>
          <w:ilvl w:val="1"/>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they exist, Holiman has furnished Exmark with true and complete copies of: (A) the most recent determination letter, if any, received by Holiman from the Internal Revenue Service regarding each plan, (B) the most recent determination or opinion letter ruling from the Internal Revenue Service that each trust established in connection with plans which are intended to be tax exempt under Section 501(a) or (c) of the Code are so tax exempt, (C) all pending applications for rulings, determinations, opinions, no action letters and the like filed with any governmental agency (including but not limited to the Department of Labor, Internal Revenue Service, Pension Benefit Guaranty Corporation and the SEC), (D) the financial statements for each plan for the three most recent fiscal or plan years (in audited form if required by ERISA) and, where applicable, Annual Report/Return (Form 5500) with disclosure schedules, if any, and attachments for each plan, (E) the most recently prepared actuarial valuation report for each plan (including but not limited to reports prepared for funding, deduction and financial accounting purposes), (F) plan documents, trust agreements, insurance contracts, service agreements and all related contracts and documents (including any employee summaries and material employee communications) with respect to each plan, and (G) collective bargaining agreements (including side agreements and letter agreements) relating to the establishment, maintenance, funding and operation of any plan.</w:t>
      </w:r>
    </w:p>
    <w:p>
      <w:pPr>
        <w:spacing w:after="0" w:line="341"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886"/>
          </w:cols>
          <w:pgMar w:left="573" w:top="616" w:right="1440" w:bottom="1440" w:gutter="0" w:footer="0" w:header="0"/>
        </w:sectPr>
      </w:pPr>
    </w:p>
    <w:bookmarkStart w:id="628" w:name="page629"/>
    <w:bookmarkEnd w:id="628"/>
    <w:p>
      <w:pPr>
        <w:ind w:left="7" w:right="3419" w:firstLine="854"/>
        <w:spacing w:after="0" w:line="251" w:lineRule="auto"/>
        <w:tabs>
          <w:tab w:leader="none" w:pos="1644" w:val="left"/>
        </w:tabs>
        <w:numPr>
          <w:ilvl w:val="1"/>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identifies each employee of Holiman who is: (A) absent from active employment due to short or long term disability, (B) absent from active employment on a leave pursuant to the Family and Medical Leave Act or a comparable state law, (C) absent from active employment on any other leave or approved absence (together with the reason for such leave or absence), (D) absent from active employment due to military service (under conditions that give the employee rights to re-employment), or (E) not an "at will" employee.</w:t>
      </w:r>
    </w:p>
    <w:p>
      <w:pPr>
        <w:spacing w:after="0" w:line="163" w:lineRule="exact"/>
        <w:rPr>
          <w:rFonts w:ascii="Courier New" w:cs="Courier New" w:eastAsia="Courier New" w:hAnsi="Courier New"/>
          <w:sz w:val="14"/>
          <w:szCs w:val="14"/>
          <w:color w:val="auto"/>
        </w:rPr>
      </w:pPr>
    </w:p>
    <w:p>
      <w:pPr>
        <w:ind w:left="7" w:right="3599" w:firstLine="854"/>
        <w:spacing w:after="0" w:line="251" w:lineRule="auto"/>
        <w:tabs>
          <w:tab w:leader="none" w:pos="1644" w:val="left"/>
        </w:tabs>
        <w:numPr>
          <w:ilvl w:val="1"/>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continuation rights arising under federal or state law as applied to plans that are group health plans (as defined in Section 601 et. seq. of ERISA), the Disclosure Schedule identifies: (A) each employee, former employee or qualifying beneficiary who has elected continuation, and (B) each employee, former employee or qualifying beneficiary who has not elected continuation coverage but is still within the period in which such election may be made.</w:t>
      </w:r>
    </w:p>
    <w:p>
      <w:pPr>
        <w:spacing w:after="0" w:line="164" w:lineRule="exact"/>
        <w:rPr>
          <w:rFonts w:ascii="Courier New" w:cs="Courier New" w:eastAsia="Courier New" w:hAnsi="Courier New"/>
          <w:sz w:val="14"/>
          <w:szCs w:val="14"/>
          <w:color w:val="auto"/>
        </w:rPr>
      </w:pPr>
    </w:p>
    <w:p>
      <w:pPr>
        <w:ind w:left="7" w:right="3419" w:firstLine="854"/>
        <w:spacing w:after="0" w:line="250" w:lineRule="auto"/>
        <w:tabs>
          <w:tab w:leader="none" w:pos="1644" w:val="left"/>
        </w:tabs>
        <w:numPr>
          <w:ilvl w:val="1"/>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(A) all plans intended to be tax qualified under Section 401(a) or Section 403(a) of the Code are so qualified; (B) all trusts established in connection with plans which are intended to be tax exempt under Section 501(a) or (c) of the Code are so tax exempt; (C) to the extent required either as a matter of law or to obtain the intended tax treatment and tax benefits, all plans comply in all respects with the requirements of ERISA and the Code; (D) all plans have been administered in accordance with the documents and instruments governing the plans; (E) all reports and filings with governmental agencies (including but not limited to the Department of Labor, Internal Revenue Service, Pension Benefit Guaranty Corporation and the SEC) required in connection with each plan have been timely made; (F) all disclosures and notices required by law or plan provisions to be given to participants and beneficiaries in connection with each plan have been properly and timely made; (G) no plan, separately or in the aggregate, requires or would result in the payment of any "excess parachute payments" within the meaning of Section 280G of the Code, and the consummation of the transactions contemplated by this Agreement will not be a factor in causing payments to be made by Exmark or Holiman that are not deductible (in whole or in part) under Section 280G of the Code; and (H) Holiman has made a good faith effort to comply with the reporting and taxation requirements for FICA taxes with respect to any deferred compensation arrangements under Section 3121(v) of the Code.</w:t>
      </w:r>
    </w:p>
    <w:p>
      <w:pPr>
        <w:spacing w:after="0" w:line="175" w:lineRule="exact"/>
        <w:rPr>
          <w:rFonts w:ascii="Courier New" w:cs="Courier New" w:eastAsia="Courier New" w:hAnsi="Courier New"/>
          <w:sz w:val="14"/>
          <w:szCs w:val="14"/>
          <w:color w:val="auto"/>
        </w:rPr>
      </w:pPr>
    </w:p>
    <w:p>
      <w:pPr>
        <w:ind w:left="7" w:right="3419" w:firstLine="854"/>
        <w:spacing w:after="0" w:line="250" w:lineRule="auto"/>
        <w:tabs>
          <w:tab w:leader="none" w:pos="1644" w:val="left"/>
        </w:tabs>
        <w:numPr>
          <w:ilvl w:val="1"/>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(A) all contributions, premium payments and other payments required to be made in connection with the plans as of the date of this Agreement have been made;</w:t>
      </w:r>
    </w:p>
    <w:p>
      <w:pPr>
        <w:spacing w:after="0" w:line="1" w:lineRule="exact"/>
        <w:rPr>
          <w:rFonts w:ascii="Courier New" w:cs="Courier New" w:eastAsia="Courier New" w:hAnsi="Courier New"/>
          <w:sz w:val="14"/>
          <w:szCs w:val="14"/>
          <w:color w:val="auto"/>
        </w:rPr>
      </w:pPr>
    </w:p>
    <w:p>
      <w:pPr>
        <w:ind w:left="7" w:right="3939" w:hanging="7"/>
        <w:spacing w:after="0" w:line="252" w:lineRule="auto"/>
        <w:tabs>
          <w:tab w:leader="none" w:pos="352"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proper accrual has been made on the books of Holiman for all contributions, premium payments and other payments due in the current fiscal year but not made as of the date of this Agreement; (C) no contribution, premium payment or other</w:t>
      </w:r>
    </w:p>
    <w:p>
      <w:pPr>
        <w:spacing w:after="0" w:line="328"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886"/>
          </w:cols>
          <w:pgMar w:left="573" w:top="617" w:right="1440" w:bottom="1440" w:gutter="0" w:footer="0" w:header="0"/>
        </w:sectPr>
      </w:pPr>
    </w:p>
    <w:bookmarkStart w:id="629" w:name="page630"/>
    <w:bookmarkEnd w:id="629"/>
    <w:p>
      <w:pPr>
        <w:ind w:right="3419"/>
        <w:spacing w:after="0" w:line="251" w:lineRule="auto"/>
        <w:rPr>
          <w:sz w:val="20"/>
          <w:szCs w:val="20"/>
          <w:color w:val="auto"/>
        </w:rPr>
      </w:pPr>
      <w:r>
        <w:rPr>
          <w:rFonts w:ascii="Courier New" w:cs="Courier New" w:eastAsia="Courier New" w:hAnsi="Courier New"/>
          <w:sz w:val="14"/>
          <w:szCs w:val="14"/>
          <w:color w:val="auto"/>
        </w:rPr>
        <w:t>payment has been made in support of any plan that is in excess of the allowable deduction for federal income tax purposes for the year with respect to which the contribution was made (whether under Section 162, Section 280G, Section 404, Section 419, Section 419A of the Code or otherwise); and (D) with respect to each plan that is subject to Section 301 et. seq. of ERISA or Section 412 of the Code, Holiman is not liable for any accumulated funding deficiency as that terms is defined in Section 412 of the Code and the projected benefit obligations determined as of the date of this Agreement do not exceed the assets of the plan.</w:t>
      </w:r>
    </w:p>
    <w:p>
      <w:pPr>
        <w:spacing w:after="0" w:line="164" w:lineRule="exact"/>
        <w:rPr>
          <w:sz w:val="20"/>
          <w:szCs w:val="20"/>
          <w:color w:val="auto"/>
        </w:rPr>
      </w:pPr>
    </w:p>
    <w:p>
      <w:pPr>
        <w:ind w:right="3419" w:firstLine="854"/>
        <w:spacing w:after="0" w:line="250" w:lineRule="auto"/>
        <w:tabs>
          <w:tab w:leader="none" w:pos="1637" w:val="left"/>
        </w:tabs>
        <w:numPr>
          <w:ilvl w:val="1"/>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(A) no action, suit, charge, complaint, proceeding, hearing, investigation or claim is pending with regard to any plan other than routine uncontested claims for benefits; (B) the consummation of the transactions contemplated by this Agreement will not cause any plan to increase benefits payable to any participant or beneficiary; (C) the consummation of the transactions contemplated by this Agreement will not: (1) entitle any current or former employee of Holiman to severance pay, unemployment compensation or any other payment, benefit or award, or (2) accelerate or modify the time of payment or vesting, or increase the amount of any benefit, award or compensation due any such employee; (D) no plan is currently under examination or audit by the Department of Labor, the Internal Revenue Service or the Pension Benefit Guaranty Corporation; (E) Holiman has no actual or potential liability arising under Title IV of ERISA as a result of any plan that has terminated or is in the process of terminating; (F) Holiman has no actual or potential liability under section 4201 et. seq. of ERISA for either a complete withdrawal or a partial withdrawal from a multiemployer plan; and (G) with respect to the plans, Holiman has no liability (either directly or as a result of indemnification) for (and the transaction contemplated by this Agreement will not cause any liability for): (1) any excise taxes under section 4971 through section 4980B, section 4999, section 5000 or any other section of the Code, (2) any penalty under section 502(i), section 502(l), Part 6 of Title I or any other provision of ERISA, or (3) any excise taxes, penalties, damages or equitable relief as a result of any prohibited transaction, breach of fiduciary duty or other violation under ERISA or any other applicable law.</w:t>
      </w:r>
    </w:p>
    <w:p>
      <w:pPr>
        <w:spacing w:after="0" w:line="176" w:lineRule="exact"/>
        <w:rPr>
          <w:rFonts w:ascii="Courier New" w:cs="Courier New" w:eastAsia="Courier New" w:hAnsi="Courier New"/>
          <w:sz w:val="14"/>
          <w:szCs w:val="14"/>
          <w:color w:val="auto"/>
        </w:rPr>
      </w:pPr>
    </w:p>
    <w:p>
      <w:pPr>
        <w:ind w:right="3419" w:firstLine="854"/>
        <w:spacing w:after="0" w:line="251" w:lineRule="auto"/>
        <w:tabs>
          <w:tab w:leader="none" w:pos="1637" w:val="left"/>
        </w:tabs>
        <w:numPr>
          <w:ilvl w:val="1"/>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(A) all accruals required under FAS 106 have been properly accrued on the financial statements of Holiman; (B) no condition, agreement or plan provision limits the right of Holiman to amend, cut back or terminate any plan (except to the extent such limitation arises under ERISA); and (C) Holiman has no liability for life insurance, death or medical benefits after separation from employment other than: (1) death benefits under the plans set forth in the Disclosure Schedule or (2) Health care continuation benefits described in section 4980B of the Code.</w:t>
      </w:r>
    </w:p>
    <w:p>
      <w:pPr>
        <w:spacing w:after="0" w:line="163" w:lineRule="exact"/>
        <w:rPr>
          <w:rFonts w:ascii="Courier New" w:cs="Courier New" w:eastAsia="Courier New" w:hAnsi="Courier New"/>
          <w:sz w:val="14"/>
          <w:szCs w:val="14"/>
          <w:color w:val="auto"/>
        </w:rPr>
      </w:pPr>
    </w:p>
    <w:p>
      <w:pPr>
        <w:ind w:left="-360" w:right="3599" w:firstLine="784"/>
        <w:spacing w:after="0" w:line="252" w:lineRule="auto"/>
        <w:tabs>
          <w:tab w:leader="none" w:pos="846"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The Disclosure Schedule lists and briefly describes each insurance policy maintained by Holiman with respect to the properties, assets and</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879"/>
          </w:cols>
          <w:pgMar w:left="580" w:top="616" w:right="1440" w:bottom="1440" w:gutter="0" w:footer="0" w:header="0"/>
        </w:sectPr>
      </w:pPr>
    </w:p>
    <w:bookmarkStart w:id="630" w:name="page631"/>
    <w:bookmarkEnd w:id="630"/>
    <w:p>
      <w:pPr>
        <w:ind w:right="3339"/>
        <w:spacing w:after="0" w:line="251" w:lineRule="auto"/>
        <w:rPr>
          <w:sz w:val="20"/>
          <w:szCs w:val="20"/>
          <w:color w:val="auto"/>
        </w:rPr>
      </w:pPr>
      <w:r>
        <w:rPr>
          <w:rFonts w:ascii="Courier New" w:cs="Courier New" w:eastAsia="Courier New" w:hAnsi="Courier New"/>
          <w:sz w:val="14"/>
          <w:szCs w:val="14"/>
          <w:color w:val="auto"/>
        </w:rPr>
        <w:t>operations of Holiman (collectively, the "Insurance Policies") and sets forth the date of expiration of each such insurance policy. All of such insurance policies are in full force and effect and are issued by insurers of recognized responsibility. Holiman is not in default with respect to its obligations under any of such insurance policies.</w:t>
      </w:r>
    </w:p>
    <w:p>
      <w:pPr>
        <w:spacing w:after="0" w:line="165" w:lineRule="exact"/>
        <w:rPr>
          <w:sz w:val="20"/>
          <w:szCs w:val="20"/>
          <w:color w:val="auto"/>
        </w:rPr>
      </w:pPr>
    </w:p>
    <w:p>
      <w:pPr>
        <w:ind w:right="3339" w:firstLine="784"/>
        <w:spacing w:after="0" w:line="250" w:lineRule="auto"/>
        <w:tabs>
          <w:tab w:leader="none" w:pos="1206"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Other than pursuant to this Agreement, no officer, director or employee of Holiman or any member of the immediate family of any such officer, director or employee, or any entity in which any of such persons owns any beneficial interest (other than any publicly held corporation whose stock is traded on a national securities exchange or in the over-the-counter market and less than one percent of the stock of which is beneficially owned by any of such persons) (collectively, "Insiders"), has any agreement with Holiman (other than normal employment arrangements) or any interest in any property, real, personal or mixed, tangible or intangible, used in or pertaining to the business of Holiman (other than ownership of capital stock of Holiman). None of the Insiders has any direct or indirect interest (other than beneficial ownership of less than one percent of the stock of a publicly held corporation whose stock is traded on a national securities exchange or in the over-the-counter market) in any competitor, supplier (other than Exmark) or customer of Holiman or in any person, firm or entity from whom or to whom Holiman leases any property, or in any other person, firm or entity (other than Exmark) with whom Holiman transacts business of any nature. For purposes of this Section 3(s), the members of the immediate family of an officer, director or employee shall consist of the spouse, parents, children, siblings, mothers- and fathers-in-law, sons- and daughters-in-law, and brothers-and sisters-in-law of such officer, director or employee. All agreements and transactions between Holiman and any Insider identified in the Disclosure Schedule were made for bona fide business purposes on terms no less favorable than could be obtained from an unaffiliated third party.</w:t>
      </w:r>
    </w:p>
    <w:p>
      <w:pPr>
        <w:spacing w:after="0" w:line="341"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DISTRIBUTORS/DEALERS. The Disclosure Schedule lists (i) all former distributors/dealers of Holiman that have been terminated since January 1, 1992 and the circumstances surrounding such termination; (ii) all litigation and disputes between Holiman and any of its past or present distributors/dealers, including any claims initiated by any distributors/dealers against Holiman, whether such litigation dispute resulted in a settlement, financial payment or not; and (iii) all buying consortium arrangements by which any distributors/dealers of Holiman purchases goods (including wholegoods, parts, supplies or other goods) or services from Holiman.</w:t>
      </w:r>
    </w:p>
    <w:p>
      <w:pPr>
        <w:spacing w:after="0" w:line="163" w:lineRule="exact"/>
        <w:rPr>
          <w:rFonts w:ascii="Courier New" w:cs="Courier New" w:eastAsia="Courier New" w:hAnsi="Courier New"/>
          <w:sz w:val="14"/>
          <w:szCs w:val="14"/>
          <w:color w:val="auto"/>
        </w:rPr>
      </w:pPr>
    </w:p>
    <w:p>
      <w:pPr>
        <w:ind w:right="3599" w:firstLine="784"/>
        <w:spacing w:after="0" w:line="252" w:lineRule="auto"/>
        <w:tabs>
          <w:tab w:leader="none" w:pos="1206"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AND DIRECTORS; BANK ACCOUNTS. The Disclosure Schedule lists all officers and directors of Holiman and all of the bank accounts of Holiman (designating each authorized signer).</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PERMITS.</w:t>
      </w:r>
    </w:p>
    <w:p>
      <w:pPr>
        <w:spacing w:after="0" w:line="172" w:lineRule="exact"/>
        <w:rPr>
          <w:rFonts w:ascii="Courier New" w:cs="Courier New" w:eastAsia="Courier New" w:hAnsi="Courier New"/>
          <w:sz w:val="14"/>
          <w:szCs w:val="14"/>
          <w:color w:val="auto"/>
        </w:rPr>
      </w:pPr>
    </w:p>
    <w:p>
      <w:pPr>
        <w:jc w:val="both"/>
        <w:ind w:left="360" w:right="3419" w:firstLine="854"/>
        <w:spacing w:after="0" w:line="252" w:lineRule="auto"/>
        <w:tabs>
          <w:tab w:leader="none" w:pos="1997" w:val="left"/>
        </w:tabs>
        <w:numPr>
          <w:ilvl w:val="1"/>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its predecessors and their respective officers, directors, agents and employees have complied in all material respects with all</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7" w:right="1440" w:bottom="1440" w:gutter="0" w:footer="0" w:header="0"/>
        </w:sectPr>
      </w:pPr>
    </w:p>
    <w:bookmarkStart w:id="631" w:name="page632"/>
    <w:bookmarkEnd w:id="631"/>
    <w:p>
      <w:pPr>
        <w:ind w:right="3419"/>
        <w:spacing w:after="0" w:line="250" w:lineRule="auto"/>
        <w:rPr>
          <w:sz w:val="20"/>
          <w:szCs w:val="20"/>
          <w:color w:val="auto"/>
        </w:rPr>
      </w:pPr>
      <w:r>
        <w:rPr>
          <w:rFonts w:ascii="Courier New" w:cs="Courier New" w:eastAsia="Courier New" w:hAnsi="Courier New"/>
          <w:sz w:val="14"/>
          <w:szCs w:val="14"/>
          <w:color w:val="auto"/>
        </w:rPr>
        <w:t>applicable laws, regulations and other requirements, including, but not limited to, federal, state, local and foreign laws, ordinances, rules, regulations and other requirements pertaining to product labeling, consumer products safety, equal employment opportunity, employee retirement, affirmative action and other hiring practices, occupational safety and health, workers' compensation, unemployment and building and zoning codes to which Holiman (including any product sold by Holiman) may be subject, and Holiman has received no notice of any allegation or claim of any noncompliance and no claims have been filed against Holiman alleging a violation of any such laws, regulations or other requirements. Holiman has no knowledge of any action, pending or threatened, to change the zoning or building ordinances or any other laws, rules, regulations or ordinances affecting the Real Property. Holiman is not relying on any exemption from or deferral of any such applicable law, regulation or other requirement that would not be available to Holiman or Exmark after the Effective Time.</w:t>
      </w:r>
    </w:p>
    <w:p>
      <w:pPr>
        <w:spacing w:after="0" w:line="172" w:lineRule="exact"/>
        <w:rPr>
          <w:sz w:val="20"/>
          <w:szCs w:val="20"/>
          <w:color w:val="auto"/>
        </w:rPr>
      </w:pPr>
    </w:p>
    <w:p>
      <w:pPr>
        <w:ind w:right="3779" w:firstLine="854"/>
        <w:spacing w:after="0" w:line="251" w:lineRule="auto"/>
        <w:tabs>
          <w:tab w:leader="none" w:pos="1637" w:val="left"/>
        </w:tabs>
        <w:numPr>
          <w:ilvl w:val="1"/>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in full force and effect, all licenses, permits and certificates, from federal, state, local and foreign authorities (including, without limitation, federal and state agencies regulating occupational health and safety) necessary to conduct its business and own and operate its properties (other than Environmental Permits, as such term is defined in Section 3(w)(iii) hereof) (collectively, the "Permits"). Holiman has conducted its business in compliance with all material terms and conditions of the Permits.</w:t>
      </w:r>
    </w:p>
    <w:p>
      <w:pPr>
        <w:spacing w:after="0" w:line="163" w:lineRule="exact"/>
        <w:rPr>
          <w:rFonts w:ascii="Courier New" w:cs="Courier New" w:eastAsia="Courier New" w:hAnsi="Courier New"/>
          <w:sz w:val="14"/>
          <w:szCs w:val="14"/>
          <w:color w:val="auto"/>
        </w:rPr>
      </w:pPr>
    </w:p>
    <w:p>
      <w:pPr>
        <w:ind w:right="3419" w:firstLine="854"/>
        <w:spacing w:after="0" w:line="251" w:lineRule="auto"/>
        <w:tabs>
          <w:tab w:leader="none" w:pos="1637" w:val="left"/>
        </w:tabs>
        <w:numPr>
          <w:ilvl w:val="1"/>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not made or agreed to make gifts of money, other property or similar benefits (other than incidental gifts of articles of nominal value) to any actual or potential customer, supplier, governmental employee or any other person in a position to assist or hinder Holiman in connection with any actual or proposed transaction.</w:t>
      </w:r>
    </w:p>
    <w:p>
      <w:pPr>
        <w:spacing w:after="0" w:line="164"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w:t>
      </w:r>
    </w:p>
    <w:p>
      <w:pPr>
        <w:spacing w:after="0" w:line="172" w:lineRule="exact"/>
        <w:rPr>
          <w:rFonts w:ascii="Courier New" w:cs="Courier New" w:eastAsia="Courier New" w:hAnsi="Courier New"/>
          <w:sz w:val="14"/>
          <w:szCs w:val="14"/>
          <w:color w:val="auto"/>
        </w:rPr>
      </w:pPr>
    </w:p>
    <w:p>
      <w:pPr>
        <w:ind w:right="3519" w:firstLine="854"/>
        <w:spacing w:after="0" w:line="255" w:lineRule="auto"/>
        <w:tabs>
          <w:tab w:leader="none" w:pos="1637" w:val="left"/>
        </w:tabs>
        <w:numPr>
          <w:ilvl w:val="1"/>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Section 3(w), the following terms shall have the following meanings:</w:t>
      </w:r>
    </w:p>
    <w:p>
      <w:pPr>
        <w:spacing w:after="0" w:line="159" w:lineRule="exact"/>
        <w:rPr>
          <w:rFonts w:ascii="Courier New" w:cs="Courier New" w:eastAsia="Courier New" w:hAnsi="Courier New"/>
          <w:sz w:val="14"/>
          <w:szCs w:val="14"/>
          <w:color w:val="auto"/>
        </w:rPr>
      </w:pPr>
    </w:p>
    <w:p>
      <w:pPr>
        <w:ind w:left="420" w:right="3419" w:firstLine="1209"/>
        <w:spacing w:after="0" w:line="251" w:lineRule="auto"/>
        <w:tabs>
          <w:tab w:leader="none" w:pos="2143" w:val="left"/>
        </w:tabs>
        <w:numPr>
          <w:ilvl w:val="2"/>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means any dangerous, toxic or hazardous pollutant, contaminant, chemical, waste, material or substance as defined in or governed by any federal, state or local law, statute, code, ordinance, regulation, rule or other requirement relating to such substance or otherwise relating to the environment or human health or safety, including without limitation any waste, material, substance, pollutant or contaminant that might cause any injury to human health or safety or to the environment or might subject Holiman to any imposition of costs or liability under any Environmental Law (as defined in Section 3(w)(i)(B) hereof).</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879"/>
          </w:cols>
          <w:pgMar w:left="580" w:top="615" w:right="1440" w:bottom="1440" w:gutter="0" w:footer="0" w:header="0"/>
        </w:sectPr>
      </w:pPr>
    </w:p>
    <w:bookmarkStart w:id="632" w:name="page633"/>
    <w:bookmarkEnd w:id="632"/>
    <w:p>
      <w:pPr>
        <w:ind w:left="427" w:right="3419" w:firstLine="1209"/>
        <w:spacing w:after="0" w:line="251" w:lineRule="auto"/>
        <w:tabs>
          <w:tab w:leader="none" w:pos="2150" w:val="left"/>
        </w:tabs>
        <w:numPr>
          <w:ilvl w:val="2"/>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all applicable federal, state, local and foreign laws, rules, regulations, codes, ordinances, orders, decrees, directives, permits, licenses and judgments relating to pollution, contamination or protection of the environment (including, without limitation, all applicable federal, state, local and foreign laws, rules, regulations, codes, ordinances, orders, decrees, directives, permits, licenses and judgments relating to Hazardous Materials in effect as of the date of this Agreement).</w:t>
      </w:r>
    </w:p>
    <w:p>
      <w:pPr>
        <w:spacing w:after="0" w:line="163" w:lineRule="exact"/>
        <w:rPr>
          <w:rFonts w:ascii="Courier New" w:cs="Courier New" w:eastAsia="Courier New" w:hAnsi="Courier New"/>
          <w:sz w:val="14"/>
          <w:szCs w:val="14"/>
          <w:color w:val="auto"/>
        </w:rPr>
      </w:pPr>
    </w:p>
    <w:p>
      <w:pPr>
        <w:ind w:left="427" w:right="3519" w:firstLine="1209"/>
        <w:spacing w:after="0" w:line="252" w:lineRule="auto"/>
        <w:tabs>
          <w:tab w:leader="none" w:pos="2150" w:val="left"/>
        </w:tabs>
        <w:numPr>
          <w:ilvl w:val="2"/>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shall mean the spilling, leaking, disposing, discharging, emitting, depositing, ejecting, leaching, escaping or any other release or threatened release, however defined, whether intentional or unintentional, of any Hazardous Material.</w:t>
      </w:r>
    </w:p>
    <w:p>
      <w:pPr>
        <w:spacing w:after="0" w:line="162" w:lineRule="exact"/>
        <w:rPr>
          <w:rFonts w:ascii="Courier New" w:cs="Courier New" w:eastAsia="Courier New" w:hAnsi="Courier New"/>
          <w:sz w:val="14"/>
          <w:szCs w:val="14"/>
          <w:color w:val="auto"/>
        </w:rPr>
      </w:pPr>
    </w:p>
    <w:p>
      <w:pPr>
        <w:ind w:left="7" w:right="3419" w:firstLine="854"/>
        <w:spacing w:after="0" w:line="255" w:lineRule="auto"/>
        <w:tabs>
          <w:tab w:leader="none" w:pos="1644" w:val="left"/>
        </w:tabs>
        <w:numPr>
          <w:ilvl w:val="1"/>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and the Real Property are in compliance with all applicable Environmental Laws.</w:t>
      </w:r>
    </w:p>
    <w:p>
      <w:pPr>
        <w:spacing w:after="0" w:line="159" w:lineRule="exact"/>
        <w:rPr>
          <w:rFonts w:ascii="Courier New" w:cs="Courier New" w:eastAsia="Courier New" w:hAnsi="Courier New"/>
          <w:sz w:val="14"/>
          <w:szCs w:val="14"/>
          <w:color w:val="auto"/>
        </w:rPr>
      </w:pPr>
    </w:p>
    <w:p>
      <w:pPr>
        <w:ind w:left="7" w:right="3419" w:firstLine="854"/>
        <w:spacing w:after="0" w:line="251" w:lineRule="auto"/>
        <w:tabs>
          <w:tab w:leader="none" w:pos="1644" w:val="left"/>
        </w:tabs>
        <w:numPr>
          <w:ilvl w:val="1"/>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obtained, and maintained in full force and effect, all environmental permits, licenses, certificates of compliance, approvals and other authorizations necessary to conduct its business and operate the Real Property (collectively, the "Environmental Permits"). A correct and complete copy of each such Environmental Permit shall be provided by Holiman to Exmark at least 14 days prior to the Effective Time. Holiman has conducted its business in compliance with all terms and conditions of the Environmental Permits. Holiman has filed all reports and notifications required to be filed under and pursuant to all applicable Environmental Laws.</w:t>
      </w:r>
    </w:p>
    <w:p>
      <w:pPr>
        <w:spacing w:after="0" w:line="163" w:lineRule="exact"/>
        <w:rPr>
          <w:rFonts w:ascii="Courier New" w:cs="Courier New" w:eastAsia="Courier New" w:hAnsi="Courier New"/>
          <w:sz w:val="14"/>
          <w:szCs w:val="14"/>
          <w:color w:val="auto"/>
        </w:rPr>
      </w:pPr>
    </w:p>
    <w:p>
      <w:pPr>
        <w:ind w:left="7" w:right="3419" w:firstLine="854"/>
        <w:spacing w:after="0" w:line="250" w:lineRule="auto"/>
        <w:tabs>
          <w:tab w:leader="none" w:pos="1644" w:val="left"/>
        </w:tabs>
        <w:numPr>
          <w:ilvl w:val="1"/>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 Hazardous Materials have been generated, treated, contained, handled, located, used, manufactured, processed, buried, incinerated, deposited, stored, or released on, under or about any part of the Real Property during the period Holiman was in possession thereof,</w:t>
      </w:r>
    </w:p>
    <w:p>
      <w:pPr>
        <w:spacing w:after="0" w:line="1" w:lineRule="exact"/>
        <w:rPr>
          <w:rFonts w:ascii="Courier New" w:cs="Courier New" w:eastAsia="Courier New" w:hAnsi="Courier New"/>
          <w:sz w:val="14"/>
          <w:szCs w:val="14"/>
          <w:color w:val="auto"/>
        </w:rPr>
      </w:pPr>
    </w:p>
    <w:p>
      <w:pPr>
        <w:ind w:left="7" w:right="3419" w:hanging="7"/>
        <w:spacing w:after="0" w:line="252" w:lineRule="auto"/>
        <w:tabs>
          <w:tab w:leader="none" w:pos="352"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Real Property and any improvements thereon, contain no asbestos, urea, formaldehyde, radon at levels above natural background, polychlorinated biphenyls ("PCB"s) or pesticides, and (C) no aboveground or underground storage tanks are located on, under or about the Real Property.</w:t>
      </w:r>
    </w:p>
    <w:p>
      <w:pPr>
        <w:spacing w:after="0" w:line="162" w:lineRule="exact"/>
        <w:rPr>
          <w:rFonts w:ascii="Courier New" w:cs="Courier New" w:eastAsia="Courier New" w:hAnsi="Courier New"/>
          <w:sz w:val="14"/>
          <w:szCs w:val="14"/>
          <w:color w:val="auto"/>
        </w:rPr>
      </w:pPr>
    </w:p>
    <w:p>
      <w:pPr>
        <w:ind w:left="7" w:right="3599" w:firstLine="854"/>
        <w:spacing w:after="0" w:line="252" w:lineRule="auto"/>
        <w:tabs>
          <w:tab w:leader="none" w:pos="1644" w:val="left"/>
        </w:tabs>
        <w:numPr>
          <w:ilvl w:val="1"/>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not received any notice alleging in any manner that it is, or might be potentially responsible for any Release of Hazardous Materials, or any costs arising under or violation of Environmental Laws.</w:t>
      </w:r>
    </w:p>
    <w:p>
      <w:pPr>
        <w:spacing w:after="0" w:line="162" w:lineRule="exact"/>
        <w:rPr>
          <w:rFonts w:ascii="Courier New" w:cs="Courier New" w:eastAsia="Courier New" w:hAnsi="Courier New"/>
          <w:sz w:val="14"/>
          <w:szCs w:val="14"/>
          <w:color w:val="auto"/>
        </w:rPr>
      </w:pPr>
    </w:p>
    <w:p>
      <w:pPr>
        <w:ind w:left="7" w:right="3419" w:firstLine="854"/>
        <w:spacing w:after="0" w:line="251" w:lineRule="auto"/>
        <w:tabs>
          <w:tab w:leader="none" w:pos="1644" w:val="left"/>
        </w:tabs>
        <w:numPr>
          <w:ilvl w:val="1"/>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expenditure, including penalties, fines or cleanup costs arising under applicable Environmental Laws, will be required in order for Exmark or Holiman to comply with any Environmental Laws in effect at the time of the Effective Time in connection with the operation or continued operation of the</w:t>
      </w:r>
    </w:p>
    <w:p>
      <w:pPr>
        <w:spacing w:after="0" w:line="330"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886"/>
          </w:cols>
          <w:pgMar w:left="573" w:top="616" w:right="1440" w:bottom="1440" w:gutter="0" w:footer="0" w:header="0"/>
        </w:sectPr>
      </w:pPr>
    </w:p>
    <w:bookmarkStart w:id="633" w:name="page634"/>
    <w:bookmarkEnd w:id="633"/>
    <w:p>
      <w:pPr>
        <w:ind w:left="7" w:right="3679"/>
        <w:spacing w:after="0" w:line="255" w:lineRule="auto"/>
        <w:rPr>
          <w:sz w:val="20"/>
          <w:szCs w:val="20"/>
          <w:color w:val="auto"/>
        </w:rPr>
      </w:pPr>
      <w:r>
        <w:rPr>
          <w:rFonts w:ascii="Courier New" w:cs="Courier New" w:eastAsia="Courier New" w:hAnsi="Courier New"/>
          <w:sz w:val="14"/>
          <w:szCs w:val="14"/>
          <w:color w:val="auto"/>
        </w:rPr>
        <w:t>business of Holiman or the Real Property in a manner consistent with the current operation thereof by Holiman.</w:t>
      </w:r>
    </w:p>
    <w:p>
      <w:pPr>
        <w:spacing w:after="0" w:line="160" w:lineRule="exact"/>
        <w:rPr>
          <w:sz w:val="20"/>
          <w:szCs w:val="20"/>
          <w:color w:val="auto"/>
        </w:rPr>
      </w:pPr>
    </w:p>
    <w:p>
      <w:pPr>
        <w:ind w:left="7" w:right="3419" w:firstLine="854"/>
        <w:spacing w:after="0" w:line="251" w:lineRule="auto"/>
        <w:tabs>
          <w:tab w:leader="none" w:pos="1644"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and the Real Property are not and have not been listed on the United States Environmental Protection Agency National Priorities List of Hazardous Waste Sites (the "National Priorities List"), or any other list, schedule, law, inventory or record of hazardous or solid waste sites maintained by any federal, state or local agency.</w:t>
      </w:r>
    </w:p>
    <w:p>
      <w:pPr>
        <w:spacing w:after="0" w:line="164" w:lineRule="exact"/>
        <w:rPr>
          <w:rFonts w:ascii="Courier New" w:cs="Courier New" w:eastAsia="Courier New" w:hAnsi="Courier New"/>
          <w:sz w:val="14"/>
          <w:szCs w:val="14"/>
          <w:color w:val="auto"/>
        </w:rPr>
      </w:pPr>
    </w:p>
    <w:p>
      <w:pPr>
        <w:ind w:left="7" w:right="3859" w:firstLine="854"/>
        <w:spacing w:after="0" w:line="252" w:lineRule="auto"/>
        <w:tabs>
          <w:tab w:leader="none" w:pos="1644"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has disclosed and delivered to Exmark all environmental reports and investigations which Holiman has obtained or ordered with respect to the business of Holiman and the Real Property.</w:t>
      </w:r>
    </w:p>
    <w:p>
      <w:pPr>
        <w:spacing w:after="0" w:line="162" w:lineRule="exact"/>
        <w:rPr>
          <w:rFonts w:ascii="Courier New" w:cs="Courier New" w:eastAsia="Courier New" w:hAnsi="Courier New"/>
          <w:sz w:val="14"/>
          <w:szCs w:val="14"/>
          <w:color w:val="auto"/>
        </w:rPr>
      </w:pPr>
    </w:p>
    <w:p>
      <w:pPr>
        <w:ind w:left="7" w:right="3419" w:firstLine="854"/>
        <w:spacing w:after="0" w:line="251" w:lineRule="auto"/>
        <w:tabs>
          <w:tab w:leader="none" w:pos="1730"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Holiman, no part of the business of Holiman, or the Real Property has been used as a landfill, dump or other disposal, storage, transfer, handling or treatment area for Hazardous Materials, or as a gasoline service station or a facility for selling, dispensing, storing, transferring, disposing or handling petroleum and/or petroleum products.</w:t>
      </w:r>
    </w:p>
    <w:p>
      <w:pPr>
        <w:spacing w:after="0" w:line="164" w:lineRule="exact"/>
        <w:rPr>
          <w:rFonts w:ascii="Courier New" w:cs="Courier New" w:eastAsia="Courier New" w:hAnsi="Courier New"/>
          <w:sz w:val="14"/>
          <w:szCs w:val="14"/>
          <w:color w:val="auto"/>
        </w:rPr>
      </w:pPr>
    </w:p>
    <w:p>
      <w:pPr>
        <w:ind w:left="7" w:right="3679" w:firstLine="854"/>
        <w:spacing w:after="0" w:line="250" w:lineRule="auto"/>
        <w:tabs>
          <w:tab w:leader="none" w:pos="1644"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lien has been attached or filed against Holiman or the Real Property in favor of any governmental or private entity for</w:t>
      </w:r>
    </w:p>
    <w:p>
      <w:pPr>
        <w:ind w:left="7" w:right="3679" w:hanging="7"/>
        <w:spacing w:after="0" w:line="255" w:lineRule="auto"/>
        <w:tabs>
          <w:tab w:leader="none" w:pos="352"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liability or imposition of costs under or violation of any applicable Environmental Law, or (B) any Release of Hazardous Materials.</w:t>
      </w:r>
    </w:p>
    <w:p>
      <w:pPr>
        <w:spacing w:after="0" w:line="159" w:lineRule="exact"/>
        <w:rPr>
          <w:rFonts w:ascii="Courier New" w:cs="Courier New" w:eastAsia="Courier New" w:hAnsi="Courier New"/>
          <w:sz w:val="14"/>
          <w:szCs w:val="14"/>
          <w:color w:val="auto"/>
        </w:rPr>
      </w:pPr>
    </w:p>
    <w:p>
      <w:pPr>
        <w:ind w:left="7" w:right="3419" w:firstLine="854"/>
        <w:spacing w:after="0" w:line="251" w:lineRule="auto"/>
        <w:tabs>
          <w:tab w:leader="none" w:pos="1644" w:val="left"/>
        </w:tabs>
        <w:numPr>
          <w:ilvl w:val="1"/>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Holiman, on behalf of itself and its successors and assigns, hereby waives, releases and agrees not to bring any claim, demand, cause of action or proceeding, including without limitation any cost recovery action, against Exmark under any Environmental Law for any condition existing prior to the Closing.</w:t>
      </w:r>
    </w:p>
    <w:p>
      <w:pPr>
        <w:spacing w:after="0" w:line="164" w:lineRule="exact"/>
        <w:rPr>
          <w:rFonts w:ascii="Courier New" w:cs="Courier New" w:eastAsia="Courier New" w:hAnsi="Courier New"/>
          <w:sz w:val="14"/>
          <w:szCs w:val="14"/>
          <w:color w:val="auto"/>
        </w:rPr>
      </w:pPr>
    </w:p>
    <w:p>
      <w:pPr>
        <w:ind w:left="7" w:right="3419" w:firstLine="854"/>
        <w:spacing w:after="0" w:line="251" w:lineRule="auto"/>
        <w:tabs>
          <w:tab w:leader="none" w:pos="1644" w:val="left"/>
        </w:tabs>
        <w:numPr>
          <w:ilvl w:val="1"/>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storage, transportation, handling, use or disposal, if any, by Holiman of Hazardous Materials on or under the Real Property and/or disposal elsewhere, if any, of Hazardous Materials generated on or from the Real Property is currently, and at all times has been, in compliance in all materials respects with all applicable Environmental Laws. Holiman has not transported or arranged for the transportation of any Hazardous Materials or other material or substances to any location which is: (A) listed on the National Priorities List, or (B) listed for possible inclusion on the National Priorities List, in the Comprehensive Environmental Response, Compensation and Liabilities Act of 1980 ("CERCLA") or on any similar state list.</w:t>
      </w:r>
    </w:p>
    <w:p>
      <w:pPr>
        <w:spacing w:after="0" w:line="163" w:lineRule="exact"/>
        <w:rPr>
          <w:rFonts w:ascii="Courier New" w:cs="Courier New" w:eastAsia="Courier New" w:hAnsi="Courier New"/>
          <w:sz w:val="14"/>
          <w:szCs w:val="14"/>
          <w:color w:val="auto"/>
        </w:rPr>
      </w:pPr>
    </w:p>
    <w:p>
      <w:pPr>
        <w:ind w:left="7" w:right="3599" w:firstLine="854"/>
        <w:spacing w:after="0" w:line="252" w:lineRule="auto"/>
        <w:tabs>
          <w:tab w:leader="none" w:pos="1644" w:val="left"/>
        </w:tabs>
        <w:numPr>
          <w:ilvl w:val="1"/>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representations and warranties provided in this Section 3(w), the term "Real Property" shall include all real property owned, used or occupied by Holiman currently or previously owned, used or occupied by Holiman and its predecessors.</w:t>
      </w:r>
    </w:p>
    <w:p>
      <w:pPr>
        <w:spacing w:after="0" w:line="328"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886"/>
          </w:cols>
          <w:pgMar w:left="573" w:top="615" w:right="1440" w:bottom="1440" w:gutter="0" w:footer="0" w:header="0"/>
        </w:sectPr>
      </w:pPr>
    </w:p>
    <w:bookmarkStart w:id="634" w:name="page635"/>
    <w:bookmarkEnd w:id="634"/>
    <w:p>
      <w:pPr>
        <w:ind w:right="3339" w:firstLine="784"/>
        <w:spacing w:after="0" w:line="252" w:lineRule="auto"/>
        <w:tabs>
          <w:tab w:leader="none" w:pos="1206" w:val="left"/>
        </w:tabs>
        <w:numPr>
          <w:ilvl w:val="0"/>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BROKERAGE. No third party shall be entitled to receive any brokerage commissions, finder's fees, fees for financial advisory services or similar compensation in connection with the transactions contemplated by this Agreement based on any arrangement or agreement made by or on behalf of Holiman.</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None of the information regarding</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Holiman supplied or to be supplied by Holiman to Exmark or Toro for inclusion in the registration statement on Form S-4 (the "Registration Statement") under the Securities Act relating to the merger consideration to be paid by Toro pursuant to that certain Agreement and Plan of Merger by and among Toro, EMCI Acquisition Corp. and Exmark, dated October 23, 1997 (the "Merger Agreement") and any other related documents regarding Holiman supplied or to be supplied by Holiman to be filed with the SEC or any regulatory authority in connection with the transactions contemplated herein or in the Merger Agreement will, at the respective times the Registration Statement, Prospectus-Proxy Statement (as defined in the Merger Agreement) and other related documents are filed with the SEC or any regulatory authority and, in the case of the Registration Statement, when it becomes effective and, with respect to the Prospectus-Proxy Statement, when mailed, and, in the case of the Prospectus-Proxy Statement or any amendment thereof or supplement thereto, at the time of the Stockholders' Meeting (as defined in the Merger Agreement) and at the Effective Time (for purposes of this Subsection (y) only, as such term is defined in the Merger Agreement), contain any untrue statement of a material fact or omit to state a material fact required to be stated therein or necessary to make the statements contained therein, in light of the circumstances under which they were made, not misleading. All documents which Holiman is responsible for filing with the SEC and any other regulatory authority in connection with the Merger will comply as to form in all material respects with the provisions of applicable law, including the applicable provisions of the Securities Act and the Exchange Act of 1934, as amended (the "Exchange Act").</w:t>
      </w:r>
    </w:p>
    <w:p>
      <w:pPr>
        <w:spacing w:after="0" w:line="341" w:lineRule="exact"/>
        <w:rPr>
          <w:sz w:val="20"/>
          <w:szCs w:val="20"/>
          <w:color w:val="auto"/>
        </w:rPr>
      </w:pPr>
    </w:p>
    <w:p>
      <w:pPr>
        <w:ind w:right="3339" w:firstLine="784"/>
        <w:spacing w:after="0" w:line="250" w:lineRule="auto"/>
        <w:tabs>
          <w:tab w:leader="none" w:pos="1206" w:val="left"/>
        </w:tabs>
        <w:numPr>
          <w:ilvl w:val="0"/>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Neither this Agreement nor any of the exhibits hereto nor any of the documents delivered by or on behalf of Smith or Holiman pursuant to Sections 3 or 6 hereof, the Disclosure Schedule or any of the financial statements referred to in Section 3 hereof contains any untrue statement of a material fact regarding Smith or Holiman or any of the other matters dealt with in this Section 3 relating to Smith or Holiman or the transactions contemplated by this Agreement. This Agreement, the exhibits hereto, the documents delivered to Exmark by or on behalf of Smith or Holiman pursuant to Sections 3 or 6 hereof, the Disclosure Schedule or any of the financial statements referred to in Section 3 hereof do not omit any material fact necessary to make the statements contained herein or therein, in light of the circumstances in which they were made, not misleading, and there is no fact which has not been disclosed to Exmark of which Holiman or any officer or director of Holiman is aware which materially affects adversely or could reasonably be anticipated to materially affect adversely the business, including the operating results, assets, customer relations, employee relations and business prospects, of Holiman. Smith has delivered to Toro copies of all documents delivered to Exmark by or on behalf of Smith or Holiman pursuant to this Agreement.</w:t>
      </w:r>
    </w:p>
    <w:p>
      <w:pPr>
        <w:spacing w:after="0" w:line="200" w:lineRule="exact"/>
        <w:rPr>
          <w:sz w:val="20"/>
          <w:szCs w:val="20"/>
          <w:color w:val="auto"/>
        </w:rPr>
      </w:pPr>
    </w:p>
    <w:p>
      <w:pPr>
        <w:spacing w:after="0" w:line="30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635" w:name="page636"/>
    <w:bookmarkEnd w:id="635"/>
    <w:p>
      <w:pPr>
        <w:ind w:right="3599" w:firstLine="784"/>
        <w:spacing w:after="0" w:line="252" w:lineRule="auto"/>
        <w:tabs>
          <w:tab w:leader="none" w:pos="1292" w:val="left"/>
        </w:tabs>
        <w:numPr>
          <w:ilvl w:val="1"/>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COMPENSATION. All amounts owing for compensation and benefits, including a proportionate part (determined in accordance with GAAP) of all bonuses, are accrued on a monthly basis on the books of Holiman.</w:t>
      </w:r>
    </w:p>
    <w:p>
      <w:pPr>
        <w:spacing w:after="0" w:line="162" w:lineRule="exact"/>
        <w:rPr>
          <w:rFonts w:ascii="Courier New" w:cs="Courier New" w:eastAsia="Courier New" w:hAnsi="Courier New"/>
          <w:sz w:val="14"/>
          <w:szCs w:val="14"/>
          <w:color w:val="auto"/>
        </w:rPr>
      </w:pPr>
    </w:p>
    <w:p>
      <w:pPr>
        <w:ind w:right="3679" w:firstLine="353"/>
        <w:spacing w:after="0" w:line="255" w:lineRule="auto"/>
        <w:tabs>
          <w:tab w:leader="none" w:pos="775" w:val="left"/>
        </w:tabs>
        <w:numPr>
          <w:ilvl w:val="0"/>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EXMARK. Exmark hereby represents and warrants to Smith that:</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292" w:val="left"/>
        </w:tabs>
        <w:numPr>
          <w:ilvl w:val="1"/>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CORPORATE POWER. Exmark is a corporation duly incorporated, validly existing and in good standing under the laws of the State of Nebraska, with the requisite corporate power and authority to execute and deliver this Agreement and to perform its obligations hereunder.</w:t>
      </w:r>
    </w:p>
    <w:p>
      <w:pPr>
        <w:spacing w:after="0" w:line="162" w:lineRule="exact"/>
        <w:rPr>
          <w:rFonts w:ascii="Courier New" w:cs="Courier New" w:eastAsia="Courier New" w:hAnsi="Courier New"/>
          <w:sz w:val="14"/>
          <w:szCs w:val="14"/>
          <w:color w:val="auto"/>
        </w:rPr>
      </w:pPr>
    </w:p>
    <w:p>
      <w:pPr>
        <w:ind w:left="1300" w:hanging="516"/>
        <w:spacing w:after="0"/>
        <w:tabs>
          <w:tab w:leader="none" w:pos="1300" w:val="left"/>
        </w:tabs>
        <w:numPr>
          <w:ilvl w:val="1"/>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DELIVERY AND PERFORMANCE; VALID AND BINDING</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The execution, delivery and performance of this Agreement by Exmark, and the consummation of the transactions contemplated hereby have been duly and validly authorized by all requisite corporate action, and no other corporate proceedings are necessary to authorize the execution, delivery or performance of this Agreement. This Agreement has been duly executed and delivered by Exmark and constitutes the valid and binding obligation of Exmark, enforceable in accordance with its terms.</w:t>
      </w:r>
    </w:p>
    <w:p>
      <w:pPr>
        <w:spacing w:after="0" w:line="164" w:lineRule="exact"/>
        <w:rPr>
          <w:sz w:val="20"/>
          <w:szCs w:val="20"/>
          <w:color w:val="auto"/>
        </w:rPr>
      </w:pPr>
    </w:p>
    <w:p>
      <w:pPr>
        <w:ind w:right="3339" w:firstLine="784"/>
        <w:spacing w:after="0" w:line="251" w:lineRule="auto"/>
        <w:tabs>
          <w:tab w:leader="none" w:pos="1292" w:val="left"/>
        </w:tabs>
        <w:numPr>
          <w:ilvl w:val="0"/>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BREACH. The execution, delivery and performance of this Agreement by Exmark, and the consummation by Exmark of the transactions contemplated hereby do not conflict with or result in any breach of any of the provisions of, constitute a default under, result in a violation of, result in the creation of a right of termination or acceleration or any lien, security interest, charge or encumbrance upon any assets of Exmark, or require any authorization, consent, approval, exemption or other action by or notice to any court or other governmental body, under the provisions of the articles of incorporation or bylaws of Exmark or any indenture, mortgage, lease, loan agreement or other agreement or instrument by which Exmark is bound or affected, or any law, statute, rule or regulation or order, judgment or decree to which Exmark is subject.</w:t>
      </w:r>
    </w:p>
    <w:p>
      <w:pPr>
        <w:spacing w:after="0" w:line="328" w:lineRule="exact"/>
        <w:rPr>
          <w:rFonts w:ascii="Courier New" w:cs="Courier New" w:eastAsia="Courier New" w:hAnsi="Courier New"/>
          <w:sz w:val="14"/>
          <w:szCs w:val="14"/>
          <w:color w:val="auto"/>
        </w:rPr>
      </w:pPr>
    </w:p>
    <w:p>
      <w:pPr>
        <w:ind w:right="3339" w:firstLine="784"/>
        <w:spacing w:after="0" w:line="251" w:lineRule="auto"/>
        <w:tabs>
          <w:tab w:leader="none" w:pos="1292" w:val="left"/>
        </w:tabs>
        <w:numPr>
          <w:ilvl w:val="0"/>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AUTHORITIES; CONSENTS. Exmark is not required to submit any notice, report or other filing with any governmental authority in connection with the execution or delivery by it of this Agreement or the consummation of the transactions contemplated hereby, and no consent, approval or authorization of any governmental or regulatory authority or any other party or person is required to be obtained by Exmark in connection with its execution, delivery and performance of this Agreement or the transactions contemplated hereby.</w:t>
      </w:r>
    </w:p>
    <w:p>
      <w:pPr>
        <w:spacing w:after="0" w:line="163" w:lineRule="exact"/>
        <w:rPr>
          <w:rFonts w:ascii="Courier New" w:cs="Courier New" w:eastAsia="Courier New" w:hAnsi="Courier New"/>
          <w:sz w:val="14"/>
          <w:szCs w:val="14"/>
          <w:color w:val="auto"/>
        </w:rPr>
      </w:pPr>
    </w:p>
    <w:p>
      <w:pPr>
        <w:ind w:right="3419" w:firstLine="784"/>
        <w:spacing w:after="0" w:line="252" w:lineRule="auto"/>
        <w:tabs>
          <w:tab w:leader="none" w:pos="1292" w:val="left"/>
        </w:tabs>
        <w:numPr>
          <w:ilvl w:val="0"/>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BROKERAGE. No third party shall be entitled to receive any brokerage commissions, finder's fees, fees for financial advisory services or similar compensation in connection with the transactions contemplated by this Agreement based on any arrangement or agreement made by or on behalf of Exmark.</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5" w:right="1440" w:bottom="1440" w:gutter="0" w:footer="0" w:header="0"/>
        </w:sectPr>
      </w:pPr>
    </w:p>
    <w:bookmarkStart w:id="636" w:name="page637"/>
    <w:bookmarkEnd w:id="636"/>
    <w:p>
      <w:pPr>
        <w:ind w:left="1300" w:hanging="516"/>
        <w:spacing w:after="0"/>
        <w:tabs>
          <w:tab w:leader="none" w:pos="1300" w:val="left"/>
        </w:tabs>
        <w:numPr>
          <w:ilvl w:val="0"/>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On the date hereof, the authorized capital</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stock of Exmark consists of 24,000 shares of Common Stock, par value $10.00 per share, of Exmark of which 15,431 shares are issued and outstanding as of the date hereof; and 21,000 shares of Preferred Stock, par value $40.00 per share, of Exmark of which 7,416 shares are issued and outstanding as of the date hereof. Prior to the Effective Time, Exmark's articles of incorporation shall have been amended to authorize 10,000 shares of Class B Stock, par value $.01 per share, of Exmark ("Exmark Class B Stock"), and 10,000 shares of Exmark Class C Stock and, as of the Effective Time, 10,000 shares of Exmark Class B Stock and 3,689 shares of Exmark Class C Stock will be issued and outstanding. All such outstanding shares of Exmark's capital stock (A) have been duly authorized and are validly issued, fully paid and nonassessable, (B) are not subject to preemptive rights created by statute, Exmark's articles of incorporation or bylaws, or any other agreement to which either Exmark or, to the knowledge of Exmark, Exmark's stockholders are bound and (C) were not issued in violation of any applicable securities laws that would subject the Surviving Corporation to fines, penalties, or rescission or civil damages that are material in amount.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 used in this Agreement, "knowledge" of Exmark and similar words to that effect shall mean the actual knowledge of Exmark's officers after due inquiry.</w:t>
      </w:r>
    </w:p>
    <w:p>
      <w:pPr>
        <w:spacing w:after="0" w:line="160" w:lineRule="exact"/>
        <w:rPr>
          <w:sz w:val="20"/>
          <w:szCs w:val="20"/>
          <w:color w:val="auto"/>
        </w:rPr>
      </w:pPr>
    </w:p>
    <w:p>
      <w:pPr>
        <w:ind w:right="3419" w:firstLine="353"/>
        <w:spacing w:after="0" w:line="252" w:lineRule="auto"/>
        <w:tabs>
          <w:tab w:leader="none" w:pos="775" w:val="left"/>
        </w:tabs>
        <w:numPr>
          <w:ilvl w:val="0"/>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MATTERS PENDING THE CLOSING. Unless written waiver or consent to the contrary is obtained from Exmark, from and after the effective date of this Agreement and until the Closing, Holiman and Smith shall comply (and Smith shall cause Holiman to so comply) with the following covenants, as applicable:</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292" w:val="left"/>
        </w:tabs>
        <w:numPr>
          <w:ilvl w:val="1"/>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Exmark and Toro and Exmark's and Toro's authorized agents and representatives shall have reasonable access to the properties, books, records, contracts, information and documents of Holiman to conduct such examination and investigation of Holiman as they deem necessary, and Holiman shall cooperate in all reasonable respects with such examinations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investigations; provided, however, such</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examinations (i)</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shall be conducted</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during Holiman's normal business hours,</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and (ii) shall not</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unreasonably</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interfere with Holiman's operations and</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600" w:type="dxa"/>
            <w:vAlign w:val="bottom"/>
          </w:tcPr>
          <w:p>
            <w:pPr>
              <w:spacing w:after="0"/>
              <w:rPr>
                <w:sz w:val="14"/>
                <w:szCs w:val="14"/>
                <w:color w:val="auto"/>
              </w:rPr>
            </w:pPr>
          </w:p>
        </w:tc>
      </w:tr>
    </w:tbl>
    <w:p>
      <w:pPr>
        <w:spacing w:after="0" w:line="17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If the transactions covered by this Agreement are not consummated, Exmark and Exmark's agents and representatives will hold in confidence, and will not utilize in any manner, any information obtained from Smith or Holiman, with the exception of any such information which: (i) was or is in the public domain;</w:t>
      </w:r>
    </w:p>
    <w:p>
      <w:pPr>
        <w:spacing w:after="0" w:line="2" w:lineRule="exact"/>
        <w:rPr>
          <w:sz w:val="20"/>
          <w:szCs w:val="20"/>
          <w:color w:val="auto"/>
        </w:rPr>
      </w:pPr>
    </w:p>
    <w:p>
      <w:pPr>
        <w:ind w:right="3339" w:firstLine="8"/>
        <w:spacing w:after="0" w:line="252" w:lineRule="auto"/>
        <w:tabs>
          <w:tab w:leader="none" w:pos="431"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in fact known to Exmark or Exmark's agents or representatives prior to disclosure by Smith or Holiman; (iii) becomes information generally available to the public through no act or failure to act on the part of Exmark or Exmark's agents or representatives; or (iv) is required to be disclosed by court order.</w:t>
      </w:r>
    </w:p>
    <w:p>
      <w:pPr>
        <w:spacing w:after="0" w:line="162" w:lineRule="exact"/>
        <w:rPr>
          <w:sz w:val="20"/>
          <w:szCs w:val="20"/>
          <w:color w:val="auto"/>
        </w:rPr>
      </w:pPr>
    </w:p>
    <w:p>
      <w:pPr>
        <w:ind w:right="3599" w:firstLine="784"/>
        <w:spacing w:after="0" w:line="251" w:lineRule="auto"/>
        <w:tabs>
          <w:tab w:leader="none" w:pos="1292" w:val="left"/>
        </w:tabs>
        <w:numPr>
          <w:ilvl w:val="0"/>
          <w:numId w:val="6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 ON BUSINESS IN THE ORDINARY COURSE. Holiman shall carry on its business in the ordinary course substantially in the same manner as heretofore conducted and will not enter into any agreement outside of the ordinary course involving an amount in excess of $10,000 for each separate agreement or in excess of an aggregate amount of $50,000 for all agreements collectively. Notwithstanding anything in this Agreement to the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637" w:name="page638"/>
    <w:bookmarkEnd w:id="637"/>
    <w:p>
      <w:pPr>
        <w:ind w:right="3419"/>
        <w:spacing w:after="0" w:line="251" w:lineRule="auto"/>
        <w:rPr>
          <w:sz w:val="20"/>
          <w:szCs w:val="20"/>
          <w:color w:val="auto"/>
        </w:rPr>
      </w:pPr>
      <w:r>
        <w:rPr>
          <w:rFonts w:ascii="Courier New" w:cs="Courier New" w:eastAsia="Courier New" w:hAnsi="Courier New"/>
          <w:sz w:val="14"/>
          <w:szCs w:val="14"/>
          <w:color w:val="auto"/>
        </w:rPr>
        <w:t>contrary, Holiman may pay to Smith a one-time bonus or dividend prior to the Effective Time, provided that after payment of such bonus or dividend, the book value of Holiman (equal to total assets minus total liabilities) at the Effective Time, as determined in accordance with GAAP, is in excess of $200,000 and such assets are cash or other readily marketable Securities.</w:t>
      </w:r>
    </w:p>
    <w:p>
      <w:pPr>
        <w:spacing w:after="0" w:line="165" w:lineRule="exact"/>
        <w:rPr>
          <w:sz w:val="20"/>
          <w:szCs w:val="20"/>
          <w:color w:val="auto"/>
        </w:rPr>
      </w:pPr>
    </w:p>
    <w:p>
      <w:pPr>
        <w:ind w:right="3599" w:firstLine="784"/>
        <w:spacing w:after="0" w:line="252" w:lineRule="auto"/>
        <w:tabs>
          <w:tab w:leader="none" w:pos="1292"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AND MAINTENANCE OF EQUIPMENT AND OTHER ASSETS. Holiman shall use, operate, maintain and repair all of its equipment and other assets and properties in accordance with its previous practices.</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92"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PRESERVATION OF RELATIONSHIPS. Holiman will use its best efforts to preserve its business organization intact, to retain the services of its present employees and to conduct business with suppliers, customers and others having business relations with Holiman in the same manner in which such business has been conduct by Holiman in the past.</w:t>
      </w:r>
    </w:p>
    <w:p>
      <w:pPr>
        <w:spacing w:after="0" w:line="164"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Holiman shall not do any act or omit to do any</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act, or (to the extent such conduct is within Holiman's control) permit any act or omission to act, which will cause a breach of any contracts or agreements to which Holiman is a party.</w:t>
      </w:r>
    </w:p>
    <w:p>
      <w:pPr>
        <w:spacing w:after="0" w:line="163" w:lineRule="exact"/>
        <w:rPr>
          <w:sz w:val="20"/>
          <w:szCs w:val="20"/>
          <w:color w:val="auto"/>
        </w:rPr>
      </w:pPr>
    </w:p>
    <w:p>
      <w:pPr>
        <w:ind w:right="4019" w:firstLine="784"/>
        <w:spacing w:after="0" w:line="255" w:lineRule="auto"/>
        <w:tabs>
          <w:tab w:leader="none" w:pos="1292" w:val="left"/>
        </w:tabs>
        <w:numPr>
          <w:ilvl w:val="0"/>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POLICIES. Holiman shall maintain all Insurance Policies in full force and effect.</w:t>
      </w:r>
    </w:p>
    <w:p>
      <w:pPr>
        <w:spacing w:after="0" w:line="159" w:lineRule="exact"/>
        <w:rPr>
          <w:rFonts w:ascii="Courier New" w:cs="Courier New" w:eastAsia="Courier New" w:hAnsi="Courier New"/>
          <w:sz w:val="14"/>
          <w:szCs w:val="14"/>
          <w:color w:val="auto"/>
        </w:rPr>
      </w:pPr>
    </w:p>
    <w:p>
      <w:pPr>
        <w:ind w:right="3599" w:firstLine="784"/>
        <w:spacing w:after="0" w:line="251" w:lineRule="auto"/>
        <w:tabs>
          <w:tab w:leader="none" w:pos="1292" w:val="left"/>
        </w:tabs>
        <w:numPr>
          <w:ilvl w:val="0"/>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COOPERATION. Holiman and Smith will cooperate in all respects in connection with securing any consents of third parties necessary for the consummation of the transactions contemplated hereby and the giving of any notices to any person or the securing of permission, approval, determination, consent or waiver of any person required in connection with the transactions contemplated by this Agreement.</w:t>
      </w:r>
    </w:p>
    <w:p>
      <w:pPr>
        <w:spacing w:after="0" w:line="164"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NEW AGREEMENTS.  Holiman shall not:</w:t>
      </w:r>
    </w:p>
    <w:p>
      <w:pPr>
        <w:spacing w:after="0" w:line="172" w:lineRule="exact"/>
        <w:rPr>
          <w:rFonts w:ascii="Courier New" w:cs="Courier New" w:eastAsia="Courier New" w:hAnsi="Courier New"/>
          <w:sz w:val="14"/>
          <w:szCs w:val="14"/>
          <w:color w:val="auto"/>
        </w:rPr>
      </w:pPr>
    </w:p>
    <w:p>
      <w:pPr>
        <w:ind w:left="360" w:right="3419" w:firstLine="940"/>
        <w:spacing w:after="0" w:line="251" w:lineRule="auto"/>
        <w:tabs>
          <w:tab w:leader="none" w:pos="1997" w:val="left"/>
        </w:tabs>
        <w:numPr>
          <w:ilvl w:val="1"/>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provided for in Section 5(b) above, grant any increase in the rate of pay to or pay bonuses to any person, other than the payment of normal base salary increases and bonuses to employees and Smith pursuant to historic practices and policies of Holiman (provided that all such bonus payments have been and continue to be accrued monthly and that Smith provides the name of the recipient of such bonus to Exmark 15 days prior to payment thereof and provided further that no bonuses shall be accrued for any officer, director or employee of Holiman for services performed after October 31, 1997);</w:t>
      </w:r>
    </w:p>
    <w:p>
      <w:pPr>
        <w:spacing w:after="0" w:line="163" w:lineRule="exact"/>
        <w:rPr>
          <w:rFonts w:ascii="Courier New" w:cs="Courier New" w:eastAsia="Courier New" w:hAnsi="Courier New"/>
          <w:sz w:val="14"/>
          <w:szCs w:val="14"/>
          <w:color w:val="auto"/>
        </w:rPr>
      </w:pPr>
    </w:p>
    <w:p>
      <w:pPr>
        <w:ind w:left="360" w:right="3599" w:firstLine="940"/>
        <w:spacing w:after="0" w:line="255" w:lineRule="auto"/>
        <w:tabs>
          <w:tab w:leader="none" w:pos="1997" w:val="left"/>
        </w:tabs>
        <w:numPr>
          <w:ilvl w:val="1"/>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institute any new employee benefit plans, as described in Section 3(q) above; or</w:t>
      </w:r>
    </w:p>
    <w:p>
      <w:pPr>
        <w:spacing w:after="0" w:line="159" w:lineRule="exact"/>
        <w:rPr>
          <w:rFonts w:ascii="Courier New" w:cs="Courier New" w:eastAsia="Courier New" w:hAnsi="Courier New"/>
          <w:sz w:val="14"/>
          <w:szCs w:val="14"/>
          <w:color w:val="auto"/>
        </w:rPr>
      </w:pPr>
    </w:p>
    <w:p>
      <w:pPr>
        <w:ind w:left="360" w:right="3419" w:firstLine="940"/>
        <w:spacing w:after="0" w:line="255" w:lineRule="auto"/>
        <w:tabs>
          <w:tab w:leader="none" w:pos="1997" w:val="left"/>
        </w:tabs>
        <w:numPr>
          <w:ilvl w:val="1"/>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in this Agreement, enter into any employment or consulting or noncompetition agreements with any person.</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638" w:name="page639"/>
    <w:bookmarkEnd w:id="638"/>
    <w:p>
      <w:pPr>
        <w:ind w:right="3519" w:firstLine="784"/>
        <w:spacing w:after="0" w:line="252" w:lineRule="auto"/>
        <w:tabs>
          <w:tab w:leader="none" w:pos="1292"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Holiman shall not guarantee the obligations of any person; and, other than in amounts and for purposes encountered in the ordinary course of conducting its business, Holiman shall not create, incur or assume any indebtedness for any borrowed money.</w:t>
      </w:r>
    </w:p>
    <w:p>
      <w:pPr>
        <w:spacing w:after="0" w:line="162"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ISSUANCE OF OR REDEMPTIONS OF SHARES AND NO DISTRIBUTIONS.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Holiman:</w:t>
      </w:r>
    </w:p>
    <w:p>
      <w:pPr>
        <w:spacing w:after="0" w:line="172" w:lineRule="exact"/>
        <w:rPr>
          <w:rFonts w:ascii="Courier New" w:cs="Courier New" w:eastAsia="Courier New" w:hAnsi="Courier New"/>
          <w:sz w:val="14"/>
          <w:szCs w:val="14"/>
          <w:color w:val="auto"/>
        </w:rPr>
      </w:pPr>
    </w:p>
    <w:p>
      <w:pPr>
        <w:ind w:left="360" w:right="3679" w:firstLine="940"/>
        <w:spacing w:after="0" w:line="252" w:lineRule="auto"/>
        <w:tabs>
          <w:tab w:leader="none" w:pos="1997" w:val="left"/>
        </w:tabs>
        <w:numPr>
          <w:ilvl w:val="1"/>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issue any additional shares of any class or grant any warrants, options or rights to subscribe for any additional shares of any class; and</w:t>
      </w:r>
    </w:p>
    <w:p>
      <w:pPr>
        <w:spacing w:after="0" w:line="162" w:lineRule="exact"/>
        <w:rPr>
          <w:rFonts w:ascii="Courier New" w:cs="Courier New" w:eastAsia="Courier New" w:hAnsi="Courier New"/>
          <w:sz w:val="14"/>
          <w:szCs w:val="14"/>
          <w:color w:val="auto"/>
        </w:rPr>
      </w:pPr>
    </w:p>
    <w:p>
      <w:pPr>
        <w:ind w:left="360" w:right="3519" w:firstLine="940"/>
        <w:spacing w:after="0" w:line="255" w:lineRule="auto"/>
        <w:tabs>
          <w:tab w:leader="none" w:pos="1997" w:val="left"/>
        </w:tabs>
        <w:numPr>
          <w:ilvl w:val="1"/>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directly or indirectly redeem, purchase or otherwise acquire or recapitalize or reclassify any of its capital shares.</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292"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Holiman shall comply with all applicable laws and orders of any court or federal, state, municipal or other unit of government.</w:t>
      </w:r>
    </w:p>
    <w:p>
      <w:pPr>
        <w:spacing w:after="0" w:line="162"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Holiman shall timely and properly file all Returns</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which are required to be filed, and shall pay or make provision for the payment of all Taxes owed by it.</w:t>
      </w:r>
    </w:p>
    <w:p>
      <w:pPr>
        <w:spacing w:after="0" w:line="160" w:lineRule="exact"/>
        <w:rPr>
          <w:sz w:val="20"/>
          <w:szCs w:val="20"/>
          <w:color w:val="auto"/>
        </w:rPr>
      </w:pPr>
    </w:p>
    <w:p>
      <w:pPr>
        <w:ind w:right="3339" w:firstLine="784"/>
        <w:spacing w:after="0" w:line="250" w:lineRule="auto"/>
        <w:tabs>
          <w:tab w:leader="none" w:pos="1292" w:val="left"/>
        </w:tabs>
        <w:numPr>
          <w:ilvl w:val="1"/>
          <w:numId w:val="6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DISCLOSURE SCHEDULE. From time to time after the date hereof and prior to the Effective Time, Holiman shall promptly supplement or amend any of its representations and warranties which apply to the period after the date hereof by delivering an updated Disclosure Schedule to Exmark pursuant to this Section 5(m) with respect to any matter hereafter arising which would render any such representation or warranty after the date of this Agreement materially untrue, inaccurate or incomplete as a result of such matter. Such supplement or amendment to Holiman's representations and warranties contained in an updated Disclosure Schedule delivered pursuant to this Section 5(m) shall be deemed to have modified the representations and warranties of Holiman, and no such supplement or amendment, or the information contained in such updated Disclosure Schedule, shall constitute a breach of a representation or warranty of Holiman; provided that no such supplement or amendment may cure any breach of a covenant or agreement of Holiman under this Section 5. Within 15 days after receipt of such supplement or amendment, Exmark may terminate this Agreement pursuant to Section 9 hereof if the information in such supplement or amendment together with the information in any and all of the supplements or amendments previously provided by Holiman indicate that Holiman has suffered or is reasonably likely to suffer a material adverse change.</w:t>
      </w:r>
    </w:p>
    <w:p>
      <w:pPr>
        <w:spacing w:after="0" w:line="173" w:lineRule="exact"/>
        <w:rPr>
          <w:rFonts w:ascii="Courier New" w:cs="Courier New" w:eastAsia="Courier New" w:hAnsi="Courier New"/>
          <w:sz w:val="14"/>
          <w:szCs w:val="14"/>
          <w:color w:val="auto"/>
        </w:rPr>
      </w:pPr>
    </w:p>
    <w:p>
      <w:pPr>
        <w:ind w:right="3519" w:firstLine="353"/>
        <w:spacing w:after="0" w:line="252" w:lineRule="auto"/>
        <w:tabs>
          <w:tab w:leader="none" w:pos="775"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TO THE OBLIGATIONS OF EXMARK. Each and every obligation of Exmark to be performed under this Agreement shall be subject to the satisfaction prior to or at the Effective Time of the following conditions precedent:</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5" w:right="1440" w:bottom="1440" w:gutter="0" w:footer="0" w:header="0"/>
        </w:sectPr>
      </w:pPr>
    </w:p>
    <w:bookmarkStart w:id="639" w:name="page640"/>
    <w:bookmarkEnd w:id="639"/>
    <w:p>
      <w:pPr>
        <w:jc w:val="both"/>
        <w:ind w:right="3939" w:firstLine="784"/>
        <w:spacing w:after="0" w:line="252" w:lineRule="auto"/>
        <w:tabs>
          <w:tab w:leader="none" w:pos="1292"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AGREEMENT BY SMITH AND HOLIMAN. Smith and Holiman shall have substantially performed and complied with all of their respective obligations under this Agreement which are to be performed or complied with by them prior to or at the Effective Time.</w:t>
      </w:r>
    </w:p>
    <w:p>
      <w:pPr>
        <w:spacing w:after="0" w:line="162"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PROCEEDINGS AND INSTRUMENTS TO BE SATISFACTORY.  All</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proceedings, corporate or other, required to be taken in order to give effect to the transactions contemplated by this Agreement, and all material documents incidental thereto, shall be reasonably satisfactory in form and substance to Exmark and Exmark's legal counsel; and Smith and Holiman shall have made available to Exmark and Exmark's agents and representatives for examination the originals, or true and complete copies of, all documents which Exmark may reasonably request in connection with the transactions contemplated by this Agreement.</w:t>
      </w:r>
    </w:p>
    <w:p>
      <w:pPr>
        <w:spacing w:after="0" w:line="330" w:lineRule="exact"/>
        <w:rPr>
          <w:sz w:val="20"/>
          <w:szCs w:val="20"/>
          <w:color w:val="auto"/>
        </w:rPr>
      </w:pPr>
    </w:p>
    <w:p>
      <w:pPr>
        <w:ind w:left="1300" w:hanging="516"/>
        <w:spacing w:after="0"/>
        <w:tabs>
          <w:tab w:leader="none" w:pos="1300"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ADVERSE PROCEEDINGS.  No investigation, suit, action or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proceeding shall be threatened or pending before any court or governmental agency that seeks the restraint, prohibition, damages or other relief in connection with this Agreement or the consummation of the transactions contemplated by this Agreement.</w:t>
      </w:r>
    </w:p>
    <w:p>
      <w:pPr>
        <w:spacing w:after="0" w:line="162" w:lineRule="exact"/>
        <w:rPr>
          <w:sz w:val="20"/>
          <w:szCs w:val="20"/>
          <w:color w:val="auto"/>
        </w:rPr>
      </w:pPr>
    </w:p>
    <w:p>
      <w:pPr>
        <w:ind w:right="3339" w:firstLine="784"/>
        <w:spacing w:after="0" w:line="252" w:lineRule="auto"/>
        <w:tabs>
          <w:tab w:leader="none" w:pos="1292"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made by Smith in this Agreement shall be true and correct as of the Effective Time with the same force and effect as though said representations and warranties had been made at the Effective Time.</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292"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APPROVALS AND CONSENTS; FILINGS. Holiman shall have obtained such approvals, determinations, consents and waivers in, and all filings with and notifications of governmental authorities, regulatory agencies or other entities which regulate the business of Holiman, if any, as may be required under the provisions of any material law, permit, contract, agreement or instrument, to which Holiman or Smith are parties (or which are deemed material and necessary by Exmark) in order to consummate the transactions contemplated by this Agreement or to permit the continued operation of the business of Holiman in the same manner after the Effective Time as theretofore conducted.</w:t>
      </w:r>
    </w:p>
    <w:p>
      <w:pPr>
        <w:spacing w:after="0" w:line="163"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ADVERSE CHANGE; CONDUCT OF BUSINESS IN THE ORDINARY COURSE.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Effective Time, no condition nor fact which, individually or in the aggregate, is or may be materially adverse to the financial condition, properties, business, results of operation or prospects of Holiman shall have arisen or become known to Exmark which was not disclosed to or known by Exmark as of the date of the Latest Balance Sheet. In addition, except as specifically provided for in Section 5(b) of this Agreement, during the period from the date of execution of this Agreement through the Effective Time, Holiman shall not have conducted its business or entered into any transaction other than in the ordinary course, and shall not have incurred or become subject to any liabilities or obligations other than those entered into in the ordinary course or approved by Exmark.</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640" w:name="page641"/>
    <w:bookmarkEnd w:id="640"/>
    <w:p>
      <w:pPr>
        <w:ind w:right="3419" w:firstLine="784"/>
        <w:spacing w:after="0" w:line="252" w:lineRule="auto"/>
        <w:tabs>
          <w:tab w:leader="none" w:pos="1292" w:val="left"/>
        </w:tabs>
        <w:numPr>
          <w:ilvl w:val="1"/>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ACTION TAKEN. This Agreement shall have been duly and validly authorized by Holiman's board of directors and shall have been duly and validly approved by Smith, and Smith shall have delivered to Exmark evidence, in form satisfactory to Exmark's legal counsel, of such authorization and approval.</w:t>
      </w:r>
    </w:p>
    <w:p>
      <w:pPr>
        <w:spacing w:after="0" w:line="327" w:lineRule="exact"/>
        <w:rPr>
          <w:rFonts w:ascii="Courier New" w:cs="Courier New" w:eastAsia="Courier New" w:hAnsi="Courier New"/>
          <w:sz w:val="14"/>
          <w:szCs w:val="14"/>
          <w:color w:val="auto"/>
        </w:rPr>
      </w:pPr>
    </w:p>
    <w:p>
      <w:pPr>
        <w:ind w:right="3679" w:firstLine="784"/>
        <w:spacing w:after="0" w:line="252" w:lineRule="auto"/>
        <w:tabs>
          <w:tab w:leader="none" w:pos="1292" w:val="left"/>
        </w:tabs>
        <w:numPr>
          <w:ilvl w:val="1"/>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Smith shall have entered into an employment agreement with Exmark and Toro in the form attached to the Merger Agreement as Exhibit 12.03(c) (the "Employment Agreement").</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292" w:val="left"/>
        </w:tabs>
        <w:numPr>
          <w:ilvl w:val="1"/>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Smith shall have delivered to Exmark such certificates and documents of officers of Holiman and of public officials as may be reasonably requested to establish the existence and good standing of Holiman and the due authorization by Holiman of this Agreement and performance of the transactions contemplated by this Agreement.</w:t>
      </w:r>
    </w:p>
    <w:p>
      <w:pPr>
        <w:spacing w:after="0" w:line="164"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6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TO THE OBLIGATIONS OF SMITH AND HOLIMAN.  Each</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and every material obligation of Smith and Holiman to be substantially performed under this Agreement shall be subject to the reasonable satisfaction prior to or at the Effective Time of the following conditions precedent:</w:t>
      </w:r>
    </w:p>
    <w:p>
      <w:pPr>
        <w:spacing w:after="0" w:line="163" w:lineRule="exact"/>
        <w:rPr>
          <w:sz w:val="20"/>
          <w:szCs w:val="20"/>
          <w:color w:val="auto"/>
        </w:rPr>
      </w:pPr>
    </w:p>
    <w:p>
      <w:pPr>
        <w:ind w:right="3599" w:firstLine="784"/>
        <w:spacing w:after="0" w:line="252" w:lineRule="auto"/>
        <w:tabs>
          <w:tab w:leader="none" w:pos="1292"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AGREEMENT BY EXMARK. Exmark shall have substantially performed and complied with all material obligations under this Agreement which are to be performed or complied with by Exmark prior to or at the Effective Time.</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292"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PROCEEDINGS AND INSTRUMENTS TO BE SATISFACTORY. All proceedings required to be taken in order to give effect to the transactions contemplated by this Agreement, and all documents incidental thereto, shall be reasonably satisfactory in form and substance to Smith and Smith's legal counsel.</w:t>
      </w:r>
    </w:p>
    <w:p>
      <w:pPr>
        <w:spacing w:after="0" w:line="327"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ADVERSE PROCEEDINGS.  No investigation, suit, action or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proceeding shall be threatened or pending before any court or governmental agency that seeks the restraint, prohibition, damages or other relief in connection with this Agreement or the consummation of the transactions contemplated by this Agreement.</w:t>
      </w:r>
    </w:p>
    <w:p>
      <w:pPr>
        <w:spacing w:after="0" w:line="162" w:lineRule="exact"/>
        <w:rPr>
          <w:sz w:val="20"/>
          <w:szCs w:val="20"/>
          <w:color w:val="auto"/>
        </w:rPr>
      </w:pPr>
    </w:p>
    <w:p>
      <w:pPr>
        <w:ind w:right="3419" w:firstLine="784"/>
        <w:spacing w:after="0" w:line="252" w:lineRule="auto"/>
        <w:tabs>
          <w:tab w:leader="none" w:pos="1292" w:val="left"/>
        </w:tabs>
        <w:numPr>
          <w:ilvl w:val="0"/>
          <w:numId w:val="6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made by Exmark in or as contemplated by this Agreement shall be true and correct as of the Effective Time with the same force and effect as though said representations and warranties had been made on the Effective Time.</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92" w:val="left"/>
        </w:tabs>
        <w:numPr>
          <w:ilvl w:val="0"/>
          <w:numId w:val="6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ACTION TAKEN. This Agreement shall have been duly and validly authorized and approved by Exmark's board of directors and shall have been duly and validly approved by Exmark's stockholders, and Exmark shall have delivered to Smith and Holiman evidence, in form satisfactory to Smith's and Holiman's legal counsel, of such authorization and approval.</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641" w:name="page642"/>
    <w:bookmarkEnd w:id="641"/>
    <w:p>
      <w:pPr>
        <w:ind w:right="3779" w:firstLine="784"/>
        <w:spacing w:after="0" w:line="252" w:lineRule="auto"/>
        <w:tabs>
          <w:tab w:leader="none" w:pos="1292" w:val="left"/>
        </w:tabs>
        <w:numPr>
          <w:ilvl w:val="1"/>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FOR MERGER. All conditions of Toro and Exmark described in Article VIII of the Merger Agreement shall have been satisfied or waived.</w:t>
      </w:r>
    </w:p>
    <w:p>
      <w:pPr>
        <w:spacing w:after="0" w:line="162" w:lineRule="exact"/>
        <w:rPr>
          <w:rFonts w:ascii="Courier New" w:cs="Courier New" w:eastAsia="Courier New" w:hAnsi="Courier New"/>
          <w:sz w:val="14"/>
          <w:szCs w:val="14"/>
          <w:color w:val="auto"/>
        </w:rPr>
      </w:pPr>
    </w:p>
    <w:p>
      <w:pPr>
        <w:ind w:right="3859" w:firstLine="784"/>
        <w:spacing w:after="0" w:line="252" w:lineRule="auto"/>
        <w:tabs>
          <w:tab w:leader="none" w:pos="1292" w:val="left"/>
        </w:tabs>
        <w:numPr>
          <w:ilvl w:val="1"/>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Exmark shall have delivered to Smith such documents as Smith may reasonably request relative to the transactions contemplated by this Agreement.</w:t>
      </w:r>
    </w:p>
    <w:p>
      <w:pPr>
        <w:spacing w:after="0" w:line="162" w:lineRule="exact"/>
        <w:rPr>
          <w:rFonts w:ascii="Courier New" w:cs="Courier New" w:eastAsia="Courier New" w:hAnsi="Courier New"/>
          <w:sz w:val="14"/>
          <w:szCs w:val="14"/>
          <w:color w:val="auto"/>
        </w:rPr>
      </w:pPr>
    </w:p>
    <w:p>
      <w:pPr>
        <w:jc w:val="both"/>
        <w:ind w:right="3939" w:firstLine="784"/>
        <w:spacing w:after="0" w:line="252" w:lineRule="auto"/>
        <w:tabs>
          <w:tab w:leader="none" w:pos="1292" w:val="left"/>
        </w:tabs>
        <w:numPr>
          <w:ilvl w:val="1"/>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EXMARK STOCK. At the time of the Closing, the representations and warrants made by Exmark in Section 3.07 of the Merger Agreement shall be true and correct in all respects.</w:t>
      </w:r>
    </w:p>
    <w:p>
      <w:pPr>
        <w:spacing w:after="0" w:line="162"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AND CLOSING DATE. The Closing will take place at the offices of Dorsey &amp; Whitney LLP, 220 South Sixth Street, Minneapolis, Minnesota 55402 on a date to be specified by the parties, which shall be no later than the third business day after satisfaction or waiver of the conditions set forth in Sections 6 and 7 hereof (the "Closing Date"). The parties shall hold the Closing on the same day as the closing of the merger described in the Merger Agreement. At the Closing, the parties hereto shall deliver to each other the following items:</w:t>
      </w:r>
    </w:p>
    <w:p>
      <w:pPr>
        <w:spacing w:after="0" w:line="329" w:lineRule="exact"/>
        <w:rPr>
          <w:rFonts w:ascii="Courier New" w:cs="Courier New" w:eastAsia="Courier New" w:hAnsi="Courier New"/>
          <w:sz w:val="14"/>
          <w:szCs w:val="14"/>
          <w:color w:val="auto"/>
        </w:rPr>
      </w:pPr>
    </w:p>
    <w:p>
      <w:pPr>
        <w:ind w:left="1300" w:hanging="516"/>
        <w:spacing w:after="0"/>
        <w:tabs>
          <w:tab w:leader="none" w:pos="1300" w:val="left"/>
        </w:tabs>
        <w:numPr>
          <w:ilvl w:val="1"/>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DELIVERIES BY SMITH TO EXMARK.  Smith shall deliver to Exmark</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following documents and considerations against the simultaneous delivery by Exmark of the documents and considerations described in Section 8(b) below to Smith:</w:t>
      </w:r>
    </w:p>
    <w:p>
      <w:pPr>
        <w:spacing w:after="0" w:line="163" w:lineRule="exact"/>
        <w:rPr>
          <w:sz w:val="20"/>
          <w:szCs w:val="20"/>
          <w:color w:val="auto"/>
        </w:rPr>
      </w:pPr>
    </w:p>
    <w:p>
      <w:pPr>
        <w:ind w:left="360" w:right="3419" w:firstLine="940"/>
        <w:spacing w:after="0" w:line="252" w:lineRule="auto"/>
        <w:tabs>
          <w:tab w:leader="none" w:pos="1997"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certificates issued by Holiman to Smith representing in the aggregate all of the issued and outstanding shares of Holiman's capital stock, together with duly executed stock powers attached thereto transferring the shares represented by such certificates to Exmark.</w:t>
      </w:r>
    </w:p>
    <w:p>
      <w:pPr>
        <w:spacing w:after="0" w:line="162" w:lineRule="exact"/>
        <w:rPr>
          <w:rFonts w:ascii="Courier New" w:cs="Courier New" w:eastAsia="Courier New" w:hAnsi="Courier New"/>
          <w:sz w:val="14"/>
          <w:szCs w:val="14"/>
          <w:color w:val="auto"/>
        </w:rPr>
      </w:pPr>
    </w:p>
    <w:p>
      <w:pPr>
        <w:ind w:left="360" w:right="3599" w:firstLine="940"/>
        <w:spacing w:after="0" w:line="255" w:lineRule="auto"/>
        <w:tabs>
          <w:tab w:leader="none" w:pos="1997"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of all officers and directors of Holiman, effective as of the Closing.</w:t>
      </w:r>
    </w:p>
    <w:p>
      <w:pPr>
        <w:spacing w:after="0" w:line="159" w:lineRule="exact"/>
        <w:rPr>
          <w:rFonts w:ascii="Courier New" w:cs="Courier New" w:eastAsia="Courier New" w:hAnsi="Courier New"/>
          <w:sz w:val="14"/>
          <w:szCs w:val="14"/>
          <w:color w:val="auto"/>
        </w:rPr>
      </w:pPr>
    </w:p>
    <w:p>
      <w:pPr>
        <w:ind w:left="1980" w:hanging="680"/>
        <w:spacing w:after="0"/>
        <w:tabs>
          <w:tab w:leader="none" w:pos="1980"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records of Holiman.</w:t>
      </w:r>
    </w:p>
    <w:p>
      <w:pPr>
        <w:spacing w:after="0" w:line="172" w:lineRule="exact"/>
        <w:rPr>
          <w:rFonts w:ascii="Courier New" w:cs="Courier New" w:eastAsia="Courier New" w:hAnsi="Courier New"/>
          <w:sz w:val="14"/>
          <w:szCs w:val="14"/>
          <w:color w:val="auto"/>
        </w:rPr>
      </w:pPr>
    </w:p>
    <w:p>
      <w:pPr>
        <w:ind w:left="1980" w:hanging="680"/>
        <w:spacing w:after="0"/>
        <w:tabs>
          <w:tab w:leader="none" w:pos="1980"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Smith's closing certificate in a form acceptable to</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Exmark.</w:t>
      </w:r>
    </w:p>
    <w:p>
      <w:pPr>
        <w:spacing w:after="0" w:line="172" w:lineRule="exact"/>
        <w:rPr>
          <w:rFonts w:ascii="Courier New" w:cs="Courier New" w:eastAsia="Courier New" w:hAnsi="Courier New"/>
          <w:sz w:val="14"/>
          <w:szCs w:val="14"/>
          <w:color w:val="auto"/>
        </w:rPr>
      </w:pPr>
    </w:p>
    <w:p>
      <w:pPr>
        <w:ind w:left="1980" w:hanging="680"/>
        <w:spacing w:after="0"/>
        <w:tabs>
          <w:tab w:leader="none" w:pos="1980"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legal counsel for Holiman acceptable to legal</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Exmark.</w:t>
      </w:r>
    </w:p>
    <w:p>
      <w:pPr>
        <w:spacing w:after="0" w:line="172" w:lineRule="exact"/>
        <w:rPr>
          <w:rFonts w:ascii="Courier New" w:cs="Courier New" w:eastAsia="Courier New" w:hAnsi="Courier New"/>
          <w:sz w:val="14"/>
          <w:szCs w:val="14"/>
          <w:color w:val="auto"/>
        </w:rPr>
      </w:pPr>
    </w:p>
    <w:p>
      <w:pPr>
        <w:ind w:left="360" w:right="3779" w:firstLine="940"/>
        <w:spacing w:after="0" w:line="255" w:lineRule="auto"/>
        <w:tabs>
          <w:tab w:leader="none" w:pos="1997"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as may be required to consummate the transactions contemplated by this Agreement.</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292"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DELIVERIES BY EXMARK TO SMITH. Exmark shall deliver to Smith the following documents and considerations against the simultaneous delivery of the documents and considerations by Smith to Exmark as set forth in Section 8(a) above:</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7" w:right="1440" w:bottom="1440" w:gutter="0" w:footer="0" w:header="0"/>
        </w:sectPr>
      </w:pPr>
    </w:p>
    <w:bookmarkStart w:id="642" w:name="page643"/>
    <w:bookmarkEnd w:id="642"/>
    <w:p>
      <w:pPr>
        <w:ind w:left="1980" w:hanging="680"/>
        <w:spacing w:after="0"/>
        <w:tabs>
          <w:tab w:leader="none" w:pos="1980" w:val="left"/>
        </w:tabs>
        <w:numPr>
          <w:ilvl w:val="0"/>
          <w:numId w:val="6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Consideration.</w:t>
      </w:r>
    </w:p>
    <w:p>
      <w:pPr>
        <w:spacing w:after="0" w:line="172" w:lineRule="exact"/>
        <w:rPr>
          <w:rFonts w:ascii="Courier New" w:cs="Courier New" w:eastAsia="Courier New" w:hAnsi="Courier New"/>
          <w:sz w:val="14"/>
          <w:szCs w:val="14"/>
          <w:color w:val="auto"/>
        </w:rPr>
      </w:pPr>
    </w:p>
    <w:p>
      <w:pPr>
        <w:ind w:left="1980" w:hanging="680"/>
        <w:spacing w:after="0"/>
        <w:tabs>
          <w:tab w:leader="none" w:pos="1980" w:val="left"/>
        </w:tabs>
        <w:numPr>
          <w:ilvl w:val="0"/>
          <w:numId w:val="6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closing certificate in a form acceptable to</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Holiman.</w:t>
      </w:r>
    </w:p>
    <w:p>
      <w:pPr>
        <w:spacing w:after="0" w:line="173" w:lineRule="exact"/>
        <w:rPr>
          <w:sz w:val="20"/>
          <w:szCs w:val="20"/>
          <w:color w:val="auto"/>
        </w:rPr>
      </w:pPr>
    </w:p>
    <w:p>
      <w:pPr>
        <w:ind w:left="360" w:right="3519" w:firstLine="940"/>
        <w:spacing w:after="0" w:line="255" w:lineRule="auto"/>
        <w:tabs>
          <w:tab w:leader="none" w:pos="1997" w:val="left"/>
        </w:tabs>
        <w:numPr>
          <w:ilvl w:val="2"/>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legal counsel for Exmark acceptable to legal counsel for Holiman.</w:t>
      </w:r>
    </w:p>
    <w:p>
      <w:pPr>
        <w:spacing w:after="0" w:line="159" w:lineRule="exact"/>
        <w:rPr>
          <w:rFonts w:ascii="Courier New" w:cs="Courier New" w:eastAsia="Courier New" w:hAnsi="Courier New"/>
          <w:sz w:val="14"/>
          <w:szCs w:val="14"/>
          <w:color w:val="auto"/>
        </w:rPr>
      </w:pPr>
    </w:p>
    <w:p>
      <w:pPr>
        <w:ind w:left="360" w:right="4119" w:firstLine="940"/>
        <w:spacing w:after="0" w:line="255" w:lineRule="auto"/>
        <w:tabs>
          <w:tab w:leader="none" w:pos="1997" w:val="left"/>
        </w:tabs>
        <w:numPr>
          <w:ilvl w:val="2"/>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as may be reasonably required to consummate the transactions contemplated by this Agreement.</w:t>
      </w:r>
    </w:p>
    <w:p>
      <w:pPr>
        <w:spacing w:after="0" w:line="159" w:lineRule="exact"/>
        <w:rPr>
          <w:rFonts w:ascii="Courier New" w:cs="Courier New" w:eastAsia="Courier New" w:hAnsi="Courier New"/>
          <w:sz w:val="14"/>
          <w:szCs w:val="14"/>
          <w:color w:val="auto"/>
        </w:rPr>
      </w:pPr>
    </w:p>
    <w:p>
      <w:pPr>
        <w:ind w:right="3339" w:firstLine="353"/>
        <w:spacing w:after="0" w:line="252" w:lineRule="auto"/>
        <w:tabs>
          <w:tab w:leader="none" w:pos="775" w:val="left"/>
        </w:tabs>
        <w:numPr>
          <w:ilvl w:val="0"/>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In addition to the rights of termination set forth elsewhere in this Agreement, this Agreement may be terminated and the transactions contemplated herein abandoned at any time prior to the Closing Date in the manner hereinafter provided upon the happening of the following events:</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92" w:val="left"/>
        </w:tabs>
        <w:numPr>
          <w:ilvl w:val="1"/>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MISREPRESENTATION; NONFULFILLMENT OF CONDITIONS. If Smith or Exmark has made any material misrepresentation of a material fact to the other party and such misrepresentation is not cured within 10 days after notice thereof from the other party; or if the material conditions precedent to the Closing to be performed by a party shall not have been substantially fulfilled by such party on or before the Closing Date (unless waived by the other party);</w:t>
      </w:r>
    </w:p>
    <w:p>
      <w:pPr>
        <w:spacing w:after="0" w:line="164" w:lineRule="exact"/>
        <w:rPr>
          <w:rFonts w:ascii="Courier New" w:cs="Courier New" w:eastAsia="Courier New" w:hAnsi="Courier New"/>
          <w:sz w:val="14"/>
          <w:szCs w:val="14"/>
          <w:color w:val="auto"/>
        </w:rPr>
      </w:pPr>
    </w:p>
    <w:p>
      <w:pPr>
        <w:ind w:left="1300" w:hanging="516"/>
        <w:spacing w:after="0"/>
        <w:tabs>
          <w:tab w:leader="none" w:pos="1300" w:val="left"/>
        </w:tabs>
        <w:numPr>
          <w:ilvl w:val="1"/>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If either party fails to observe or perform in a</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timely manner any of the covenants and agreements herein contained and fails to substantially cure the same within a period of 10 days after notice thereof from the other party;</w:t>
      </w:r>
    </w:p>
    <w:p>
      <w:pPr>
        <w:spacing w:after="0" w:line="163" w:lineRule="exact"/>
        <w:rPr>
          <w:sz w:val="20"/>
          <w:szCs w:val="20"/>
          <w:color w:val="auto"/>
        </w:rPr>
      </w:pPr>
    </w:p>
    <w:p>
      <w:pPr>
        <w:ind w:right="3339" w:firstLine="784"/>
        <w:spacing w:after="0" w:line="251" w:lineRule="auto"/>
        <w:tabs>
          <w:tab w:leader="none" w:pos="1292" w:val="left"/>
        </w:tabs>
        <w:numPr>
          <w:ilvl w:val="0"/>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BY COURT. If there shall be a final nonappealable order of a federal or state court in effect preventing consummation of the transaction, or there shall be any action taken, or any statute, rule, regulation or order enacted, promulgated or issued or deemed applicable to the transaction by any governmental authority or agency, foreign or domestic, which would make the consummation of the transaction illegal and such action, statute, rule, regulation or order shall have become final and unappealable;</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92" w:val="left"/>
        </w:tabs>
        <w:numPr>
          <w:ilvl w:val="0"/>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BY GOVERNMENT AUTHORITY. If there shall be any action taken, or any statute, rule, regulation or order enacted, promulgated or issued or deemed applicable to the transaction by any governmental authority or agency, which would (i) prohibit Holiman's or Exmark's ownership or operation of all or a portion of Holiman's business, or (ii) compel Exmark or Holiman to dispose of or hold separate all or a portion of the business or assets of Holiman or Exmark as a result of the transaction;</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292" w:val="left"/>
        </w:tabs>
        <w:numPr>
          <w:ilvl w:val="0"/>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IMPOSSIBILITY. If any of the conditions to either party's obligations to consummate the transaction as set forth in Section 6 or Section 7 become impossible to satisfy; or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643" w:name="page644"/>
    <w:bookmarkEnd w:id="643"/>
    <w:p>
      <w:pPr>
        <w:ind w:right="3599" w:firstLine="784"/>
        <w:spacing w:after="0" w:line="255" w:lineRule="auto"/>
        <w:tabs>
          <w:tab w:leader="none" w:pos="1292" w:val="left"/>
        </w:tabs>
        <w:numPr>
          <w:ilvl w:val="0"/>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MUTUAL WRITTEN CONSENT. If the parties hereto agree by mutual written consent.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however, the options to terminate this Agreement as set forth in Subsections (a), (b), (c), (d) and (e) of this Section 9 shall be deemed to be an additional right of the party having the power to exercise the option, and it shall not relieve the other party from the obligation to perform the provisions of this Agreement or preclude an action for specific performance of the provisions of this Agreement by the party having the power to exercise the option.</w:t>
      </w:r>
    </w:p>
    <w:p>
      <w:pPr>
        <w:spacing w:after="0" w:line="330" w:lineRule="exact"/>
        <w:rPr>
          <w:sz w:val="20"/>
          <w:szCs w:val="20"/>
          <w:color w:val="auto"/>
        </w:rPr>
      </w:pPr>
    </w:p>
    <w:p>
      <w:pPr>
        <w:ind w:right="3419" w:firstLine="353"/>
        <w:spacing w:after="0" w:line="250" w:lineRule="auto"/>
        <w:tabs>
          <w:tab w:leader="none" w:pos="775" w:val="left"/>
        </w:tabs>
        <w:numPr>
          <w:ilvl w:val="1"/>
          <w:numId w:val="6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REPRESENTATIONS, WARRANTIES, UNDER-TAKINGS AND AGREEMENTS; INDEMNITIES. The parties hereto agree that all representations, warranties, undertakings and agreements of Smith contained in or made pursuant to this Agreement shall survive the Closing for the greater of the following periods:</w:t>
      </w:r>
    </w:p>
    <w:p>
      <w:pPr>
        <w:spacing w:after="0" w:line="1" w:lineRule="exact"/>
        <w:rPr>
          <w:rFonts w:ascii="Courier New" w:cs="Courier New" w:eastAsia="Courier New" w:hAnsi="Courier New"/>
          <w:sz w:val="14"/>
          <w:szCs w:val="14"/>
          <w:color w:val="auto"/>
        </w:rPr>
      </w:pPr>
    </w:p>
    <w:p>
      <w:pPr>
        <w:jc w:val="both"/>
        <w:ind w:right="3779" w:firstLine="8"/>
        <w:spacing w:after="0" w:line="250" w:lineRule="auto"/>
        <w:tabs>
          <w:tab w:leader="none" w:pos="344"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months from the Effective Time, or (b) with respect to any specific representation or warranty under which Exmark shall have made a claim with respect to any Loss (as defined in Section 10(b) below) for indemnification hereunder prior to the 30-month anniversary of the Effective Time and as to which such claim has not been completely and finally resolved prior to the</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30-month anniversary of the Effective Time, such representation or warranty shall survive for the period of time beyond the 30-month anniversary of the Effective Time sufficient to resolve, completely and finally, the claim relating to such representation or warranty; provided, however, that the representations of Smith in Section 3(l) shall survive until the expiration of any applicable statute of limitations with respect thereto. During such period, Smith agrees as follows regarding indemnification of Exmark concerning claims, actions or proceedings arising from this Agreement:</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292" w:val="left"/>
        </w:tabs>
        <w:numPr>
          <w:ilvl w:val="2"/>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SMITH'S INDEMNITIES. Smith agrees to save harmless, defend and otherwise indemnify Exmark from and against any and all losses, damages, costs, expenses, liabilities, obligations and claims of any kind (including without limitation, reasonable attorney's fees and other legal costs and expenses) that Exmark may at any time suffer or incur, or become subject to as a result of or in connection with:</w:t>
      </w:r>
    </w:p>
    <w:p>
      <w:pPr>
        <w:spacing w:after="0" w:line="164" w:lineRule="exact"/>
        <w:rPr>
          <w:rFonts w:ascii="Courier New" w:cs="Courier New" w:eastAsia="Courier New" w:hAnsi="Courier New"/>
          <w:sz w:val="14"/>
          <w:szCs w:val="14"/>
          <w:color w:val="auto"/>
        </w:rPr>
      </w:pPr>
    </w:p>
    <w:p>
      <w:pPr>
        <w:ind w:left="360" w:right="3599" w:firstLine="940"/>
        <w:spacing w:after="0" w:line="252" w:lineRule="auto"/>
        <w:tabs>
          <w:tab w:leader="none" w:pos="1997" w:val="left"/>
        </w:tabs>
        <w:numPr>
          <w:ilvl w:val="3"/>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OR INACCURACY OF REPRESENTATIONS AND WARRANTIES BY SMITH. Any breach or inaccuracy of any of the representations and warranties made by Smith in or pursuant to this Agreement.</w:t>
      </w:r>
    </w:p>
    <w:p>
      <w:pPr>
        <w:spacing w:after="0" w:line="162" w:lineRule="exact"/>
        <w:rPr>
          <w:rFonts w:ascii="Courier New" w:cs="Courier New" w:eastAsia="Courier New" w:hAnsi="Courier New"/>
          <w:sz w:val="14"/>
          <w:szCs w:val="14"/>
          <w:color w:val="auto"/>
        </w:rPr>
      </w:pPr>
    </w:p>
    <w:p>
      <w:pPr>
        <w:ind w:left="360" w:right="3419" w:firstLine="940"/>
        <w:spacing w:after="0" w:line="251" w:lineRule="auto"/>
        <w:tabs>
          <w:tab w:leader="none" w:pos="1997" w:val="left"/>
        </w:tabs>
        <w:numPr>
          <w:ilvl w:val="3"/>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SMITH OR HOLIMAN TO PERFORM AGREEMENTS. Any failure by Smith or Holiman to substantially carry out, perform, satisfy or discharge any of their respective covenants, agreements, undertakings, liabilities or obligations under this Agreement or under any of the documents and materials delivered to Exmark by Smith or Holiman pursuant to this Agreement.</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7" w:right="1440" w:bottom="1440" w:gutter="0" w:footer="0" w:header="0"/>
        </w:sectPr>
      </w:pPr>
    </w:p>
    <w:bookmarkStart w:id="644" w:name="page645"/>
    <w:bookmarkEnd w:id="644"/>
    <w:p>
      <w:pPr>
        <w:ind w:left="360" w:right="3419" w:firstLine="940"/>
        <w:spacing w:after="0" w:line="250" w:lineRule="auto"/>
        <w:tabs>
          <w:tab w:leader="none" w:pos="1997" w:val="left"/>
        </w:tabs>
        <w:numPr>
          <w:ilvl w:val="1"/>
          <w:numId w:val="6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RESULTING LITIGATION. Any suit, action or other proceeding brought by any governmental authority or Person arising out of, or in any way related to, any of the matters referred to in clauses (i) and</w:t>
      </w:r>
    </w:p>
    <w:p>
      <w:pPr>
        <w:spacing w:after="0" w:line="1"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6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w:t>
      </w:r>
    </w:p>
    <w:p>
      <w:pPr>
        <w:spacing w:after="0" w:line="172" w:lineRule="exact"/>
        <w:rPr>
          <w:rFonts w:ascii="Courier New" w:cs="Courier New" w:eastAsia="Courier New" w:hAnsi="Courier New"/>
          <w:sz w:val="14"/>
          <w:szCs w:val="14"/>
          <w:color w:val="auto"/>
        </w:rPr>
      </w:pPr>
    </w:p>
    <w:p>
      <w:pPr>
        <w:ind w:left="360" w:right="3519" w:firstLine="940"/>
        <w:spacing w:after="0" w:line="252" w:lineRule="auto"/>
        <w:tabs>
          <w:tab w:leader="none" w:pos="1997" w:val="left"/>
        </w:tabs>
        <w:numPr>
          <w:ilvl w:val="1"/>
          <w:numId w:val="6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Any amounts payable in respect of Taxes arising out of, or in any way related to, the payment of dividends, distributions or compensation by Holiman to Smith prior to the Effective Time.</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amounts for which Smith shall be liable under this Section 10(a) shall be net of insurance proceeds, if any, received by Exmark in connection with the facts giving rise to the right of indemnification.</w:t>
      </w:r>
    </w:p>
    <w:p>
      <w:pPr>
        <w:spacing w:after="0" w:line="163" w:lineRule="exact"/>
        <w:rPr>
          <w:sz w:val="20"/>
          <w:szCs w:val="20"/>
          <w:color w:val="auto"/>
        </w:rPr>
      </w:pPr>
    </w:p>
    <w:p>
      <w:pPr>
        <w:ind w:right="3779" w:firstLine="784"/>
        <w:spacing w:after="0" w:line="252" w:lineRule="auto"/>
        <w:tabs>
          <w:tab w:leader="none" w:pos="1292" w:val="left"/>
        </w:tabs>
        <w:numPr>
          <w:ilvl w:val="1"/>
          <w:numId w:val="6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ASSERTING CLAIMS. As used herein, "Losses" shall mean any loss, liability, deficiency, damage, expense or cost covered under Section 10(a).</w:t>
      </w:r>
    </w:p>
    <w:p>
      <w:pPr>
        <w:spacing w:after="0" w:line="162" w:lineRule="exact"/>
        <w:rPr>
          <w:rFonts w:ascii="Courier New" w:cs="Courier New" w:eastAsia="Courier New" w:hAnsi="Courier New"/>
          <w:sz w:val="14"/>
          <w:szCs w:val="14"/>
          <w:color w:val="auto"/>
        </w:rPr>
      </w:pPr>
    </w:p>
    <w:p>
      <w:pPr>
        <w:ind w:left="360" w:right="3419" w:firstLine="940"/>
        <w:spacing w:after="0" w:line="250" w:lineRule="auto"/>
        <w:tabs>
          <w:tab w:leader="none" w:pos="1997" w:val="left"/>
        </w:tabs>
        <w:numPr>
          <w:ilvl w:val="2"/>
          <w:numId w:val="6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Exmark is made a defendant in or party to any action or proceeding, judicial or administrative, instituted by any third party for the liability or the costs or expenses of which are Losses (any such third party action or proceeding being referred to as a "Claim"), Exmark shall give Smith prompt notice thereof. The failure to give such notice shall not affect Exmark's ability to seek reimbursement unless such failure has materially and adversely affected Smith's ability to defend successfully a Claim. Smith shall be entitled to contest and defend such Claim; provided, that Smith (A) has a reasonable basis for concluding that such defense may be successful and (B) diligently contests and defends such Claim. Notice of the intention so to contest and defend shall be given by Smith to Exmark within 20 business days after Exmark's notice of such Claim (but, in all events, at least five business days prior to the date that an answer to such Claim is due to be filed). Such contest and defense shall be conducted by reputable attorneys employed by Smith. Exmark shall be entitled at any time, at its own cost and expense (which expense shall not constitute Losses unless Exmark reasonably determines that Smith is not adequately representing or, because of a conflict of interest, may not adequately represent, the interests of Exmark, and only to the extent that such expenses are reasonable), to participate in such contest and defense and to be represented by attorneys of Exmark's own choosing. If Exmark elects to participate in such defense, Exmark will cooperate with Smith in the conduct of such defense. Neither Exmark nor Smith may concede, settle or compromise any Claim without the consent of the other party, which consents will not be unreasonably withheld. Notwithstanding the foregoing,</w:t>
      </w:r>
    </w:p>
    <w:p>
      <w:pPr>
        <w:spacing w:after="0" w:line="10" w:lineRule="exact"/>
        <w:rPr>
          <w:rFonts w:ascii="Courier New" w:cs="Courier New" w:eastAsia="Courier New" w:hAnsi="Courier New"/>
          <w:sz w:val="14"/>
          <w:szCs w:val="14"/>
          <w:color w:val="auto"/>
        </w:rPr>
      </w:pPr>
    </w:p>
    <w:p>
      <w:pPr>
        <w:ind w:left="360" w:right="3599" w:hanging="7"/>
        <w:spacing w:after="0" w:line="251" w:lineRule="auto"/>
        <w:tabs>
          <w:tab w:leader="none" w:pos="705" w:val="left"/>
        </w:tabs>
        <w:numPr>
          <w:ilvl w:val="0"/>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seeks equitable relief or (B) if the subject matter of a Claim relates to the ongoing business of Exmark, which Claim, if decided against Exmark, would materially adversely affect the ongoing business or reputation of Exmark, then, in each such case, Exmark alone shall be entitled to contest, defend and settle such Claim in the first instance and, if Exmark does not contest, defend or settle such Claim, Smith shall then have the right to contest and defend (but not settle) such Claim.</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5" w:right="1440" w:bottom="1440" w:gutter="0" w:footer="0" w:header="0"/>
        </w:sectPr>
      </w:pPr>
    </w:p>
    <w:bookmarkStart w:id="645" w:name="page646"/>
    <w:bookmarkEnd w:id="645"/>
    <w:p>
      <w:pPr>
        <w:ind w:left="7" w:right="3419" w:firstLine="940"/>
        <w:spacing w:after="0" w:line="250" w:lineRule="auto"/>
        <w:tabs>
          <w:tab w:leader="none" w:pos="1644" w:val="left"/>
        </w:tabs>
        <w:numPr>
          <w:ilvl w:val="1"/>
          <w:numId w:val="6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Exmark should have a claim against Smith that does not involve a Claim, Exmark shall deliver a notice of such claim with reasonable promptness to Smith. If Smith notifies Exmark that he does not dispute the claim described in such notice or fails to notify Exmark within 30 days after delivery of such notice by Exmark whether Smith disputes the claim described in such notice, Losses in the amount specified in Exmark's notice will be conclusively deemed a liability of Smith and Smith shall pay the amount of such Losses to Exmark on demand. If Smith has timely disputed its liability with respect to such claim, duly authorized representatives of each of Smith and Exmark will proceed in good faith to negotiate a resolution of such dispute, and if not resolved through the negotiations of such representatives within 60 days after the delivery of Exmark's notice of such claim, such dispute shall be resolved fully and finally in Minneapolis, Minnesota by an arbitrator selected pursuant to, and an arbitration governed by, the Commercial Arbitration Rules of the American Arbitration Association. The arbitrator shall resolve the dispute within 30 days after selection and judgment upon the award rendered by such arbitrator may be entered in any court of competent jurisdiction.</w:t>
      </w:r>
    </w:p>
    <w:p>
      <w:pPr>
        <w:spacing w:after="0" w:line="339" w:lineRule="exact"/>
        <w:rPr>
          <w:rFonts w:ascii="Courier New" w:cs="Courier New" w:eastAsia="Courier New" w:hAnsi="Courier New"/>
          <w:sz w:val="14"/>
          <w:szCs w:val="14"/>
          <w:color w:val="auto"/>
        </w:rPr>
      </w:pPr>
    </w:p>
    <w:p>
      <w:pPr>
        <w:ind w:left="7" w:right="3419" w:firstLine="940"/>
        <w:spacing w:after="0" w:line="251" w:lineRule="auto"/>
        <w:tabs>
          <w:tab w:leader="none" w:pos="1644" w:val="left"/>
        </w:tabs>
        <w:numPr>
          <w:ilvl w:val="1"/>
          <w:numId w:val="6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the rights set forth in this Section 10 shall be Exmark's sole and exclusive remedies against Smith for misrepresentations or breaches of covenants contained in this Agreement and the documents and materials delivered by Smith to Exmark pursuant to this Agreement. Notwithstanding the foregoing, nothing herein shall prevent Exmark from bringing an action based upon allegations of fraud or other intentional breach of an obligation of or with respect to Smith in connection with this Agreement and such documents and materials. In the event such action is brought, the prevailing party's attorneys' fees and costs shall be paid by the nonprevailing party.</w:t>
      </w:r>
    </w:p>
    <w:p>
      <w:pPr>
        <w:spacing w:after="0" w:line="163" w:lineRule="exact"/>
        <w:rPr>
          <w:rFonts w:ascii="Courier New" w:cs="Courier New" w:eastAsia="Courier New" w:hAnsi="Courier New"/>
          <w:sz w:val="14"/>
          <w:szCs w:val="14"/>
          <w:color w:val="auto"/>
        </w:rPr>
      </w:pPr>
    </w:p>
    <w:p>
      <w:pPr>
        <w:ind w:left="-353" w:right="3339" w:firstLine="784"/>
        <w:spacing w:after="0" w:line="251" w:lineRule="auto"/>
        <w:tabs>
          <w:tab w:leader="none" w:pos="939" w:val="left"/>
        </w:tabs>
        <w:numPr>
          <w:ilvl w:val="0"/>
          <w:numId w:val="6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SMITH'S LIABILITY FOR CERTAIN REPRESENTATIONS. Smith shall be liable under Section 10(a) only if the aggregate amount of all Losses exceeds $30,000 (the "Basket Amount"), in which case Smith shall be obligated to indemnify Exmark only for the excess of the aggregate amount of such Losses over the Basket Amount, and only up to a maximum amount of $318,000 (the "Indemnification Limit"); provided, however, that neither the Basket Amount nor the Indemnification Limit shall apply to any Loss associated with any misrepresentation claims in respect of Taxes, and provided further that the Basket Amount shall not apply to any Loss for claims under Section 10(a)(ii) above.</w:t>
      </w:r>
    </w:p>
    <w:p>
      <w:pPr>
        <w:spacing w:after="0" w:line="329" w:lineRule="exact"/>
        <w:rPr>
          <w:sz w:val="20"/>
          <w:szCs w:val="20"/>
          <w:color w:val="auto"/>
        </w:rPr>
      </w:pPr>
    </w:p>
    <w:p>
      <w:pPr>
        <w:ind w:left="-353" w:right="3339" w:firstLine="353"/>
        <w:spacing w:after="0" w:line="251" w:lineRule="auto"/>
        <w:tabs>
          <w:tab w:leader="none" w:pos="422"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INSTRUMENTS AND FURTHER ASSURANCES. Smith and Holiman agree from time to time, upon the request of Exmark, to execute and deliver to Exmark such other instruments of transfer, assignment and conveyance and to take such other action as Exmark may reasonably request more effectively to vest ownership of the Shares in Exmark and to put Exmark in possession of all the assets of Holiman. Exmark agrees from time to time, to execute and deliver to Smith and Holiman such additional instruments and to take such additional action as Smith and Holiman may reasonably</w:t>
      </w:r>
    </w:p>
    <w:p>
      <w:pPr>
        <w:spacing w:after="0" w:line="329"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886"/>
          </w:cols>
          <w:pgMar w:left="573" w:top="616" w:right="1440" w:bottom="1440" w:gutter="0" w:footer="0" w:header="0"/>
        </w:sectPr>
      </w:pPr>
    </w:p>
    <w:bookmarkStart w:id="646" w:name="page647"/>
    <w:bookmarkEnd w:id="646"/>
    <w:p>
      <w:pPr>
        <w:ind w:right="3679"/>
        <w:spacing w:after="0" w:line="255" w:lineRule="auto"/>
        <w:rPr>
          <w:sz w:val="20"/>
          <w:szCs w:val="20"/>
          <w:color w:val="auto"/>
        </w:rPr>
      </w:pPr>
      <w:r>
        <w:rPr>
          <w:rFonts w:ascii="Courier New" w:cs="Courier New" w:eastAsia="Courier New" w:hAnsi="Courier New"/>
          <w:sz w:val="14"/>
          <w:szCs w:val="14"/>
          <w:color w:val="auto"/>
        </w:rPr>
        <w:t>request to evidence the assumption, covenants and agreements of Exmark under this Agreement.</w:t>
      </w:r>
    </w:p>
    <w:p>
      <w:pPr>
        <w:spacing w:after="0" w:line="160" w:lineRule="exact"/>
        <w:rPr>
          <w:sz w:val="20"/>
          <w:szCs w:val="20"/>
          <w:color w:val="auto"/>
        </w:rPr>
      </w:pPr>
    </w:p>
    <w:p>
      <w:pPr>
        <w:ind w:right="3419" w:firstLine="353"/>
        <w:spacing w:after="0" w:line="251" w:lineRule="auto"/>
        <w:tabs>
          <w:tab w:leader="none" w:pos="775"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Exmark and Smith agree that the assets and the business of Holiman as a going concern constitute unique property and that the Shares of Holiman to be transferred under the terms of this Agreement also constitute unique property since such shares evidence indirect ownership of control of the assets and business of Holiman. Accordingly, Smith acknowledges and agrees that there is no adequate remedy at law for the damage which Exmark might sustain in the event of the failure of Smith to consummate the transactions contemplated by this Agreement. Therefore, Smith agrees that Exmark shall be entitled, at Exmark's option, to the remedy of specific performance to enforce the terms of this Agreement.</w:t>
      </w:r>
    </w:p>
    <w:p>
      <w:pPr>
        <w:spacing w:after="0" w:line="163"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IS A THIRD PARTY BENEFICIARY. The parties hereto agree that the transactions contemplated by this Agreement were entered into in contemplation of the merger by and among Toro, Exmark and EMCI Acquisition, Inc. (the "Merger") pursuant to the terms of the Merger Agreement and further agree that, following the effective time of the Merger, the rights and obligations of Exmark hereunder shall inure to the benefit of Toro, including its subsidiaries, as if Toro replaced Exmark as a party hereto. Except for Toro, no third party is entitled to rely on any of the representations, warranties or agreements of Exmark or Smith contained in this Agreement. Exmark and Smith assume no liability to any third party, other than Toro, because of any reliance on the representations, warranties and agreements of Exmark or Smith contained in this Agreement.</w:t>
      </w:r>
    </w:p>
    <w:p>
      <w:pPr>
        <w:spacing w:after="0" w:line="328"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PRESS RELEASES AND ANNOUNCEMENTS. Prior to the Effective Time, no party hereto shall issue any press release (or make any other public announcement) related to this Agreement or the transactions contemplated hereby or make any announcement to either party's employees, customers or suppliers without prior written approval of the other party, except that Toro may issue any such release (or other announcement) as it determines, in its sole discretion, as may be necessary to comply with the requirements of this Agreement or applicable law or by obligations pursuant to any listing agreement with any national securities exchange. If Toro determines any such press release or public announcement is so required, Toro shall use reasonable efforts to consult in good faith with the parties hereto (but shall not be required to obtain their consent) prior to issuing such press release or making such announcement.</w:t>
      </w:r>
    </w:p>
    <w:p>
      <w:pPr>
        <w:spacing w:after="0" w:line="328"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Except as otherwise expressly provided for herein, the parties hereto will each pay all of their own expenses (including attorneys', financial advisors' and accountants' fees) in connection with the negotiation of this Agreement, the performance of their respective obligations under this Agreement and the Articles of Share Exchange and the consummation of the transactions contemplated hereby and thereby (whether consummated or not). Each party will indemnify and hold harmless the other against the claims of any brokers or finders in respect of the Share Exchange.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5" w:right="1440" w:bottom="1440" w:gutter="0" w:footer="0" w:header="0"/>
        </w:sectPr>
      </w:pPr>
    </w:p>
    <w:bookmarkStart w:id="647" w:name="page648"/>
    <w:bookmarkEnd w:id="647"/>
    <w:p>
      <w:pPr>
        <w:ind w:right="3339" w:firstLine="353"/>
        <w:spacing w:after="0" w:line="251" w:lineRule="auto"/>
        <w:tabs>
          <w:tab w:leader="none" w:pos="775" w:val="left"/>
        </w:tabs>
        <w:numPr>
          <w:ilvl w:val="0"/>
          <w:numId w:val="6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WAIVER. This Agreement may not be amended or waived except in a writing executed by the party against which such amendment or waiver is sought to be enforced; provided, however, that after the approval of this Agreement by Holiman's shareholders, no amendment may be made which reduces the Acquisition Consideration or which effects any changes that would materially adversely affect Holiman's shareholders without the further approval of Holiman's shareholders. No course of dealing between or among any persons having any interest in this Agreement will be deemed effective to modify or amend any part of this Agreement or any rights or obligations of any person under or by reason of this Agreement.</w:t>
      </w:r>
    </w:p>
    <w:p>
      <w:pPr>
        <w:spacing w:after="0" w:line="163"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6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demands and other communications to be given or delivered under or by reason of the provisions of this Agreement will be in writing and will be deemed to have been given when personally delivered or three days after being mailed, if mailed by first class mail, return receipt requested, or when receipt is acknowledged, if sent by facsimile, telecopy or other electronic transmission device. Notices, demands and communications to Exmark, Holiman, Smith and Smith's Closing Agent will, unless another address is specified in writing, be sent to the address indicated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NOTICES TO EXMARK:</w:t>
            </w:r>
          </w:p>
        </w:tc>
        <w:tc>
          <w:tcPr>
            <w:tcW w:w="26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WITH A COPY TO:</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Exmark Manufacturing Company Incorporated</w:t>
            </w:r>
          </w:p>
        </w:tc>
        <w:tc>
          <w:tcPr>
            <w:tcW w:w="26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Croker, Huck, Kasher, DeWitt,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2101 Ashland Avenue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Anderson &amp;</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Gonderinger, P.C.</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Beatrice, Nebraska  68310</w:t>
            </w: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Suite 1250</w:t>
            </w:r>
          </w:p>
        </w:tc>
        <w:tc>
          <w:tcPr>
            <w:tcW w:w="15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Attn: H. John Smith,</w:t>
            </w: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Commercial</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Federal Tower</w:t>
            </w:r>
          </w:p>
        </w:tc>
      </w:tr>
      <w:tr>
        <w:trPr>
          <w:trHeight w:val="166"/>
        </w:trPr>
        <w:tc>
          <w:tcPr>
            <w:tcW w:w="4100" w:type="dxa"/>
            <w:vAlign w:val="bottom"/>
          </w:tcPr>
          <w:p>
            <w:pPr>
              <w:ind w:left="780"/>
              <w:spacing w:after="0"/>
              <w:rPr>
                <w:sz w:val="20"/>
                <w:szCs w:val="20"/>
                <w:color w:val="auto"/>
              </w:rPr>
            </w:pPr>
            <w:r>
              <w:rPr>
                <w:rFonts w:ascii="Courier New" w:cs="Courier New" w:eastAsia="Courier New" w:hAnsi="Courier New"/>
                <w:sz w:val="14"/>
                <w:szCs w:val="14"/>
                <w:color w:val="auto"/>
              </w:rPr>
              <w:t>President and Chief Executive Officer</w:t>
            </w: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2120 South</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72nd Street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Facsimile:  (402) 223-5489</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Omaha,</w:t>
            </w: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Nebraska  68124</w:t>
            </w:r>
          </w:p>
        </w:tc>
      </w:tr>
      <w:tr>
        <w:trPr>
          <w:trHeight w:val="166"/>
        </w:trPr>
        <w:tc>
          <w:tcPr>
            <w:tcW w:w="41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Attn:</w:t>
            </w: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Richard A. DeWitt</w:t>
            </w:r>
          </w:p>
        </w:tc>
      </w:tr>
      <w:tr>
        <w:trPr>
          <w:trHeight w:val="166"/>
        </w:trPr>
        <w:tc>
          <w:tcPr>
            <w:tcW w:w="41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Facsimile:</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 390-9221</w:t>
            </w:r>
          </w:p>
        </w:tc>
      </w:tr>
      <w:tr>
        <w:trPr>
          <w:trHeight w:val="497"/>
        </w:trPr>
        <w:tc>
          <w:tcPr>
            <w:tcW w:w="4100" w:type="dxa"/>
            <w:vAlign w:val="bottom"/>
          </w:tcPr>
          <w:p>
            <w:pPr>
              <w:ind w:left="3540"/>
              <w:spacing w:after="0"/>
              <w:rPr>
                <w:sz w:val="20"/>
                <w:szCs w:val="20"/>
                <w:color w:val="auto"/>
              </w:rPr>
            </w:pPr>
            <w:r>
              <w:rPr>
                <w:rFonts w:ascii="Courier New" w:cs="Courier New" w:eastAsia="Courier New" w:hAnsi="Courier New"/>
                <w:sz w:val="14"/>
                <w:szCs w:val="14"/>
                <w:color w:val="auto"/>
              </w:rPr>
              <w:t>-34-</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48" w:name="page649"/>
    <w:bookmarkEnd w:id="648"/>
    <w:p>
      <w:pPr>
        <w:spacing w:after="0"/>
        <w:rPr>
          <w:sz w:val="20"/>
          <w:szCs w:val="20"/>
          <w:color w:val="auto"/>
        </w:rPr>
      </w:pPr>
      <w:r>
        <w:rPr>
          <w:rFonts w:ascii="Courier New" w:cs="Courier New" w:eastAsia="Courier New" w:hAnsi="Courier New"/>
          <w:sz w:val="14"/>
          <w:szCs w:val="14"/>
          <w:color w:val="auto"/>
        </w:rPr>
        <w:t>NOTICES TO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sectPr>
          <w:pgSz w:w="11900" w:h="16838" w:orient="portrait"/>
          <w:cols w:equalWidth="0" w:num="2">
            <w:col w:w="3500" w:space="720"/>
            <w:col w:w="6019"/>
          </w:cols>
          <w:pgMar w:left="220" w:top="61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Roger Smith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108 Valley View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Koley, Jessen, Daubman &amp;</w:t>
      </w:r>
    </w:p>
    <w:p>
      <w:pPr>
        <w:spacing w:after="0" w:line="172"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Cumberland, Pennsylvania 17070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Rupiper, P.C.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Pacific Place, Suite 800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1125 South 103rd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Omaha, Nebraska 68124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Michael M. Hupp</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(402) 390-9005</w:t>
      </w:r>
    </w:p>
    <w:p>
      <w:pPr>
        <w:spacing w:after="0" w:line="173"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ind w:left="780" w:hanging="427"/>
        <w:spacing w:after="0"/>
        <w:tabs>
          <w:tab w:leader="none" w:pos="780"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In the event of any dispute between the parties</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regarding this Agreement or the documents attached hereto, the parties agree to resolve such dispute through binding arbitration by a single arbitrator pursuant to the Commercial Arbitration Rules of the American Arbitration Association.</w:t>
      </w:r>
    </w:p>
    <w:p>
      <w:pPr>
        <w:spacing w:after="0" w:line="1"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shall be conducted in Minneapolis, Minnesota. Any award rendered shall be final and conclusive upon the parties and a judgment thereon may be entered in any court of competent jurisdiction. All costs and expenses, including reasonable attorneys' fees and experts' fees, of all parties incurred in any dispute which is determined by arbitration pursuant to this Section 19 shall be borne by the party determined to be liable in respect of such dispute; provided, however, that if complete liability is not assessed against only one party, the parties shall share the total costs in proportion to their respective amounts of liability so determined. Except where clearly prevented by the area in dispute, both parties agree to continue performing their respective obligations under this Agreement and the documents attached hereto while the dispute is being resolved. Nothing herein shall preclude a party hereto from seeking equitable relief to prevent any immediate, irreparable harm to its interest, including multiple breaches of this Agreement or the documents attached hereto. Otherwise, these procedures are exclusive and shall be fully exhausted prior to the initiation of any litigation. Either party may seek specific enforcement of any arbitrator's decision under this Section 19. The other party's only defense to such a request for specific enforcement shall be fraud by or on the arbitrator.</w:t>
      </w:r>
    </w:p>
    <w:p>
      <w:pPr>
        <w:spacing w:after="0" w:line="339"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and all of the provisions hereof will be binding upon and inure to the benefit of the parties hereto and their respective successors and permitted assigns, except that neither this Agreement nor any of the rights, interests or obligations hereunder may be assigned by any party hereto without the prior written consent of the other parties hereto.</w:t>
      </w:r>
    </w:p>
    <w:p>
      <w:pPr>
        <w:spacing w:after="0" w:line="164"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Whenever possible, each provision of this Agreement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will be interpreted in such manner as to be effective and valid under applicable law, but if any provision of this Agreement is held to be prohibited by or invalid under applicable law, such provision will be ineffective only to the extent of such prohibition or</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type w:val="continuous"/>
        </w:sectPr>
      </w:pPr>
    </w:p>
    <w:bookmarkStart w:id="649" w:name="page650"/>
    <w:bookmarkEnd w:id="649"/>
    <w:p>
      <w:pPr>
        <w:ind w:right="4119"/>
        <w:spacing w:after="0" w:line="255" w:lineRule="auto"/>
        <w:rPr>
          <w:sz w:val="20"/>
          <w:szCs w:val="20"/>
          <w:color w:val="auto"/>
        </w:rPr>
      </w:pPr>
      <w:r>
        <w:rPr>
          <w:rFonts w:ascii="Courier New" w:cs="Courier New" w:eastAsia="Courier New" w:hAnsi="Courier New"/>
          <w:sz w:val="14"/>
          <w:szCs w:val="14"/>
          <w:color w:val="auto"/>
        </w:rPr>
        <w:t>invalidity, without invalidating the remainder of such provision or the remaining provisions of this Agreement.</w:t>
      </w:r>
    </w:p>
    <w:p>
      <w:pPr>
        <w:spacing w:after="0" w:line="160" w:lineRule="exact"/>
        <w:rPr>
          <w:sz w:val="20"/>
          <w:szCs w:val="20"/>
          <w:color w:val="auto"/>
        </w:rPr>
      </w:pPr>
    </w:p>
    <w:p>
      <w:pPr>
        <w:ind w:right="3339" w:firstLine="353"/>
        <w:spacing w:after="0" w:line="251" w:lineRule="auto"/>
        <w:tabs>
          <w:tab w:leader="none" w:pos="775"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AGREEMENT. This Agreement, the Disclosure Schedule and the other documents attached hereto and referred to herein contain the complete agreement between the parties and supersede any prior understandings, agreements or representations by or between the parties, written or oral, which may have related to the subject matter hereof in any way.</w:t>
      </w:r>
    </w:p>
    <w:p>
      <w:pPr>
        <w:spacing w:after="0" w:line="165" w:lineRule="exact"/>
        <w:rPr>
          <w:sz w:val="20"/>
          <w:szCs w:val="20"/>
          <w:color w:val="auto"/>
        </w:rPr>
      </w:pPr>
    </w:p>
    <w:p>
      <w:pPr>
        <w:ind w:right="3339" w:firstLine="353"/>
        <w:spacing w:after="0" w:line="251" w:lineRule="auto"/>
        <w:tabs>
          <w:tab w:leader="none" w:pos="775" w:val="left"/>
        </w:tabs>
        <w:numPr>
          <w:ilvl w:val="0"/>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one or more counterparts, any one of which need not contain the signatures of more than one party, but all such counterparts taken together will constitute one and the same instrument. Any such counterpart may be delivered by facsimile. Any party delivering a counterpart by facsimile shall deliver an original copy within 48 hours, provided that the failure to so deliver an original shall not effect the enforceability of this agreement against such party.</w:t>
      </w:r>
    </w:p>
    <w:p>
      <w:pPr>
        <w:spacing w:after="0" w:line="164" w:lineRule="exact"/>
        <w:rPr>
          <w:sz w:val="20"/>
          <w:szCs w:val="20"/>
          <w:color w:val="auto"/>
        </w:rPr>
      </w:pPr>
    </w:p>
    <w:p>
      <w:pPr>
        <w:ind w:right="3419" w:firstLine="353"/>
        <w:spacing w:after="0" w:line="252" w:lineRule="auto"/>
        <w:tabs>
          <w:tab w:leader="none" w:pos="775"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internal law, without regard for conflicts of laws principles, of the State of Minnesota will govern all questions concerning the construction, validity and interpretation of this Agreement and the performance of the obligations imposed by this Agreement.</w:t>
      </w:r>
    </w:p>
    <w:p>
      <w:pPr>
        <w:spacing w:after="0" w:line="162"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day and year first above written.</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INCORPORATED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ROGER SMITH</w:t>
      </w:r>
    </w:p>
    <w:p>
      <w:pPr>
        <w:spacing w:after="0" w:line="365"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320" w:firstLine="86"/>
        <w:spacing w:after="0" w:line="252" w:lineRule="auto"/>
        <w:rPr>
          <w:sz w:val="20"/>
          <w:szCs w:val="20"/>
          <w:color w:val="auto"/>
        </w:rPr>
      </w:pPr>
      <w:r>
        <w:rPr>
          <w:rFonts w:ascii="Courier New" w:cs="Courier New" w:eastAsia="Courier New" w:hAnsi="Courier New"/>
          <w:sz w:val="14"/>
          <w:szCs w:val="14"/>
          <w:color w:val="auto"/>
        </w:rPr>
        <w:t>/s/ H. John Smith ---------------------------- Its President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Roger Smith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5" w:lineRule="exact"/>
        <w:rPr>
          <w:sz w:val="20"/>
          <w:szCs w:val="20"/>
          <w:color w:val="auto"/>
        </w:rPr>
      </w:pPr>
    </w:p>
    <w:p>
      <w:pPr>
        <w:sectPr>
          <w:pgSz w:w="11900" w:h="16838" w:orient="portrait"/>
          <w:cols w:equalWidth="0" w:num="3">
            <w:col w:w="180" w:space="180"/>
            <w:col w:w="2720" w:space="720"/>
            <w:col w:w="6439"/>
          </w:cols>
          <w:pgMar w:left="220" w:top="616" w:right="1440" w:bottom="1440" w:gutter="0" w:footer="0" w:header="0"/>
          <w:type w:val="continuous"/>
        </w:sectPr>
      </w:pPr>
    </w:p>
    <w:p>
      <w:pPr>
        <w:spacing w:after="0" w:line="1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type w:val="continuous"/>
        </w:sectPr>
      </w:pPr>
    </w:p>
    <w:bookmarkStart w:id="650" w:name="page651"/>
    <w:bookmarkEnd w:id="650"/>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4799"/>
        <w:spacing w:after="0" w:line="252" w:lineRule="auto"/>
        <w:rPr>
          <w:sz w:val="20"/>
          <w:szCs w:val="20"/>
          <w:color w:val="auto"/>
        </w:rPr>
      </w:pPr>
      <w:r>
        <w:rPr>
          <w:rFonts w:ascii="Courier New" w:cs="Courier New" w:eastAsia="Courier New" w:hAnsi="Courier New"/>
          <w:sz w:val="14"/>
          <w:szCs w:val="14"/>
          <w:color w:val="auto"/>
        </w:rPr>
        <w:t>We consent to the use of our reports included herein and to the reference to our firm under the heading "Experts" in the prospectus.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6, 1997</w:t>
      </w:r>
    </w:p>
    <w:p>
      <w:pPr>
        <w:sectPr>
          <w:pgSz w:w="11900" w:h="16838" w:orient="portrait"/>
          <w:cols w:equalWidth="0" w:num="1">
            <w:col w:w="10239"/>
          </w:cols>
          <w:pgMar w:left="220" w:top="473" w:right="1440" w:bottom="1440" w:gutter="0" w:footer="0" w:header="0"/>
        </w:sectPr>
      </w:pPr>
    </w:p>
    <w:bookmarkStart w:id="651" w:name="page652"/>
    <w:bookmarkEnd w:id="651"/>
    <w:p>
      <w:pPr>
        <w:ind w:left="5440"/>
        <w:spacing w:after="0"/>
        <w:rPr>
          <w:sz w:val="20"/>
          <w:szCs w:val="20"/>
          <w:color w:val="auto"/>
        </w:rPr>
      </w:pPr>
      <w:r>
        <w:rPr>
          <w:rFonts w:ascii="Courier New" w:cs="Courier New" w:eastAsia="Courier New" w:hAnsi="Courier New"/>
          <w:sz w:val="14"/>
          <w:szCs w:val="14"/>
          <w:color w:val="auto"/>
        </w:rPr>
        <w:t>EXHIBIT 23.2</w:t>
      </w:r>
    </w:p>
    <w:p>
      <w:pPr>
        <w:spacing w:after="0" w:line="33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have issued our report dated October 6, 1997, accompanying the financial statements of Exmark Manufacturing Company Incorporated contained in the Registration Statement. We consent to the use of the aforementioned report in the Registration Statement, and the use of our name as it appears under the caption "Experts".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Grant Thornton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Nebraska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6, 1997</w:t>
      </w:r>
    </w:p>
    <w:p>
      <w:pPr>
        <w:sectPr>
          <w:pgSz w:w="11900" w:h="16838" w:orient="portrait"/>
          <w:cols w:equalWidth="0" w:num="1">
            <w:col w:w="10239"/>
          </w:cols>
          <w:pgMar w:left="220" w:top="306" w:right="1440" w:bottom="1440" w:gutter="0" w:footer="0" w:header="0"/>
        </w:sectPr>
      </w:pPr>
    </w:p>
    <w:bookmarkStart w:id="652" w:name="page653"/>
    <w:bookmarkEnd w:id="652"/>
    <w:p>
      <w:pPr>
        <w:ind w:left="2500"/>
        <w:spacing w:after="0"/>
        <w:rPr>
          <w:sz w:val="20"/>
          <w:szCs w:val="20"/>
          <w:color w:val="auto"/>
        </w:rPr>
      </w:pPr>
      <w:r>
        <w:rPr>
          <w:rFonts w:ascii="Courier New" w:cs="Courier New" w:eastAsia="Courier New" w:hAnsi="Courier New"/>
          <w:sz w:val="14"/>
          <w:szCs w:val="14"/>
          <w:color w:val="auto"/>
        </w:rPr>
        <w:t>[McCARTHY &amp; CO. LETTERHEAD]</w:t>
      </w:r>
    </w:p>
    <w:p>
      <w:pPr>
        <w:spacing w:after="0" w:line="3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hereby consent to the inclusion in the Proxy Statement/Prospectus forming part of this Registration Statement on Form S-4 of The Toro Company of our opinion attached as Exhibit C thereto and to the reference to such opinion and to our firm therein. We also confirm the accuracy in all material respects of the description and summary of such fairness opinion and the description and summary of our analyses, observations, beliefs and conclusions relating thereto, set forth under the heading "Opinion of McCarthy as Exmark's Financial Advisor" therein. In giving such consent, we do not admit that we come within the category of the persons whose consent is required under Section 7 of the Securities Act of 1933, as amended, and the rules and regulations of the Securities and Exchange Commission issued thereunder.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McCARTHY &amp; CO.</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McCarthy &amp; Co.</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Managing Director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November 6, 1997</w:t>
      </w:r>
    </w:p>
    <w:p>
      <w:pPr>
        <w:sectPr>
          <w:pgSz w:w="11900" w:h="16838" w:orient="portrait"/>
          <w:cols w:equalWidth="0" w:num="1">
            <w:col w:w="10239"/>
          </w:cols>
          <w:pgMar w:left="220" w:top="473" w:right="1440" w:bottom="1440" w:gutter="0" w:footer="0" w:header="0"/>
        </w:sectPr>
      </w:pPr>
    </w:p>
    <w:bookmarkStart w:id="653" w:name="page654"/>
    <w:bookmarkEnd w:id="653"/>
    <w:p>
      <w:pPr>
        <w:jc w:val="center"/>
        <w:ind w:right="-280"/>
        <w:spacing w:after="0"/>
        <w:rPr>
          <w:sz w:val="20"/>
          <w:szCs w:val="20"/>
          <w:color w:val="auto"/>
        </w:rPr>
      </w:pPr>
      <w:r>
        <w:rPr>
          <w:rFonts w:ascii="Courier New" w:cs="Courier New" w:eastAsia="Courier New" w:hAnsi="Courier New"/>
          <w:sz w:val="14"/>
          <w:szCs w:val="14"/>
          <w:color w:val="auto"/>
        </w:rPr>
        <w:t>EXHIBIT 24.1</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each of Kendrick B. Melrose, Stephen P. Wolfe and J. Lawrence McIntyre, each with full power to act without the other, his or her true and lawful attorney-in-fact and agent with full power of substitution, for him or her and in his or her name, place and stead, in any and all capacities, to sign the Registration Statement on Form S-4 relating to the registration under the Securities Act of 1933 of common stock (including the associated preferred share purchase rights) of The Toro Company (the "Company") and the Contingent Payment Rights issuable pursuant to the Agreement and Plan of Merger dated as of October 23, 1997 providing for the merger of EMCI Acquisition Corp., a Nebraska corporation and wholly owned subsidiary of the Company, with and into Exmark Manufacturing Company Incorporated, a Nebraska corporation, and any or all amendments or post-effective amendments thereto, and to file the same, with all exhibits thereto, and other documents in connection therewith, with the Securities and Exchange Commission, and to file the same with such state commissions and other agencies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75" w:lineRule="exact"/>
        <w:rPr>
          <w:sz w:val="20"/>
          <w:szCs w:val="20"/>
          <w:color w:val="auto"/>
        </w:rPr>
      </w:pPr>
    </w:p>
    <w:p>
      <w:pPr>
        <w:ind w:right="3779" w:firstLine="861"/>
        <w:spacing w:after="0" w:line="255" w:lineRule="auto"/>
        <w:rPr>
          <w:sz w:val="20"/>
          <w:szCs w:val="20"/>
          <w:color w:val="auto"/>
        </w:rPr>
      </w:pPr>
      <w:r>
        <w:rPr>
          <w:rFonts w:ascii="Courier New" w:cs="Courier New" w:eastAsia="Courier New" w:hAnsi="Courier New"/>
          <w:sz w:val="14"/>
          <w:szCs w:val="14"/>
          <w:color w:val="auto"/>
        </w:rPr>
        <w:t>IN WITNESS WHEREOF, this Power of Attorney has been signed on the 22nd day of October, 1997, by the following persons.</w:t>
      </w:r>
    </w:p>
    <w:p>
      <w:pPr>
        <w:sectPr>
          <w:pgSz w:w="11900" w:h="16838" w:orient="portrait"/>
          <w:cols w:equalWidth="0" w:num="1">
            <w:col w:w="10239"/>
          </w:cols>
          <w:pgMar w:left="220" w:top="472"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Ronald O. Baukol</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O. Baukol</w:t>
      </w:r>
    </w:p>
    <w:p>
      <w:pPr>
        <w:spacing w:after="0" w:line="200" w:lineRule="exact"/>
        <w:rPr>
          <w:sz w:val="20"/>
          <w:szCs w:val="20"/>
          <w:color w:val="auto"/>
        </w:rPr>
      </w:pPr>
    </w:p>
    <w:p>
      <w:pPr>
        <w:sectPr>
          <w:pgSz w:w="11900" w:h="16838" w:orient="portrait"/>
          <w:cols w:equalWidth="0" w:num="2">
            <w:col w:w="2500" w:space="700"/>
            <w:col w:w="7039"/>
          </w:cols>
          <w:pgMar w:left="220" w:top="47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C. Buhrmaster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C. Buhrmaster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K. Cooper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Janet K. Cooper</w:t>
      </w:r>
    </w:p>
    <w:p>
      <w:pPr>
        <w:spacing w:after="0" w:line="200" w:lineRule="exact"/>
        <w:rPr>
          <w:sz w:val="20"/>
          <w:szCs w:val="20"/>
          <w:color w:val="auto"/>
        </w:rPr>
      </w:pPr>
    </w:p>
    <w:p>
      <w:pPr>
        <w:sectPr>
          <w:pgSz w:w="11900" w:h="16838" w:orient="portrait"/>
          <w:cols w:equalWidth="0" w:num="2">
            <w:col w:w="2500" w:space="700"/>
            <w:col w:w="7039"/>
          </w:cols>
          <w:pgMar w:left="220" w:top="47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Alex A. Meyer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 A. Meyer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H. Nassau</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H. Nassau</w:t>
      </w:r>
    </w:p>
    <w:p>
      <w:pPr>
        <w:spacing w:after="0" w:line="200" w:lineRule="exact"/>
        <w:rPr>
          <w:sz w:val="20"/>
          <w:szCs w:val="20"/>
          <w:color w:val="auto"/>
        </w:rPr>
      </w:pPr>
    </w:p>
    <w:p>
      <w:pPr>
        <w:sectPr>
          <w:pgSz w:w="11900" w:h="16838" w:orient="portrait"/>
          <w:cols w:equalWidth="0" w:num="2">
            <w:col w:w="2500" w:space="700"/>
            <w:col w:w="7039"/>
          </w:cols>
          <w:pgMar w:left="220" w:top="47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Dale R. Olseth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Dale R. Olseth</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Edwin H. Wingate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Edwin H. Wingate</w:t>
      </w:r>
    </w:p>
    <w:p>
      <w:pPr>
        <w:sectPr>
          <w:pgSz w:w="11900" w:h="16838" w:orient="portrait"/>
          <w:cols w:equalWidth="0" w:num="2">
            <w:col w:w="2500" w:space="700"/>
            <w:col w:w="7039"/>
          </w:cols>
          <w:pgMar w:left="220" w:top="472" w:right="1440" w:bottom="1440" w:gutter="0" w:footer="0" w:header="0"/>
          <w:type w:val="continuous"/>
        </w:sectPr>
      </w:pPr>
    </w:p>
    <w:bookmarkStart w:id="654" w:name="page655"/>
    <w:bookmarkEnd w:id="654"/>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PROXY SOLICITED ON BEHALF OF THE BOARD OF DIRECTORS</w:t>
      </w:r>
    </w:p>
    <w:p>
      <w:pPr>
        <w:spacing w:after="0" w:line="173"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H. John Smith, Ray Rickard and Roger Smith, or any of them, are hereby appointed attorneys-in-fact and proxies of the undersigned, each with the power of substitution, to attend, vote and act for the undersigned at the special meeting of shareholders of Exmark Manufacturing Company Incorporated ("Exmark") to be held at Exmark's corporate offices, 2101 Ashland Avenue, Beatrice, Nebraska 68310, on ______, 1997, and at any postponement or</w:t>
      </w:r>
    </w:p>
    <w:p>
      <w:pPr>
        <w:spacing w:after="0" w:line="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adjournment thereof, and in connection therewith to present and vote all of the shares of common stock, $10.00 par value, of Exmark ("Exmark Common Stock") and all of the shares of preferred stock, $40.00 par value ("Exmark Preferred Stock") that the undersigned would be entitled to vote as follows:</w:t>
      </w:r>
    </w:p>
    <w:p>
      <w:pPr>
        <w:spacing w:after="0" w:line="162" w:lineRule="exact"/>
        <w:rPr>
          <w:sz w:val="20"/>
          <w:szCs w:val="20"/>
          <w:color w:val="auto"/>
        </w:rPr>
      </w:pPr>
    </w:p>
    <w:p>
      <w:pPr>
        <w:ind w:left="440" w:right="3779" w:hanging="432"/>
        <w:spacing w:after="0" w:line="250" w:lineRule="auto"/>
        <w:tabs>
          <w:tab w:leader="none" w:pos="440" w:val="left"/>
        </w:tabs>
        <w:numPr>
          <w:ilvl w:val="0"/>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 Agreement and Plan of Merger (as it may be amended, supplemented or modified from time to time, the "Merger Agreement"), dated as of October 23, 1997, by and among Exmark, The Toro Company, a Delaware corporation ("Toro"), and EMCI Acquisition Corp., a Nebraska corporation and wholly owned subsidiary of Toro ("Merger Subsidiary"), pursuant to which, among other things, Merger Subsidiary will merge with and into Exmark (the "Merger"), with Exmark continuing as the surviving corporation (the "Surviving Corporation"). If the Merger Agreement is approved and the Merger becomes effective, then, except for shares of Exmark capital stock with respect to which dissenters' rights have been properly exercised and shares of Exmark capital stock issued and outstanding prior to the effective time of the Merger that are owned by Toro, Exmark or Merger Subsidiary, (1) each issued and outstanding share of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Exmark Preferred Stock shall be converted into and become a right to receive (a) four times the Initial Per Share Payment Consideration and (b) four Common/Preferred Contingent Payment Rights, (3) each issued and outstanding share of Class B preferred stock, $.01 par value, of Exmark ("Exmark Class B Stock") shall be converted into and become a right to receive (a) one-tenth of a share of Toro Common Stock and</w:t>
      </w:r>
    </w:p>
    <w:p>
      <w:pPr>
        <w:spacing w:after="0" w:line="11" w:lineRule="exact"/>
        <w:rPr>
          <w:rFonts w:ascii="Courier New" w:cs="Courier New" w:eastAsia="Courier New" w:hAnsi="Courier New"/>
          <w:sz w:val="14"/>
          <w:szCs w:val="14"/>
          <w:color w:val="auto"/>
        </w:rPr>
      </w:pPr>
    </w:p>
    <w:p>
      <w:pPr>
        <w:ind w:left="440" w:right="3859" w:hanging="1"/>
        <w:spacing w:after="0" w:line="251" w:lineRule="auto"/>
        <w:tabs>
          <w:tab w:leader="none" w:pos="785" w:val="left"/>
        </w:tabs>
        <w:numPr>
          <w:ilvl w:val="1"/>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Class B Contingent Payment Right (as defined in the Merger Agreement), and (4) each issued and outstanding share of Class C preferred stock, $.01 par value, Exmark ("Exmark Class C Stock") shall be converted into and become a right to receive the Initial Per Share Payment Consideration. The terms of the Merger Agreement are described in more detail in the Proxy Statement/Prospectus.</w:t>
      </w:r>
    </w:p>
    <w:p>
      <w:pPr>
        <w:spacing w:after="0" w:line="164" w:lineRule="exact"/>
        <w:rPr>
          <w:sz w:val="20"/>
          <w:szCs w:val="20"/>
          <w:color w:val="auto"/>
        </w:rPr>
      </w:pPr>
    </w:p>
    <w:p>
      <w:pPr>
        <w:ind w:left="440"/>
        <w:spacing w:after="0"/>
        <w:tabs>
          <w:tab w:leader="none" w:pos="1720" w:val="left"/>
          <w:tab w:leader="none" w:pos="2740" w:val="left"/>
        </w:tabs>
        <w:rPr>
          <w:sz w:val="20"/>
          <w:szCs w:val="20"/>
          <w:color w:val="auto"/>
        </w:rPr>
      </w:pPr>
      <w:r>
        <w:rPr>
          <w:rFonts w:ascii="Courier New" w:cs="Courier New" w:eastAsia="Courier New" w:hAnsi="Courier New"/>
          <w:sz w:val="14"/>
          <w:szCs w:val="14"/>
          <w:color w:val="auto"/>
        </w:rPr>
        <w:t>Abstain</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Against</w:t>
      </w:r>
    </w:p>
    <w:p>
      <w:pPr>
        <w:spacing w:after="0" w:line="173" w:lineRule="exact"/>
        <w:rPr>
          <w:sz w:val="20"/>
          <w:szCs w:val="20"/>
          <w:color w:val="auto"/>
        </w:rPr>
      </w:pPr>
    </w:p>
    <w:p>
      <w:pPr>
        <w:ind w:left="440" w:right="3859" w:hanging="346"/>
        <w:spacing w:after="0" w:line="251" w:lineRule="auto"/>
        <w:tabs>
          <w:tab w:leader="none" w:pos="440" w:val="left"/>
        </w:tabs>
        <w:numPr>
          <w:ilvl w:val="0"/>
          <w:numId w:val="6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adopt amended and restated articles of incorporation, which authorize the issuance of the Exmark Class B Stock and the Exmark Class C Stock and clarifies the four-to-one distribution preference associated with the Exmark Preferred Stock.</w:t>
      </w:r>
    </w:p>
    <w:p>
      <w:pPr>
        <w:spacing w:after="0" w:line="165" w:lineRule="exact"/>
        <w:rPr>
          <w:sz w:val="20"/>
          <w:szCs w:val="20"/>
          <w:color w:val="auto"/>
        </w:rPr>
      </w:pPr>
    </w:p>
    <w:p>
      <w:pPr>
        <w:ind w:left="440"/>
        <w:spacing w:after="0"/>
        <w:tabs>
          <w:tab w:leader="none" w:pos="1720" w:val="left"/>
          <w:tab w:leader="none" w:pos="2740" w:val="left"/>
        </w:tabs>
        <w:rPr>
          <w:sz w:val="20"/>
          <w:szCs w:val="20"/>
          <w:color w:val="auto"/>
        </w:rPr>
      </w:pPr>
      <w:r>
        <w:rPr>
          <w:rFonts w:ascii="Courier New" w:cs="Courier New" w:eastAsia="Courier New" w:hAnsi="Courier New"/>
          <w:sz w:val="14"/>
          <w:szCs w:val="14"/>
          <w:color w:val="auto"/>
        </w:rPr>
        <w:t>Abstain</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Against</w:t>
      </w:r>
    </w:p>
    <w:p>
      <w:pPr>
        <w:spacing w:after="0" w:line="173" w:lineRule="exact"/>
        <w:rPr>
          <w:sz w:val="20"/>
          <w:szCs w:val="20"/>
          <w:color w:val="auto"/>
        </w:rPr>
      </w:pPr>
    </w:p>
    <w:p>
      <w:pPr>
        <w:ind w:left="440" w:right="3939" w:hanging="432"/>
        <w:spacing w:after="0" w:line="251" w:lineRule="auto"/>
        <w:tabs>
          <w:tab w:leader="none" w:pos="440"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the payment in connection with the Merger of signing bonuses to H. John Smith and Ray Rickard. Such bonuses will be paid by Toro in cash in the aggregate amount of $2,075,000 in connection with the execution of employment agreements, which employment agreements also will include noncompete covenants.</w:t>
      </w:r>
    </w:p>
    <w:p>
      <w:pPr>
        <w:sectPr>
          <w:pgSz w:w="11900" w:h="16838" w:orient="portrait"/>
          <w:cols w:equalWidth="0" w:num="1">
            <w:col w:w="10239"/>
          </w:cols>
          <w:pgMar w:left="220" w:top="473" w:right="1440" w:bottom="1440" w:gutter="0" w:footer="0" w:header="0"/>
        </w:sectPr>
      </w:pPr>
    </w:p>
    <w:bookmarkStart w:id="655" w:name="page656"/>
    <w:bookmarkEnd w:id="655"/>
    <w:p>
      <w:pPr>
        <w:ind w:left="440"/>
        <w:spacing w:after="0"/>
        <w:tabs>
          <w:tab w:leader="none" w:pos="1720" w:val="left"/>
          <w:tab w:leader="none" w:pos="2740" w:val="left"/>
        </w:tabs>
        <w:rPr>
          <w:sz w:val="20"/>
          <w:szCs w:val="20"/>
          <w:color w:val="auto"/>
        </w:rPr>
      </w:pPr>
      <w:r>
        <w:rPr>
          <w:rFonts w:ascii="Courier New" w:cs="Courier New" w:eastAsia="Courier New" w:hAnsi="Courier New"/>
          <w:sz w:val="14"/>
          <w:szCs w:val="14"/>
          <w:color w:val="auto"/>
        </w:rPr>
        <w:t>Abstain</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Against</w:t>
      </w:r>
    </w:p>
    <w:p>
      <w:pPr>
        <w:spacing w:after="0" w:line="173" w:lineRule="exact"/>
        <w:rPr>
          <w:sz w:val="20"/>
          <w:szCs w:val="20"/>
          <w:color w:val="auto"/>
        </w:rPr>
      </w:pPr>
    </w:p>
    <w:p>
      <w:pPr>
        <w:ind w:left="440" w:hanging="432"/>
        <w:spacing w:after="0"/>
        <w:tabs>
          <w:tab w:leader="none" w:pos="440"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ratify the appointment of</w:t>
      </w:r>
    </w:p>
    <w:p>
      <w:pPr>
        <w:spacing w:after="0" w:line="7" w:lineRule="exact"/>
        <w:rPr>
          <w:rFonts w:ascii="Courier New" w:cs="Courier New" w:eastAsia="Courier New" w:hAnsi="Courier New"/>
          <w:sz w:val="14"/>
          <w:szCs w:val="14"/>
          <w:color w:val="auto"/>
        </w:rPr>
      </w:pPr>
    </w:p>
    <w:p>
      <w:pPr>
        <w:ind w:left="44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 John Smith, Ray Rickard and Roger Smith as the initial stockholders' representatives as described in the Merger Agreement.</w:t>
      </w:r>
    </w:p>
    <w:p>
      <w:pPr>
        <w:spacing w:after="0" w:line="160" w:lineRule="exact"/>
        <w:rPr>
          <w:sz w:val="20"/>
          <w:szCs w:val="20"/>
          <w:color w:val="auto"/>
        </w:rPr>
      </w:pPr>
    </w:p>
    <w:p>
      <w:pPr>
        <w:ind w:left="440"/>
        <w:spacing w:after="0"/>
        <w:tabs>
          <w:tab w:leader="none" w:pos="1720" w:val="left"/>
          <w:tab w:leader="none" w:pos="2740" w:val="left"/>
        </w:tabs>
        <w:rPr>
          <w:sz w:val="20"/>
          <w:szCs w:val="20"/>
          <w:color w:val="auto"/>
        </w:rPr>
      </w:pPr>
      <w:r>
        <w:rPr>
          <w:rFonts w:ascii="Courier New" w:cs="Courier New" w:eastAsia="Courier New" w:hAnsi="Courier New"/>
          <w:sz w:val="14"/>
          <w:szCs w:val="14"/>
          <w:color w:val="auto"/>
        </w:rPr>
        <w:t>Abstain</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Against</w:t>
      </w:r>
    </w:p>
    <w:p>
      <w:pPr>
        <w:spacing w:after="0" w:line="173" w:lineRule="exact"/>
        <w:rPr>
          <w:sz w:val="20"/>
          <w:szCs w:val="20"/>
          <w:color w:val="auto"/>
        </w:rPr>
      </w:pPr>
    </w:p>
    <w:p>
      <w:pPr>
        <w:ind w:left="440" w:right="4379" w:hanging="432"/>
        <w:spacing w:after="0" w:line="255" w:lineRule="auto"/>
        <w:tabs>
          <w:tab w:leader="none" w:pos="440" w:val="left"/>
        </w:tabs>
        <w:numPr>
          <w:ilvl w:val="0"/>
          <w:numId w:val="6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or any adjournment or postponement thereof.</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IF THIS PROXY IS DULY EXECUTED AND RETURNED, THIS PROXY WILL BE VOTED, AND WILL BE VOTED IN ACCORDANCE WITH THE INSTRUCTIONS SPECIFIED ABOVE. IF NO INSTRUCTION IS SPECIFIED, THE PROXY WILL BE VOTED FOR ITEMS 1 TO 4.</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undersigned hereby revokes any other proxy or proxies heretofore given to vote or act with respect to such Exmark Common Stock or Exmark Preferred Stock and hereby ratifies and confirms all action that said attorneys-in-fact and proxies, their substitutes, or any of them, may have lawfully taken by virtue thereof.</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1997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200" w:lineRule="exact"/>
        <w:rPr>
          <w:sz w:val="20"/>
          <w:szCs w:val="20"/>
          <w:color w:val="auto"/>
        </w:rPr>
      </w:pPr>
    </w:p>
    <w:p>
      <w:pPr>
        <w:sectPr>
          <w:pgSz w:w="11900" w:h="16838" w:orient="portrait"/>
          <w:cols w:equalWidth="0" w:num="3">
            <w:col w:w="520" w:space="180"/>
            <w:col w:w="1940" w:space="720"/>
            <w:col w:w="687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Signature(s) of Stockholder</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proxy should be signed exactly as your name appears on the stock certificates or stock register. Joint owners should both sign. If signed by an attorney, executor, guardian or in some other capacity or as officer of a corporation, please add title as such.</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PLEASE COMPLETE, DATE AND SIGN THIS PROXY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RETURN IT IN THE ENCLOSED ENVELOPE.</w:t>
      </w:r>
    </w:p>
    <w:p>
      <w:pPr>
        <w:sectPr>
          <w:pgSz w:w="11900" w:h="16838" w:orient="portrait"/>
          <w:cols w:equalWidth="0" w:num="1">
            <w:col w:w="10239"/>
          </w:cols>
          <w:pgMar w:left="220" w:top="616" w:right="1440" w:bottom="1440" w:gutter="0" w:footer="0" w:header="0"/>
          <w:type w:val="continuous"/>
        </w:sectPr>
      </w:pPr>
    </w:p>
    <w:bookmarkStart w:id="656" w:name="page657"/>
    <w:bookmarkEnd w:id="656"/>
    <w:p>
      <w:pPr>
        <w:ind w:left="4920"/>
        <w:spacing w:after="0"/>
        <w:rPr>
          <w:sz w:val="20"/>
          <w:szCs w:val="20"/>
          <w:color w:val="auto"/>
        </w:rPr>
      </w:pPr>
      <w:r>
        <w:rPr>
          <w:rFonts w:ascii="Courier New" w:cs="Courier New" w:eastAsia="Courier New" w:hAnsi="Courier New"/>
          <w:sz w:val="14"/>
          <w:szCs w:val="14"/>
          <w:color w:val="auto"/>
        </w:rPr>
        <w:t>EXHIBIT 99.2</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CASH ELECTION FORM</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As a holder of securities of Exmark Manufacturing Company Incorporated ("Exmark"), you will be entitled to receive a portion of the consideration to be paid in connection with the merger of a subsidiary of The Toro Company ("Toro") with and into Exmark. The merger consideration will be paid both in cash and in shares of Toro Common Stock, and the standard percentage breakdown for the cash and stock will be 12% and 88%, respectively. Alternatively, you may elect to receive a different percentage of cash (a "Cash Election"). In the absence of a Cash Election on your part, you will be deemed to have elected to receive your portion of the merger consideration in the form of 12% cash and 88% shares of Toro Common Stock. Please note, however, that the percentage you elect may be subject to adjustment in accordance with the procedures set forth in Section 2.02(c) of the Agreement and Plan of Merger by and among Toro, Exmark and a subsidiary of Toro, dated October 23, 1997 (a copy of which is included as Exhibit A to the accompanying Proxy Statement/Prospectus), as the aggregate percentage breakdown of the merger consideration must equal 12% cash and 88% shares of Toro Common Stock.</w:t>
      </w:r>
    </w:p>
    <w:p>
      <w:pPr>
        <w:spacing w:after="0" w:line="338"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Please return this form by mail or facsimile transmission to the Escrow Agent. To be eligible to receive the merger consideration in a percentage other than the standard percentage, you must properly complete this form, sign it and return it to the Escrow Agent prior to November __, 1997, the date of the Special Meeting of Exmark's stockholders to consider and vote upon the Merger.</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Percentage Election (check one of the following):</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Standard Percentage (I.E., 12% cash/88% stock)*</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Modified Percentage (E.G., 8% cash/92% stock)*</w:t>
      </w:r>
    </w:p>
    <w:p>
      <w:pPr>
        <w:spacing w:after="0" w:line="173" w:lineRule="exact"/>
        <w:rPr>
          <w:sz w:val="20"/>
          <w:szCs w:val="20"/>
          <w:color w:val="auto"/>
        </w:rPr>
      </w:pPr>
    </w:p>
    <w:p>
      <w:pPr>
        <w:ind w:left="1480"/>
        <w:spacing w:after="0"/>
        <w:tabs>
          <w:tab w:leader="none" w:pos="3780" w:val="left"/>
        </w:tabs>
        <w:rPr>
          <w:sz w:val="20"/>
          <w:szCs w:val="20"/>
          <w:color w:val="auto"/>
        </w:rPr>
      </w:pPr>
      <w:r>
        <w:rPr>
          <w:rFonts w:ascii="Courier New" w:cs="Courier New" w:eastAsia="Courier New" w:hAnsi="Courier New"/>
          <w:sz w:val="14"/>
          <w:szCs w:val="14"/>
          <w:color w:val="auto"/>
        </w:rPr>
        <w:t>Percentage Cash Election:</w:t>
        <w:tab/>
        <w:t>____</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_______</w:t>
      </w:r>
    </w:p>
    <w:p>
      <w:pPr>
        <w:spacing w:after="0" w:line="7" w:lineRule="exact"/>
        <w:rPr>
          <w:sz w:val="20"/>
          <w:szCs w:val="20"/>
          <w:color w:val="auto"/>
        </w:rPr>
      </w:pPr>
    </w:p>
    <w:p>
      <w:pPr>
        <w:ind w:left="1300" w:right="4719"/>
        <w:spacing w:after="0" w:line="251" w:lineRule="auto"/>
        <w:tabs>
          <w:tab w:leader="none" w:pos="1472"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note that the final percentage breakdown of cash and stock you receive may vary from the percentages you elect due to certain adjustments that may be made in order to make the weighted average of all Cash Elections or deemed Cash Elections equal to 12%.</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Today's Date: ________________________</w:t>
      </w:r>
    </w:p>
    <w:p>
      <w:pPr>
        <w:spacing w:after="0" w:line="338"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Name:</w:t>
        <w:tab/>
        <w:t>_____________________________</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Signature: ___________________________</w:t>
      </w:r>
    </w:p>
    <w:p>
      <w:pPr>
        <w:spacing w:after="0" w:line="338" w:lineRule="exact"/>
        <w:rPr>
          <w:sz w:val="20"/>
          <w:szCs w:val="20"/>
          <w:color w:val="auto"/>
        </w:rPr>
      </w:pPr>
    </w:p>
    <w:p>
      <w:pPr>
        <w:ind w:left="440"/>
        <w:spacing w:after="0"/>
        <w:tabs>
          <w:tab w:leader="none" w:pos="3080" w:val="left"/>
        </w:tabs>
        <w:rPr>
          <w:sz w:val="20"/>
          <w:szCs w:val="20"/>
          <w:color w:val="auto"/>
        </w:rPr>
      </w:pPr>
      <w:r>
        <w:rPr>
          <w:rFonts w:ascii="Courier New" w:cs="Courier New" w:eastAsia="Courier New" w:hAnsi="Courier New"/>
          <w:sz w:val="14"/>
          <w:szCs w:val="14"/>
          <w:color w:val="auto"/>
        </w:rPr>
        <w:t>Return The Completed Form To:</w:t>
        <w:tab/>
        <w:t>Norwest Bank Minnesota, N.A.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Northstar East Building, 12th Floor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608 Second Avenue South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Minneapolis, Minnesota 55402</w:t>
      </w:r>
    </w:p>
    <w:p>
      <w:pPr>
        <w:spacing w:after="0" w:line="173"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Attn:</w:t>
        <w:tab/>
        <w:t>Michelle Healy</w:t>
      </w:r>
    </w:p>
    <w:p>
      <w:pPr>
        <w:spacing w:after="0" w:line="17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Facsimile:</w:t>
        <w:tab/>
        <w:t>(612) 667-9825</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6ED7F6"/>
    <w:multiLevelType w:val="hybridMultilevel"/>
    <w:lvl w:ilvl="0">
      <w:lvlJc w:val="left"/>
      <w:lvlText w:val="-"/>
      <w:numFmt w:val="bullet"/>
      <w:start w:val="1"/>
    </w:lvl>
  </w:abstractNum>
  <w:abstractNum w:abstractNumId="1">
    <w:nsid w:val="2D9DF57D"/>
    <w:multiLevelType w:val="hybridMultilevel"/>
    <w:lvl w:ilvl="0">
      <w:lvlJc w:val="left"/>
      <w:lvlText w:val="(%1)"/>
      <w:numFmt w:val="decimal"/>
      <w:start w:val="1"/>
    </w:lvl>
  </w:abstractNum>
  <w:abstractNum w:abstractNumId="2">
    <w:nsid w:val="7FBD7A3E"/>
    <w:multiLevelType w:val="hybridMultilevel"/>
    <w:lvl w:ilvl="0">
      <w:lvlJc w:val="left"/>
      <w:lvlText w:val="-"/>
      <w:numFmt w:val="bullet"/>
      <w:start w:val="1"/>
    </w:lvl>
  </w:abstractNum>
  <w:abstractNum w:abstractNumId="3">
    <w:nsid w:val="490B7C5"/>
    <w:multiLevelType w:val="hybridMultilevel"/>
    <w:lvl w:ilvl="0">
      <w:lvlJc w:val="left"/>
      <w:lvlText w:val=","/>
      <w:numFmt w:val="bullet"/>
      <w:start w:val="1"/>
    </w:lvl>
  </w:abstractNum>
  <w:abstractNum w:abstractNumId="4">
    <w:nsid w:val="4303A216"/>
    <w:multiLevelType w:val="hybridMultilevel"/>
    <w:lvl w:ilvl="0">
      <w:lvlJc w:val="left"/>
      <w:lvlText w:val="%1."/>
      <w:numFmt w:val="decimal"/>
      <w:start w:val="1"/>
    </w:lvl>
  </w:abstractNum>
  <w:abstractNum w:abstractNumId="5">
    <w:nsid w:val="19B8A08E"/>
    <w:multiLevelType w:val="hybridMultilevel"/>
    <w:lvl w:ilvl="0">
      <w:lvlJc w:val="left"/>
      <w:lvlText w:val="%1."/>
      <w:numFmt w:val="decimal"/>
      <w:start w:val="4"/>
    </w:lvl>
  </w:abstractNum>
  <w:abstractNum w:abstractNumId="6">
    <w:nsid w:val="54B59621"/>
    <w:multiLevelType w:val="hybridMultilevel"/>
    <w:lvl w:ilvl="0">
      <w:lvlJc w:val="left"/>
      <w:lvlText w:val="(%1)"/>
      <w:numFmt w:val="lowerLetter"/>
      <w:start w:val="1"/>
    </w:lvl>
  </w:abstractNum>
  <w:abstractNum w:abstractNumId="7">
    <w:nsid w:val="5992A02E"/>
    <w:multiLevelType w:val="hybridMultilevel"/>
    <w:lvl w:ilvl="0">
      <w:lvlJc w:val="left"/>
      <w:lvlText w:val="(%1)"/>
      <w:numFmt w:val="decimal"/>
      <w:start w:val="9"/>
    </w:lvl>
  </w:abstractNum>
  <w:abstractNum w:abstractNumId="8">
    <w:nsid w:val="29EF532D"/>
    <w:multiLevelType w:val="hybridMultilevel"/>
    <w:lvl w:ilvl="0">
      <w:lvlJc w:val="left"/>
      <w:lvlText w:val="--"/>
      <w:numFmt w:val="bullet"/>
      <w:start w:val="1"/>
    </w:lvl>
  </w:abstractNum>
  <w:abstractNum w:abstractNumId="9">
    <w:nsid w:val="71D601AF"/>
    <w:multiLevelType w:val="hybridMultilevel"/>
    <w:lvl w:ilvl="0">
      <w:lvlJc w:val="left"/>
      <w:lvlText w:val="$"/>
      <w:numFmt w:val="bullet"/>
      <w:start w:val="1"/>
    </w:lvl>
  </w:abstractNum>
  <w:abstractNum w:abstractNumId="10">
    <w:nsid w:val="52C77402"/>
    <w:multiLevelType w:val="hybridMultilevel"/>
    <w:lvl w:ilvl="0">
      <w:lvlJc w:val="left"/>
      <w:lvlText w:val="(%1)"/>
      <w:numFmt w:val="decimal"/>
      <w:start w:val="1"/>
    </w:lvl>
  </w:abstractNum>
  <w:abstractNum w:abstractNumId="11">
    <w:nsid w:val="2BB5B1C6"/>
    <w:multiLevelType w:val="hybridMultilevel"/>
    <w:lvl w:ilvl="0">
      <w:lvlJc w:val="left"/>
      <w:lvlText w:val="(%1)"/>
      <w:numFmt w:val="lowerLetter"/>
      <w:start w:val="2"/>
    </w:lvl>
  </w:abstractNum>
  <w:abstractNum w:abstractNumId="12">
    <w:nsid w:val="66BE6B9"/>
    <w:multiLevelType w:val="hybridMultilevel"/>
    <w:lvl w:ilvl="0">
      <w:lvlJc w:val="left"/>
      <w:lvlText w:val="(%1)"/>
      <w:numFmt w:val="decimal"/>
      <w:start w:val="1"/>
    </w:lvl>
  </w:abstractNum>
  <w:abstractNum w:abstractNumId="13">
    <w:nsid w:val="62234363"/>
    <w:multiLevelType w:val="hybridMultilevel"/>
    <w:lvl w:ilvl="0">
      <w:lvlJc w:val="left"/>
      <w:lvlText w:val="(%1)"/>
      <w:numFmt w:val="decimal"/>
      <w:start w:val="1"/>
    </w:lvl>
  </w:abstractNum>
  <w:abstractNum w:abstractNumId="14">
    <w:nsid w:val="66D385C9"/>
    <w:multiLevelType w:val="hybridMultilevel"/>
    <w:lvl w:ilvl="0">
      <w:lvlJc w:val="left"/>
      <w:lvlText w:val="(%1)"/>
      <w:numFmt w:val="decimal"/>
      <w:start w:val="1"/>
    </w:lvl>
  </w:abstractNum>
  <w:abstractNum w:abstractNumId="15">
    <w:nsid w:val="596F6D8A"/>
    <w:multiLevelType w:val="hybridMultilevel"/>
    <w:lvl w:ilvl="0">
      <w:lvlJc w:val="left"/>
      <w:lvlText w:val="(%1)"/>
      <w:numFmt w:val="decimal"/>
      <w:start w:val="3"/>
    </w:lvl>
  </w:abstractNum>
  <w:abstractNum w:abstractNumId="16">
    <w:nsid w:val="5749361F"/>
    <w:multiLevelType w:val="hybridMultilevel"/>
    <w:lvl w:ilvl="0">
      <w:lvlJc w:val="left"/>
      <w:lvlText w:val="(%1)"/>
      <w:numFmt w:val="decimal"/>
      <w:start w:val="2"/>
    </w:lvl>
  </w:abstractNum>
  <w:abstractNum w:abstractNumId="17">
    <w:nsid w:val="73BC6770"/>
    <w:multiLevelType w:val="hybridMultilevel"/>
    <w:lvl w:ilvl="0">
      <w:lvlJc w:val="left"/>
      <w:lvlText w:val="(%1)"/>
      <w:numFmt w:val="decimal"/>
      <w:start w:val="2"/>
    </w:lvl>
  </w:abstractNum>
  <w:abstractNum w:abstractNumId="18">
    <w:nsid w:val="280E6897"/>
    <w:multiLevelType w:val="hybridMultilevel"/>
    <w:lvl w:ilvl="0">
      <w:lvlJc w:val="left"/>
      <w:lvlText w:val="(%1)"/>
      <w:numFmt w:val="decimal"/>
      <w:start w:val="1"/>
    </w:lvl>
  </w:abstractNum>
  <w:abstractNum w:abstractNumId="19">
    <w:nsid w:val="605138DE"/>
    <w:multiLevelType w:val="hybridMultilevel"/>
    <w:lvl w:ilvl="0">
      <w:lvlJc w:val="left"/>
      <w:lvlText w:val="(%1)"/>
      <w:numFmt w:val="lowerLetter"/>
      <w:start w:val="1"/>
    </w:lvl>
  </w:abstractNum>
  <w:abstractNum w:abstractNumId="20">
    <w:nsid w:val="2622AD0C"/>
    <w:multiLevelType w:val="hybridMultilevel"/>
    <w:lvl w:ilvl="0">
      <w:lvlJc w:val="left"/>
      <w:lvlText w:val="(%1)"/>
      <w:numFmt w:val="decimal"/>
      <w:start w:val="27"/>
    </w:lvl>
  </w:abstractNum>
  <w:abstractNum w:abstractNumId="21">
    <w:nsid w:val="67997556"/>
    <w:multiLevelType w:val="hybridMultilevel"/>
    <w:lvl w:ilvl="0">
      <w:lvlJc w:val="left"/>
      <w:lvlText w:val="(%1)"/>
      <w:numFmt w:val="decimal"/>
      <w:start w:val="3"/>
    </w:lvl>
  </w:abstractNum>
  <w:abstractNum w:abstractNumId="22">
    <w:nsid w:val="18333C89"/>
    <w:multiLevelType w:val="hybridMultilevel"/>
    <w:lvl w:ilvl="0">
      <w:lvlJc w:val="left"/>
      <w:lvlText w:val="(%1)"/>
      <w:numFmt w:val="decimal"/>
      <w:start w:val="6"/>
    </w:lvl>
  </w:abstractNum>
  <w:abstractNum w:abstractNumId="23">
    <w:nsid w:val="4BA9831A"/>
    <w:multiLevelType w:val="hybridMultilevel"/>
    <w:lvl w:ilvl="0">
      <w:lvlJc w:val="left"/>
      <w:lvlText w:val="(%1)"/>
      <w:numFmt w:val="decimal"/>
      <w:start w:val="4"/>
    </w:lvl>
  </w:abstractNum>
  <w:abstractNum w:abstractNumId="24">
    <w:nsid w:val="6D71A2B"/>
    <w:multiLevelType w:val="hybridMultilevel"/>
    <w:lvl w:ilvl="0">
      <w:lvlJc w:val="left"/>
      <w:lvlText w:val="(%1)"/>
      <w:numFmt w:val="lowerLetter"/>
      <w:start w:val="8"/>
    </w:lvl>
  </w:abstractNum>
  <w:abstractNum w:abstractNumId="25">
    <w:nsid w:val="CFC7321"/>
    <w:multiLevelType w:val="hybridMultilevel"/>
    <w:lvl w:ilvl="0">
      <w:lvlJc w:val="left"/>
      <w:lvlText w:val="(%1)"/>
      <w:numFmt w:val="lowerLetter"/>
      <w:start w:val="2"/>
    </w:lvl>
  </w:abstractNum>
  <w:abstractNum w:abstractNumId="26">
    <w:nsid w:val="1421971B"/>
    <w:multiLevelType w:val="hybridMultilevel"/>
    <w:lvl w:ilvl="0">
      <w:lvlJc w:val="left"/>
      <w:lvlText w:val="(%1)"/>
      <w:numFmt w:val="decimal"/>
      <w:start w:val="3"/>
    </w:lvl>
  </w:abstractNum>
  <w:abstractNum w:abstractNumId="27">
    <w:nsid w:val="1F404301"/>
    <w:multiLevelType w:val="hybridMultilevel"/>
    <w:lvl w:ilvl="0">
      <w:lvlJc w:val="left"/>
      <w:lvlText w:val="(%1)"/>
      <w:numFmt w:val="lowerLetter"/>
      <w:start w:val="1"/>
    </w:lvl>
  </w:abstractNum>
  <w:abstractNum w:abstractNumId="28">
    <w:nsid w:val="116E0907"/>
    <w:multiLevelType w:val="hybridMultilevel"/>
    <w:lvl w:ilvl="0">
      <w:lvlJc w:val="left"/>
      <w:lvlText w:val="(%1)"/>
      <w:numFmt w:val="decimal"/>
      <w:start w:val="2"/>
    </w:lvl>
  </w:abstractNum>
  <w:abstractNum w:abstractNumId="29">
    <w:nsid w:val="4B683D0D"/>
    <w:multiLevelType w:val="hybridMultilevel"/>
    <w:lvl w:ilvl="0">
      <w:lvlJc w:val="left"/>
      <w:lvlText w:val="%1."/>
      <w:numFmt w:val="decimal"/>
      <w:start w:val="1"/>
    </w:lvl>
  </w:abstractNum>
  <w:abstractNum w:abstractNumId="30">
    <w:nsid w:val="76E41D8"/>
    <w:multiLevelType w:val="hybridMultilevel"/>
    <w:lvl w:ilvl="0">
      <w:lvlJc w:val="left"/>
      <w:lvlText w:val="%1."/>
      <w:numFmt w:val="decimal"/>
      <w:start w:val="2"/>
    </w:lvl>
  </w:abstractNum>
  <w:abstractNum w:abstractNumId="31">
    <w:nsid w:val="71DCE0FD"/>
    <w:multiLevelType w:val="hybridMultilevel"/>
    <w:lvl w:ilvl="0">
      <w:lvlJc w:val="left"/>
      <w:lvlText w:val="%1."/>
      <w:numFmt w:val="decimal"/>
      <w:start w:val="3"/>
    </w:lvl>
  </w:abstractNum>
  <w:abstractNum w:abstractNumId="32">
    <w:nsid w:val="7906328B"/>
    <w:multiLevelType w:val="hybridMultilevel"/>
    <w:lvl w:ilvl="0">
      <w:lvlJc w:val="left"/>
      <w:lvlText w:val="%1."/>
      <w:numFmt w:val="decimal"/>
      <w:start w:val="4"/>
    </w:lvl>
  </w:abstractNum>
  <w:abstractNum w:abstractNumId="33">
    <w:nsid w:val="72BBC16"/>
    <w:multiLevelType w:val="hybridMultilevel"/>
    <w:lvl w:ilvl="0">
      <w:lvlJc w:val="left"/>
      <w:lvlText w:val="%1."/>
      <w:numFmt w:val="decimal"/>
      <w:start w:val="5"/>
    </w:lvl>
  </w:abstractNum>
  <w:abstractNum w:abstractNumId="34">
    <w:nsid w:val="766D98C2"/>
    <w:multiLevelType w:val="hybridMultilevel"/>
    <w:lvl w:ilvl="0">
      <w:lvlJc w:val="left"/>
      <w:lvlText w:val="%1."/>
      <w:numFmt w:val="decimal"/>
      <w:start w:val="6"/>
    </w:lvl>
  </w:abstractNum>
  <w:abstractNum w:abstractNumId="35">
    <w:nsid w:val="3C09D4A1"/>
    <w:multiLevelType w:val="hybridMultilevel"/>
    <w:lvl w:ilvl="0">
      <w:lvlJc w:val="left"/>
      <w:lvlText w:val="%1."/>
      <w:numFmt w:val="decimal"/>
      <w:start w:val="7"/>
    </w:lvl>
  </w:abstractNum>
  <w:abstractNum w:abstractNumId="36">
    <w:nsid w:val="20E45CA4"/>
    <w:multiLevelType w:val="hybridMultilevel"/>
    <w:lvl w:ilvl="0">
      <w:lvlJc w:val="left"/>
      <w:lvlText w:val="%1."/>
      <w:numFmt w:val="decimal"/>
      <w:start w:val="8"/>
    </w:lvl>
  </w:abstractNum>
  <w:abstractNum w:abstractNumId="37">
    <w:nsid w:val="4B232EE3"/>
    <w:multiLevelType w:val="hybridMultilevel"/>
    <w:lvl w:ilvl="0">
      <w:lvlJc w:val="left"/>
      <w:lvlText w:val="%1."/>
      <w:numFmt w:val="decimal"/>
      <w:start w:val="9"/>
    </w:lvl>
  </w:abstractNum>
  <w:abstractNum w:abstractNumId="38">
    <w:nsid w:val="159C74CF"/>
    <w:multiLevelType w:val="hybridMultilevel"/>
    <w:lvl w:ilvl="0">
      <w:lvlJc w:val="left"/>
      <w:lvlText w:val="$"/>
      <w:numFmt w:val="bullet"/>
      <w:start w:val="1"/>
    </w:lvl>
  </w:abstractNum>
  <w:abstractNum w:abstractNumId="39">
    <w:nsid w:val="4AD3AFD2"/>
    <w:multiLevelType w:val="hybridMultilevel"/>
    <w:lvl w:ilvl="0">
      <w:lvlJc w:val="left"/>
      <w:lvlText w:val="$"/>
      <w:numFmt w:val="bullet"/>
      <w:start w:val="1"/>
    </w:lvl>
  </w:abstractNum>
  <w:abstractNum w:abstractNumId="40">
    <w:nsid w:val="3CF93092"/>
    <w:multiLevelType w:val="hybridMultilevel"/>
    <w:lvl w:ilvl="0">
      <w:lvlJc w:val="left"/>
      <w:lvlText w:val="$"/>
      <w:numFmt w:val="bullet"/>
      <w:start w:val="1"/>
    </w:lvl>
  </w:abstractNum>
  <w:abstractNum w:abstractNumId="41">
    <w:nsid w:val="6863E8D2"/>
    <w:multiLevelType w:val="hybridMultilevel"/>
    <w:lvl w:ilvl="0">
      <w:lvlJc w:val="left"/>
      <w:lvlText w:val="(%1)"/>
      <w:numFmt w:val="lowerLetter"/>
      <w:start w:val="2"/>
    </w:lvl>
  </w:abstractNum>
  <w:abstractNum w:abstractNumId="42">
    <w:nsid w:val="7689619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43">
    <w:nsid w:val="4365174B"/>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44">
    <w:nsid w:val="4A872C35"/>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45">
    <w:nsid w:val="5D5CE761"/>
    <w:multiLevelType w:val="hybridMultilevel"/>
    <w:lvl w:ilvl="0">
      <w:lvlJc w:val="left"/>
      <w:lvlText w:val="(%1)"/>
      <w:numFmt w:val="lowerLetter"/>
      <w:start w:val="2"/>
    </w:lvl>
  </w:abstractNum>
  <w:abstractNum w:abstractNumId="46">
    <w:nsid w:val="1CD484D5"/>
    <w:multiLevelType w:val="hybridMultilevel"/>
    <w:lvl w:ilvl="0">
      <w:lvlJc w:val="left"/>
      <w:lvlText w:val="(%1)"/>
      <w:numFmt w:val="lowerLetter"/>
      <w:start w:val="5"/>
    </w:lvl>
  </w:abstractNum>
  <w:abstractNum w:abstractNumId="47">
    <w:nsid w:val="21D06255"/>
    <w:multiLevelType w:val="hybridMultilevel"/>
    <w:lvl w:ilvl="0">
      <w:lvlJc w:val="left"/>
      <w:lvlText w:val="-"/>
      <w:numFmt w:val="bullet"/>
      <w:start w:val="1"/>
    </w:lvl>
  </w:abstractNum>
  <w:abstractNum w:abstractNumId="48">
    <w:nsid w:val="51194ED1"/>
    <w:multiLevelType w:val="hybridMultilevel"/>
    <w:lvl w:ilvl="0">
      <w:lvlJc w:val="left"/>
      <w:lvlText w:val="-"/>
      <w:numFmt w:val="bullet"/>
      <w:start w:val="1"/>
    </w:lvl>
  </w:abstractNum>
  <w:abstractNum w:abstractNumId="49">
    <w:nsid w:val="44E2ED6C"/>
    <w:multiLevelType w:val="hybridMultilevel"/>
    <w:lvl w:ilvl="0">
      <w:lvlJc w:val="left"/>
      <w:lvlText w:val="-"/>
      <w:numFmt w:val="bullet"/>
      <w:start w:val="1"/>
    </w:lvl>
  </w:abstractNum>
  <w:abstractNum w:abstractNumId="50">
    <w:nsid w:val="2219B33"/>
    <w:multiLevelType w:val="hybridMultilevel"/>
    <w:lvl w:ilvl="0">
      <w:lvlJc w:val="left"/>
      <w:lvlText w:val="(%1)"/>
      <w:numFmt w:val="lowerLetter"/>
      <w:start w:val="1"/>
    </w:lvl>
  </w:abstractNum>
  <w:abstractNum w:abstractNumId="51">
    <w:nsid w:val="773BFBDD"/>
    <w:multiLevelType w:val="hybridMultilevel"/>
    <w:lvl w:ilvl="0">
      <w:lvlJc w:val="left"/>
      <w:lvlText w:val="(%1)"/>
      <w:numFmt w:val="lowerRoman"/>
      <w:start w:val="1"/>
    </w:lvl>
  </w:abstractNum>
  <w:abstractNum w:abstractNumId="52">
    <w:nsid w:val="2C7C62C2"/>
    <w:multiLevelType w:val="hybridMultilevel"/>
    <w:lvl w:ilvl="0">
      <w:lvlJc w:val="left"/>
      <w:lvlText w:val="(%1)"/>
      <w:numFmt w:val="lowerLetter"/>
      <w:start w:val="1"/>
    </w:lvl>
  </w:abstractNum>
  <w:abstractNum w:abstractNumId="53">
    <w:nsid w:val="1A54D7BC"/>
    <w:multiLevelType w:val="hybridMultilevel"/>
    <w:lvl w:ilvl="0">
      <w:lvlJc w:val="left"/>
      <w:lvlText w:val="(%1)"/>
      <w:numFmt w:val="lowerLetter"/>
      <w:start w:val="3"/>
    </w:lvl>
  </w:abstractNum>
  <w:abstractNum w:abstractNumId="54">
    <w:nsid w:val="42E57EF7"/>
    <w:multiLevelType w:val="hybridMultilevel"/>
    <w:lvl w:ilvl="0">
      <w:lvlJc w:val="left"/>
      <w:lvlText w:val="(%1)"/>
      <w:numFmt w:val="lowerLetter"/>
      <w:start w:val="4"/>
    </w:lvl>
  </w:abstractNum>
  <w:abstractNum w:abstractNumId="55">
    <w:nsid w:val="33537CED"/>
    <w:multiLevelType w:val="hybridMultilevel"/>
    <w:lvl w:ilvl="0">
      <w:lvlJc w:val="left"/>
      <w:lvlText w:val="(%1)"/>
      <w:numFmt w:val="lowerRoman"/>
      <w:start w:val="2"/>
    </w:lvl>
  </w:abstractNum>
  <w:abstractNum w:abstractNumId="56">
    <w:nsid w:val="27514ADE"/>
    <w:multiLevelType w:val="hybridMultilevel"/>
    <w:lvl w:ilvl="0">
      <w:lvlJc w:val="left"/>
      <w:lvlText w:val="(%1)"/>
      <w:numFmt w:val="lowerLetter"/>
      <w:start w:val="1"/>
    </w:lvl>
  </w:abstractNum>
  <w:abstractNum w:abstractNumId="57">
    <w:nsid w:val="57071613"/>
    <w:multiLevelType w:val="hybridMultilevel"/>
    <w:lvl w:ilvl="0">
      <w:lvlJc w:val="left"/>
      <w:lvlText w:val="(%1)"/>
      <w:numFmt w:val="lowerLetter"/>
      <w:start w:val="3"/>
    </w:lvl>
  </w:abstractNum>
  <w:abstractNum w:abstractNumId="58">
    <w:nsid w:val="5293BFEF"/>
    <w:multiLevelType w:val="hybridMultilevel"/>
    <w:lvl w:ilvl="0">
      <w:lvlJc w:val="left"/>
      <w:lvlText w:val="(%1)"/>
      <w:numFmt w:val="lowerLetter"/>
      <w:start w:val="1"/>
    </w:lvl>
  </w:abstractNum>
  <w:abstractNum w:abstractNumId="59">
    <w:nsid w:val="38BF53E5"/>
    <w:multiLevelType w:val="hybridMultilevel"/>
    <w:lvl w:ilvl="0">
      <w:lvlJc w:val="left"/>
      <w:lvlText w:val="(%1)"/>
      <w:numFmt w:val="lowerLetter"/>
      <w:start w:val="9"/>
    </w:lvl>
  </w:abstractNum>
  <w:abstractNum w:abstractNumId="60">
    <w:nsid w:val="226F5320"/>
    <w:multiLevelType w:val="hybridMultilevel"/>
    <w:lvl w:ilvl="0">
      <w:lvlJc w:val="left"/>
      <w:lvlText w:val="(%1)"/>
      <w:numFmt w:val="lowerLetter"/>
      <w:start w:val="35"/>
    </w:lvl>
  </w:abstractNum>
  <w:abstractNum w:abstractNumId="61">
    <w:nsid w:val="5A0201C7"/>
    <w:multiLevelType w:val="hybridMultilevel"/>
    <w:lvl w:ilvl="0">
      <w:lvlJc w:val="left"/>
      <w:lvlText w:val="(%1)"/>
      <w:numFmt w:val="lowerRoman"/>
      <w:start w:val="3"/>
    </w:lvl>
  </w:abstractNum>
  <w:abstractNum w:abstractNumId="62">
    <w:nsid w:val="2A9C34E2"/>
    <w:multiLevelType w:val="hybridMultilevel"/>
    <w:lvl w:ilvl="0">
      <w:lvlJc w:val="left"/>
      <w:lvlText w:val="(%1)"/>
      <w:numFmt w:val="lowerLetter"/>
      <w:start w:val="3"/>
    </w:lvl>
  </w:abstractNum>
  <w:abstractNum w:abstractNumId="63">
    <w:nsid w:val="1B7585AB"/>
    <w:multiLevelType w:val="hybridMultilevel"/>
    <w:lvl w:ilvl="0">
      <w:lvlJc w:val="left"/>
      <w:lvlText w:val="(%1)"/>
      <w:numFmt w:val="lowerLetter"/>
      <w:start w:val="1"/>
    </w:lvl>
  </w:abstractNum>
  <w:abstractNum w:abstractNumId="64">
    <w:nsid w:val="612DBDDD"/>
    <w:multiLevelType w:val="hybridMultilevel"/>
    <w:lvl w:ilvl="0">
      <w:lvlJc w:val="left"/>
      <w:lvlText w:val="(%1)"/>
      <w:numFmt w:val="lowerLetter"/>
      <w:start w:val="2"/>
    </w:lvl>
  </w:abstractNum>
  <w:abstractNum w:abstractNumId="65">
    <w:nsid w:val="2109CDA4"/>
    <w:multiLevelType w:val="hybridMultilevel"/>
    <w:lvl w:ilvl="0">
      <w:lvlJc w:val="left"/>
      <w:lvlText w:val="(%1)"/>
      <w:numFmt w:val="lowerLetter"/>
      <w:start w:val="1"/>
    </w:lvl>
  </w:abstractNum>
  <w:abstractNum w:abstractNumId="66">
    <w:nsid w:val="577F5A4D"/>
    <w:multiLevelType w:val="hybridMultilevel"/>
    <w:lvl w:ilvl="0">
      <w:lvlJc w:val="left"/>
      <w:lvlText w:val="(%1)"/>
      <w:numFmt w:val="lowerLetter"/>
      <w:start w:val="1"/>
    </w:lvl>
  </w:abstractNum>
  <w:abstractNum w:abstractNumId="67">
    <w:nsid w:val="2121A81"/>
    <w:multiLevelType w:val="hybridMultilevel"/>
    <w:lvl w:ilvl="0">
      <w:lvlJc w:val="left"/>
      <w:lvlText w:val="(%1)"/>
      <w:numFmt w:val="lowerLetter"/>
      <w:start w:val="35"/>
    </w:lvl>
  </w:abstractNum>
  <w:abstractNum w:abstractNumId="68">
    <w:nsid w:val="6C2CFC88"/>
    <w:multiLevelType w:val="hybridMultilevel"/>
    <w:lvl w:ilvl="0">
      <w:lvlJc w:val="left"/>
      <w:lvlText w:val="(%1)"/>
      <w:numFmt w:val="lowerLetter"/>
      <w:start w:val="3"/>
    </w:lvl>
  </w:abstractNum>
  <w:abstractNum w:abstractNumId="69">
    <w:nsid w:val="6D1BCF1C"/>
    <w:multiLevelType w:val="hybridMultilevel"/>
    <w:lvl w:ilvl="0">
      <w:lvlJc w:val="left"/>
      <w:lvlText w:val="(%1)"/>
      <w:numFmt w:val="lowerRoman"/>
      <w:start w:val="1"/>
    </w:lvl>
  </w:abstractNum>
  <w:abstractNum w:abstractNumId="70">
    <w:nsid w:val="4CE5CA53"/>
    <w:multiLevelType w:val="hybridMultilevel"/>
    <w:lvl w:ilvl="0">
      <w:lvlJc w:val="left"/>
      <w:lvlText w:val="(%1)"/>
      <w:numFmt w:val="lowerRoman"/>
      <w:start w:val="1"/>
    </w:lvl>
  </w:abstractNum>
  <w:abstractNum w:abstractNumId="71">
    <w:nsid w:val="29262D1A"/>
    <w:multiLevelType w:val="hybridMultilevel"/>
    <w:lvl w:ilvl="0">
      <w:lvlJc w:val="left"/>
      <w:lvlText w:val="(%1)"/>
      <w:numFmt w:val="lowerLetter"/>
      <w:start w:val="10"/>
    </w:lvl>
  </w:abstractNum>
  <w:abstractNum w:abstractNumId="72">
    <w:nsid w:val="557FB7EE"/>
    <w:multiLevelType w:val="hybridMultilevel"/>
    <w:lvl w:ilvl="0">
      <w:lvlJc w:val="left"/>
      <w:lvlText w:val="(%1)"/>
      <w:numFmt w:val="lowerLetter"/>
      <w:start w:val="1"/>
    </w:lvl>
  </w:abstractNum>
  <w:abstractNum w:abstractNumId="73">
    <w:nsid w:val="436F2BEB"/>
    <w:multiLevelType w:val="hybridMultilevel"/>
    <w:lvl w:ilvl="0">
      <w:lvlJc w:val="left"/>
      <w:lvlText w:val="(%1)"/>
      <w:numFmt w:val="lowerRoman"/>
      <w:start w:val="1"/>
    </w:lvl>
  </w:abstractNum>
  <w:abstractNum w:abstractNumId="74">
    <w:nsid w:val="6C8B4466"/>
    <w:multiLevelType w:val="hybridMultilevel"/>
    <w:lvl w:ilvl="0">
      <w:lvlJc w:val="left"/>
      <w:lvlText w:val="(%1)"/>
      <w:numFmt w:val="lowerLetter"/>
      <w:start w:val="1"/>
    </w:lvl>
  </w:abstractNum>
  <w:abstractNum w:abstractNumId="75">
    <w:nsid w:val="2006E424"/>
    <w:multiLevelType w:val="hybridMultilevel"/>
    <w:lvl w:ilvl="0">
      <w:lvlJc w:val="left"/>
      <w:lvlText w:val="(%1)"/>
      <w:numFmt w:val="lowerLetter"/>
      <w:start w:val="5"/>
    </w:lvl>
  </w:abstractNum>
  <w:abstractNum w:abstractNumId="76">
    <w:nsid w:val="20CC134C"/>
    <w:multiLevelType w:val="hybridMultilevel"/>
    <w:lvl w:ilvl="0">
      <w:lvlJc w:val="left"/>
      <w:lvlText w:val="(%1)"/>
      <w:numFmt w:val="lowerLetter"/>
      <w:start w:val="6"/>
    </w:lvl>
  </w:abstractNum>
  <w:abstractNum w:abstractNumId="77">
    <w:nsid w:val="95FC93B"/>
    <w:multiLevelType w:val="hybridMultilevel"/>
    <w:lvl w:ilvl="0">
      <w:lvlJc w:val="left"/>
      <w:lvlText w:val="(%1)"/>
      <w:numFmt w:val="lowerLetter"/>
      <w:start w:val="7"/>
    </w:lvl>
  </w:abstractNum>
  <w:abstractNum w:abstractNumId="78">
    <w:nsid w:val="41D74679"/>
    <w:multiLevelType w:val="hybridMultilevel"/>
    <w:lvl w:ilvl="0">
      <w:lvlJc w:val="left"/>
      <w:lvlText w:val="(%1)"/>
      <w:numFmt w:val="lowerLetter"/>
      <w:start w:val="11"/>
    </w:lvl>
  </w:abstractNum>
  <w:abstractNum w:abstractNumId="79">
    <w:nsid w:val="71E5621E"/>
    <w:multiLevelType w:val="hybridMultilevel"/>
    <w:lvl w:ilvl="0">
      <w:lvlJc w:val="left"/>
      <w:lvlText w:val="(%1)"/>
      <w:numFmt w:val="lowerLetter"/>
      <w:start w:val="13"/>
    </w:lvl>
  </w:abstractNum>
  <w:abstractNum w:abstractNumId="80">
    <w:nsid w:val="4E42B6A8"/>
    <w:multiLevelType w:val="hybridMultilevel"/>
    <w:lvl w:ilvl="0">
      <w:lvlJc w:val="left"/>
      <w:lvlText w:val="(%1)"/>
      <w:numFmt w:val="lowerLetter"/>
      <w:start w:val="14"/>
    </w:lvl>
  </w:abstractNum>
  <w:abstractNum w:abstractNumId="81">
    <w:nsid w:val="43F8E1AC"/>
    <w:multiLevelType w:val="hybridMultilevel"/>
    <w:lvl w:ilvl="0">
      <w:lvlJc w:val="left"/>
      <w:lvlText w:val="(%1)"/>
      <w:numFmt w:val="lowerLetter"/>
      <w:start w:val="23"/>
    </w:lvl>
  </w:abstractNum>
  <w:abstractNum w:abstractNumId="82">
    <w:nsid w:val="69215DFB"/>
    <w:multiLevelType w:val="hybridMultilevel"/>
    <w:lvl w:ilvl="0">
      <w:lvlJc w:val="left"/>
      <w:lvlText w:val="(%1)"/>
      <w:numFmt w:val="lowerLetter"/>
      <w:start w:val="1"/>
    </w:lvl>
  </w:abstractNum>
  <w:abstractNum w:abstractNumId="83">
    <w:nsid w:val="7ABF196A"/>
    <w:multiLevelType w:val="hybridMultilevel"/>
    <w:lvl w:ilvl="0">
      <w:lvlJc w:val="left"/>
      <w:lvlText w:val="(%1)"/>
      <w:numFmt w:val="lowerLetter"/>
      <w:start w:val="61"/>
    </w:lvl>
  </w:abstractNum>
  <w:abstractNum w:abstractNumId="84">
    <w:nsid w:val="5E4DB968"/>
    <w:multiLevelType w:val="hybridMultilevel"/>
    <w:lvl w:ilvl="0">
      <w:lvlJc w:val="left"/>
      <w:lvlText w:val="(%1)"/>
      <w:numFmt w:val="lowerLetter"/>
      <w:start w:val="2"/>
    </w:lvl>
  </w:abstractNum>
  <w:abstractNum w:abstractNumId="85">
    <w:nsid w:val="2C06DCF3"/>
    <w:multiLevelType w:val="hybridMultilevel"/>
    <w:lvl w:ilvl="0">
      <w:lvlJc w:val="left"/>
      <w:lvlText w:val="(%1)"/>
      <w:numFmt w:val="lowerLetter"/>
      <w:start w:val="9"/>
    </w:lvl>
  </w:abstractNum>
  <w:abstractNum w:abstractNumId="86">
    <w:nsid w:val="2E129658"/>
    <w:multiLevelType w:val="hybridMultilevel"/>
    <w:lvl w:ilvl="0">
      <w:lvlJc w:val="left"/>
      <w:lvlText w:val="(%1)"/>
      <w:numFmt w:val="lowerLetter"/>
      <w:start w:val="4"/>
    </w:lvl>
  </w:abstractNum>
  <w:abstractNum w:abstractNumId="87">
    <w:nsid w:val="59F0446"/>
    <w:multiLevelType w:val="hybridMultilevel"/>
    <w:lvl w:ilvl="0">
      <w:lvlJc w:val="left"/>
      <w:lvlText w:val="(%1)"/>
      <w:numFmt w:val="lowerLetter"/>
      <w:start w:val="1"/>
    </w:lvl>
  </w:abstractNum>
  <w:abstractNum w:abstractNumId="88">
    <w:nsid w:val="30DF306"/>
    <w:multiLevelType w:val="hybridMultilevel"/>
    <w:lvl w:ilvl="0">
      <w:lvlJc w:val="left"/>
      <w:lvlText w:val="(%1)"/>
      <w:numFmt w:val="lowerLetter"/>
      <w:start w:val="2"/>
    </w:lvl>
  </w:abstractNum>
  <w:abstractNum w:abstractNumId="89">
    <w:nsid w:val="A65647"/>
    <w:multiLevelType w:val="hybridMultilevel"/>
    <w:lvl w:ilvl="0">
      <w:lvlJc w:val="left"/>
      <w:lvlText w:val="(%1)"/>
      <w:numFmt w:val="lowerLetter"/>
      <w:start w:val="4"/>
    </w:lvl>
  </w:abstractNum>
  <w:abstractNum w:abstractNumId="90">
    <w:nsid w:val="3E5E582B"/>
    <w:multiLevelType w:val="hybridMultilevel"/>
    <w:lvl w:ilvl="0">
      <w:lvlJc w:val="left"/>
      <w:lvlText w:val="(%1)"/>
      <w:numFmt w:val="lowerLetter"/>
      <w:start w:val="8"/>
    </w:lvl>
  </w:abstractNum>
  <w:abstractNum w:abstractNumId="91">
    <w:nsid w:val="257D4626"/>
    <w:multiLevelType w:val="hybridMultilevel"/>
    <w:lvl w:ilvl="0">
      <w:lvlJc w:val="left"/>
      <w:lvlText w:val="(%1)"/>
      <w:numFmt w:val="lowerLetter"/>
      <w:start w:val="1"/>
    </w:lvl>
  </w:abstractNum>
  <w:abstractNum w:abstractNumId="92">
    <w:nsid w:val="5AA8580E"/>
    <w:multiLevelType w:val="hybridMultilevel"/>
    <w:lvl w:ilvl="0">
      <w:lvlJc w:val="left"/>
      <w:lvlText w:val="(%1)"/>
      <w:numFmt w:val="lowerRoman"/>
      <w:start w:val="14"/>
    </w:lvl>
  </w:abstractNum>
  <w:abstractNum w:abstractNumId="93">
    <w:nsid w:val="68FA8D0D"/>
    <w:multiLevelType w:val="hybridMultilevel"/>
    <w:lvl w:ilvl="0">
      <w:lvlJc w:val="left"/>
      <w:lvlText w:val="(%1)"/>
      <w:numFmt w:val="lowerRoman"/>
      <w:start w:val="22"/>
    </w:lvl>
  </w:abstractNum>
  <w:abstractNum w:abstractNumId="94">
    <w:nsid w:val="40F2CBD2"/>
    <w:multiLevelType w:val="hybridMultilevel"/>
    <w:lvl w:ilvl="0">
      <w:lvlJc w:val="left"/>
      <w:lvlText w:val="(%1)"/>
      <w:numFmt w:val="lowerLetter"/>
      <w:start w:val="2"/>
    </w:lvl>
  </w:abstractNum>
  <w:abstractNum w:abstractNumId="95">
    <w:nsid w:val="3BD615EB"/>
    <w:multiLevelType w:val="hybridMultilevel"/>
    <w:lvl w:ilvl="0">
      <w:lvlJc w:val="left"/>
      <w:lvlText w:val="(%1)"/>
      <w:numFmt w:val="lowerLetter"/>
      <w:start w:val="3"/>
    </w:lvl>
  </w:abstractNum>
  <w:abstractNum w:abstractNumId="96">
    <w:nsid w:val="A045AB2"/>
    <w:multiLevelType w:val="hybridMultilevel"/>
    <w:lvl w:ilvl="0">
      <w:lvlJc w:val="left"/>
      <w:lvlText w:val="(%1)"/>
      <w:numFmt w:val="lowerLetter"/>
      <w:start w:val="1"/>
    </w:lvl>
  </w:abstractNum>
  <w:abstractNum w:abstractNumId="97">
    <w:nsid w:val="1872261F"/>
    <w:multiLevelType w:val="hybridMultilevel"/>
    <w:lvl w:ilvl="0">
      <w:lvlJc w:val="left"/>
      <w:lvlText w:val="(%1)"/>
      <w:numFmt w:val="lowerLetter"/>
      <w:start w:val="3"/>
    </w:lvl>
  </w:abstractNum>
  <w:abstractNum w:abstractNumId="98">
    <w:nsid w:val="3DE8306C"/>
    <w:multiLevelType w:val="hybridMultilevel"/>
    <w:lvl w:ilvl="0">
      <w:lvlJc w:val="left"/>
      <w:lvlText w:val="(%1)"/>
      <w:numFmt w:val="lowerLetter"/>
      <w:start w:val="8"/>
    </w:lvl>
  </w:abstractNum>
  <w:abstractNum w:abstractNumId="99">
    <w:nsid w:val="7631573A"/>
    <w:multiLevelType w:val="hybridMultilevel"/>
    <w:lvl w:ilvl="0">
      <w:lvlJc w:val="left"/>
      <w:lvlText w:val="(%1)"/>
      <w:numFmt w:val="lowerLetter"/>
      <w:start w:val="9"/>
    </w:lvl>
  </w:abstractNum>
  <w:abstractNum w:abstractNumId="100">
    <w:nsid w:val="58DF53B"/>
    <w:multiLevelType w:val="hybridMultilevel"/>
    <w:lvl w:ilvl="0">
      <w:lvlJc w:val="left"/>
      <w:lvlText w:val="(%1)"/>
      <w:numFmt w:val="lowerLetter"/>
      <w:start w:val="1"/>
    </w:lvl>
  </w:abstractNum>
  <w:abstractNum w:abstractNumId="101">
    <w:nsid w:val="ACDFAC0"/>
    <w:multiLevelType w:val="hybridMultilevel"/>
    <w:lvl w:ilvl="0">
      <w:lvlJc w:val="left"/>
      <w:lvlText w:val="(%1)"/>
      <w:numFmt w:val="lowerLetter"/>
      <w:start w:val="2"/>
    </w:lvl>
  </w:abstractNum>
  <w:abstractNum w:abstractNumId="102">
    <w:nsid w:val="1F578454"/>
    <w:multiLevelType w:val="hybridMultilevel"/>
    <w:lvl w:ilvl="0">
      <w:lvlJc w:val="left"/>
      <w:lvlText w:val="(%1)"/>
      <w:numFmt w:val="lowerRoman"/>
      <w:start w:val="1"/>
    </w:lvl>
  </w:abstractNum>
  <w:abstractNum w:abstractNumId="103">
    <w:nsid w:val="5B0DAD2A"/>
    <w:multiLevelType w:val="hybridMultilevel"/>
    <w:lvl w:ilvl="0">
      <w:lvlJc w:val="left"/>
      <w:lvlText w:val="(%1)"/>
      <w:numFmt w:val="lowerLetter"/>
      <w:start w:val="1"/>
    </w:lvl>
  </w:abstractNum>
  <w:abstractNum w:abstractNumId="104">
    <w:nsid w:val="4E3D26AB"/>
    <w:multiLevelType w:val="hybridMultilevel"/>
    <w:lvl w:ilvl="0">
      <w:lvlJc w:val="left"/>
      <w:lvlText w:val="(%1)"/>
      <w:numFmt w:val="lowerLetter"/>
      <w:start w:val="35"/>
    </w:lvl>
  </w:abstractNum>
  <w:abstractNum w:abstractNumId="105">
    <w:nsid w:val="BE2C8BA"/>
    <w:multiLevelType w:val="hybridMultilevel"/>
    <w:lvl w:ilvl="0">
      <w:lvlJc w:val="left"/>
      <w:lvlText w:val="(%1)"/>
      <w:numFmt w:val="lowerLetter"/>
      <w:start w:val="2"/>
    </w:lvl>
  </w:abstractNum>
  <w:abstractNum w:abstractNumId="106">
    <w:nsid w:val="7B14914E"/>
    <w:multiLevelType w:val="hybridMultilevel"/>
    <w:lvl w:ilvl="0">
      <w:lvlJc w:val="left"/>
      <w:lvlText w:val="(%1)"/>
      <w:numFmt w:val="lowerLetter"/>
      <w:start w:val="35"/>
    </w:lvl>
  </w:abstractNum>
  <w:abstractNum w:abstractNumId="107">
    <w:nsid w:val="6F0939F8"/>
    <w:multiLevelType w:val="hybridMultilevel"/>
    <w:lvl w:ilvl="0">
      <w:lvlJc w:val="left"/>
      <w:lvlText w:val="(%1)"/>
      <w:numFmt w:val="lowerLetter"/>
      <w:start w:val="61"/>
    </w:lvl>
  </w:abstractNum>
  <w:abstractNum w:abstractNumId="108">
    <w:nsid w:val="154291F6"/>
    <w:multiLevelType w:val="hybridMultilevel"/>
    <w:lvl w:ilvl="0">
      <w:lvlJc w:val="left"/>
      <w:lvlText w:val="(%1)"/>
      <w:numFmt w:val="lowerLetter"/>
      <w:start w:val="3"/>
    </w:lvl>
  </w:abstractNum>
  <w:abstractNum w:abstractNumId="109">
    <w:nsid w:val="3CEBD7C7"/>
    <w:multiLevelType w:val="hybridMultilevel"/>
    <w:lvl w:ilvl="0">
      <w:lvlJc w:val="left"/>
      <w:lvlText w:val="(%1)"/>
      <w:numFmt w:val="lowerLetter"/>
      <w:start w:val="61"/>
    </w:lvl>
  </w:abstractNum>
  <w:abstractNum w:abstractNumId="110">
    <w:nsid w:val="60EE9C16"/>
    <w:multiLevelType w:val="hybridMultilevel"/>
    <w:lvl w:ilvl="0">
      <w:lvlJc w:val="left"/>
      <w:lvlText w:val="(%1)"/>
      <w:numFmt w:val="lowerRoman"/>
      <w:start w:val="11"/>
    </w:lvl>
  </w:abstractNum>
  <w:abstractNum w:abstractNumId="111">
    <w:nsid w:val="6385489E"/>
    <w:multiLevelType w:val="hybridMultilevel"/>
    <w:lvl w:ilvl="0">
      <w:lvlJc w:val="left"/>
      <w:lvlText w:val="(%1)"/>
      <w:numFmt w:val="lowerLetter"/>
      <w:start w:val="5"/>
    </w:lvl>
  </w:abstractNum>
  <w:abstractNum w:abstractNumId="112">
    <w:nsid w:val="E4B973"/>
    <w:multiLevelType w:val="hybridMultilevel"/>
    <w:lvl w:ilvl="0">
      <w:lvlJc w:val="left"/>
      <w:lvlText w:val="(%1)"/>
      <w:numFmt w:val="lowerRoman"/>
      <w:start w:val="1"/>
    </w:lvl>
  </w:abstractNum>
  <w:abstractNum w:abstractNumId="113">
    <w:nsid w:val="4A0FFA11"/>
    <w:multiLevelType w:val="hybridMultilevel"/>
    <w:lvl w:ilvl="0">
      <w:lvlJc w:val="left"/>
      <w:lvlText w:val="(%1)"/>
      <w:numFmt w:val="lowerLetter"/>
      <w:start w:val="8"/>
    </w:lvl>
  </w:abstractNum>
  <w:abstractNum w:abstractNumId="114">
    <w:nsid w:val="5E446208"/>
    <w:multiLevelType w:val="hybridMultilevel"/>
    <w:lvl w:ilvl="0">
      <w:lvlJc w:val="left"/>
      <w:lvlText w:val="(%1)"/>
      <w:numFmt w:val="lowerLetter"/>
      <w:start w:val="11"/>
    </w:lvl>
  </w:abstractNum>
  <w:abstractNum w:abstractNumId="115">
    <w:nsid w:val="5F3272DB"/>
    <w:multiLevelType w:val="hybridMultilevel"/>
    <w:lvl w:ilvl="0">
      <w:lvlJc w:val="left"/>
      <w:lvlText w:val="(%1)"/>
      <w:numFmt w:val="lowerLetter"/>
      <w:start w:val="61"/>
    </w:lvl>
  </w:abstractNum>
  <w:abstractNum w:abstractNumId="116">
    <w:nsid w:val="7616D704"/>
    <w:multiLevelType w:val="hybridMultilevel"/>
    <w:lvl w:ilvl="0">
      <w:lvlJc w:val="left"/>
      <w:lvlText w:val="(%1)"/>
      <w:numFmt w:val="lowerLetter"/>
      <w:start w:val="22"/>
    </w:lvl>
  </w:abstractNum>
  <w:abstractNum w:abstractNumId="117">
    <w:nsid w:val="C56F860"/>
    <w:multiLevelType w:val="hybridMultilevel"/>
    <w:lvl w:ilvl="0">
      <w:lvlJc w:val="left"/>
      <w:lvlText w:val="(%1)"/>
      <w:numFmt w:val="lowerLetter"/>
      <w:start w:val="12"/>
    </w:lvl>
  </w:abstractNum>
  <w:abstractNum w:abstractNumId="118">
    <w:nsid w:val="64D17722"/>
    <w:multiLevelType w:val="hybridMultilevel"/>
    <w:lvl w:ilvl="0">
      <w:lvlJc w:val="left"/>
      <w:lvlText w:val="(%1)"/>
      <w:numFmt w:val="lowerLetter"/>
      <w:start w:val="1"/>
    </w:lvl>
  </w:abstractNum>
  <w:abstractNum w:abstractNumId="119">
    <w:nsid w:val="7924CA0A"/>
    <w:multiLevelType w:val="hybridMultilevel"/>
    <w:lvl w:ilvl="0">
      <w:lvlJc w:val="left"/>
      <w:lvlText w:val="(%1)"/>
      <w:numFmt w:val="lowerLetter"/>
      <w:start w:val="1"/>
    </w:lvl>
  </w:abstractNum>
  <w:abstractNum w:abstractNumId="120">
    <w:nsid w:val="CFD4EA7"/>
    <w:multiLevelType w:val="hybridMultilevel"/>
    <w:lvl w:ilvl="0">
      <w:lvlJc w:val="left"/>
      <w:lvlText w:val="(%1)"/>
      <w:numFmt w:val="lowerRoman"/>
      <w:start w:val="1"/>
    </w:lvl>
  </w:abstractNum>
  <w:abstractNum w:abstractNumId="121">
    <w:nsid w:val="232FCF4D"/>
    <w:multiLevelType w:val="hybridMultilevel"/>
    <w:lvl w:ilvl="0">
      <w:lvlJc w:val="left"/>
      <w:lvlText w:val="(%1)"/>
      <w:numFmt w:val="lowerLetter"/>
      <w:start w:val="2"/>
    </w:lvl>
  </w:abstractNum>
  <w:abstractNum w:abstractNumId="122">
    <w:nsid w:val="1EA21031"/>
    <w:multiLevelType w:val="hybridMultilevel"/>
    <w:lvl w:ilvl="0">
      <w:lvlJc w:val="left"/>
      <w:lvlText w:val="(%1)"/>
      <w:numFmt w:val="lowerLetter"/>
      <w:start w:val="4"/>
    </w:lvl>
  </w:abstractNum>
  <w:abstractNum w:abstractNumId="123">
    <w:nsid w:val="67A5A6B5"/>
    <w:multiLevelType w:val="hybridMultilevel"/>
    <w:lvl w:ilvl="0">
      <w:lvlJc w:val="left"/>
      <w:lvlText w:val="(%1)"/>
      <w:numFmt w:val="lowerLetter"/>
      <w:start w:val="10"/>
    </w:lvl>
  </w:abstractNum>
  <w:abstractNum w:abstractNumId="124">
    <w:nsid w:val="C2A5C5B"/>
    <w:multiLevelType w:val="hybridMultilevel"/>
    <w:lvl w:ilvl="0">
      <w:lvlJc w:val="left"/>
      <w:lvlText w:val="(%1)"/>
      <w:numFmt w:val="lowerLetter"/>
      <w:start w:val="35"/>
    </w:lvl>
  </w:abstractNum>
  <w:abstractNum w:abstractNumId="125">
    <w:nsid w:val="5F94DC03"/>
    <w:multiLevelType w:val="hybridMultilevel"/>
    <w:lvl w:ilvl="0">
      <w:lvlJc w:val="left"/>
      <w:lvlText w:val="(%1)"/>
      <w:numFmt w:val="lowerLetter"/>
      <w:start w:val="11"/>
    </w:lvl>
  </w:abstractNum>
  <w:abstractNum w:abstractNumId="126">
    <w:nsid w:val="237BBCA0"/>
    <w:multiLevelType w:val="hybridMultilevel"/>
    <w:lvl w:ilvl="0">
      <w:lvlJc w:val="left"/>
      <w:lvlText w:val="(%1)"/>
      <w:numFmt w:val="lowerLetter"/>
      <w:start w:val="1"/>
    </w:lvl>
  </w:abstractNum>
  <w:abstractNum w:abstractNumId="127">
    <w:nsid w:val="162EB70D"/>
    <w:multiLevelType w:val="hybridMultilevel"/>
    <w:lvl w:ilvl="0">
      <w:lvlJc w:val="left"/>
      <w:lvlText w:val="(%1)"/>
      <w:numFmt w:val="lowerLetter"/>
      <w:start w:val="3"/>
    </w:lvl>
  </w:abstractNum>
  <w:abstractNum w:abstractNumId="128">
    <w:nsid w:val="78070222"/>
    <w:multiLevelType w:val="hybridMultilevel"/>
    <w:lvl w:ilvl="0">
      <w:lvlJc w:val="left"/>
      <w:lvlText w:val="(%1)"/>
      <w:numFmt w:val="lowerRoman"/>
      <w:start w:val="2"/>
    </w:lvl>
  </w:abstractNum>
  <w:abstractNum w:abstractNumId="129">
    <w:nsid w:val="6163ED0D"/>
    <w:multiLevelType w:val="hybridMultilevel"/>
    <w:lvl w:ilvl="0">
      <w:lvlJc w:val="left"/>
      <w:lvlText w:val="(%1)"/>
      <w:numFmt w:val="lowerLetter"/>
      <w:start w:val="1"/>
    </w:lvl>
  </w:abstractNum>
  <w:abstractNum w:abstractNumId="130">
    <w:nsid w:val="C600E47"/>
    <w:multiLevelType w:val="hybridMultilevel"/>
    <w:lvl w:ilvl="0">
      <w:lvlJc w:val="left"/>
      <w:lvlText w:val="(%1)"/>
      <w:numFmt w:val="lowerLetter"/>
      <w:start w:val="1"/>
    </w:lvl>
  </w:abstractNum>
  <w:abstractNum w:abstractNumId="131">
    <w:nsid w:val="7D94F75D"/>
    <w:multiLevelType w:val="hybridMultilevel"/>
    <w:lvl w:ilvl="0">
      <w:lvlJc w:val="left"/>
      <w:lvlText w:val="(%1)"/>
      <w:numFmt w:val="lowerLetter"/>
      <w:start w:val="35"/>
    </w:lvl>
  </w:abstractNum>
  <w:abstractNum w:abstractNumId="132">
    <w:nsid w:val="6C31E7CD"/>
    <w:multiLevelType w:val="hybridMultilevel"/>
    <w:lvl w:ilvl="0">
      <w:lvlJc w:val="left"/>
      <w:lvlText w:val="(%1)"/>
      <w:numFmt w:val="lowerLetter"/>
      <w:start w:val="3"/>
    </w:lvl>
  </w:abstractNum>
  <w:abstractNum w:abstractNumId="133">
    <w:nsid w:val="2BB7929B"/>
    <w:multiLevelType w:val="hybridMultilevel"/>
    <w:lvl w:ilvl="0">
      <w:lvlJc w:val="left"/>
      <w:lvlText w:val="(%1)"/>
      <w:numFmt w:val="lowerLetter"/>
      <w:start w:val="35"/>
    </w:lvl>
  </w:abstractNum>
  <w:abstractNum w:abstractNumId="134">
    <w:nsid w:val="58A2A487"/>
    <w:multiLevelType w:val="hybridMultilevel"/>
    <w:lvl w:ilvl="0">
      <w:lvlJc w:val="left"/>
      <w:lvlText w:val="(%1)"/>
      <w:numFmt w:val="lowerLetter"/>
      <w:start w:val="4"/>
    </w:lvl>
  </w:abstractNum>
  <w:abstractNum w:abstractNumId="135">
    <w:nsid w:val="3A6F0E78"/>
    <w:multiLevelType w:val="hybridMultilevel"/>
    <w:lvl w:ilvl="0">
      <w:lvlJc w:val="left"/>
      <w:lvlText w:val="(%1)"/>
      <w:numFmt w:val="lowerLetter"/>
      <w:start w:val="6"/>
    </w:lvl>
  </w:abstractNum>
  <w:abstractNum w:abstractNumId="136">
    <w:nsid w:val="379A5B56"/>
    <w:multiLevelType w:val="hybridMultilevel"/>
    <w:lvl w:ilvl="0">
      <w:lvlJc w:val="left"/>
      <w:lvlText w:val="(%1)"/>
      <w:numFmt w:val="lowerLetter"/>
      <w:start w:val="35"/>
    </w:lvl>
  </w:abstractNum>
  <w:abstractNum w:abstractNumId="137">
    <w:nsid w:val="53B735D5"/>
    <w:multiLevelType w:val="hybridMultilevel"/>
    <w:lvl w:ilvl="0">
      <w:lvlJc w:val="left"/>
      <w:lvlText w:val="(%1)"/>
      <w:numFmt w:val="lowerLetter"/>
      <w:start w:val="61"/>
    </w:lvl>
  </w:abstractNum>
  <w:abstractNum w:abstractNumId="138">
    <w:nsid w:val="29784870"/>
    <w:multiLevelType w:val="hybridMultilevel"/>
    <w:lvl w:ilvl="0">
      <w:lvlJc w:val="left"/>
      <w:lvlText w:val="(%1)"/>
      <w:numFmt w:val="lowerLetter"/>
      <w:start w:val="7"/>
    </w:lvl>
  </w:abstractNum>
  <w:abstractNum w:abstractNumId="139">
    <w:nsid w:val="4CDCED4C"/>
    <w:multiLevelType w:val="hybridMultilevel"/>
    <w:lvl w:ilvl="0">
      <w:lvlJc w:val="left"/>
      <w:lvlText w:val="(%1)"/>
      <w:numFmt w:val="lowerLetter"/>
      <w:start w:val="1"/>
    </w:lvl>
  </w:abstractNum>
  <w:abstractNum w:abstractNumId="140">
    <w:nsid w:val="10A30D9C"/>
    <w:multiLevelType w:val="hybridMultilevel"/>
    <w:lvl w:ilvl="0">
      <w:lvlJc w:val="left"/>
      <w:lvlText w:val="(%1)"/>
      <w:numFmt w:val="lowerLetter"/>
      <w:start w:val="1"/>
    </w:lvl>
  </w:abstractNum>
  <w:abstractNum w:abstractNumId="141">
    <w:nsid w:val="A66E486"/>
    <w:multiLevelType w:val="hybridMultilevel"/>
    <w:lvl w:ilvl="0">
      <w:lvlJc w:val="left"/>
      <w:lvlText w:val="(%1)"/>
      <w:numFmt w:val="lowerLetter"/>
      <w:start w:val="1"/>
    </w:lvl>
  </w:abstractNum>
  <w:abstractNum w:abstractNumId="142">
    <w:nsid w:val="306235EA"/>
    <w:multiLevelType w:val="hybridMultilevel"/>
    <w:lvl w:ilvl="0">
      <w:lvlJc w:val="left"/>
      <w:lvlText w:val="(%1)"/>
      <w:numFmt w:val="lowerLetter"/>
      <w:start w:val="2"/>
    </w:lvl>
  </w:abstractNum>
  <w:abstractNum w:abstractNumId="143">
    <w:nsid w:val="1187C70F"/>
    <w:multiLevelType w:val="hybridMultilevel"/>
    <w:lvl w:ilvl="0">
      <w:lvlJc w:val="left"/>
      <w:lvlText w:val="(%1)"/>
      <w:numFmt w:val="lowerLetter"/>
      <w:start w:val="1"/>
    </w:lvl>
  </w:abstractNum>
  <w:abstractNum w:abstractNumId="144">
    <w:nsid w:val="5476DE98"/>
    <w:multiLevelType w:val="hybridMultilevel"/>
    <w:lvl w:ilvl="0">
      <w:lvlJc w:val="left"/>
      <w:lvlText w:val="(%1)"/>
      <w:numFmt w:val="lowerLetter"/>
      <w:start w:val="3"/>
    </w:lvl>
  </w:abstractNum>
  <w:abstractNum w:abstractNumId="145">
    <w:nsid w:val="EA697F2"/>
    <w:multiLevelType w:val="hybridMultilevel"/>
    <w:lvl w:ilvl="0">
      <w:lvlJc w:val="left"/>
      <w:lvlText w:val="(%1)"/>
      <w:numFmt w:val="lowerLetter"/>
      <w:start w:val="9"/>
    </w:lvl>
  </w:abstractNum>
  <w:abstractNum w:abstractNumId="146">
    <w:nsid w:val="70BA39EB"/>
    <w:multiLevelType w:val="hybridMultilevel"/>
    <w:lvl w:ilvl="0">
      <w:lvlJc w:val="left"/>
      <w:lvlText w:val="(%1)"/>
      <w:numFmt w:val="lowerLetter"/>
      <w:start w:val="11"/>
    </w:lvl>
  </w:abstractNum>
  <w:abstractNum w:abstractNumId="147">
    <w:nsid w:val="4A8DB59C"/>
    <w:multiLevelType w:val="hybridMultilevel"/>
    <w:lvl w:ilvl="0">
      <w:lvlJc w:val="left"/>
      <w:lvlText w:val="(%1)"/>
      <w:numFmt w:val="lowerLetter"/>
      <w:start w:val="14"/>
    </w:lvl>
  </w:abstractNum>
  <w:abstractNum w:abstractNumId="148">
    <w:nsid w:val="1AFD9053"/>
    <w:multiLevelType w:val="hybridMultilevel"/>
    <w:lvl w:ilvl="0">
      <w:lvlJc w:val="left"/>
      <w:lvlText w:val="(%1)"/>
      <w:numFmt w:val="lowerLetter"/>
      <w:start w:val="1"/>
    </w:lvl>
  </w:abstractNum>
  <w:abstractNum w:abstractNumId="149">
    <w:nsid w:val="558BB10D"/>
    <w:multiLevelType w:val="hybridMultilevel"/>
    <w:lvl w:ilvl="0">
      <w:lvlJc w:val="left"/>
      <w:lvlText w:val="(%1)"/>
      <w:numFmt w:val="lowerRoman"/>
      <w:start w:val="5"/>
    </w:lvl>
  </w:abstractNum>
  <w:abstractNum w:abstractNumId="150">
    <w:nsid w:val="43B27FA7"/>
    <w:multiLevelType w:val="hybridMultilevel"/>
    <w:lvl w:ilvl="0">
      <w:lvlJc w:val="left"/>
      <w:lvlText w:val="(%1)"/>
      <w:numFmt w:val="lowerLetter"/>
      <w:start w:val="7"/>
    </w:lvl>
  </w:abstractNum>
  <w:abstractNum w:abstractNumId="151">
    <w:nsid w:val="27FADEFA"/>
    <w:multiLevelType w:val="hybridMultilevel"/>
    <w:lvl w:ilvl="0">
      <w:lvlJc w:val="left"/>
      <w:lvlText w:val="(%1)"/>
      <w:numFmt w:val="lowerLetter"/>
      <w:start w:val="11"/>
    </w:lvl>
  </w:abstractNum>
  <w:abstractNum w:abstractNumId="152">
    <w:nsid w:val="78BB805A"/>
    <w:multiLevelType w:val="hybridMultilevel"/>
    <w:lvl w:ilvl="0">
      <w:lvlJc w:val="left"/>
      <w:lvlText w:val="(%1)"/>
      <w:numFmt w:val="lowerLetter"/>
      <w:start w:val="13"/>
    </w:lvl>
  </w:abstractNum>
  <w:abstractNum w:abstractNumId="153">
    <w:nsid w:val="62548FD8"/>
    <w:multiLevelType w:val="hybridMultilevel"/>
    <w:lvl w:ilvl="0">
      <w:lvlJc w:val="left"/>
      <w:lvlText w:val="(%1)"/>
      <w:numFmt w:val="lowerRoman"/>
      <w:start w:val="1"/>
    </w:lvl>
  </w:abstractNum>
  <w:abstractNum w:abstractNumId="154">
    <w:nsid w:val="FA085B0"/>
    <w:multiLevelType w:val="hybridMultilevel"/>
    <w:lvl w:ilvl="0">
      <w:lvlJc w:val="left"/>
      <w:lvlText w:val="(%1)"/>
      <w:numFmt w:val="lowerRoman"/>
      <w:start w:val="7"/>
    </w:lvl>
  </w:abstractNum>
  <w:abstractNum w:abstractNumId="155">
    <w:nsid w:val="4E5DCB5"/>
    <w:multiLevelType w:val="hybridMultilevel"/>
    <w:lvl w:ilvl="0">
      <w:lvlJc w:val="left"/>
      <w:lvlText w:val="(%1)"/>
      <w:numFmt w:val="lowerLetter"/>
      <w:start w:val="15"/>
    </w:lvl>
  </w:abstractNum>
  <w:abstractNum w:abstractNumId="156">
    <w:nsid w:val="41E96BDB"/>
    <w:multiLevelType w:val="hybridMultilevel"/>
    <w:lvl w:ilvl="0">
      <w:lvlJc w:val="left"/>
      <w:lvlText w:val="(%1)"/>
      <w:numFmt w:val="lowerLetter"/>
      <w:start w:val="1"/>
    </w:lvl>
  </w:abstractNum>
  <w:abstractNum w:abstractNumId="157">
    <w:nsid w:val="331C4250"/>
    <w:multiLevelType w:val="hybridMultilevel"/>
    <w:lvl w:ilvl="0">
      <w:lvlJc w:val="left"/>
      <w:lvlText w:val="(%1)"/>
      <w:numFmt w:val="lowerLetter"/>
      <w:start w:val="6"/>
    </w:lvl>
  </w:abstractNum>
  <w:abstractNum w:abstractNumId="158">
    <w:nsid w:val="1B1493C2"/>
    <w:multiLevelType w:val="hybridMultilevel"/>
    <w:lvl w:ilvl="0">
      <w:lvlJc w:val="left"/>
      <w:lvlText w:val="(%1)"/>
      <w:numFmt w:val="lowerLetter"/>
      <w:start w:val="7"/>
    </w:lvl>
  </w:abstractNum>
  <w:abstractNum w:abstractNumId="159">
    <w:nsid w:val="39F06DFD"/>
    <w:multiLevelType w:val="hybridMultilevel"/>
    <w:lvl w:ilvl="0">
      <w:lvlJc w:val="left"/>
      <w:lvlText w:val="(%1)"/>
      <w:numFmt w:val="lowerLetter"/>
      <w:start w:val="9"/>
    </w:lvl>
  </w:abstractNum>
  <w:abstractNum w:abstractNumId="160">
    <w:nsid w:val="14802F5D"/>
    <w:multiLevelType w:val="hybridMultilevel"/>
    <w:lvl w:ilvl="0">
      <w:lvlJc w:val="left"/>
      <w:lvlText w:val="(%1)"/>
      <w:numFmt w:val="lowerLetter"/>
      <w:start w:val="8"/>
    </w:lvl>
  </w:abstractNum>
  <w:abstractNum w:abstractNumId="161">
    <w:nsid w:val="2774A209"/>
    <w:multiLevelType w:val="hybridMultilevel"/>
    <w:lvl w:ilvl="0">
      <w:lvlJc w:val="left"/>
      <w:lvlText w:val="(%1)"/>
      <w:numFmt w:val="lowerLetter"/>
      <w:start w:val="61"/>
    </w:lvl>
  </w:abstractNum>
  <w:abstractNum w:abstractNumId="162">
    <w:nsid w:val="3785655A"/>
    <w:multiLevelType w:val="hybridMultilevel"/>
    <w:lvl w:ilvl="0">
      <w:lvlJc w:val="left"/>
      <w:lvlText w:val="(%1)"/>
      <w:numFmt w:val="lowerLetter"/>
      <w:start w:val="10"/>
    </w:lvl>
  </w:abstractNum>
  <w:abstractNum w:abstractNumId="163">
    <w:nsid w:val="B2172A"/>
    <w:multiLevelType w:val="hybridMultilevel"/>
    <w:lvl w:ilvl="0">
      <w:lvlJc w:val="left"/>
      <w:lvlText w:val="(%1)"/>
      <w:numFmt w:val="lowerLetter"/>
      <w:start w:val="1"/>
    </w:lvl>
  </w:abstractNum>
  <w:abstractNum w:abstractNumId="164">
    <w:nsid w:val="532C34A5"/>
    <w:multiLevelType w:val="hybridMultilevel"/>
    <w:lvl w:ilvl="0">
      <w:lvlJc w:val="left"/>
      <w:lvlText w:val="(%1)"/>
      <w:numFmt w:val="lowerLetter"/>
      <w:start w:val="7"/>
    </w:lvl>
  </w:abstractNum>
  <w:abstractNum w:abstractNumId="165">
    <w:nsid w:val="102809E2"/>
    <w:multiLevelType w:val="hybridMultilevel"/>
    <w:lvl w:ilvl="0">
      <w:lvlJc w:val="left"/>
      <w:lvlText w:val="(%1)"/>
      <w:numFmt w:val="lowerLetter"/>
      <w:start w:val="35"/>
    </w:lvl>
  </w:abstractNum>
  <w:abstractNum w:abstractNumId="166">
    <w:nsid w:val="3B2125A3"/>
    <w:multiLevelType w:val="hybridMultilevel"/>
    <w:lvl w:ilvl="0">
      <w:lvlJc w:val="left"/>
      <w:lvlText w:val="(%1)"/>
      <w:numFmt w:val="lowerLetter"/>
      <w:start w:val="61"/>
    </w:lvl>
  </w:abstractNum>
  <w:abstractNum w:abstractNumId="167">
    <w:nsid w:val="AC68FFB"/>
    <w:multiLevelType w:val="hybridMultilevel"/>
    <w:lvl w:ilvl="0">
      <w:lvlJc w:val="left"/>
      <w:lvlText w:val="(%1)"/>
      <w:numFmt w:val="lowerLetter"/>
      <w:start w:val="10"/>
    </w:lvl>
  </w:abstractNum>
  <w:abstractNum w:abstractNumId="168">
    <w:nsid w:val="63DF3FB7"/>
    <w:multiLevelType w:val="hybridMultilevel"/>
    <w:lvl w:ilvl="0">
      <w:lvlJc w:val="left"/>
      <w:lvlText w:val="(%1)"/>
      <w:numFmt w:val="lowerLetter"/>
      <w:start w:val="12"/>
    </w:lvl>
  </w:abstractNum>
  <w:abstractNum w:abstractNumId="169">
    <w:nsid w:val="64996E13"/>
    <w:multiLevelType w:val="hybridMultilevel"/>
    <w:lvl w:ilvl="0">
      <w:lvlJc w:val="left"/>
      <w:lvlText w:val="(%1)"/>
      <w:numFmt w:val="lowerLetter"/>
      <w:start w:val="1"/>
    </w:lvl>
  </w:abstractNum>
  <w:abstractNum w:abstractNumId="170">
    <w:nsid w:val="57A37D47"/>
    <w:multiLevelType w:val="hybridMultilevel"/>
    <w:lvl w:ilvl="0">
      <w:lvlJc w:val="left"/>
      <w:lvlText w:val="(%1)"/>
      <w:numFmt w:val="lowerRoman"/>
      <w:start w:val="1"/>
    </w:lvl>
  </w:abstractNum>
  <w:abstractNum w:abstractNumId="171">
    <w:nsid w:val="74824D54"/>
    <w:multiLevelType w:val="hybridMultilevel"/>
    <w:lvl w:ilvl="0">
      <w:lvlJc w:val="left"/>
      <w:lvlText w:val="(%1)"/>
      <w:numFmt w:val="lowerLetter"/>
      <w:start w:val="2"/>
    </w:lvl>
  </w:abstractNum>
  <w:abstractNum w:abstractNumId="172">
    <w:nsid w:val="6F00529A"/>
    <w:multiLevelType w:val="hybridMultilevel"/>
    <w:lvl w:ilvl="0">
      <w:lvlJc w:val="left"/>
      <w:lvlText w:val="(%1)"/>
      <w:numFmt w:val="lowerRoman"/>
      <w:start w:val="1"/>
    </w:lvl>
  </w:abstractNum>
  <w:abstractNum w:abstractNumId="173">
    <w:nsid w:val="805B331"/>
    <w:multiLevelType w:val="hybridMultilevel"/>
    <w:lvl w:ilvl="0">
      <w:lvlJc w:val="left"/>
      <w:lvlText w:val="(%1)"/>
      <w:numFmt w:val="lowerRoman"/>
      <w:start w:val="2"/>
    </w:lvl>
  </w:abstractNum>
  <w:abstractNum w:abstractNumId="174">
    <w:nsid w:val="60A1463"/>
    <w:multiLevelType w:val="hybridMultilevel"/>
    <w:lvl w:ilvl="0">
      <w:lvlJc w:val="left"/>
      <w:lvlText w:val="(%1)"/>
      <w:numFmt w:val="lowerLetter"/>
      <w:start w:val="4"/>
    </w:lvl>
  </w:abstractNum>
  <w:abstractNum w:abstractNumId="175">
    <w:nsid w:val="43773132"/>
    <w:multiLevelType w:val="hybridMultilevel"/>
    <w:lvl w:ilvl="0">
      <w:lvlJc w:val="left"/>
      <w:lvlText w:val="(%1)"/>
      <w:numFmt w:val="lowerLetter"/>
      <w:start w:val="5"/>
    </w:lvl>
  </w:abstractNum>
  <w:abstractNum w:abstractNumId="176">
    <w:nsid w:val="16AC4B23"/>
    <w:multiLevelType w:val="hybridMultilevel"/>
    <w:lvl w:ilvl="0">
      <w:lvlJc w:val="left"/>
      <w:lvlText w:val="(%1)"/>
      <w:numFmt w:val="lowerRoman"/>
      <w:start w:val="1"/>
    </w:lvl>
  </w:abstractNum>
  <w:abstractNum w:abstractNumId="177">
    <w:nsid w:val="76C44E4E"/>
    <w:multiLevelType w:val="hybridMultilevel"/>
    <w:lvl w:ilvl="0">
      <w:lvlJc w:val="left"/>
      <w:lvlText w:val="(%1)"/>
      <w:numFmt w:val="lowerRoman"/>
      <w:start w:val="3"/>
    </w:lvl>
  </w:abstractNum>
  <w:abstractNum w:abstractNumId="178">
    <w:nsid w:val="E04E6CE"/>
    <w:multiLevelType w:val="hybridMultilevel"/>
    <w:lvl w:ilvl="0">
      <w:lvlJc w:val="left"/>
      <w:lvlText w:val="%1."/>
      <w:numFmt w:val="decimal"/>
      <w:start w:val="1"/>
    </w:lvl>
  </w:abstractNum>
  <w:abstractNum w:abstractNumId="179">
    <w:nsid w:val="31A9DB76"/>
    <w:multiLevelType w:val="hybridMultilevel"/>
    <w:lvl w:ilvl="0">
      <w:lvlJc w:val="left"/>
      <w:lvlText w:val="%1."/>
      <w:numFmt w:val="decimal"/>
      <w:start w:val="2"/>
    </w:lvl>
  </w:abstractNum>
  <w:abstractNum w:abstractNumId="180">
    <w:nsid w:val="4C4FFF5B"/>
    <w:multiLevelType w:val="hybridMultilevel"/>
    <w:lvl w:ilvl="0">
      <w:lvlJc w:val="left"/>
      <w:lvlText w:val="(%1)"/>
      <w:numFmt w:val="lowerLetter"/>
      <w:start w:val="1"/>
    </w:lvl>
  </w:abstractNum>
  <w:abstractNum w:abstractNumId="181">
    <w:nsid w:val="51B76675"/>
    <w:multiLevelType w:val="hybridMultilevel"/>
    <w:lvl w:ilvl="0">
      <w:lvlJc w:val="left"/>
      <w:lvlText w:val="(%1)"/>
      <w:numFmt w:val="lowerLetter"/>
      <w:start w:val="5"/>
    </w:lvl>
  </w:abstractNum>
  <w:abstractNum w:abstractNumId="182">
    <w:nsid w:val="59A4BA71"/>
    <w:multiLevelType w:val="hybridMultilevel"/>
    <w:lvl w:ilvl="0">
      <w:lvlJc w:val="left"/>
      <w:lvlText w:val="(%1)"/>
      <w:numFmt w:val="lowerLetter"/>
      <w:start w:val="7"/>
    </w:lvl>
  </w:abstractNum>
  <w:abstractNum w:abstractNumId="183">
    <w:nsid w:val="450B7FB6"/>
    <w:multiLevelType w:val="hybridMultilevel"/>
    <w:lvl w:ilvl="0">
      <w:lvlJc w:val="left"/>
      <w:lvlText w:val="(%1)"/>
      <w:numFmt w:val="lowerLetter"/>
      <w:start w:val="9"/>
    </w:lvl>
  </w:abstractNum>
  <w:abstractNum w:abstractNumId="184">
    <w:nsid w:val="340BF64D"/>
    <w:multiLevelType w:val="hybridMultilevel"/>
    <w:lvl w:ilvl="0">
      <w:lvlJc w:val="left"/>
      <w:lvlText w:val="%1."/>
      <w:numFmt w:val="decimal"/>
      <w:start w:val="3"/>
    </w:lvl>
  </w:abstractNum>
  <w:abstractNum w:abstractNumId="185">
    <w:nsid w:val="69454021"/>
    <w:multiLevelType w:val="hybridMultilevel"/>
    <w:lvl w:ilvl="0">
      <w:lvlJc w:val="left"/>
      <w:lvlText w:val="(%1)"/>
      <w:numFmt w:val="lowerLetter"/>
      <w:start w:val="1"/>
    </w:lvl>
  </w:abstractNum>
  <w:abstractNum w:abstractNumId="186">
    <w:nsid w:val="49F15C6B"/>
    <w:multiLevelType w:val="hybridMultilevel"/>
    <w:lvl w:ilvl="0">
      <w:lvlJc w:val="left"/>
      <w:lvlText w:val="(%1)"/>
      <w:numFmt w:val="lowerLetter"/>
      <w:start w:val="4"/>
    </w:lvl>
  </w:abstractNum>
  <w:abstractNum w:abstractNumId="187">
    <w:nsid w:val="75F56228"/>
    <w:multiLevelType w:val="hybridMultilevel"/>
    <w:lvl w:ilvl="0">
      <w:lvlJc w:val="left"/>
      <w:lvlText w:val="%1."/>
      <w:numFmt w:val="decimal"/>
      <w:start w:val="4"/>
    </w:lvl>
  </w:abstractNum>
  <w:abstractNum w:abstractNumId="188">
    <w:nsid w:val="1C618271"/>
    <w:multiLevelType w:val="hybridMultilevel"/>
    <w:lvl w:ilvl="0">
      <w:lvlJc w:val="left"/>
      <w:lvlText w:val="(%1)"/>
      <w:numFmt w:val="lowerLetter"/>
      <w:start w:val="1"/>
    </w:lvl>
  </w:abstractNum>
  <w:abstractNum w:abstractNumId="189">
    <w:nsid w:val="6505F02E"/>
    <w:multiLevelType w:val="hybridMultilevel"/>
    <w:lvl w:ilvl="0">
      <w:lvlJc w:val="left"/>
      <w:lvlText w:val="%1."/>
      <w:numFmt w:val="decimal"/>
      <w:start w:val="5"/>
    </w:lvl>
  </w:abstractNum>
  <w:abstractNum w:abstractNumId="190">
    <w:nsid w:val="2FE5D025"/>
    <w:multiLevelType w:val="hybridMultilevel"/>
    <w:lvl w:ilvl="0">
      <w:lvlJc w:val="left"/>
      <w:lvlText w:val="(%1)"/>
      <w:numFmt w:val="lowerLetter"/>
      <w:start w:val="1"/>
    </w:lvl>
  </w:abstractNum>
  <w:abstractNum w:abstractNumId="191">
    <w:nsid w:val="30E1B1CF"/>
    <w:multiLevelType w:val="hybridMultilevel"/>
    <w:lvl w:ilvl="0">
      <w:lvlJc w:val="left"/>
      <w:lvlText w:val="(%1)"/>
      <w:numFmt w:val="lowerLetter"/>
      <w:start w:val="2"/>
    </w:lvl>
  </w:abstractNum>
  <w:abstractNum w:abstractNumId="192">
    <w:nsid w:val="C7A9237"/>
    <w:multiLevelType w:val="hybridMultilevel"/>
    <w:lvl w:ilvl="0">
      <w:lvlJc w:val="left"/>
      <w:lvlText w:val="%1."/>
      <w:numFmt w:val="decimal"/>
      <w:start w:val="6"/>
    </w:lvl>
  </w:abstractNum>
  <w:abstractNum w:abstractNumId="193">
    <w:nsid w:val="676B3580"/>
    <w:multiLevelType w:val="hybridMultilevel"/>
    <w:lvl w:ilvl="0">
      <w:lvlJc w:val="left"/>
      <w:lvlText w:val="(%1)"/>
      <w:numFmt w:val="decimal"/>
      <w:start w:val="1"/>
    </w:lvl>
  </w:abstractNum>
  <w:abstractNum w:abstractNumId="194">
    <w:nsid w:val="3193C8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5">
    <w:nsid w:val="5FA6C6DC"/>
    <w:multiLevelType w:val="hybridMultilevel"/>
    <w:lvl w:ilvl="0">
      <w:lvlJc w:val="left"/>
      <w:lvlText w:val="%1"/>
      <w:numFmt w:val="lowerLetter"/>
      <w:start w:val="1"/>
    </w:lvl>
    <w:lvl w:ilvl="1">
      <w:lvlJc w:val="left"/>
      <w:lvlText w:val="(%2)"/>
      <w:numFmt w:val="lowerLetter"/>
      <w:start w:val="35"/>
    </w:lvl>
  </w:abstractNum>
  <w:abstractNum w:abstractNumId="196">
    <w:nsid w:val="77933F62"/>
    <w:multiLevelType w:val="hybridMultilevel"/>
    <w:lvl w:ilvl="0">
      <w:lvlJc w:val="left"/>
      <w:lvlText w:val="(%1)"/>
      <w:numFmt w:val="lowerLetter"/>
      <w:start w:val="2"/>
    </w:lvl>
    <w:lvl w:ilvl="1">
      <w:lvlJc w:val="left"/>
      <w:lvlText w:val="(%2)"/>
      <w:numFmt w:val="lowerLetter"/>
      <w:start w:val="9"/>
    </w:lvl>
  </w:abstractNum>
  <w:abstractNum w:abstractNumId="197">
    <w:nsid w:val="6CB4EE9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98">
    <w:nsid w:val="6A6D56D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99">
    <w:nsid w:val="5B727F1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0">
    <w:nsid w:val="514E5CB0"/>
    <w:multiLevelType w:val="hybridMultilevel"/>
    <w:lvl w:ilvl="0">
      <w:lvlJc w:val="left"/>
      <w:lvlText w:val="(%1)"/>
      <w:numFmt w:val="decimal"/>
      <w:start w:val="1"/>
    </w:lvl>
    <w:lvl w:ilvl="1">
      <w:lvlJc w:val="left"/>
      <w:lvlText w:val="(%2)"/>
      <w:numFmt w:val="lowerLetter"/>
      <w:start w:val="1"/>
    </w:lvl>
  </w:abstractNum>
  <w:abstractNum w:abstractNumId="201">
    <w:nsid w:val="4210D41E"/>
    <w:multiLevelType w:val="hybridMultilevel"/>
    <w:lvl w:ilvl="0">
      <w:lvlJc w:val="left"/>
      <w:lvlText w:val="(%1)"/>
      <w:numFmt w:val="decimal"/>
      <w:start w:val="1"/>
    </w:lvl>
  </w:abstractNum>
  <w:abstractNum w:abstractNumId="202">
    <w:nsid w:val="4FF4CC6D"/>
    <w:multiLevelType w:val="hybridMultilevel"/>
    <w:lvl w:ilvl="0">
      <w:lvlJc w:val="left"/>
      <w:lvlText w:val="(%1)"/>
      <w:numFmt w:val="decimal"/>
      <w:start w:val="1"/>
    </w:lvl>
  </w:abstractNum>
  <w:abstractNum w:abstractNumId="203">
    <w:nsid w:val="404EAF4A"/>
    <w:multiLevelType w:val="hybridMultilevel"/>
    <w:lvl w:ilvl="0">
      <w:lvlJc w:val="left"/>
      <w:lvlText w:val="(%1)"/>
      <w:numFmt w:val="decimal"/>
      <w:start w:val="2"/>
    </w:lvl>
  </w:abstractNum>
  <w:abstractNum w:abstractNumId="204">
    <w:nsid w:val="4A16874F"/>
    <w:multiLevelType w:val="hybridMultilevel"/>
    <w:lvl w:ilvl="0">
      <w:lvlJc w:val="left"/>
      <w:lvlText w:val="(%1)"/>
      <w:numFmt w:val="decimal"/>
      <w:start w:val="1"/>
    </w:lvl>
    <w:lvl w:ilvl="1">
      <w:lvlJc w:val="left"/>
      <w:lvlText w:val="(%2)"/>
      <w:numFmt w:val="lowerLetter"/>
      <w:start w:val="1"/>
    </w:lvl>
  </w:abstractNum>
  <w:abstractNum w:abstractNumId="205">
    <w:nsid w:val="55FEE0D1"/>
    <w:multiLevelType w:val="hybridMultilevel"/>
    <w:lvl w:ilvl="0">
      <w:lvlJc w:val="left"/>
      <w:lvlText w:val="(%1)"/>
      <w:numFmt w:val="decimal"/>
      <w:start w:val="1"/>
    </w:lvl>
    <w:lvl w:ilvl="1">
      <w:lvlJc w:val="left"/>
      <w:lvlText w:val="(%2)"/>
      <w:numFmt w:val="lowerLetter"/>
      <w:start w:val="5"/>
    </w:lvl>
  </w:abstractNum>
  <w:abstractNum w:abstractNumId="206">
    <w:nsid w:val="3C5E07C"/>
    <w:multiLevelType w:val="hybridMultilevel"/>
    <w:lvl w:ilvl="0">
      <w:lvlJc w:val="left"/>
      <w:lvlText w:val="(%1)"/>
      <w:numFmt w:val="decimal"/>
      <w:start w:val="1"/>
    </w:lvl>
  </w:abstractNum>
  <w:abstractNum w:abstractNumId="207">
    <w:nsid w:val="60C2D273"/>
    <w:multiLevelType w:val="hybridMultilevel"/>
    <w:lvl w:ilvl="0">
      <w:lvlJc w:val="left"/>
      <w:lvlText w:val="(%1)"/>
      <w:numFmt w:val="decimal"/>
      <w:start w:val="3"/>
    </w:lvl>
  </w:abstractNum>
  <w:abstractNum w:abstractNumId="208">
    <w:nsid w:val="4CC32F1F"/>
    <w:multiLevelType w:val="hybridMultilevel"/>
    <w:lvl w:ilvl="0">
      <w:lvlJc w:val="left"/>
      <w:lvlText w:val="(%1)"/>
      <w:numFmt w:val="decimal"/>
      <w:start w:val="1"/>
    </w:lvl>
  </w:abstractNum>
  <w:abstractNum w:abstractNumId="209">
    <w:nsid w:val="11CAC74A"/>
    <w:multiLevelType w:val="hybridMultilevel"/>
    <w:lvl w:ilvl="0">
      <w:lvlJc w:val="left"/>
      <w:lvlText w:val="(%1)"/>
      <w:numFmt w:val="decimal"/>
      <w:start w:val="1"/>
    </w:lvl>
    <w:lvl w:ilvl="1">
      <w:lvlJc w:val="left"/>
      <w:lvlText w:val="(%2)"/>
      <w:numFmt w:val="lowerLetter"/>
      <w:start w:val="1"/>
    </w:lvl>
  </w:abstractNum>
  <w:abstractNum w:abstractNumId="210">
    <w:nsid w:val="126CADE9"/>
    <w:multiLevelType w:val="hybridMultilevel"/>
    <w:lvl w:ilvl="0">
      <w:lvlJc w:val="left"/>
      <w:lvlText w:val="(%1)"/>
      <w:numFmt w:val="decimal"/>
      <w:start w:val="1"/>
    </w:lvl>
  </w:abstractNum>
  <w:abstractNum w:abstractNumId="211">
    <w:nsid w:val="19132E7B"/>
    <w:multiLevelType w:val="hybridMultilevel"/>
    <w:lvl w:ilvl="0">
      <w:lvlJc w:val="left"/>
      <w:lvlText w:val="(%1)"/>
      <w:numFmt w:val="decimal"/>
      <w:start w:val="1"/>
    </w:lvl>
  </w:abstractNum>
  <w:abstractNum w:abstractNumId="212">
    <w:nsid w:val="63822DC0"/>
    <w:multiLevelType w:val="hybridMultilevel"/>
    <w:lvl w:ilvl="0">
      <w:lvlJc w:val="left"/>
      <w:lvlText w:val="(%1)"/>
      <w:numFmt w:val="decimal"/>
      <w:start w:val="1"/>
    </w:lvl>
    <w:lvl w:ilvl="1">
      <w:lvlJc w:val="left"/>
      <w:lvlText w:val="(%2)"/>
      <w:numFmt w:val="lowerLetter"/>
      <w:start w:val="1"/>
    </w:lvl>
  </w:abstractNum>
  <w:abstractNum w:abstractNumId="213">
    <w:nsid w:val="6C11685A"/>
    <w:multiLevelType w:val="hybridMultilevel"/>
    <w:lvl w:ilvl="0">
      <w:lvlJc w:val="left"/>
      <w:lvlText w:val="(%1)"/>
      <w:numFmt w:val="lowerLetter"/>
      <w:start w:val="3"/>
    </w:lvl>
  </w:abstractNum>
  <w:abstractNum w:abstractNumId="214">
    <w:nsid w:val="5E1EAE31"/>
    <w:multiLevelType w:val="hybridMultilevel"/>
    <w:lvl w:ilvl="0">
      <w:lvlJc w:val="left"/>
      <w:lvlText w:val="(%1)"/>
      <w:numFmt w:val="decimal"/>
      <w:start w:val="2"/>
    </w:lvl>
  </w:abstractNum>
  <w:abstractNum w:abstractNumId="215">
    <w:nsid w:val="178E240D"/>
    <w:multiLevelType w:val="hybridMultilevel"/>
    <w:lvl w:ilvl="0">
      <w:lvlJc w:val="left"/>
      <w:lvlText w:val="(%1)"/>
      <w:numFmt w:val="decimal"/>
      <w:start w:val="1"/>
    </w:lvl>
  </w:abstractNum>
  <w:abstractNum w:abstractNumId="216">
    <w:nsid w:val="5556A87B"/>
    <w:multiLevelType w:val="hybridMultilevel"/>
    <w:lvl w:ilvl="0">
      <w:lvlJc w:val="left"/>
      <w:lvlText w:val="(%1)"/>
      <w:numFmt w:val="decimal"/>
      <w:start w:val="1"/>
    </w:lvl>
  </w:abstractNum>
  <w:abstractNum w:abstractNumId="217">
    <w:nsid w:val="28100A9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18">
    <w:nsid w:val="D838636"/>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19">
    <w:nsid w:val="71B82AED"/>
    <w:multiLevelType w:val="hybridMultilevel"/>
    <w:lvl w:ilvl="0">
      <w:lvlJc w:val="left"/>
      <w:lvlText w:val="(%1)"/>
      <w:numFmt w:val="lowerRoman"/>
      <w:start w:val="1"/>
    </w:lvl>
  </w:abstractNum>
  <w:abstractNum w:abstractNumId="220">
    <w:nsid w:val="D15FACA"/>
    <w:multiLevelType w:val="hybridMultilevel"/>
    <w:lvl w:ilvl="0">
      <w:lvlJc w:val="left"/>
      <w:lvlText w:val="-"/>
      <w:numFmt w:val="bullet"/>
      <w:start w:val="1"/>
    </w:lvl>
  </w:abstractNum>
  <w:abstractNum w:abstractNumId="221">
    <w:nsid w:val="3D69565B"/>
    <w:multiLevelType w:val="hybridMultilevel"/>
    <w:lvl w:ilvl="0">
      <w:lvlJc w:val="left"/>
      <w:lvlText w:val="-"/>
      <w:numFmt w:val="bullet"/>
      <w:start w:val="1"/>
    </w:lvl>
  </w:abstractNum>
  <w:abstractNum w:abstractNumId="222">
    <w:nsid w:val="2299DCBC"/>
    <w:multiLevelType w:val="hybridMultilevel"/>
    <w:lvl w:ilvl="0">
      <w:lvlJc w:val="left"/>
      <w:lvlText w:val="(%1)"/>
      <w:numFmt w:val="lowerLetter"/>
      <w:start w:val="1"/>
    </w:lvl>
  </w:abstractNum>
  <w:abstractNum w:abstractNumId="223">
    <w:nsid w:val="19908D02"/>
    <w:multiLevelType w:val="hybridMultilevel"/>
    <w:lvl w:ilvl="0">
      <w:lvlJc w:val="left"/>
      <w:lvlText w:val="-"/>
      <w:numFmt w:val="bullet"/>
      <w:start w:val="1"/>
    </w:lvl>
  </w:abstractNum>
  <w:abstractNum w:abstractNumId="224">
    <w:nsid w:val="24D48BDB"/>
    <w:multiLevelType w:val="hybridMultilevel"/>
    <w:lvl w:ilvl="0">
      <w:lvlJc w:val="left"/>
      <w:lvlText w:val="-"/>
      <w:numFmt w:val="bullet"/>
      <w:start w:val="1"/>
    </w:lvl>
  </w:abstractNum>
  <w:abstractNum w:abstractNumId="225">
    <w:nsid w:val="542DA5B5"/>
    <w:multiLevelType w:val="hybridMultilevel"/>
    <w:lvl w:ilvl="0">
      <w:lvlJc w:val="left"/>
      <w:lvlText w:val="%1."/>
      <w:numFmt w:val="decimal"/>
      <w:start w:val="1"/>
    </w:lvl>
  </w:abstractNum>
  <w:abstractNum w:abstractNumId="226">
    <w:nsid w:val="793753DE"/>
    <w:multiLevelType w:val="hybridMultilevel"/>
    <w:lvl w:ilvl="0">
      <w:lvlJc w:val="left"/>
      <w:lvlText w:val="%1."/>
      <w:numFmt w:val="decimal"/>
      <w:start w:val="2"/>
    </w:lvl>
  </w:abstractNum>
  <w:abstractNum w:abstractNumId="227">
    <w:nsid w:val="1C67CB3D"/>
    <w:multiLevelType w:val="hybridMultilevel"/>
    <w:lvl w:ilvl="0">
      <w:lvlJc w:val="left"/>
      <w:lvlText w:val="(%1)"/>
      <w:numFmt w:val="lowerLetter"/>
      <w:start w:val="1"/>
    </w:lvl>
  </w:abstractNum>
  <w:abstractNum w:abstractNumId="228">
    <w:nsid w:val="40E29452"/>
    <w:multiLevelType w:val="hybridMultilevel"/>
    <w:lvl w:ilvl="0">
      <w:lvlJc w:val="left"/>
      <w:lvlText w:val="(%1)"/>
      <w:numFmt w:val="lowerLetter"/>
      <w:start w:val="1"/>
    </w:lvl>
  </w:abstractNum>
  <w:abstractNum w:abstractNumId="229">
    <w:nsid w:val="63A4AAB6"/>
    <w:multiLevelType w:val="hybridMultilevel"/>
    <w:lvl w:ilvl="0">
      <w:lvlJc w:val="left"/>
      <w:lvlText w:val="-"/>
      <w:numFmt w:val="bullet"/>
      <w:start w:val="1"/>
    </w:lvl>
  </w:abstractNum>
  <w:abstractNum w:abstractNumId="230">
    <w:nsid w:val="77DA4A57"/>
    <w:multiLevelType w:val="hybridMultilevel"/>
    <w:lvl w:ilvl="0">
      <w:lvlJc w:val="left"/>
      <w:lvlText w:val="/"/>
      <w:numFmt w:val="bullet"/>
      <w:start w:val="1"/>
    </w:lvl>
  </w:abstractNum>
  <w:abstractNum w:abstractNumId="231">
    <w:nsid w:val="1230F102"/>
    <w:multiLevelType w:val="hybridMultilevel"/>
    <w:lvl w:ilvl="0">
      <w:lvlJc w:val="left"/>
      <w:lvlText w:val="-"/>
      <w:numFmt w:val="bullet"/>
      <w:start w:val="1"/>
    </w:lvl>
  </w:abstractNum>
  <w:abstractNum w:abstractNumId="232">
    <w:nsid w:val="25B57ED4"/>
    <w:multiLevelType w:val="hybridMultilevel"/>
    <w:lvl w:ilvl="0">
      <w:lvlJc w:val="left"/>
      <w:lvlText w:val="-"/>
      <w:numFmt w:val="bullet"/>
      <w:start w:val="1"/>
    </w:lvl>
  </w:abstractNum>
  <w:abstractNum w:abstractNumId="233">
    <w:nsid w:val="47CF16C4"/>
    <w:multiLevelType w:val="hybridMultilevel"/>
    <w:lvl w:ilvl="0">
      <w:lvlJc w:val="left"/>
      <w:lvlText w:val="-"/>
      <w:numFmt w:val="bullet"/>
      <w:start w:val="1"/>
    </w:lvl>
  </w:abstractNum>
  <w:abstractNum w:abstractNumId="234">
    <w:nsid w:val="527FA04C"/>
    <w:multiLevelType w:val="hybridMultilevel"/>
    <w:lvl w:ilvl="0">
      <w:lvlJc w:val="left"/>
      <w:lvlText w:val="-"/>
      <w:numFmt w:val="bullet"/>
      <w:start w:val="1"/>
    </w:lvl>
  </w:abstractNum>
  <w:abstractNum w:abstractNumId="235">
    <w:nsid w:val="6FCC0624"/>
    <w:multiLevelType w:val="hybridMultilevel"/>
    <w:lvl w:ilvl="0">
      <w:lvlJc w:val="left"/>
      <w:lvlText w:val="-"/>
      <w:numFmt w:val="bullet"/>
      <w:start w:val="1"/>
    </w:lvl>
  </w:abstractNum>
  <w:abstractNum w:abstractNumId="236">
    <w:nsid w:val="1DCDF795"/>
    <w:multiLevelType w:val="hybridMultilevel"/>
    <w:lvl w:ilvl="0">
      <w:lvlJc w:val="left"/>
      <w:lvlText w:val="(%1)"/>
      <w:numFmt w:val="lowerLetter"/>
      <w:start w:val="1"/>
    </w:lvl>
  </w:abstractNum>
  <w:abstractNum w:abstractNumId="237">
    <w:nsid w:val="564580C8"/>
    <w:multiLevelType w:val="hybridMultilevel"/>
    <w:lvl w:ilvl="0">
      <w:lvlJc w:val="left"/>
      <w:lvlText w:val="(%1)"/>
      <w:numFmt w:val="lowerLetter"/>
      <w:start w:val="1"/>
    </w:lvl>
  </w:abstractNum>
  <w:abstractNum w:abstractNumId="238">
    <w:nsid w:val="508ED897"/>
    <w:multiLevelType w:val="hybridMultilevel"/>
    <w:lvl w:ilvl="0">
      <w:lvlJc w:val="left"/>
      <w:lvlText w:val="*"/>
      <w:numFmt w:val="bullet"/>
      <w:start w:val="1"/>
    </w:lvl>
  </w:abstractNum>
  <w:abstractNum w:abstractNumId="239">
    <w:nsid w:val="6A9126B5"/>
    <w:multiLevelType w:val="hybridMultilevel"/>
    <w:lvl w:ilvl="0">
      <w:lvlJc w:val="left"/>
      <w:lvlText w:val="(%1)"/>
      <w:numFmt w:val="lowerLetter"/>
      <w:start w:val="2"/>
    </w:lvl>
  </w:abstractNum>
  <w:abstractNum w:abstractNumId="240">
    <w:nsid w:val="68104812"/>
    <w:multiLevelType w:val="hybridMultilevel"/>
    <w:lvl w:ilvl="0">
      <w:lvlJc w:val="left"/>
      <w:lvlText w:val="-"/>
      <w:numFmt w:val="bullet"/>
      <w:start w:val="1"/>
    </w:lvl>
  </w:abstractNum>
  <w:abstractNum w:abstractNumId="241">
    <w:nsid w:val="62FB8680"/>
    <w:multiLevelType w:val="hybridMultilevel"/>
    <w:lvl w:ilvl="0">
      <w:lvlJc w:val="left"/>
      <w:lvlText w:val="-"/>
      <w:numFmt w:val="bullet"/>
      <w:start w:val="1"/>
    </w:lvl>
  </w:abstractNum>
  <w:abstractNum w:abstractNumId="242">
    <w:nsid w:val="3A45530"/>
    <w:multiLevelType w:val="hybridMultilevel"/>
    <w:lvl w:ilvl="0">
      <w:lvlJc w:val="left"/>
      <w:lvlText w:val="-"/>
      <w:numFmt w:val="bullet"/>
      <w:start w:val="1"/>
    </w:lvl>
  </w:abstractNum>
  <w:abstractNum w:abstractNumId="243">
    <w:nsid w:val="4B9275D2"/>
    <w:multiLevelType w:val="hybridMultilevel"/>
    <w:lvl w:ilvl="0">
      <w:lvlJc w:val="left"/>
      <w:lvlText w:val="-"/>
      <w:numFmt w:val="bullet"/>
      <w:start w:val="1"/>
    </w:lvl>
  </w:abstractNum>
  <w:abstractNum w:abstractNumId="244">
    <w:nsid w:val="4F0CEEDB"/>
    <w:multiLevelType w:val="hybridMultilevel"/>
    <w:lvl w:ilvl="0">
      <w:lvlJc w:val="left"/>
      <w:lvlText w:val="-"/>
      <w:numFmt w:val="bullet"/>
      <w:start w:val="1"/>
    </w:lvl>
    <w:lvl w:ilvl="1">
      <w:lvlJc w:val="left"/>
      <w:lvlText w:val="(%2)"/>
      <w:numFmt w:val="lowerLetter"/>
      <w:start w:val="1"/>
    </w:lvl>
  </w:abstractNum>
  <w:abstractNum w:abstractNumId="245">
    <w:nsid w:val="61C303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6">
    <w:nsid w:val="632099E0"/>
    <w:multiLevelType w:val="hybridMultilevel"/>
    <w:lvl w:ilvl="0">
      <w:lvlJc w:val="left"/>
      <w:lvlText w:val="%1."/>
      <w:numFmt w:val="lowerRoman"/>
      <w:start w:val="2"/>
    </w:lvl>
    <w:lvl w:ilvl="1">
      <w:lvlJc w:val="left"/>
      <w:lvlText w:val="(%2)"/>
      <w:numFmt w:val="lowerLetter"/>
      <w:start w:val="1"/>
    </w:lvl>
  </w:abstractNum>
  <w:abstractNum w:abstractNumId="247">
    <w:nsid w:val="24639756"/>
    <w:multiLevelType w:val="hybridMultilevel"/>
    <w:lvl w:ilvl="0">
      <w:lvlJc w:val="left"/>
      <w:lvlText w:val="%1"/>
      <w:numFmt w:val="decimal"/>
      <w:start w:val="1"/>
    </w:lvl>
    <w:lvl w:ilvl="1">
      <w:lvlJc w:val="left"/>
      <w:lvlText w:val="%2."/>
      <w:numFmt w:val="lowerLetter"/>
      <w:start w:val="3"/>
    </w:lvl>
  </w:abstractNum>
  <w:abstractNum w:abstractNumId="248">
    <w:nsid w:val="9D30DFD"/>
    <w:multiLevelType w:val="hybridMultilevel"/>
    <w:lvl w:ilvl="0">
      <w:lvlJc w:val="left"/>
      <w:lvlText w:val="%1."/>
      <w:numFmt w:val="decimal"/>
      <w:start w:val="4"/>
    </w:lvl>
    <w:lvl w:ilvl="1">
      <w:lvlJc w:val="left"/>
      <w:lvlText w:val="%2"/>
      <w:numFmt w:val="lowerLetter"/>
      <w:start w:val="1"/>
    </w:lvl>
  </w:abstractNum>
  <w:abstractNum w:abstractNumId="249">
    <w:nsid w:val="70A42016"/>
    <w:multiLevelType w:val="hybridMultilevel"/>
    <w:lvl w:ilvl="0">
      <w:lvlJc w:val="left"/>
      <w:lvlText w:val="%1."/>
      <w:numFmt w:val="decimal"/>
      <w:start w:val="5"/>
    </w:lvl>
    <w:lvl w:ilvl="1">
      <w:lvlJc w:val="left"/>
      <w:lvlText w:val="%2."/>
      <w:numFmt w:val="lowerLetter"/>
      <w:start w:val="1"/>
    </w:lvl>
  </w:abstractNum>
  <w:abstractNum w:abstractNumId="250">
    <w:nsid w:val="161BC243"/>
    <w:multiLevelType w:val="hybridMultilevel"/>
    <w:lvl w:ilvl="0">
      <w:lvlJc w:val="left"/>
      <w:lvlText w:val="%1."/>
      <w:numFmt w:val="lowerLetter"/>
      <w:start w:val="2"/>
    </w:lvl>
  </w:abstractNum>
  <w:abstractNum w:abstractNumId="251">
    <w:nsid w:val="16E908C8"/>
    <w:multiLevelType w:val="hybridMultilevel"/>
    <w:lvl w:ilvl="0">
      <w:lvlJc w:val="left"/>
      <w:lvlText w:val="%1."/>
      <w:numFmt w:val="decimal"/>
      <w:start w:val="1"/>
    </w:lvl>
  </w:abstractNum>
  <w:abstractNum w:abstractNumId="252">
    <w:nsid w:val="2E0D7671"/>
    <w:multiLevelType w:val="hybridMultilevel"/>
    <w:lvl w:ilvl="0">
      <w:lvlJc w:val="left"/>
      <w:lvlText w:val="%1."/>
      <w:numFmt w:val="decimal"/>
      <w:start w:val="4"/>
    </w:lvl>
  </w:abstractNum>
  <w:abstractNum w:abstractNumId="253">
    <w:nsid w:val="38B59EFF"/>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254">
    <w:nsid w:val="307995CA"/>
    <w:multiLevelType w:val="hybridMultilevel"/>
    <w:lvl w:ilvl="0">
      <w:lvlJc w:val="left"/>
      <w:lvlText w:val="(%1)"/>
      <w:numFmt w:val="lowerRoman"/>
      <w:start w:val="2"/>
    </w:lvl>
  </w:abstractNum>
  <w:abstractNum w:abstractNumId="255">
    <w:nsid w:val="52E2024D"/>
    <w:multiLevelType w:val="hybridMultilevel"/>
    <w:lvl w:ilvl="0">
      <w:lvlJc w:val="left"/>
      <w:lvlText w:val="%1"/>
      <w:numFmt w:val="upperLetter"/>
      <w:start w:val="1"/>
    </w:lvl>
    <w:lvl w:ilvl="1">
      <w:lvlJc w:val="left"/>
      <w:lvlText w:val="(%2)"/>
      <w:numFmt w:val="lowerRoman"/>
      <w:start w:val="4"/>
    </w:lvl>
  </w:abstractNum>
  <w:abstractNum w:abstractNumId="256">
    <w:nsid w:val="CE344B5"/>
    <w:multiLevelType w:val="hybridMultilevel"/>
    <w:lvl w:ilvl="0">
      <w:lvlJc w:val="left"/>
      <w:lvlText w:val="%1."/>
      <w:numFmt w:val="upperLetter"/>
      <w:start w:val="6"/>
    </w:lvl>
    <w:lvl w:ilvl="1">
      <w:lvlJc w:val="left"/>
      <w:lvlText w:val="%2"/>
      <w:numFmt w:val="lowerRoman"/>
      <w:start w:val="1"/>
    </w:lvl>
  </w:abstractNum>
  <w:abstractNum w:abstractNumId="257">
    <w:nsid w:val="29B0E9A8"/>
    <w:multiLevelType w:val="hybridMultilevel"/>
    <w:lvl w:ilvl="0">
      <w:lvlJc w:val="left"/>
      <w:lvlText w:val="%1."/>
      <w:numFmt w:val="upperLetter"/>
      <w:start w:val="8"/>
    </w:lvl>
  </w:abstractNum>
  <w:abstractNum w:abstractNumId="258">
    <w:nsid w:val="6F49CD8A"/>
    <w:multiLevelType w:val="hybridMultilevel"/>
    <w:lvl w:ilvl="0">
      <w:lvlJc w:val="left"/>
      <w:lvlText w:val="%1"/>
      <w:numFmt w:val="decimal"/>
      <w:start w:val="1"/>
    </w:lvl>
    <w:lvl w:ilvl="1">
      <w:lvlJc w:val="left"/>
      <w:lvlText w:val="%2."/>
      <w:numFmt w:val="upperLetter"/>
      <w:start w:val="11"/>
    </w:lvl>
  </w:abstractNum>
  <w:abstractNum w:abstractNumId="259">
    <w:nsid w:val="4DC5D907"/>
    <w:multiLevelType w:val="hybridMultilevel"/>
    <w:lvl w:ilvl="0">
      <w:lvlJc w:val="left"/>
      <w:lvlText w:val="%1."/>
      <w:numFmt w:val="decimal"/>
      <w:start w:val="8"/>
    </w:lvl>
    <w:lvl w:ilvl="1">
      <w:lvlJc w:val="left"/>
      <w:lvlText w:val="%2."/>
      <w:numFmt w:val="upperLetter"/>
      <w:start w:val="1"/>
    </w:lvl>
  </w:abstractNum>
  <w:abstractNum w:abstractNumId="260">
    <w:nsid w:val="D55945E"/>
    <w:multiLevelType w:val="hybridMultilevel"/>
    <w:lvl w:ilvl="0">
      <w:lvlJc w:val="left"/>
      <w:lvlText w:val="%1"/>
      <w:numFmt w:val="decimal"/>
      <w:start w:val="1"/>
    </w:lvl>
    <w:lvl w:ilvl="1">
      <w:lvlJc w:val="left"/>
      <w:lvlText w:val="%2."/>
      <w:numFmt w:val="upperLetter"/>
      <w:start w:val="2"/>
    </w:lvl>
  </w:abstractNum>
  <w:abstractNum w:abstractNumId="261">
    <w:nsid w:val="672417E1"/>
    <w:multiLevelType w:val="hybridMultilevel"/>
    <w:lvl w:ilvl="0">
      <w:lvlJc w:val="left"/>
      <w:lvlText w:val="%1."/>
      <w:numFmt w:val="decimal"/>
      <w:start w:val="9"/>
    </w:lvl>
    <w:lvl w:ilvl="1">
      <w:lvlJc w:val="left"/>
      <w:lvlText w:val="%2."/>
      <w:numFmt w:val="upperLetter"/>
      <w:start w:val="1"/>
    </w:lvl>
  </w:abstractNum>
  <w:abstractNum w:abstractNumId="262">
    <w:nsid w:val="5FF6CA09"/>
    <w:multiLevelType w:val="hybridMultilevel"/>
    <w:lvl w:ilvl="0">
      <w:lvlJc w:val="left"/>
      <w:lvlText w:val="%1."/>
      <w:numFmt w:val="decimal"/>
      <w:start w:val="1"/>
    </w:lvl>
  </w:abstractNum>
  <w:abstractNum w:abstractNumId="263">
    <w:nsid w:val="330B1333"/>
    <w:multiLevelType w:val="hybridMultilevel"/>
    <w:lvl w:ilvl="0">
      <w:lvlJc w:val="left"/>
      <w:lvlText w:val="%1."/>
      <w:numFmt w:val="decimal"/>
      <w:start w:val="4"/>
    </w:lvl>
  </w:abstractNum>
  <w:abstractNum w:abstractNumId="264">
    <w:nsid w:val="2EF32EA6"/>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265">
    <w:nsid w:val="32766A55"/>
    <w:multiLevelType w:val="hybridMultilevel"/>
    <w:lvl w:ilvl="0">
      <w:lvlJc w:val="left"/>
      <w:lvlText w:val="(%1)"/>
      <w:numFmt w:val="lowerRoman"/>
      <w:start w:val="2"/>
    </w:lvl>
  </w:abstractNum>
  <w:abstractNum w:abstractNumId="266">
    <w:nsid w:val="22D71957"/>
    <w:multiLevelType w:val="hybridMultilevel"/>
    <w:lvl w:ilvl="0">
      <w:lvlJc w:val="left"/>
      <w:lvlText w:val="%1"/>
      <w:numFmt w:val="upperLetter"/>
      <w:start w:val="1"/>
    </w:lvl>
    <w:lvl w:ilvl="1">
      <w:lvlJc w:val="left"/>
      <w:lvlText w:val="(%2)"/>
      <w:numFmt w:val="lowerRoman"/>
      <w:start w:val="4"/>
    </w:lvl>
  </w:abstractNum>
  <w:abstractNum w:abstractNumId="267">
    <w:nsid w:val="4CC1263B"/>
    <w:multiLevelType w:val="hybridMultilevel"/>
    <w:lvl w:ilvl="0">
      <w:lvlJc w:val="left"/>
      <w:lvlText w:val="%1."/>
      <w:numFmt w:val="upperLetter"/>
      <w:start w:val="6"/>
    </w:lvl>
    <w:lvl w:ilvl="1">
      <w:lvlJc w:val="left"/>
      <w:lvlText w:val="%2"/>
      <w:numFmt w:val="lowerRoman"/>
      <w:start w:val="1"/>
    </w:lvl>
  </w:abstractNum>
  <w:abstractNum w:abstractNumId="268">
    <w:nsid w:val="8BBEB1D"/>
    <w:multiLevelType w:val="hybridMultilevel"/>
    <w:lvl w:ilvl="0">
      <w:lvlJc w:val="left"/>
      <w:lvlText w:val="%1."/>
      <w:numFmt w:val="upperLetter"/>
      <w:start w:val="7"/>
    </w:lvl>
  </w:abstractNum>
  <w:abstractNum w:abstractNumId="269">
    <w:nsid w:val="7365F1EE"/>
    <w:multiLevelType w:val="hybridMultilevel"/>
    <w:lvl w:ilvl="0">
      <w:lvlJc w:val="left"/>
      <w:lvlText w:val="%1"/>
      <w:numFmt w:val="decimal"/>
      <w:start w:val="1"/>
    </w:lvl>
    <w:lvl w:ilvl="1">
      <w:lvlJc w:val="left"/>
      <w:lvlText w:val="%2."/>
      <w:numFmt w:val="upperLetter"/>
      <w:start w:val="11"/>
    </w:lvl>
  </w:abstractNum>
  <w:abstractNum w:abstractNumId="270">
    <w:nsid w:val="37524CF0"/>
    <w:multiLevelType w:val="hybridMultilevel"/>
    <w:lvl w:ilvl="0">
      <w:lvlJc w:val="left"/>
      <w:lvlText w:val="%1."/>
      <w:numFmt w:val="decimal"/>
      <w:start w:val="8"/>
    </w:lvl>
    <w:lvl w:ilvl="1">
      <w:lvlJc w:val="left"/>
      <w:lvlText w:val="%2."/>
      <w:numFmt w:val="upperLetter"/>
      <w:start w:val="1"/>
    </w:lvl>
  </w:abstractNum>
  <w:abstractNum w:abstractNumId="271">
    <w:nsid w:val="70CC332F"/>
    <w:multiLevelType w:val="hybridMultilevel"/>
    <w:lvl w:ilvl="0">
      <w:lvlJc w:val="left"/>
      <w:lvlText w:val="%1"/>
      <w:numFmt w:val="decimal"/>
      <w:start w:val="1"/>
    </w:lvl>
    <w:lvl w:ilvl="1">
      <w:lvlJc w:val="left"/>
      <w:lvlText w:val="%2."/>
      <w:numFmt w:val="upperLetter"/>
      <w:start w:val="2"/>
    </w:lvl>
  </w:abstractNum>
  <w:abstractNum w:abstractNumId="272">
    <w:nsid w:val="5661786E"/>
    <w:multiLevelType w:val="hybridMultilevel"/>
    <w:lvl w:ilvl="0">
      <w:lvlJc w:val="left"/>
      <w:lvlText w:val="%1."/>
      <w:numFmt w:val="decimal"/>
      <w:start w:val="9"/>
    </w:lvl>
    <w:lvl w:ilvl="1">
      <w:lvlJc w:val="left"/>
      <w:lvlText w:val="%2."/>
      <w:numFmt w:val="upperLetter"/>
      <w:start w:val="1"/>
    </w:lvl>
  </w:abstractNum>
  <w:abstractNum w:abstractNumId="273">
    <w:nsid w:val="3AF6A220"/>
    <w:multiLevelType w:val="hybridMultilevel"/>
    <w:lvl w:ilvl="0">
      <w:lvlJc w:val="left"/>
      <w:lvlText w:val="%1."/>
      <w:numFmt w:val="decimal"/>
      <w:start w:val="1"/>
    </w:lvl>
    <w:lvl w:ilvl="1">
      <w:lvlJc w:val="left"/>
      <w:lvlText w:val="%2."/>
      <w:numFmt w:val="lowerLetter"/>
      <w:start w:val="1"/>
    </w:lvl>
  </w:abstractNum>
  <w:abstractNum w:abstractNumId="274">
    <w:nsid w:val="3C5EA902"/>
    <w:multiLevelType w:val="hybridMultilevel"/>
    <w:lvl w:ilvl="0">
      <w:lvlJc w:val="left"/>
      <w:lvlText w:val="%1."/>
      <w:numFmt w:val="lowerLetter"/>
      <w:start w:val="2"/>
    </w:lvl>
    <w:lvl w:ilvl="1">
      <w:lvlJc w:val="left"/>
      <w:lvlText w:val="%2."/>
      <w:numFmt w:val="lowerRoman"/>
      <w:start w:val="1"/>
    </w:lvl>
  </w:abstractNum>
  <w:abstractNum w:abstractNumId="275">
    <w:nsid w:val="256E6749"/>
    <w:multiLevelType w:val="hybridMultilevel"/>
    <w:lvl w:ilvl="0">
      <w:lvlJc w:val="left"/>
      <w:lvlText w:val="%1"/>
      <w:numFmt w:val="lowerLetter"/>
      <w:start w:val="1"/>
    </w:lvl>
    <w:lvl w:ilvl="1">
      <w:lvlJc w:val="left"/>
      <w:lvlText w:val="%2."/>
      <w:numFmt w:val="lowerLetter"/>
      <w:start w:val="35"/>
    </w:lvl>
  </w:abstractNum>
  <w:abstractNum w:abstractNumId="276">
    <w:nsid w:val="1CB9A581"/>
    <w:multiLevelType w:val="hybridMultilevel"/>
    <w:lvl w:ilvl="0">
      <w:lvlJc w:val="left"/>
      <w:lvlText w:val="%1."/>
      <w:numFmt w:val="lowerLetter"/>
      <w:start w:val="4"/>
    </w:lvl>
    <w:lvl w:ilvl="1">
      <w:lvlJc w:val="left"/>
      <w:lvlText w:val="%2."/>
      <w:numFmt w:val="lowerLetter"/>
      <w:start w:val="9"/>
    </w:lvl>
  </w:abstractNum>
  <w:abstractNum w:abstractNumId="277">
    <w:nsid w:val="1F7F42E2"/>
    <w:multiLevelType w:val="hybridMultilevel"/>
    <w:lvl w:ilvl="0">
      <w:lvlJc w:val="left"/>
      <w:lvlText w:val="%1"/>
      <w:numFmt w:val="lowerLetter"/>
      <w:start w:val="1"/>
    </w:lvl>
    <w:lvl w:ilvl="1">
      <w:lvlJc w:val="left"/>
      <w:lvlText w:val="%2."/>
      <w:numFmt w:val="lowerLetter"/>
      <w:start w:val="35"/>
    </w:lvl>
  </w:abstractNum>
  <w:abstractNum w:abstractNumId="278">
    <w:nsid w:val="49D1FEA0"/>
    <w:multiLevelType w:val="hybridMultilevel"/>
    <w:lvl w:ilvl="0">
      <w:lvlJc w:val="left"/>
      <w:lvlText w:val="%1."/>
      <w:numFmt w:val="lowerLetter"/>
      <w:start w:val="5"/>
    </w:lvl>
    <w:lvl w:ilvl="1">
      <w:lvlJc w:val="left"/>
      <w:lvlText w:val="%2"/>
      <w:numFmt w:val="lowerLetter"/>
      <w:start w:val="1"/>
    </w:lvl>
  </w:abstractNum>
  <w:abstractNum w:abstractNumId="279">
    <w:nsid w:val="268CB37F"/>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80">
    <w:nsid w:val="102362F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1">
    <w:nsid w:val="5FEDC0E3"/>
    <w:multiLevelType w:val="hybridMultilevel"/>
    <w:lvl w:ilvl="0">
      <w:lvlJc w:val="left"/>
      <w:lvlText w:val="%1."/>
      <w:numFmt w:val="lowerLetter"/>
      <w:start w:val="3"/>
    </w:lvl>
  </w:abstractNum>
  <w:abstractNum w:abstractNumId="282">
    <w:nsid w:val="3D75BC47"/>
    <w:multiLevelType w:val="hybridMultilevel"/>
    <w:lvl w:ilvl="0">
      <w:lvlJc w:val="left"/>
      <w:lvlText w:val="%1"/>
      <w:numFmt w:val="lowerLetter"/>
      <w:start w:val="1"/>
    </w:lvl>
    <w:lvl w:ilvl="1">
      <w:lvlJc w:val="left"/>
      <w:lvlText w:val="(%2)"/>
      <w:numFmt w:val="lowerLetter"/>
      <w:start w:val="1"/>
    </w:lvl>
  </w:abstractNum>
  <w:abstractNum w:abstractNumId="283">
    <w:nsid w:val="3E30D969"/>
    <w:multiLevelType w:val="hybridMultilevel"/>
    <w:lvl w:ilvl="0">
      <w:lvlJc w:val="left"/>
      <w:lvlText w:val="(%1)"/>
      <w:numFmt w:val="lowerLetter"/>
      <w:start w:val="35"/>
    </w:lvl>
    <w:lvl w:ilvl="1">
      <w:lvlJc w:val="left"/>
      <w:lvlText w:val="%2"/>
      <w:numFmt w:val="lowerLetter"/>
      <w:start w:val="1"/>
    </w:lvl>
  </w:abstractNum>
  <w:abstractNum w:abstractNumId="284">
    <w:nsid w:val="18A35FE3"/>
    <w:multiLevelType w:val="hybridMultilevel"/>
    <w:lvl w:ilvl="0">
      <w:lvlJc w:val="left"/>
      <w:lvlText w:val="(%1)"/>
      <w:numFmt w:val="lowerLetter"/>
      <w:start w:val="3"/>
    </w:lvl>
  </w:abstractNum>
  <w:abstractNum w:abstractNumId="285">
    <w:nsid w:val="6DEF5211"/>
    <w:multiLevelType w:val="hybridMultilevel"/>
    <w:lvl w:ilvl="0">
      <w:lvlJc w:val="left"/>
      <w:lvlText w:val="(%1)"/>
      <w:numFmt w:val="lowerLetter"/>
      <w:start w:val="1"/>
    </w:lvl>
  </w:abstractNum>
  <w:abstractNum w:abstractNumId="286">
    <w:nsid w:val="1112DBB6"/>
    <w:multiLevelType w:val="hybridMultilevel"/>
    <w:lvl w:ilvl="0">
      <w:lvlJc w:val="left"/>
      <w:lvlText w:val="(%1)"/>
      <w:numFmt w:val="lowerLetter"/>
      <w:start w:val="1"/>
    </w:lvl>
  </w:abstractNum>
  <w:abstractNum w:abstractNumId="287">
    <w:nsid w:val="2586A498"/>
    <w:multiLevelType w:val="hybridMultilevel"/>
    <w:lvl w:ilvl="0">
      <w:lvlJc w:val="left"/>
      <w:lvlText w:val="(%1)"/>
      <w:numFmt w:val="lowerLetter"/>
      <w:start w:val="2"/>
    </w:lvl>
  </w:abstractNum>
  <w:abstractNum w:abstractNumId="288">
    <w:nsid w:val="17A03BB9"/>
    <w:multiLevelType w:val="hybridMultilevel"/>
    <w:lvl w:ilvl="0">
      <w:lvlJc w:val="left"/>
      <w:lvlText w:val="(%1)"/>
      <w:numFmt w:val="lowerLetter"/>
      <w:start w:val="1"/>
    </w:lvl>
  </w:abstractNum>
  <w:abstractNum w:abstractNumId="289">
    <w:nsid w:val="5CA941"/>
    <w:multiLevelType w:val="hybridMultilevel"/>
    <w:lvl w:ilvl="0">
      <w:lvlJc w:val="left"/>
      <w:lvlText w:val="(%1)"/>
      <w:numFmt w:val="lowerLetter"/>
      <w:start w:val="2"/>
    </w:lvl>
  </w:abstractNum>
  <w:abstractNum w:abstractNumId="290">
    <w:nsid w:val="734C7D9F"/>
    <w:multiLevelType w:val="hybridMultilevel"/>
    <w:lvl w:ilvl="0">
      <w:lvlJc w:val="left"/>
      <w:lvlText w:val="(%1)"/>
      <w:numFmt w:val="lowerLetter"/>
      <w:start w:val="1"/>
    </w:lvl>
  </w:abstractNum>
  <w:abstractNum w:abstractNumId="291">
    <w:nsid w:val="24F5D018"/>
    <w:multiLevelType w:val="hybridMultilevel"/>
    <w:lvl w:ilvl="0">
      <w:lvlJc w:val="left"/>
      <w:lvlText w:val="(%1)"/>
      <w:numFmt w:val="lowerLetter"/>
      <w:start w:val="1"/>
    </w:lvl>
  </w:abstractNum>
  <w:abstractNum w:abstractNumId="292">
    <w:nsid w:val="6780C122"/>
    <w:multiLevelType w:val="hybridMultilevel"/>
    <w:lvl w:ilvl="0">
      <w:lvlJc w:val="left"/>
      <w:lvlText w:val="(%1)"/>
      <w:numFmt w:val="lowerLetter"/>
      <w:start w:val="1"/>
    </w:lvl>
  </w:abstractNum>
  <w:abstractNum w:abstractNumId="293">
    <w:nsid w:val="534347A8"/>
    <w:multiLevelType w:val="hybridMultilevel"/>
    <w:lvl w:ilvl="0">
      <w:lvlJc w:val="left"/>
      <w:lvlText w:val="%1"/>
      <w:numFmt w:val="lowerLetter"/>
      <w:start w:val="1"/>
    </w:lvl>
    <w:lvl w:ilvl="1">
      <w:lvlJc w:val="left"/>
      <w:lvlText w:val="(%2)"/>
      <w:numFmt w:val="lowerRoman"/>
      <w:start w:val="1"/>
    </w:lvl>
  </w:abstractNum>
  <w:abstractNum w:abstractNumId="294">
    <w:nsid w:val="5800E34B"/>
    <w:multiLevelType w:val="hybridMultilevel"/>
    <w:lvl w:ilvl="0">
      <w:lvlJc w:val="left"/>
      <w:lvlText w:val="(%1)"/>
      <w:numFmt w:val="lowerLetter"/>
      <w:start w:val="3"/>
    </w:lvl>
    <w:lvl w:ilvl="1">
      <w:lvlJc w:val="left"/>
      <w:lvlText w:val="(%2)"/>
      <w:numFmt w:val="lowerRoman"/>
      <w:start w:val="1"/>
    </w:lvl>
  </w:abstractNum>
  <w:abstractNum w:abstractNumId="295">
    <w:nsid w:val="1673EFC8"/>
    <w:multiLevelType w:val="hybridMultilevel"/>
    <w:lvl w:ilvl="0">
      <w:lvlJc w:val="left"/>
      <w:lvlText w:val="(%1)"/>
      <w:numFmt w:val="lowerLetter"/>
      <w:start w:val="4"/>
    </w:lvl>
  </w:abstractNum>
  <w:abstractNum w:abstractNumId="296">
    <w:nsid w:val="5B9B1FD"/>
    <w:multiLevelType w:val="hybridMultilevel"/>
    <w:lvl w:ilvl="0">
      <w:lvlJc w:val="left"/>
      <w:lvlText w:val="(%1)"/>
      <w:numFmt w:val="decimal"/>
      <w:start w:val="30"/>
    </w:lvl>
  </w:abstractNum>
  <w:abstractNum w:abstractNumId="297">
    <w:nsid w:val="7AD7FCA2"/>
    <w:multiLevelType w:val="hybridMultilevel"/>
    <w:lvl w:ilvl="0">
      <w:lvlJc w:val="left"/>
      <w:lvlText w:val="%1."/>
      <w:numFmt w:val="decimal"/>
      <w:start w:val="1"/>
    </w:lvl>
    <w:lvl w:ilvl="1">
      <w:lvlJc w:val="left"/>
      <w:lvlText w:val="%2."/>
      <w:numFmt w:val="lowerLetter"/>
      <w:start w:val="1"/>
    </w:lvl>
  </w:abstractNum>
  <w:abstractNum w:abstractNumId="298">
    <w:nsid w:val="6335160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99">
    <w:nsid w:val="E759D1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0">
    <w:nsid w:val="6E3DEE90"/>
    <w:multiLevelType w:val="hybridMultilevel"/>
    <w:lvl w:ilvl="0">
      <w:lvlJc w:val="left"/>
      <w:lvlText w:val="(%1)"/>
      <w:numFmt w:val="upperLetter"/>
      <w:start w:val="2"/>
    </w:lvl>
  </w:abstractNum>
  <w:abstractNum w:abstractNumId="301">
    <w:nsid w:val="1A8762F4"/>
    <w:multiLevelType w:val="hybridMultilevel"/>
    <w:lvl w:ilvl="0">
      <w:lvlJc w:val="left"/>
      <w:lvlText w:val="%1"/>
      <w:numFmt w:val="lowerLetter"/>
      <w:start w:val="1"/>
    </w:lvl>
    <w:lvl w:ilvl="1">
      <w:lvlJc w:val="left"/>
      <w:lvlText w:val="%2."/>
      <w:numFmt w:val="lowerRoman"/>
      <w:start w:val="2"/>
    </w:lvl>
  </w:abstractNum>
  <w:abstractNum w:abstractNumId="302">
    <w:nsid w:val="7F41D049"/>
    <w:multiLevelType w:val="hybridMultilevel"/>
    <w:lvl w:ilvl="0">
      <w:lvlJc w:val="left"/>
      <w:lvlText w:val="%1."/>
      <w:numFmt w:val="lowerLetter"/>
      <w:start w:val="2"/>
    </w:lvl>
    <w:lvl w:ilvl="1">
      <w:lvlJc w:val="left"/>
      <w:lvlText w:val="%2"/>
      <w:numFmt w:val="lowerRoman"/>
      <w:start w:val="1"/>
    </w:lvl>
  </w:abstractNum>
  <w:abstractNum w:abstractNumId="303">
    <w:nsid w:val="449F66FE"/>
    <w:multiLevelType w:val="hybridMultilevel"/>
    <w:lvl w:ilvl="0">
      <w:lvlJc w:val="left"/>
      <w:lvlText w:val="(%1)"/>
      <w:numFmt w:val="lowerRoman"/>
      <w:start w:val="1"/>
    </w:lvl>
  </w:abstractNum>
  <w:abstractNum w:abstractNumId="304">
    <w:nsid w:val="557E0515"/>
    <w:multiLevelType w:val="hybridMultilevel"/>
    <w:lvl w:ilvl="0">
      <w:lvlJc w:val="left"/>
      <w:lvlText w:val="%1."/>
      <w:numFmt w:val="lowerLetter"/>
      <w:start w:val="4"/>
    </w:lvl>
    <w:lvl w:ilvl="1">
      <w:lvlJc w:val="left"/>
      <w:lvlText w:val="%2"/>
      <w:numFmt w:val="lowerLetter"/>
      <w:start w:val="1"/>
    </w:lvl>
  </w:abstractNum>
  <w:abstractNum w:abstractNumId="305">
    <w:nsid w:val="3BA0794B"/>
    <w:multiLevelType w:val="hybridMultilevel"/>
    <w:lvl w:ilvl="0">
      <w:lvlJc w:val="left"/>
      <w:lvlText w:val="%1."/>
      <w:numFmt w:val="lowerRoman"/>
      <w:start w:val="2"/>
    </w:lvl>
  </w:abstractNum>
  <w:abstractNum w:abstractNumId="306">
    <w:nsid w:val="6A0DCE48"/>
    <w:multiLevelType w:val="hybridMultilevel"/>
    <w:lvl w:ilvl="0">
      <w:lvlJc w:val="left"/>
      <w:lvlText w:val="%1"/>
      <w:numFmt w:val="lowerLetter"/>
      <w:start w:val="1"/>
    </w:lvl>
    <w:lvl w:ilvl="1">
      <w:lvlJc w:val="left"/>
      <w:lvlText w:val="%2."/>
      <w:numFmt w:val="lowerLetter"/>
      <w:start w:val="61"/>
    </w:lvl>
  </w:abstractNum>
  <w:abstractNum w:abstractNumId="307">
    <w:nsid w:val="7237AA96"/>
    <w:multiLevelType w:val="hybridMultilevel"/>
    <w:lvl w:ilvl="0">
      <w:lvlJc w:val="left"/>
      <w:lvlText w:val="%1."/>
      <w:numFmt w:val="lowerLetter"/>
      <w:start w:val="5"/>
    </w:lvl>
    <w:lvl w:ilvl="1">
      <w:lvlJc w:val="left"/>
      <w:lvlText w:val="%2."/>
      <w:numFmt w:val="lowerLetter"/>
      <w:start w:val="9"/>
    </w:lvl>
  </w:abstractNum>
  <w:abstractNum w:abstractNumId="308">
    <w:nsid w:val="5B1FBC2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09">
    <w:nsid w:val="33DFCCE8"/>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1"/>
    </w:lvl>
  </w:abstractNum>
  <w:abstractNum w:abstractNumId="310">
    <w:nsid w:val="18C45E1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11">
    <w:nsid w:val="6B431F25"/>
    <w:multiLevelType w:val="hybridMultilevel"/>
    <w:lvl w:ilvl="0">
      <w:lvlJc w:val="left"/>
      <w:lvlText w:val="%1."/>
      <w:numFmt w:val="decimal"/>
      <w:start w:val="3"/>
    </w:lvl>
  </w:abstractNum>
  <w:abstractNum w:abstractNumId="312">
    <w:nsid w:val="13CD8DCB"/>
    <w:multiLevelType w:val="hybridMultilevel"/>
    <w:lvl w:ilvl="0">
      <w:lvlJc w:val="left"/>
      <w:lvlText w:val="%1."/>
      <w:numFmt w:val="decimal"/>
      <w:start w:val="8"/>
    </w:lvl>
  </w:abstractNum>
  <w:abstractNum w:abstractNumId="313">
    <w:nsid w:val="563A1A5C"/>
    <w:multiLevelType w:val="hybridMultilevel"/>
    <w:lvl w:ilvl="0">
      <w:lvlJc w:val="left"/>
      <w:lvlText w:val="-"/>
      <w:numFmt w:val="bullet"/>
      <w:start w:val="1"/>
    </w:lvl>
  </w:abstractNum>
  <w:abstractNum w:abstractNumId="314">
    <w:nsid w:val="2973F88F"/>
    <w:multiLevelType w:val="hybridMultilevel"/>
    <w:lvl w:ilvl="0">
      <w:lvlJc w:val="left"/>
      <w:lvlText w:val="-"/>
      <w:numFmt w:val="bullet"/>
      <w:start w:val="1"/>
    </w:lvl>
  </w:abstractNum>
  <w:abstractNum w:abstractNumId="315">
    <w:nsid w:val="2C70EDAE"/>
    <w:multiLevelType w:val="hybridMultilevel"/>
    <w:lvl w:ilvl="0">
      <w:lvlJc w:val="left"/>
      <w:lvlText w:val="(%1)"/>
      <w:numFmt w:val="decimal"/>
      <w:start w:val="1"/>
    </w:lvl>
  </w:abstractNum>
  <w:abstractNum w:abstractNumId="316">
    <w:nsid w:val="44296C6D"/>
    <w:multiLevelType w:val="hybridMultilevel"/>
    <w:lvl w:ilvl="0">
      <w:lvlJc w:val="left"/>
      <w:lvlText w:val="-"/>
      <w:numFmt w:val="bullet"/>
      <w:start w:val="1"/>
    </w:lvl>
  </w:abstractNum>
  <w:abstractNum w:abstractNumId="317">
    <w:nsid w:val="3A86D445"/>
    <w:multiLevelType w:val="hybridMultilevel"/>
    <w:lvl w:ilvl="0">
      <w:lvlJc w:val="left"/>
      <w:lvlText w:val="-"/>
      <w:numFmt w:val="bullet"/>
      <w:start w:val="1"/>
    </w:lvl>
  </w:abstractNum>
  <w:abstractNum w:abstractNumId="318">
    <w:nsid w:val="51F79246"/>
    <w:multiLevelType w:val="hybridMultilevel"/>
    <w:lvl w:ilvl="0">
      <w:lvlJc w:val="left"/>
      <w:lvlText w:val="-"/>
      <w:numFmt w:val="bullet"/>
      <w:start w:val="1"/>
    </w:lvl>
  </w:abstractNum>
  <w:abstractNum w:abstractNumId="319">
    <w:nsid w:val="5BC9A827"/>
    <w:multiLevelType w:val="hybridMultilevel"/>
    <w:lvl w:ilvl="0">
      <w:lvlJc w:val="left"/>
      <w:lvlText w:val="-"/>
      <w:numFmt w:val="bullet"/>
      <w:start w:val="1"/>
    </w:lvl>
  </w:abstractNum>
  <w:abstractNum w:abstractNumId="320">
    <w:nsid w:val="3AE37D86"/>
    <w:multiLevelType w:val="hybridMultilevel"/>
    <w:lvl w:ilvl="0">
      <w:lvlJc w:val="left"/>
      <w:lvlText w:val="-"/>
      <w:numFmt w:val="bullet"/>
      <w:start w:val="1"/>
    </w:lvl>
  </w:abstractNum>
  <w:abstractNum w:abstractNumId="321">
    <w:nsid w:val="45440FE5"/>
    <w:multiLevelType w:val="hybridMultilevel"/>
    <w:lvl w:ilvl="0">
      <w:lvlJc w:val="left"/>
      <w:lvlText w:val="-"/>
      <w:numFmt w:val="bullet"/>
      <w:start w:val="1"/>
    </w:lvl>
  </w:abstractNum>
  <w:abstractNum w:abstractNumId="322">
    <w:nsid w:val="BF783F"/>
    <w:multiLevelType w:val="hybridMultilevel"/>
    <w:lvl w:ilvl="0">
      <w:lvlJc w:val="left"/>
      <w:lvlText w:val="-"/>
      <w:numFmt w:val="bullet"/>
      <w:start w:val="1"/>
    </w:lvl>
  </w:abstractNum>
  <w:abstractNum w:abstractNumId="323">
    <w:nsid w:val="22643EA9"/>
    <w:multiLevelType w:val="hybridMultilevel"/>
    <w:lvl w:ilvl="0">
      <w:lvlJc w:val="left"/>
      <w:lvlText w:val="-"/>
      <w:numFmt w:val="bullet"/>
      <w:start w:val="1"/>
    </w:lvl>
  </w:abstractNum>
  <w:abstractNum w:abstractNumId="324">
    <w:nsid w:val="1887578D"/>
    <w:multiLevelType w:val="hybridMultilevel"/>
    <w:lvl w:ilvl="0">
      <w:lvlJc w:val="left"/>
      <w:lvlText w:val="-"/>
      <w:numFmt w:val="bullet"/>
      <w:start w:val="1"/>
    </w:lvl>
  </w:abstractNum>
  <w:abstractNum w:abstractNumId="325">
    <w:nsid w:val="58C05B8A"/>
    <w:multiLevelType w:val="hybridMultilevel"/>
    <w:lvl w:ilvl="0">
      <w:lvlJc w:val="left"/>
      <w:lvlText w:val="-"/>
      <w:numFmt w:val="bullet"/>
      <w:start w:val="1"/>
    </w:lvl>
  </w:abstractNum>
  <w:abstractNum w:abstractNumId="326">
    <w:nsid w:val="38D82E71"/>
    <w:multiLevelType w:val="hybridMultilevel"/>
    <w:lvl w:ilvl="0">
      <w:lvlJc w:val="left"/>
      <w:lvlText w:val="-"/>
      <w:numFmt w:val="bullet"/>
      <w:start w:val="1"/>
    </w:lvl>
    <w:lvl w:ilvl="1">
      <w:lvlJc w:val="left"/>
      <w:lvlText w:val="*"/>
      <w:numFmt w:val="bullet"/>
      <w:start w:val="1"/>
    </w:lvl>
  </w:abstractNum>
  <w:abstractNum w:abstractNumId="327">
    <w:nsid w:val="1E41098A"/>
    <w:multiLevelType w:val="hybridMultilevel"/>
    <w:lvl w:ilvl="0">
      <w:lvlJc w:val="left"/>
      <w:lvlText w:val="-"/>
      <w:numFmt w:val="bullet"/>
      <w:start w:val="1"/>
    </w:lvl>
    <w:lvl w:ilvl="1">
      <w:lvlJc w:val="left"/>
      <w:lvlText w:val="**"/>
      <w:numFmt w:val="bullet"/>
      <w:start w:val="1"/>
    </w:lvl>
  </w:abstractNum>
  <w:abstractNum w:abstractNumId="328">
    <w:nsid w:val="5398582C"/>
    <w:multiLevelType w:val="hybridMultilevel"/>
    <w:lvl w:ilvl="0">
      <w:lvlJc w:val="left"/>
      <w:lvlText w:val="-"/>
      <w:numFmt w:val="bullet"/>
      <w:start w:val="1"/>
    </w:lvl>
    <w:lvl w:ilvl="1">
      <w:lvlJc w:val="left"/>
      <w:lvlText w:val="***"/>
      <w:numFmt w:val="bullet"/>
      <w:start w:val="1"/>
    </w:lvl>
  </w:abstractNum>
  <w:abstractNum w:abstractNumId="329">
    <w:nsid w:val="1C0D4475"/>
    <w:multiLevelType w:val="hybridMultilevel"/>
    <w:lvl w:ilvl="0">
      <w:lvlJc w:val="left"/>
      <w:lvlText w:val="-"/>
      <w:numFmt w:val="bullet"/>
      <w:start w:val="1"/>
    </w:lvl>
    <w:lvl w:ilvl="1">
      <w:lvlJc w:val="left"/>
      <w:lvlText w:val="****"/>
      <w:numFmt w:val="bullet"/>
      <w:start w:val="1"/>
    </w:lvl>
  </w:abstractNum>
  <w:abstractNum w:abstractNumId="330">
    <w:nsid w:val="2CB6A6A4"/>
    <w:multiLevelType w:val="hybridMultilevel"/>
    <w:lvl w:ilvl="0">
      <w:lvlJc w:val="left"/>
      <w:lvlText w:val="-"/>
      <w:numFmt w:val="bullet"/>
      <w:start w:val="1"/>
    </w:lvl>
  </w:abstractNum>
  <w:abstractNum w:abstractNumId="331">
    <w:nsid w:val="41D646BC"/>
    <w:multiLevelType w:val="hybridMultilevel"/>
    <w:lvl w:ilvl="0">
      <w:lvlJc w:val="left"/>
      <w:lvlText w:val="-"/>
      <w:numFmt w:val="bullet"/>
      <w:start w:val="1"/>
    </w:lvl>
  </w:abstractNum>
  <w:abstractNum w:abstractNumId="332">
    <w:nsid w:val="3694A76A"/>
    <w:multiLevelType w:val="hybridMultilevel"/>
    <w:lvl w:ilvl="0">
      <w:lvlJc w:val="left"/>
      <w:lvlText w:val="-"/>
      <w:numFmt w:val="bullet"/>
      <w:start w:val="1"/>
    </w:lvl>
  </w:abstractNum>
  <w:abstractNum w:abstractNumId="333">
    <w:nsid w:val="2BF876EE"/>
    <w:multiLevelType w:val="hybridMultilevel"/>
    <w:lvl w:ilvl="0">
      <w:lvlJc w:val="left"/>
      <w:lvlText w:val="-"/>
      <w:numFmt w:val="bullet"/>
      <w:start w:val="1"/>
    </w:lvl>
  </w:abstractNum>
  <w:abstractNum w:abstractNumId="334">
    <w:nsid w:val="675ADBA"/>
    <w:multiLevelType w:val="hybridMultilevel"/>
    <w:lvl w:ilvl="0">
      <w:lvlJc w:val="left"/>
      <w:lvlText w:val="-"/>
      <w:numFmt w:val="bullet"/>
      <w:start w:val="1"/>
    </w:lvl>
  </w:abstractNum>
  <w:abstractNum w:abstractNumId="335">
    <w:nsid w:val="C12AC7F"/>
    <w:multiLevelType w:val="hybridMultilevel"/>
    <w:lvl w:ilvl="0">
      <w:lvlJc w:val="left"/>
      <w:lvlText w:val="-"/>
      <w:numFmt w:val="bullet"/>
      <w:start w:val="1"/>
    </w:lvl>
  </w:abstractNum>
  <w:abstractNum w:abstractNumId="336">
    <w:nsid w:val="6798F039"/>
    <w:multiLevelType w:val="hybridMultilevel"/>
    <w:lvl w:ilvl="0">
      <w:lvlJc w:val="left"/>
      <w:lvlText w:val="-"/>
      <w:numFmt w:val="bullet"/>
      <w:start w:val="1"/>
    </w:lvl>
  </w:abstractNum>
  <w:abstractNum w:abstractNumId="337">
    <w:nsid w:val="70837C02"/>
    <w:multiLevelType w:val="hybridMultilevel"/>
    <w:lvl w:ilvl="0">
      <w:lvlJc w:val="left"/>
      <w:lvlText w:val="-"/>
      <w:numFmt w:val="bullet"/>
      <w:start w:val="1"/>
    </w:lvl>
  </w:abstractNum>
  <w:abstractNum w:abstractNumId="338">
    <w:nsid w:val="7E4A5715"/>
    <w:multiLevelType w:val="hybridMultilevel"/>
    <w:lvl w:ilvl="0">
      <w:lvlJc w:val="left"/>
      <w:lvlText w:val="-"/>
      <w:numFmt w:val="bullet"/>
      <w:start w:val="1"/>
    </w:lvl>
  </w:abstractNum>
  <w:abstractNum w:abstractNumId="339">
    <w:nsid w:val="42B8AC67"/>
    <w:multiLevelType w:val="hybridMultilevel"/>
    <w:lvl w:ilvl="0">
      <w:lvlJc w:val="left"/>
      <w:lvlText w:val="-"/>
      <w:numFmt w:val="bullet"/>
      <w:start w:val="1"/>
    </w:lvl>
  </w:abstractNum>
  <w:abstractNum w:abstractNumId="340">
    <w:nsid w:val="246348EA"/>
    <w:multiLevelType w:val="hybridMultilevel"/>
    <w:lvl w:ilvl="0">
      <w:lvlJc w:val="left"/>
      <w:lvlText w:val="-"/>
      <w:numFmt w:val="bullet"/>
      <w:start w:val="1"/>
    </w:lvl>
  </w:abstractNum>
  <w:abstractNum w:abstractNumId="341">
    <w:nsid w:val="170EB52B"/>
    <w:multiLevelType w:val="hybridMultilevel"/>
    <w:lvl w:ilvl="0">
      <w:lvlJc w:val="left"/>
      <w:lvlText w:val="-"/>
      <w:numFmt w:val="bullet"/>
      <w:start w:val="1"/>
    </w:lvl>
  </w:abstractNum>
  <w:abstractNum w:abstractNumId="342">
    <w:nsid w:val="2DFBCB8C"/>
    <w:multiLevelType w:val="hybridMultilevel"/>
    <w:lvl w:ilvl="0">
      <w:lvlJc w:val="left"/>
      <w:lvlText w:val="-"/>
      <w:numFmt w:val="bullet"/>
      <w:start w:val="1"/>
    </w:lvl>
  </w:abstractNum>
  <w:abstractNum w:abstractNumId="343">
    <w:nsid w:val="3830D6B6"/>
    <w:multiLevelType w:val="hybridMultilevel"/>
    <w:lvl w:ilvl="0">
      <w:lvlJc w:val="left"/>
      <w:lvlText w:val="-"/>
      <w:numFmt w:val="bullet"/>
      <w:start w:val="1"/>
    </w:lvl>
  </w:abstractNum>
  <w:abstractNum w:abstractNumId="344">
    <w:nsid w:val="6D48CF87"/>
    <w:multiLevelType w:val="hybridMultilevel"/>
    <w:lvl w:ilvl="0">
      <w:lvlJc w:val="left"/>
      <w:lvlText w:val="-"/>
      <w:numFmt w:val="bullet"/>
      <w:start w:val="1"/>
    </w:lvl>
  </w:abstractNum>
  <w:abstractNum w:abstractNumId="345">
    <w:nsid w:val="576FC41B"/>
    <w:multiLevelType w:val="hybridMultilevel"/>
    <w:lvl w:ilvl="0">
      <w:lvlJc w:val="left"/>
      <w:lvlText w:val="-"/>
      <w:numFmt w:val="bullet"/>
      <w:start w:val="1"/>
    </w:lvl>
  </w:abstractNum>
  <w:abstractNum w:abstractNumId="346">
    <w:nsid w:val="64A1C464"/>
    <w:multiLevelType w:val="hybridMultilevel"/>
    <w:lvl w:ilvl="0">
      <w:lvlJc w:val="left"/>
      <w:lvlText w:val="-"/>
      <w:numFmt w:val="bullet"/>
      <w:start w:val="1"/>
    </w:lvl>
  </w:abstractNum>
  <w:abstractNum w:abstractNumId="347">
    <w:nsid w:val="31723BF5"/>
    <w:multiLevelType w:val="hybridMultilevel"/>
    <w:lvl w:ilvl="0">
      <w:lvlJc w:val="left"/>
      <w:lvlText w:val="-"/>
      <w:numFmt w:val="bullet"/>
      <w:start w:val="1"/>
    </w:lvl>
  </w:abstractNum>
  <w:abstractNum w:abstractNumId="348">
    <w:nsid w:val="11F69861"/>
    <w:multiLevelType w:val="hybridMultilevel"/>
    <w:lvl w:ilvl="0">
      <w:lvlJc w:val="left"/>
      <w:lvlText w:val="-"/>
      <w:numFmt w:val="bullet"/>
      <w:start w:val="1"/>
    </w:lvl>
  </w:abstractNum>
  <w:abstractNum w:abstractNumId="349">
    <w:nsid w:val="369956AB"/>
    <w:multiLevelType w:val="hybridMultilevel"/>
    <w:lvl w:ilvl="0">
      <w:lvlJc w:val="left"/>
      <w:lvlText w:val="-"/>
      <w:numFmt w:val="bullet"/>
      <w:start w:val="1"/>
    </w:lvl>
  </w:abstractNum>
  <w:abstractNum w:abstractNumId="350">
    <w:nsid w:val="D3BE41C"/>
    <w:multiLevelType w:val="hybridMultilevel"/>
    <w:lvl w:ilvl="0">
      <w:lvlJc w:val="left"/>
      <w:lvlText w:val="-"/>
      <w:numFmt w:val="bullet"/>
      <w:start w:val="1"/>
    </w:lvl>
  </w:abstractNum>
  <w:abstractNum w:abstractNumId="351">
    <w:nsid w:val="4CDA15E7"/>
    <w:multiLevelType w:val="hybridMultilevel"/>
    <w:lvl w:ilvl="0">
      <w:lvlJc w:val="left"/>
      <w:lvlText w:val="-"/>
      <w:numFmt w:val="bullet"/>
      <w:start w:val="1"/>
    </w:lvl>
  </w:abstractNum>
  <w:abstractNum w:abstractNumId="352">
    <w:nsid w:val="7BDD6690"/>
    <w:multiLevelType w:val="hybridMultilevel"/>
    <w:lvl w:ilvl="0">
      <w:lvlJc w:val="left"/>
      <w:lvlText w:val="-"/>
      <w:numFmt w:val="bullet"/>
      <w:start w:val="1"/>
    </w:lvl>
  </w:abstractNum>
  <w:abstractNum w:abstractNumId="353">
    <w:nsid w:val="DFB5C5B"/>
    <w:multiLevelType w:val="hybridMultilevel"/>
    <w:lvl w:ilvl="0">
      <w:lvlJc w:val="left"/>
      <w:lvlText w:val="-"/>
      <w:numFmt w:val="bullet"/>
      <w:start w:val="1"/>
    </w:lvl>
  </w:abstractNum>
  <w:abstractNum w:abstractNumId="354">
    <w:nsid w:val="6F3E5490"/>
    <w:multiLevelType w:val="hybridMultilevel"/>
    <w:lvl w:ilvl="0">
      <w:lvlJc w:val="left"/>
      <w:lvlText w:val="-"/>
      <w:numFmt w:val="bullet"/>
      <w:start w:val="1"/>
    </w:lvl>
  </w:abstractNum>
  <w:abstractNum w:abstractNumId="355">
    <w:nsid w:val="1464BE1E"/>
    <w:multiLevelType w:val="hybridMultilevel"/>
    <w:lvl w:ilvl="0">
      <w:lvlJc w:val="left"/>
      <w:lvlText w:val="-"/>
      <w:numFmt w:val="bullet"/>
      <w:start w:val="1"/>
    </w:lvl>
  </w:abstractNum>
  <w:abstractNum w:abstractNumId="356">
    <w:nsid w:val="66BBB7E5"/>
    <w:multiLevelType w:val="hybridMultilevel"/>
    <w:lvl w:ilvl="0">
      <w:lvlJc w:val="left"/>
      <w:lvlText w:val="-"/>
      <w:numFmt w:val="bullet"/>
      <w:start w:val="1"/>
    </w:lvl>
  </w:abstractNum>
  <w:abstractNum w:abstractNumId="357">
    <w:nsid w:val="28168302"/>
    <w:multiLevelType w:val="hybridMultilevel"/>
    <w:lvl w:ilvl="0">
      <w:lvlJc w:val="left"/>
      <w:lvlText w:val="-"/>
      <w:numFmt w:val="bullet"/>
      <w:start w:val="1"/>
    </w:lvl>
  </w:abstractNum>
  <w:abstractNum w:abstractNumId="358">
    <w:nsid w:val="32A5C7A8"/>
    <w:multiLevelType w:val="hybridMultilevel"/>
    <w:lvl w:ilvl="0">
      <w:lvlJc w:val="left"/>
      <w:lvlText w:val="-"/>
      <w:numFmt w:val="bullet"/>
      <w:start w:val="1"/>
    </w:lvl>
  </w:abstractNum>
  <w:abstractNum w:abstractNumId="359">
    <w:nsid w:val="3A541011"/>
    <w:multiLevelType w:val="hybridMultilevel"/>
    <w:lvl w:ilvl="0">
      <w:lvlJc w:val="left"/>
      <w:lvlText w:val="-"/>
      <w:numFmt w:val="bullet"/>
      <w:start w:val="1"/>
    </w:lvl>
  </w:abstractNum>
  <w:abstractNum w:abstractNumId="360">
    <w:nsid w:val="4423C777"/>
    <w:multiLevelType w:val="hybridMultilevel"/>
    <w:lvl w:ilvl="0">
      <w:lvlJc w:val="left"/>
      <w:lvlText w:val="-"/>
      <w:numFmt w:val="bullet"/>
      <w:start w:val="1"/>
    </w:lvl>
  </w:abstractNum>
  <w:abstractNum w:abstractNumId="361">
    <w:nsid w:val="5F5C6E4D"/>
    <w:multiLevelType w:val="hybridMultilevel"/>
    <w:lvl w:ilvl="0">
      <w:lvlJc w:val="left"/>
      <w:lvlText w:val="-"/>
      <w:numFmt w:val="bullet"/>
      <w:start w:val="1"/>
    </w:lvl>
  </w:abstractNum>
  <w:abstractNum w:abstractNumId="362">
    <w:nsid w:val="7C2A56CD"/>
    <w:multiLevelType w:val="hybridMultilevel"/>
    <w:lvl w:ilvl="0">
      <w:lvlJc w:val="left"/>
      <w:lvlText w:val="-"/>
      <w:numFmt w:val="bullet"/>
      <w:start w:val="1"/>
    </w:lvl>
  </w:abstractNum>
  <w:abstractNum w:abstractNumId="363">
    <w:nsid w:val="7AB86EE1"/>
    <w:multiLevelType w:val="hybridMultilevel"/>
    <w:lvl w:ilvl="0">
      <w:lvlJc w:val="left"/>
      <w:lvlText w:val="-"/>
      <w:numFmt w:val="bullet"/>
      <w:start w:val="1"/>
    </w:lvl>
  </w:abstractNum>
  <w:abstractNum w:abstractNumId="364">
    <w:nsid w:val="B54E53B"/>
    <w:multiLevelType w:val="hybridMultilevel"/>
    <w:lvl w:ilvl="0">
      <w:lvlJc w:val="left"/>
      <w:lvlText w:val="-"/>
      <w:numFmt w:val="bullet"/>
      <w:start w:val="1"/>
    </w:lvl>
  </w:abstractNum>
  <w:abstractNum w:abstractNumId="365">
    <w:nsid w:val="2A00487"/>
    <w:multiLevelType w:val="hybridMultilevel"/>
    <w:lvl w:ilvl="0">
      <w:lvlJc w:val="left"/>
      <w:lvlText w:val="-"/>
      <w:numFmt w:val="bullet"/>
      <w:start w:val="1"/>
    </w:lvl>
  </w:abstractNum>
  <w:abstractNum w:abstractNumId="366">
    <w:nsid w:val="6CB1B60"/>
    <w:multiLevelType w:val="hybridMultilevel"/>
    <w:lvl w:ilvl="0">
      <w:lvlJc w:val="left"/>
      <w:lvlText w:val="-"/>
      <w:numFmt w:val="bullet"/>
      <w:start w:val="1"/>
    </w:lvl>
  </w:abstractNum>
  <w:abstractNum w:abstractNumId="367">
    <w:nsid w:val="72EDD574"/>
    <w:multiLevelType w:val="hybridMultilevel"/>
    <w:lvl w:ilvl="0">
      <w:lvlJc w:val="left"/>
      <w:lvlText w:val="-"/>
      <w:numFmt w:val="bullet"/>
      <w:start w:val="1"/>
    </w:lvl>
  </w:abstractNum>
  <w:abstractNum w:abstractNumId="368">
    <w:nsid w:val="7323808A"/>
    <w:multiLevelType w:val="hybridMultilevel"/>
    <w:lvl w:ilvl="0">
      <w:lvlJc w:val="left"/>
      <w:lvlText w:val="-"/>
      <w:numFmt w:val="bullet"/>
      <w:start w:val="1"/>
    </w:lvl>
  </w:abstractNum>
  <w:abstractNum w:abstractNumId="369">
    <w:nsid w:val="5157276"/>
    <w:multiLevelType w:val="hybridMultilevel"/>
    <w:lvl w:ilvl="0">
      <w:lvlJc w:val="left"/>
      <w:lvlText w:val="-"/>
      <w:numFmt w:val="bullet"/>
      <w:start w:val="1"/>
    </w:lvl>
  </w:abstractNum>
  <w:abstractNum w:abstractNumId="370">
    <w:nsid w:val="35A681DB"/>
    <w:multiLevelType w:val="hybridMultilevel"/>
    <w:lvl w:ilvl="0">
      <w:lvlJc w:val="left"/>
      <w:lvlText w:val="-"/>
      <w:numFmt w:val="bullet"/>
      <w:start w:val="1"/>
    </w:lvl>
  </w:abstractNum>
  <w:abstractNum w:abstractNumId="371">
    <w:nsid w:val="1786C974"/>
    <w:multiLevelType w:val="hybridMultilevel"/>
    <w:lvl w:ilvl="0">
      <w:lvlJc w:val="left"/>
      <w:lvlText w:val="-"/>
      <w:numFmt w:val="bullet"/>
      <w:start w:val="1"/>
    </w:lvl>
  </w:abstractNum>
  <w:abstractNum w:abstractNumId="372">
    <w:nsid w:val="1C2427A1"/>
    <w:multiLevelType w:val="hybridMultilevel"/>
    <w:lvl w:ilvl="0">
      <w:lvlJc w:val="left"/>
      <w:lvlText w:val="-"/>
      <w:numFmt w:val="bullet"/>
      <w:start w:val="1"/>
    </w:lvl>
  </w:abstractNum>
  <w:abstractNum w:abstractNumId="373">
    <w:nsid w:val="63A24D68"/>
    <w:multiLevelType w:val="hybridMultilevel"/>
    <w:lvl w:ilvl="0">
      <w:lvlJc w:val="left"/>
      <w:lvlText w:val="-"/>
      <w:numFmt w:val="bullet"/>
      <w:start w:val="1"/>
    </w:lvl>
  </w:abstractNum>
  <w:abstractNum w:abstractNumId="374">
    <w:nsid w:val="4FB7A02A"/>
    <w:multiLevelType w:val="hybridMultilevel"/>
    <w:lvl w:ilvl="0">
      <w:lvlJc w:val="left"/>
      <w:lvlText w:val="-"/>
      <w:numFmt w:val="bullet"/>
      <w:start w:val="1"/>
    </w:lvl>
  </w:abstractNum>
  <w:abstractNum w:abstractNumId="375">
    <w:nsid w:val="96CF728"/>
    <w:multiLevelType w:val="hybridMultilevel"/>
    <w:lvl w:ilvl="0">
      <w:lvlJc w:val="left"/>
      <w:lvlText w:val="-"/>
      <w:numFmt w:val="bullet"/>
      <w:start w:val="1"/>
    </w:lvl>
  </w:abstractNum>
  <w:abstractNum w:abstractNumId="376">
    <w:nsid w:val="3B121183"/>
    <w:multiLevelType w:val="hybridMultilevel"/>
    <w:lvl w:ilvl="0">
      <w:lvlJc w:val="left"/>
      <w:lvlText w:val="-"/>
      <w:numFmt w:val="bullet"/>
      <w:start w:val="1"/>
    </w:lvl>
  </w:abstractNum>
  <w:abstractNum w:abstractNumId="377">
    <w:nsid w:val="3459648F"/>
    <w:multiLevelType w:val="hybridMultilevel"/>
    <w:lvl w:ilvl="0">
      <w:lvlJc w:val="left"/>
      <w:lvlText w:val="-"/>
      <w:numFmt w:val="bullet"/>
      <w:start w:val="1"/>
    </w:lvl>
  </w:abstractNum>
  <w:abstractNum w:abstractNumId="378">
    <w:nsid w:val="3ADF331D"/>
    <w:multiLevelType w:val="hybridMultilevel"/>
    <w:lvl w:ilvl="0">
      <w:lvlJc w:val="left"/>
      <w:lvlText w:val="-"/>
      <w:numFmt w:val="bullet"/>
      <w:start w:val="1"/>
    </w:lvl>
  </w:abstractNum>
  <w:abstractNum w:abstractNumId="379">
    <w:nsid w:val="4D08A9E4"/>
    <w:multiLevelType w:val="hybridMultilevel"/>
    <w:lvl w:ilvl="0">
      <w:lvlJc w:val="left"/>
      <w:lvlText w:val="2"/>
      <w:numFmt w:val="bullet"/>
      <w:start w:val="1"/>
    </w:lvl>
  </w:abstractNum>
  <w:abstractNum w:abstractNumId="380">
    <w:nsid w:val="6AF2BB3A"/>
    <w:multiLevelType w:val="hybridMultilevel"/>
    <w:lvl w:ilvl="0">
      <w:lvlJc w:val="left"/>
      <w:lvlText w:val="3"/>
      <w:numFmt w:val="bullet"/>
      <w:start w:val="1"/>
    </w:lvl>
  </w:abstractNum>
  <w:abstractNum w:abstractNumId="381">
    <w:nsid w:val="481B1739"/>
    <w:multiLevelType w:val="hybridMultilevel"/>
    <w:lvl w:ilvl="0">
      <w:lvlJc w:val="left"/>
      <w:lvlText w:val="-"/>
      <w:numFmt w:val="bullet"/>
      <w:start w:val="1"/>
    </w:lvl>
  </w:abstractNum>
  <w:abstractNum w:abstractNumId="382">
    <w:nsid w:val="19E2BFCC"/>
    <w:multiLevelType w:val="hybridMultilevel"/>
    <w:lvl w:ilvl="0">
      <w:lvlJc w:val="left"/>
      <w:lvlText w:val="-"/>
      <w:numFmt w:val="bullet"/>
      <w:start w:val="1"/>
    </w:lvl>
  </w:abstractNum>
  <w:abstractNum w:abstractNumId="383">
    <w:nsid w:val="66D021CA"/>
    <w:multiLevelType w:val="hybridMultilevel"/>
    <w:lvl w:ilvl="0">
      <w:lvlJc w:val="left"/>
      <w:lvlText w:val="-"/>
      <w:numFmt w:val="bullet"/>
      <w:start w:val="1"/>
    </w:lvl>
  </w:abstractNum>
  <w:abstractNum w:abstractNumId="384">
    <w:nsid w:val="56167394"/>
    <w:multiLevelType w:val="hybridMultilevel"/>
    <w:lvl w:ilvl="0">
      <w:lvlJc w:val="left"/>
      <w:lvlText w:val="4"/>
      <w:numFmt w:val="bullet"/>
      <w:start w:val="1"/>
    </w:lvl>
  </w:abstractNum>
  <w:abstractNum w:abstractNumId="385">
    <w:nsid w:val="921145C"/>
    <w:multiLevelType w:val="hybridMultilevel"/>
    <w:lvl w:ilvl="0">
      <w:lvlJc w:val="left"/>
      <w:lvlText w:val="-"/>
      <w:numFmt w:val="bullet"/>
      <w:start w:val="1"/>
    </w:lvl>
  </w:abstractNum>
  <w:abstractNum w:abstractNumId="386">
    <w:nsid w:val="7B34DFE8"/>
    <w:multiLevelType w:val="hybridMultilevel"/>
    <w:lvl w:ilvl="0">
      <w:lvlJc w:val="left"/>
      <w:lvlText w:val="-"/>
      <w:numFmt w:val="bullet"/>
      <w:start w:val="1"/>
    </w:lvl>
  </w:abstractNum>
  <w:abstractNum w:abstractNumId="387">
    <w:nsid w:val="3CD22B79"/>
    <w:multiLevelType w:val="hybridMultilevel"/>
    <w:lvl w:ilvl="0">
      <w:lvlJc w:val="left"/>
      <w:lvlText w:val="-"/>
      <w:numFmt w:val="bullet"/>
      <w:start w:val="1"/>
    </w:lvl>
  </w:abstractNum>
  <w:abstractNum w:abstractNumId="388">
    <w:nsid w:val="3137975E"/>
    <w:multiLevelType w:val="hybridMultilevel"/>
    <w:lvl w:ilvl="0">
      <w:lvlJc w:val="left"/>
      <w:lvlText w:val="-"/>
      <w:numFmt w:val="bullet"/>
      <w:start w:val="1"/>
    </w:lvl>
  </w:abstractNum>
  <w:abstractNum w:abstractNumId="389">
    <w:nsid w:val="2DDAA791"/>
    <w:multiLevelType w:val="hybridMultilevel"/>
    <w:lvl w:ilvl="0">
      <w:lvlJc w:val="left"/>
      <w:lvlText w:val="-"/>
      <w:numFmt w:val="bullet"/>
      <w:start w:val="1"/>
    </w:lvl>
  </w:abstractNum>
  <w:abstractNum w:abstractNumId="390">
    <w:nsid w:val="77263B8A"/>
    <w:multiLevelType w:val="hybridMultilevel"/>
    <w:lvl w:ilvl="0">
      <w:lvlJc w:val="left"/>
      <w:lvlText w:val="-"/>
      <w:numFmt w:val="bullet"/>
      <w:start w:val="1"/>
    </w:lvl>
  </w:abstractNum>
  <w:abstractNum w:abstractNumId="391">
    <w:nsid w:val="755B5ED6"/>
    <w:multiLevelType w:val="hybridMultilevel"/>
    <w:lvl w:ilvl="0">
      <w:lvlJc w:val="left"/>
      <w:lvlText w:val="-"/>
      <w:numFmt w:val="bullet"/>
      <w:start w:val="1"/>
    </w:lvl>
  </w:abstractNum>
  <w:abstractNum w:abstractNumId="392">
    <w:nsid w:val="D3715DE"/>
    <w:multiLevelType w:val="hybridMultilevel"/>
    <w:lvl w:ilvl="0">
      <w:lvlJc w:val="left"/>
      <w:lvlText w:val="5"/>
      <w:numFmt w:val="bullet"/>
      <w:start w:val="1"/>
    </w:lvl>
  </w:abstractNum>
  <w:abstractNum w:abstractNumId="393">
    <w:nsid w:val="73509257"/>
    <w:multiLevelType w:val="hybridMultilevel"/>
    <w:lvl w:ilvl="0">
      <w:lvlJc w:val="left"/>
      <w:lvlText w:val="-"/>
      <w:numFmt w:val="bullet"/>
      <w:start w:val="1"/>
    </w:lvl>
  </w:abstractNum>
  <w:abstractNum w:abstractNumId="394">
    <w:nsid w:val="7013CDB7"/>
    <w:multiLevelType w:val="hybridMultilevel"/>
    <w:lvl w:ilvl="0">
      <w:lvlJc w:val="left"/>
      <w:lvlText w:val="-"/>
      <w:numFmt w:val="bullet"/>
      <w:start w:val="1"/>
    </w:lvl>
  </w:abstractNum>
  <w:abstractNum w:abstractNumId="395">
    <w:nsid w:val="188BFB19"/>
    <w:multiLevelType w:val="hybridMultilevel"/>
    <w:lvl w:ilvl="0">
      <w:lvlJc w:val="left"/>
      <w:lvlText w:val="-"/>
      <w:numFmt w:val="bullet"/>
      <w:start w:val="1"/>
    </w:lvl>
  </w:abstractNum>
  <w:abstractNum w:abstractNumId="396">
    <w:nsid w:val="75F096DF"/>
    <w:multiLevelType w:val="hybridMultilevel"/>
    <w:lvl w:ilvl="0">
      <w:lvlJc w:val="left"/>
      <w:lvlText w:val="-"/>
      <w:numFmt w:val="bullet"/>
      <w:start w:val="1"/>
    </w:lvl>
  </w:abstractNum>
  <w:abstractNum w:abstractNumId="397">
    <w:nsid w:val="76DEE918"/>
    <w:multiLevelType w:val="hybridMultilevel"/>
    <w:lvl w:ilvl="0">
      <w:lvlJc w:val="left"/>
      <w:lvlText w:val="-"/>
      <w:numFmt w:val="bullet"/>
      <w:start w:val="1"/>
    </w:lvl>
  </w:abstractNum>
  <w:abstractNum w:abstractNumId="398">
    <w:nsid w:val="B79D08D"/>
    <w:multiLevelType w:val="hybridMultilevel"/>
    <w:lvl w:ilvl="0">
      <w:lvlJc w:val="left"/>
      <w:lvlText w:val="6"/>
      <w:numFmt w:val="bullet"/>
      <w:start w:val="1"/>
    </w:lvl>
  </w:abstractNum>
  <w:abstractNum w:abstractNumId="399">
    <w:nsid w:val="69141769"/>
    <w:multiLevelType w:val="hybridMultilevel"/>
    <w:lvl w:ilvl="0">
      <w:lvlJc w:val="left"/>
      <w:lvlText w:val="-"/>
      <w:numFmt w:val="bullet"/>
      <w:start w:val="1"/>
    </w:lvl>
  </w:abstractNum>
  <w:abstractNum w:abstractNumId="400">
    <w:nsid w:val="7BF45B8E"/>
    <w:multiLevelType w:val="hybridMultilevel"/>
    <w:lvl w:ilvl="0">
      <w:lvlJc w:val="left"/>
      <w:lvlText w:val="-"/>
      <w:numFmt w:val="bullet"/>
      <w:start w:val="1"/>
    </w:lvl>
  </w:abstractNum>
  <w:abstractNum w:abstractNumId="401">
    <w:nsid w:val="41205269"/>
    <w:multiLevelType w:val="hybridMultilevel"/>
    <w:lvl w:ilvl="0">
      <w:lvlJc w:val="left"/>
      <w:lvlText w:val="-"/>
      <w:numFmt w:val="bullet"/>
      <w:start w:val="1"/>
    </w:lvl>
  </w:abstractNum>
  <w:abstractNum w:abstractNumId="402">
    <w:nsid w:val="9AE0DD"/>
    <w:multiLevelType w:val="hybridMultilevel"/>
    <w:lvl w:ilvl="0">
      <w:lvlJc w:val="left"/>
      <w:lvlText w:val="-"/>
      <w:numFmt w:val="bullet"/>
      <w:start w:val="1"/>
    </w:lvl>
  </w:abstractNum>
  <w:abstractNum w:abstractNumId="403">
    <w:nsid w:val="1818832F"/>
    <w:multiLevelType w:val="hybridMultilevel"/>
    <w:lvl w:ilvl="0">
      <w:lvlJc w:val="left"/>
      <w:lvlText w:val="-"/>
      <w:numFmt w:val="bullet"/>
      <w:start w:val="1"/>
    </w:lvl>
  </w:abstractNum>
  <w:abstractNum w:abstractNumId="404">
    <w:nsid w:val="24C29FD1"/>
    <w:multiLevelType w:val="hybridMultilevel"/>
    <w:lvl w:ilvl="0">
      <w:lvlJc w:val="left"/>
      <w:lvlText w:val="7"/>
      <w:numFmt w:val="bullet"/>
      <w:start w:val="1"/>
    </w:lvl>
  </w:abstractNum>
  <w:abstractNum w:abstractNumId="405">
    <w:nsid w:val="50528108"/>
    <w:multiLevelType w:val="hybridMultilevel"/>
    <w:lvl w:ilvl="0">
      <w:lvlJc w:val="left"/>
      <w:lvlText w:val="8"/>
      <w:numFmt w:val="bullet"/>
      <w:start w:val="1"/>
    </w:lvl>
  </w:abstractNum>
  <w:abstractNum w:abstractNumId="406">
    <w:nsid w:val="21857A57"/>
    <w:multiLevelType w:val="hybridMultilevel"/>
    <w:lvl w:ilvl="0">
      <w:lvlJc w:val="left"/>
      <w:lvlText w:val="-"/>
      <w:numFmt w:val="bullet"/>
      <w:start w:val="1"/>
    </w:lvl>
  </w:abstractNum>
  <w:abstractNum w:abstractNumId="407">
    <w:nsid w:val="5FD4B154"/>
    <w:multiLevelType w:val="hybridMultilevel"/>
    <w:lvl w:ilvl="0">
      <w:lvlJc w:val="left"/>
      <w:lvlText w:val="-"/>
      <w:numFmt w:val="bullet"/>
      <w:start w:val="1"/>
    </w:lvl>
  </w:abstractNum>
  <w:abstractNum w:abstractNumId="408">
    <w:nsid w:val="4ABE597"/>
    <w:multiLevelType w:val="hybridMultilevel"/>
    <w:lvl w:ilvl="0">
      <w:lvlJc w:val="left"/>
      <w:lvlText w:val="9"/>
      <w:numFmt w:val="bullet"/>
      <w:start w:val="1"/>
    </w:lvl>
  </w:abstractNum>
  <w:abstractNum w:abstractNumId="409">
    <w:nsid w:val="5C64AD75"/>
    <w:multiLevelType w:val="hybridMultilevel"/>
    <w:lvl w:ilvl="0">
      <w:lvlJc w:val="left"/>
      <w:lvlText w:val="-"/>
      <w:numFmt w:val="bullet"/>
      <w:start w:val="1"/>
    </w:lvl>
  </w:abstractNum>
  <w:abstractNum w:abstractNumId="410">
    <w:nsid w:val="2CDD5B39"/>
    <w:multiLevelType w:val="hybridMultilevel"/>
    <w:lvl w:ilvl="0">
      <w:lvlJc w:val="left"/>
      <w:lvlText w:val="-"/>
      <w:numFmt w:val="bullet"/>
      <w:start w:val="1"/>
    </w:lvl>
  </w:abstractNum>
  <w:abstractNum w:abstractNumId="411">
    <w:nsid w:val="6F9EA0D1"/>
    <w:multiLevelType w:val="hybridMultilevel"/>
    <w:lvl w:ilvl="0">
      <w:lvlJc w:val="left"/>
      <w:lvlText w:val="%1"/>
      <w:numFmt w:val="decimal"/>
      <w:start w:val="11"/>
    </w:lvl>
  </w:abstractNum>
  <w:abstractNum w:abstractNumId="412">
    <w:nsid w:val="247FC4AE"/>
    <w:multiLevelType w:val="hybridMultilevel"/>
    <w:lvl w:ilvl="0">
      <w:lvlJc w:val="left"/>
      <w:lvlText w:val="-"/>
      <w:numFmt w:val="bullet"/>
      <w:start w:val="1"/>
    </w:lvl>
  </w:abstractNum>
  <w:abstractNum w:abstractNumId="413">
    <w:nsid w:val="46C01B05"/>
    <w:multiLevelType w:val="hybridMultilevel"/>
    <w:lvl w:ilvl="0">
      <w:lvlJc w:val="left"/>
      <w:lvlText w:val="-"/>
      <w:numFmt w:val="bullet"/>
      <w:start w:val="1"/>
    </w:lvl>
  </w:abstractNum>
  <w:abstractNum w:abstractNumId="414">
    <w:nsid w:val="566EC29B"/>
    <w:multiLevelType w:val="hybridMultilevel"/>
    <w:lvl w:ilvl="0">
      <w:lvlJc w:val="left"/>
      <w:lvlText w:val="-"/>
      <w:numFmt w:val="bullet"/>
      <w:start w:val="1"/>
    </w:lvl>
  </w:abstractNum>
  <w:abstractNum w:abstractNumId="415">
    <w:nsid w:val="7A963843"/>
    <w:multiLevelType w:val="hybridMultilevel"/>
    <w:lvl w:ilvl="0">
      <w:lvlJc w:val="left"/>
      <w:lvlText w:val="-"/>
      <w:numFmt w:val="bullet"/>
      <w:start w:val="1"/>
    </w:lvl>
  </w:abstractNum>
  <w:abstractNum w:abstractNumId="416">
    <w:nsid w:val="4FE12F61"/>
    <w:multiLevelType w:val="hybridMultilevel"/>
    <w:lvl w:ilvl="0">
      <w:lvlJc w:val="left"/>
      <w:lvlText w:val="-"/>
      <w:numFmt w:val="bullet"/>
      <w:start w:val="1"/>
    </w:lvl>
  </w:abstractNum>
  <w:abstractNum w:abstractNumId="417">
    <w:nsid w:val="51A3A284"/>
    <w:multiLevelType w:val="hybridMultilevel"/>
    <w:lvl w:ilvl="0">
      <w:lvlJc w:val="left"/>
      <w:lvlText w:val="-"/>
      <w:numFmt w:val="bullet"/>
      <w:start w:val="1"/>
    </w:lvl>
  </w:abstractNum>
  <w:abstractNum w:abstractNumId="418">
    <w:nsid w:val="376863BC"/>
    <w:multiLevelType w:val="hybridMultilevel"/>
    <w:lvl w:ilvl="0">
      <w:lvlJc w:val="left"/>
      <w:lvlText w:val="-"/>
      <w:numFmt w:val="bullet"/>
      <w:start w:val="1"/>
    </w:lvl>
  </w:abstractNum>
  <w:abstractNum w:abstractNumId="419">
    <w:nsid w:val="118C6C0"/>
    <w:multiLevelType w:val="hybridMultilevel"/>
    <w:lvl w:ilvl="0">
      <w:lvlJc w:val="left"/>
      <w:lvlText w:val="-"/>
      <w:numFmt w:val="bullet"/>
      <w:start w:val="1"/>
    </w:lvl>
  </w:abstractNum>
  <w:abstractNum w:abstractNumId="420">
    <w:nsid w:val="7F7E4A15"/>
    <w:multiLevelType w:val="hybridMultilevel"/>
    <w:lvl w:ilvl="0">
      <w:lvlJc w:val="left"/>
      <w:lvlText w:val="%1:"/>
      <w:numFmt w:val="upperLetter"/>
      <w:start w:val="29"/>
    </w:lvl>
  </w:abstractNum>
  <w:abstractNum w:abstractNumId="421">
    <w:nsid w:val="2E8E9F47"/>
    <w:multiLevelType w:val="hybridMultilevel"/>
    <w:lvl w:ilvl="0">
      <w:lvlJc w:val="left"/>
      <w:lvlText w:val="(%1)"/>
      <w:numFmt w:val="lowerLetter"/>
      <w:start w:val="3"/>
    </w:lvl>
  </w:abstractNum>
  <w:abstractNum w:abstractNumId="422">
    <w:nsid w:val="76742596"/>
    <w:multiLevelType w:val="hybridMultilevel"/>
    <w:lvl w:ilvl="0">
      <w:lvlJc w:val="left"/>
      <w:lvlText w:val="(%1)"/>
      <w:numFmt w:val="upperLetter"/>
      <w:start w:val="1"/>
    </w:lvl>
  </w:abstractNum>
  <w:abstractNum w:abstractNumId="423">
    <w:nsid w:val="CB55FF3"/>
    <w:multiLevelType w:val="hybridMultilevel"/>
    <w:lvl w:ilvl="0">
      <w:lvlJc w:val="left"/>
      <w:lvlText w:val="-"/>
      <w:numFmt w:val="bullet"/>
      <w:start w:val="1"/>
    </w:lvl>
  </w:abstractNum>
  <w:abstractNum w:abstractNumId="424">
    <w:nsid w:val="21DF319E"/>
    <w:multiLevelType w:val="hybridMultilevel"/>
    <w:lvl w:ilvl="0">
      <w:lvlJc w:val="left"/>
      <w:lvlText w:val="-"/>
      <w:numFmt w:val="bullet"/>
      <w:start w:val="1"/>
    </w:lvl>
  </w:abstractNum>
  <w:abstractNum w:abstractNumId="425">
    <w:nsid w:val="6687F34D"/>
    <w:multiLevelType w:val="hybridMultilevel"/>
    <w:lvl w:ilvl="0">
      <w:lvlJc w:val="left"/>
      <w:lvlText w:val="(%1)"/>
      <w:numFmt w:val="decimal"/>
      <w:start w:val="1"/>
    </w:lvl>
  </w:abstractNum>
  <w:abstractNum w:abstractNumId="426">
    <w:nsid w:val="25415B0C"/>
    <w:multiLevelType w:val="hybridMultilevel"/>
    <w:lvl w:ilvl="0">
      <w:lvlJc w:val="left"/>
      <w:lvlText w:val="(%1)"/>
      <w:numFmt w:val="lowerLetter"/>
      <w:start w:val="1"/>
    </w:lvl>
  </w:abstractNum>
  <w:abstractNum w:abstractNumId="427">
    <w:nsid w:val="17CFC87D"/>
    <w:multiLevelType w:val="hybridMultilevel"/>
    <w:lvl w:ilvl="0">
      <w:lvlJc w:val="left"/>
      <w:lvlText w:val="(%1)"/>
      <w:numFmt w:val="decimal"/>
      <w:start w:val="1"/>
    </w:lvl>
  </w:abstractNum>
  <w:abstractNum w:abstractNumId="428">
    <w:nsid w:val="5D66DC65"/>
    <w:multiLevelType w:val="hybridMultilevel"/>
    <w:lvl w:ilvl="0">
      <w:lvlJc w:val="left"/>
      <w:lvlText w:val="(%1)"/>
      <w:numFmt w:val="decimal"/>
      <w:start w:val="1"/>
    </w:lvl>
  </w:abstractNum>
  <w:abstractNum w:abstractNumId="429">
    <w:nsid w:val="30BB2B99"/>
    <w:multiLevelType w:val="hybridMultilevel"/>
    <w:lvl w:ilvl="0">
      <w:lvlJc w:val="left"/>
      <w:lvlText w:val="(%1)"/>
      <w:numFmt w:val="decimal"/>
      <w:start w:val="1"/>
    </w:lvl>
  </w:abstractNum>
  <w:abstractNum w:abstractNumId="430">
    <w:nsid w:val="E3DFE6"/>
    <w:multiLevelType w:val="hybridMultilevel"/>
    <w:lvl w:ilvl="0">
      <w:lvlJc w:val="left"/>
      <w:lvlText w:val=","/>
      <w:numFmt w:val="bullet"/>
      <w:start w:val="1"/>
    </w:lvl>
  </w:abstractNum>
  <w:abstractNum w:abstractNumId="431">
    <w:nsid w:val="595B37F3"/>
    <w:multiLevelType w:val="hybridMultilevel"/>
    <w:lvl w:ilvl="0">
      <w:lvlJc w:val="left"/>
      <w:lvlText w:val="(%1)"/>
      <w:numFmt w:val="decimal"/>
      <w:start w:val="1"/>
    </w:lvl>
  </w:abstractNum>
  <w:abstractNum w:abstractNumId="432">
    <w:nsid w:val="71DB7E02"/>
    <w:multiLevelType w:val="hybridMultilevel"/>
    <w:lvl w:ilvl="0">
      <w:lvlJc w:val="left"/>
      <w:lvlText w:val="(%1)"/>
      <w:numFmt w:val="decimal"/>
      <w:start w:val="9"/>
    </w:lvl>
  </w:abstractNum>
  <w:abstractNum w:abstractNumId="433">
    <w:nsid w:val="17EC0C4"/>
    <w:multiLevelType w:val="hybridMultilevel"/>
    <w:lvl w:ilvl="0">
      <w:lvlJc w:val="left"/>
      <w:lvlText w:val="(%1)"/>
      <w:numFmt w:val="decimal"/>
      <w:start w:val="19"/>
    </w:lvl>
  </w:abstractNum>
  <w:abstractNum w:abstractNumId="434">
    <w:nsid w:val="7173BB22"/>
    <w:multiLevelType w:val="hybridMultilevel"/>
    <w:lvl w:ilvl="0">
      <w:lvlJc w:val="left"/>
      <w:lvlText w:val="(%1)"/>
      <w:numFmt w:val="decimal"/>
      <w:start w:val="1"/>
    </w:lvl>
  </w:abstractNum>
  <w:abstractNum w:abstractNumId="435">
    <w:nsid w:val="169E1DD3"/>
    <w:multiLevelType w:val="hybridMultilevel"/>
    <w:lvl w:ilvl="0">
      <w:lvlJc w:val="left"/>
      <w:lvlText w:val="(%1)"/>
      <w:numFmt w:val="decimal"/>
      <w:start w:val="1"/>
    </w:lvl>
  </w:abstractNum>
  <w:abstractNum w:abstractNumId="436">
    <w:nsid w:val="51D141CC"/>
    <w:multiLevelType w:val="hybridMultilevel"/>
    <w:lvl w:ilvl="0">
      <w:lvlJc w:val="left"/>
      <w:lvlText w:val="(%1)"/>
      <w:numFmt w:val="decimal"/>
      <w:start w:val="1"/>
    </w:lvl>
  </w:abstractNum>
  <w:abstractNum w:abstractNumId="437">
    <w:nsid w:val="12F9357A"/>
    <w:multiLevelType w:val="hybridMultilevel"/>
    <w:lvl w:ilvl="0">
      <w:lvlJc w:val="left"/>
      <w:lvlText w:val="(%1)"/>
      <w:numFmt w:val="decimal"/>
      <w:start w:val="2"/>
    </w:lvl>
  </w:abstractNum>
  <w:abstractNum w:abstractNumId="438">
    <w:nsid w:val="7672CF28"/>
    <w:multiLevelType w:val="hybridMultilevel"/>
    <w:lvl w:ilvl="0">
      <w:lvlJc w:val="left"/>
      <w:lvlText w:val="(%1)"/>
      <w:numFmt w:val="decimal"/>
      <w:start w:val="1"/>
    </w:lvl>
  </w:abstractNum>
  <w:abstractNum w:abstractNumId="439">
    <w:nsid w:val="567D2763"/>
    <w:multiLevelType w:val="hybridMultilevel"/>
    <w:lvl w:ilvl="0">
      <w:lvlJc w:val="left"/>
      <w:lvlText w:val="(%1)"/>
      <w:numFmt w:val="decimal"/>
      <w:start w:val="2"/>
    </w:lvl>
  </w:abstractNum>
  <w:abstractNum w:abstractNumId="440">
    <w:nsid w:val="6F5DE2EF"/>
    <w:multiLevelType w:val="hybridMultilevel"/>
    <w:lvl w:ilvl="0">
      <w:lvlJc w:val="left"/>
      <w:lvlText w:val="(%1)"/>
      <w:numFmt w:val="decimal"/>
      <w:start w:val="1"/>
    </w:lvl>
  </w:abstractNum>
  <w:abstractNum w:abstractNumId="441">
    <w:nsid w:val="23502A61"/>
    <w:multiLevelType w:val="hybridMultilevel"/>
    <w:lvl w:ilvl="0">
      <w:lvlJc w:val="left"/>
      <w:lvlText w:val="(%1)"/>
      <w:numFmt w:val="upperLetter"/>
      <w:start w:val="2"/>
    </w:lvl>
    <w:lvl w:ilvl="1">
      <w:lvlJc w:val="left"/>
      <w:lvlText w:val="(%2)"/>
      <w:numFmt w:val="decimal"/>
      <w:start w:val="6"/>
    </w:lvl>
  </w:abstractNum>
  <w:abstractNum w:abstractNumId="442">
    <w:nsid w:val="461BC834"/>
    <w:multiLevelType w:val="hybridMultilevel"/>
    <w:lvl w:ilvl="0">
      <w:lvlJc w:val="left"/>
      <w:lvlText w:val="(%1)"/>
      <w:numFmt w:val="decimal"/>
      <w:start w:val="1"/>
    </w:lvl>
  </w:abstractNum>
  <w:abstractNum w:abstractNumId="443">
    <w:nsid w:val="13DDA79D"/>
    <w:multiLevelType w:val="hybridMultilevel"/>
    <w:lvl w:ilvl="0">
      <w:lvlJc w:val="left"/>
      <w:lvlText w:val="(%1)"/>
      <w:numFmt w:val="decimal"/>
      <w:start w:val="1"/>
    </w:lvl>
  </w:abstractNum>
  <w:abstractNum w:abstractNumId="444">
    <w:nsid w:val="6A104566"/>
    <w:multiLevelType w:val="hybridMultilevel"/>
    <w:lvl w:ilvl="0">
      <w:lvlJc w:val="left"/>
      <w:lvlText w:val="(%1)"/>
      <w:numFmt w:val="decimal"/>
      <w:start w:val="1"/>
    </w:lvl>
  </w:abstractNum>
  <w:abstractNum w:abstractNumId="445">
    <w:nsid w:val="1C8A8ACF"/>
    <w:multiLevelType w:val="hybridMultilevel"/>
    <w:lvl w:ilvl="0">
      <w:lvlJc w:val="left"/>
      <w:lvlText w:val="(%1)"/>
      <w:numFmt w:val="decimal"/>
      <w:start w:val="2"/>
    </w:lvl>
  </w:abstractNum>
  <w:abstractNum w:abstractNumId="446">
    <w:nsid w:val="E73DFE0"/>
    <w:multiLevelType w:val="hybridMultilevel"/>
    <w:lvl w:ilvl="0">
      <w:lvlJc w:val="left"/>
      <w:lvlText w:val="(%1)"/>
      <w:numFmt w:val="decimal"/>
      <w:start w:val="1"/>
    </w:lvl>
  </w:abstractNum>
  <w:abstractNum w:abstractNumId="447">
    <w:nsid w:val="39F174C7"/>
    <w:multiLevelType w:val="hybridMultilevel"/>
    <w:lvl w:ilvl="0">
      <w:lvlJc w:val="left"/>
      <w:lvlText w:val="(%1)"/>
      <w:numFmt w:val="decimal"/>
      <w:start w:val="2"/>
    </w:lvl>
  </w:abstractNum>
  <w:abstractNum w:abstractNumId="448">
    <w:nsid w:val="6E2E2D53"/>
    <w:multiLevelType w:val="hybridMultilevel"/>
    <w:lvl w:ilvl="0">
      <w:lvlJc w:val="left"/>
      <w:lvlText w:val="(%1)"/>
      <w:numFmt w:val="decimal"/>
      <w:start w:val="1"/>
    </w:lvl>
  </w:abstractNum>
  <w:abstractNum w:abstractNumId="449">
    <w:nsid w:val="45DC439D"/>
    <w:multiLevelType w:val="hybridMultilevel"/>
    <w:lvl w:ilvl="0">
      <w:lvlJc w:val="left"/>
      <w:lvlText w:val="%1"/>
      <w:numFmt w:val="lowerRoman"/>
      <w:start w:val="1"/>
    </w:lvl>
    <w:lvl w:ilvl="1">
      <w:lvlJc w:val="left"/>
      <w:lvlText w:val="(%2)"/>
      <w:numFmt w:val="decimal"/>
      <w:start w:val="1"/>
    </w:lvl>
  </w:abstractNum>
  <w:abstractNum w:abstractNumId="450">
    <w:nsid w:val="3B0A3B87"/>
    <w:multiLevelType w:val="hybridMultilevel"/>
    <w:lvl w:ilvl="0">
      <w:lvlJc w:val="left"/>
      <w:lvlText w:val="(%1)"/>
      <w:numFmt w:val="lowerRoman"/>
      <w:start w:val="2"/>
    </w:lvl>
    <w:lvl w:ilvl="1">
      <w:lvlJc w:val="left"/>
      <w:lvlText w:val="%2"/>
      <w:numFmt w:val="decimal"/>
      <w:start w:val="1"/>
    </w:lvl>
  </w:abstractNum>
  <w:abstractNum w:abstractNumId="451">
    <w:nsid w:val="6DAC7768"/>
    <w:multiLevelType w:val="hybridMultilevel"/>
    <w:lvl w:ilvl="0">
      <w:lvlJc w:val="left"/>
      <w:lvlText w:val="(%1)"/>
      <w:numFmt w:val="decimal"/>
      <w:start w:val="1"/>
    </w:lvl>
  </w:abstractNum>
  <w:abstractNum w:abstractNumId="452">
    <w:nsid w:val="746AE2E4"/>
    <w:multiLevelType w:val="hybridMultilevel"/>
    <w:lvl w:ilvl="0">
      <w:lvlJc w:val="left"/>
      <w:lvlText w:val="(%1)"/>
      <w:numFmt w:val="decimal"/>
      <w:start w:val="1"/>
    </w:lvl>
  </w:abstractNum>
  <w:abstractNum w:abstractNumId="453">
    <w:nsid w:val="317E611D"/>
    <w:multiLevelType w:val="hybridMultilevel"/>
    <w:lvl w:ilvl="0">
      <w:lvlJc w:val="left"/>
      <w:lvlText w:val="(%1)"/>
      <w:numFmt w:val="decimal"/>
      <w:start w:val="1"/>
    </w:lvl>
  </w:abstractNum>
  <w:abstractNum w:abstractNumId="454">
    <w:nsid w:val="7A61D75B"/>
    <w:multiLevelType w:val="hybridMultilevel"/>
    <w:lvl w:ilvl="0">
      <w:lvlJc w:val="left"/>
      <w:lvlText w:val="(%1)"/>
      <w:numFmt w:val="decimal"/>
      <w:start w:val="1"/>
    </w:lvl>
  </w:abstractNum>
  <w:abstractNum w:abstractNumId="455">
    <w:nsid w:val="164A1482"/>
    <w:multiLevelType w:val="hybridMultilevel"/>
    <w:lvl w:ilvl="0">
      <w:lvlJc w:val="left"/>
      <w:lvlText w:val="(%1)"/>
      <w:numFmt w:val="decimal"/>
      <w:start w:val="1"/>
    </w:lvl>
  </w:abstractNum>
  <w:abstractNum w:abstractNumId="456">
    <w:nsid w:val="1806546B"/>
    <w:multiLevelType w:val="hybridMultilevel"/>
    <w:lvl w:ilvl="0">
      <w:lvlJc w:val="left"/>
      <w:lvlText w:val="(%1)"/>
      <w:numFmt w:val="decimal"/>
      <w:start w:val="2"/>
    </w:lvl>
  </w:abstractNum>
  <w:abstractNum w:abstractNumId="457">
    <w:nsid w:val="1FA33267"/>
    <w:multiLevelType w:val="hybridMultilevel"/>
    <w:lvl w:ilvl="0">
      <w:lvlJc w:val="left"/>
      <w:lvlText w:val="(%1)"/>
      <w:numFmt w:val="decimal"/>
      <w:start w:val="1"/>
    </w:lvl>
  </w:abstractNum>
  <w:abstractNum w:abstractNumId="458">
    <w:nsid w:val="2E19DD00"/>
    <w:multiLevelType w:val="hybridMultilevel"/>
    <w:lvl w:ilvl="0">
      <w:lvlJc w:val="left"/>
      <w:lvlText w:val="(%1)"/>
      <w:numFmt w:val="lowerRoman"/>
      <w:start w:val="1"/>
    </w:lvl>
    <w:lvl w:ilvl="1">
      <w:lvlJc w:val="left"/>
      <w:lvlText w:val="(%2)"/>
      <w:numFmt w:val="decimal"/>
      <w:start w:val="6"/>
    </w:lvl>
  </w:abstractNum>
  <w:abstractNum w:abstractNumId="459">
    <w:nsid w:val="756D30D0"/>
    <w:multiLevelType w:val="hybridMultilevel"/>
    <w:lvl w:ilvl="0">
      <w:lvlJc w:val="left"/>
      <w:lvlText w:val="(%1)"/>
      <w:numFmt w:val="decimal"/>
      <w:start w:val="1"/>
    </w:lvl>
  </w:abstractNum>
  <w:abstractNum w:abstractNumId="460">
    <w:nsid w:val="505E5E01"/>
    <w:multiLevelType w:val="hybridMultilevel"/>
    <w:lvl w:ilvl="0">
      <w:lvlJc w:val="left"/>
      <w:lvlText w:val="(%1)"/>
      <w:numFmt w:val="decimal"/>
      <w:start w:val="1"/>
    </w:lvl>
  </w:abstractNum>
  <w:abstractNum w:abstractNumId="461">
    <w:nsid w:val="2EFDBCE6"/>
    <w:multiLevelType w:val="hybridMultilevel"/>
    <w:lvl w:ilvl="0">
      <w:lvlJc w:val="left"/>
      <w:lvlText w:val="(%1)"/>
      <w:numFmt w:val="decimal"/>
      <w:start w:val="7"/>
    </w:lvl>
  </w:abstractNum>
  <w:abstractNum w:abstractNumId="462">
    <w:nsid w:val="4EC868C4"/>
    <w:multiLevelType w:val="hybridMultilevel"/>
    <w:lvl w:ilvl="0">
      <w:lvlJc w:val="left"/>
      <w:lvlText w:val="(%1)"/>
      <w:numFmt w:val="decimal"/>
      <w:start w:val="1"/>
    </w:lvl>
  </w:abstractNum>
  <w:abstractNum w:abstractNumId="463">
    <w:nsid w:val="4239DC03"/>
    <w:multiLevelType w:val="hybridMultilevel"/>
    <w:lvl w:ilvl="0">
      <w:lvlJc w:val="left"/>
      <w:lvlText w:val="(%1)"/>
      <w:numFmt w:val="decimal"/>
      <w:start w:val="3"/>
    </w:lvl>
  </w:abstractNum>
  <w:abstractNum w:abstractNumId="464">
    <w:nsid w:val="307C7DAA"/>
    <w:multiLevelType w:val="hybridMultilevel"/>
    <w:lvl w:ilvl="0">
      <w:lvlJc w:val="left"/>
      <w:lvlText w:val="(%1)"/>
      <w:numFmt w:val="decimal"/>
      <w:start w:val="1"/>
    </w:lvl>
  </w:abstractNum>
  <w:abstractNum w:abstractNumId="465">
    <w:nsid w:val="403C23E6"/>
    <w:multiLevelType w:val="hybridMultilevel"/>
    <w:lvl w:ilvl="0">
      <w:lvlJc w:val="left"/>
      <w:lvlText w:val="(%1)"/>
      <w:numFmt w:val="decimal"/>
      <w:start w:val="1"/>
    </w:lvl>
  </w:abstractNum>
  <w:abstractNum w:abstractNumId="466">
    <w:nsid w:val="58D7F9D7"/>
    <w:multiLevelType w:val="hybridMultilevel"/>
    <w:lvl w:ilvl="0">
      <w:lvlJc w:val="left"/>
      <w:lvlText w:val="(%1)"/>
      <w:numFmt w:val="decimal"/>
      <w:start w:val="5"/>
    </w:lvl>
  </w:abstractNum>
  <w:abstractNum w:abstractNumId="467">
    <w:nsid w:val="24DBF76"/>
    <w:multiLevelType w:val="hybridMultilevel"/>
    <w:lvl w:ilvl="0">
      <w:lvlJc w:val="left"/>
      <w:lvlText w:val="-"/>
      <w:numFmt w:val="bullet"/>
      <w:start w:val="1"/>
    </w:lvl>
  </w:abstractNum>
  <w:abstractNum w:abstractNumId="468">
    <w:nsid w:val="53355960"/>
    <w:multiLevelType w:val="hybridMultilevel"/>
    <w:lvl w:ilvl="0">
      <w:lvlJc w:val="left"/>
      <w:lvlText w:val=")"/>
      <w:numFmt w:val="bullet"/>
      <w:start w:val="1"/>
    </w:lvl>
  </w:abstractNum>
  <w:abstractNum w:abstractNumId="469">
    <w:nsid w:val="4F4AC8FF"/>
    <w:multiLevelType w:val="hybridMultilevel"/>
    <w:lvl w:ilvl="0">
      <w:lvlJc w:val="left"/>
      <w:lvlText w:val=")"/>
      <w:numFmt w:val="bullet"/>
      <w:start w:val="1"/>
    </w:lvl>
  </w:abstractNum>
  <w:abstractNum w:abstractNumId="470">
    <w:nsid w:val="58CAE6D9"/>
    <w:multiLevelType w:val="hybridMultilevel"/>
    <w:lvl w:ilvl="0">
      <w:lvlJc w:val="left"/>
      <w:lvlText w:val="%1."/>
      <w:numFmt w:val="decimal"/>
      <w:start w:val="1"/>
    </w:lvl>
  </w:abstractNum>
  <w:abstractNum w:abstractNumId="471">
    <w:nsid w:val="42933C4F"/>
    <w:multiLevelType w:val="hybridMultilevel"/>
    <w:lvl w:ilvl="0">
      <w:lvlJc w:val="left"/>
      <w:lvlText w:val="%1"/>
      <w:numFmt w:val="lowerLetter"/>
      <w:start w:val="1"/>
    </w:lvl>
    <w:lvl w:ilvl="1">
      <w:lvlJc w:val="left"/>
      <w:lvlText w:val="%2."/>
      <w:numFmt w:val="decimal"/>
      <w:start w:val="6"/>
    </w:lvl>
  </w:abstractNum>
  <w:abstractNum w:abstractNumId="472">
    <w:nsid w:val="729AF360"/>
    <w:multiLevelType w:val="hybridMultilevel"/>
    <w:lvl w:ilvl="0">
      <w:lvlJc w:val="left"/>
      <w:lvlText w:val="(%1)"/>
      <w:numFmt w:val="lowerLetter"/>
      <w:start w:val="25"/>
    </w:lvl>
    <w:lvl w:ilvl="1">
      <w:lvlJc w:val="left"/>
      <w:lvlText w:val="%2"/>
      <w:numFmt w:val="decimal"/>
      <w:start w:val="1"/>
    </w:lvl>
  </w:abstractNum>
  <w:abstractNum w:abstractNumId="473">
    <w:nsid w:val="1EE6AF0D"/>
    <w:multiLevelType w:val="hybridMultilevel"/>
    <w:lvl w:ilvl="0">
      <w:lvlJc w:val="left"/>
      <w:lvlText w:val="(%1)"/>
      <w:numFmt w:val="upperLetter"/>
      <w:start w:val="1"/>
    </w:lvl>
  </w:abstractNum>
  <w:abstractNum w:abstractNumId="474">
    <w:nsid w:val="5670E3ED"/>
    <w:multiLevelType w:val="hybridMultilevel"/>
    <w:lvl w:ilvl="0">
      <w:lvlJc w:val="left"/>
      <w:lvlText w:val="%1."/>
      <w:numFmt w:val="decimal"/>
      <w:start w:val="8"/>
    </w:lvl>
  </w:abstractNum>
  <w:abstractNum w:abstractNumId="475">
    <w:nsid w:val="5CAB38C6"/>
    <w:multiLevelType w:val="hybridMultilevel"/>
    <w:lvl w:ilvl="0">
      <w:lvlJc w:val="left"/>
      <w:lvlText w:val="%1."/>
      <w:numFmt w:val="decimal"/>
      <w:start w:val="1"/>
    </w:lvl>
  </w:abstractNum>
  <w:abstractNum w:abstractNumId="476">
    <w:nsid w:val="3B7139DD"/>
    <w:multiLevelType w:val="hybridMultilevel"/>
    <w:lvl w:ilvl="0">
      <w:lvlJc w:val="left"/>
      <w:lvlText w:val="%1."/>
      <w:numFmt w:val="decimal"/>
      <w:start w:val="4"/>
    </w:lvl>
  </w:abstractNum>
  <w:abstractNum w:abstractNumId="477">
    <w:nsid w:val="64E4C3CD"/>
    <w:multiLevelType w:val="hybridMultilevel"/>
    <w:lvl w:ilvl="0">
      <w:lvlJc w:val="left"/>
      <w:lvlText w:val="(%1)"/>
      <w:numFmt w:val="upperLetter"/>
      <w:start w:val="1"/>
    </w:lvl>
  </w:abstractNum>
  <w:abstractNum w:abstractNumId="478">
    <w:nsid w:val="169CAD8D"/>
    <w:multiLevelType w:val="hybridMultilevel"/>
    <w:lvl w:ilvl="0">
      <w:lvlJc w:val="left"/>
      <w:lvlText w:val="%1."/>
      <w:numFmt w:val="decimal"/>
      <w:start w:val="8"/>
    </w:lvl>
  </w:abstractNum>
  <w:abstractNum w:abstractNumId="479">
    <w:nsid w:val="299F6730"/>
    <w:multiLevelType w:val="hybridMultilevel"/>
    <w:lvl w:ilvl="0">
      <w:lvlJc w:val="left"/>
      <w:lvlText w:val="(%1)"/>
      <w:numFmt w:val="upperLetter"/>
      <w:start w:val="1"/>
    </w:lvl>
  </w:abstractNum>
  <w:abstractNum w:abstractNumId="480">
    <w:nsid w:val="2AC1076A"/>
    <w:multiLevelType w:val="hybridMultilevel"/>
    <w:lvl w:ilvl="0">
      <w:lvlJc w:val="left"/>
      <w:lvlText w:val="(%1)"/>
      <w:numFmt w:val="upperLetter"/>
      <w:start w:val="1"/>
    </w:lvl>
  </w:abstractNum>
  <w:abstractNum w:abstractNumId="481">
    <w:nsid w:val="51A6E915"/>
    <w:multiLevelType w:val="hybridMultilevel"/>
    <w:lvl w:ilvl="0">
      <w:lvlJc w:val="left"/>
      <w:lvlText w:val="(%1)"/>
      <w:numFmt w:val="lowerLetter"/>
      <w:start w:val="1"/>
    </w:lvl>
    <w:lvl w:ilvl="1">
      <w:lvlJc w:val="left"/>
      <w:lvlText w:val="(%2)"/>
      <w:numFmt w:val="decimal"/>
      <w:start w:val="2"/>
    </w:lvl>
  </w:abstractNum>
  <w:abstractNum w:abstractNumId="482">
    <w:nsid w:val="174BDE99"/>
    <w:multiLevelType w:val="hybridMultilevel"/>
    <w:lvl w:ilvl="0">
      <w:lvlJc w:val="left"/>
      <w:lvlText w:val="%1:"/>
      <w:numFmt w:val="upperLetter"/>
      <w:start w:val="29"/>
    </w:lvl>
  </w:abstractNum>
  <w:abstractNum w:abstractNumId="483">
    <w:nsid w:val="1F2BEA4E"/>
    <w:multiLevelType w:val="hybridMultilevel"/>
    <w:lvl w:ilvl="0">
      <w:lvlJc w:val="left"/>
      <w:lvlText w:val="%1."/>
      <w:numFmt w:val="decimal"/>
      <w:start w:val="1"/>
    </w:lvl>
  </w:abstractNum>
  <w:abstractNum w:abstractNumId="484">
    <w:nsid w:val="3254A32"/>
    <w:multiLevelType w:val="hybridMultilevel"/>
    <w:lvl w:ilvl="0">
      <w:lvlJc w:val="left"/>
      <w:lvlText w:val="%1."/>
      <w:numFmt w:val="decimal"/>
      <w:start w:val="1"/>
    </w:lvl>
  </w:abstractNum>
  <w:abstractNum w:abstractNumId="485">
    <w:nsid w:val="11ADB5F4"/>
    <w:multiLevelType w:val="hybridMultilevel"/>
    <w:lvl w:ilvl="0">
      <w:lvlJc w:val="left"/>
      <w:lvlText w:val="%1."/>
      <w:numFmt w:val="decimal"/>
      <w:start w:val="1"/>
    </w:lvl>
  </w:abstractNum>
  <w:abstractNum w:abstractNumId="486">
    <w:nsid w:val="3575FED1"/>
    <w:multiLevelType w:val="hybridMultilevel"/>
    <w:lvl w:ilvl="0">
      <w:lvlJc w:val="left"/>
      <w:lvlText w:val="%1."/>
      <w:numFmt w:val="decimal"/>
      <w:start w:val="1"/>
    </w:lvl>
  </w:abstractNum>
  <w:abstractNum w:abstractNumId="487">
    <w:nsid w:val="1B2B9E9D"/>
    <w:multiLevelType w:val="hybridMultilevel"/>
    <w:lvl w:ilvl="0">
      <w:lvlJc w:val="left"/>
      <w:lvlText w:val="%1."/>
      <w:numFmt w:val="decimal"/>
      <w:start w:val="2"/>
    </w:lvl>
  </w:abstractNum>
  <w:abstractNum w:abstractNumId="488">
    <w:nsid w:val="3150E85C"/>
    <w:multiLevelType w:val="hybridMultilevel"/>
    <w:lvl w:ilvl="0">
      <w:lvlJc w:val="left"/>
      <w:lvlText w:val="%1."/>
      <w:numFmt w:val="decimal"/>
      <w:start w:val="3"/>
    </w:lvl>
  </w:abstractNum>
  <w:abstractNum w:abstractNumId="489">
    <w:nsid w:val="638FDBD1"/>
    <w:multiLevelType w:val="hybridMultilevel"/>
    <w:lvl w:ilvl="0">
      <w:lvlJc w:val="left"/>
      <w:lvlText w:val="%1."/>
      <w:numFmt w:val="decimal"/>
      <w:start w:val="4"/>
    </w:lvl>
  </w:abstractNum>
  <w:abstractNum w:abstractNumId="490">
    <w:nsid w:val="1098CF6E"/>
    <w:multiLevelType w:val="hybridMultilevel"/>
    <w:lvl w:ilvl="0">
      <w:lvlJc w:val="left"/>
      <w:lvlText w:val="%1."/>
      <w:numFmt w:val="decimal"/>
      <w:start w:val="5"/>
    </w:lvl>
  </w:abstractNum>
  <w:abstractNum w:abstractNumId="491">
    <w:nsid w:val="1AF465D"/>
    <w:multiLevelType w:val="hybridMultilevel"/>
    <w:lvl w:ilvl="0">
      <w:lvlJc w:val="left"/>
      <w:lvlText w:val="%1."/>
      <w:numFmt w:val="decimal"/>
      <w:start w:val="6"/>
    </w:lvl>
  </w:abstractNum>
  <w:abstractNum w:abstractNumId="492">
    <w:nsid w:val="128D98B7"/>
    <w:multiLevelType w:val="hybridMultilevel"/>
    <w:lvl w:ilvl="0">
      <w:lvlJc w:val="left"/>
      <w:lvlText w:val="%1."/>
      <w:numFmt w:val="decimal"/>
      <w:start w:val="6"/>
    </w:lvl>
  </w:abstractNum>
  <w:abstractNum w:abstractNumId="493">
    <w:nsid w:val="5F613832"/>
    <w:multiLevelType w:val="hybridMultilevel"/>
    <w:lvl w:ilvl="0">
      <w:lvlJc w:val="left"/>
      <w:lvlText w:val="%1."/>
      <w:numFmt w:val="decimal"/>
      <w:start w:val="7"/>
    </w:lvl>
  </w:abstractNum>
  <w:abstractNum w:abstractNumId="494">
    <w:nsid w:val="43E92260"/>
    <w:multiLevelType w:val="hybridMultilevel"/>
    <w:lvl w:ilvl="0">
      <w:lvlJc w:val="left"/>
      <w:lvlText w:val="%1."/>
      <w:numFmt w:val="decimal"/>
      <w:start w:val="8"/>
    </w:lvl>
  </w:abstractNum>
  <w:abstractNum w:abstractNumId="495">
    <w:nsid w:val="430A1662"/>
    <w:multiLevelType w:val="hybridMultilevel"/>
    <w:lvl w:ilvl="0">
      <w:lvlJc w:val="left"/>
      <w:lvlText w:val="%1."/>
      <w:numFmt w:val="decimal"/>
      <w:start w:val="8"/>
    </w:lvl>
  </w:abstractNum>
  <w:abstractNum w:abstractNumId="496">
    <w:nsid w:val="1F9D5C18"/>
    <w:multiLevelType w:val="hybridMultilevel"/>
    <w:lvl w:ilvl="0">
      <w:lvlJc w:val="left"/>
      <w:lvlText w:val="%1."/>
      <w:numFmt w:val="decimal"/>
      <w:start w:val="9"/>
    </w:lvl>
  </w:abstractNum>
  <w:abstractNum w:abstractNumId="497">
    <w:nsid w:val="1CC11C37"/>
    <w:multiLevelType w:val="hybridMultilevel"/>
    <w:lvl w:ilvl="0">
      <w:lvlJc w:val="left"/>
      <w:lvlText w:val="%1."/>
      <w:numFmt w:val="decimal"/>
      <w:start w:val="10"/>
    </w:lvl>
  </w:abstractNum>
  <w:abstractNum w:abstractNumId="498">
    <w:nsid w:val="4557D5D8"/>
    <w:multiLevelType w:val="hybridMultilevel"/>
    <w:lvl w:ilvl="0">
      <w:lvlJc w:val="left"/>
      <w:lvlText w:val="%1."/>
      <w:numFmt w:val="decimal"/>
      <w:start w:val="11"/>
    </w:lvl>
  </w:abstractNum>
  <w:abstractNum w:abstractNumId="499">
    <w:nsid w:val="72D2B579"/>
    <w:multiLevelType w:val="hybridMultilevel"/>
    <w:lvl w:ilvl="0">
      <w:lvlJc w:val="left"/>
      <w:lvlText w:val="%1."/>
      <w:numFmt w:val="decimal"/>
      <w:start w:val="1"/>
    </w:lvl>
  </w:abstractNum>
  <w:abstractNum w:abstractNumId="500">
    <w:nsid w:val="6C0BE536"/>
    <w:multiLevelType w:val="hybridMultilevel"/>
    <w:lvl w:ilvl="0">
      <w:lvlJc w:val="left"/>
      <w:lvlText w:val="%1."/>
      <w:numFmt w:val="decimal"/>
      <w:start w:val="2"/>
    </w:lvl>
  </w:abstractNum>
  <w:abstractNum w:abstractNumId="501">
    <w:nsid w:val="1E22BCB2"/>
    <w:multiLevelType w:val="hybridMultilevel"/>
    <w:lvl w:ilvl="0">
      <w:lvlJc w:val="left"/>
      <w:lvlText w:val="["/>
      <w:numFmt w:val="bullet"/>
      <w:start w:val="1"/>
    </w:lvl>
  </w:abstractNum>
  <w:abstractNum w:abstractNumId="502">
    <w:nsid w:val="3565F1C8"/>
    <w:multiLevelType w:val="hybridMultilevel"/>
    <w:lvl w:ilvl="0">
      <w:lvlJc w:val="left"/>
      <w:lvlText w:val="["/>
      <w:numFmt w:val="bullet"/>
      <w:start w:val="1"/>
    </w:lvl>
  </w:abstractNum>
  <w:abstractNum w:abstractNumId="503">
    <w:nsid w:val="5EA6D896"/>
    <w:multiLevelType w:val="hybridMultilevel"/>
    <w:lvl w:ilvl="0">
      <w:lvlJc w:val="left"/>
      <w:lvlText w:val="%1."/>
      <w:numFmt w:val="upperLetter"/>
      <w:start w:val="1"/>
    </w:lvl>
  </w:abstractNum>
  <w:abstractNum w:abstractNumId="504">
    <w:nsid w:val="3D096BBF"/>
    <w:multiLevelType w:val="hybridMultilevel"/>
    <w:lvl w:ilvl="0">
      <w:lvlJc w:val="left"/>
      <w:lvlText w:val="%1."/>
      <w:numFmt w:val="decimal"/>
      <w:start w:val="1"/>
    </w:lvl>
  </w:abstractNum>
  <w:abstractNum w:abstractNumId="505">
    <w:nsid w:val="BD6D5B5"/>
    <w:multiLevelType w:val="hybridMultilevel"/>
    <w:lvl w:ilvl="0">
      <w:lvlJc w:val="left"/>
      <w:lvlText w:val="-"/>
      <w:numFmt w:val="bullet"/>
      <w:start w:val="1"/>
    </w:lvl>
  </w:abstractNum>
  <w:abstractNum w:abstractNumId="506">
    <w:nsid w:val="3B52115C"/>
    <w:multiLevelType w:val="hybridMultilevel"/>
    <w:lvl w:ilvl="0">
      <w:lvlJc w:val="left"/>
      <w:lvlText w:val="-"/>
      <w:numFmt w:val="bullet"/>
      <w:start w:val="1"/>
    </w:lvl>
  </w:abstractNum>
  <w:abstractNum w:abstractNumId="507">
    <w:nsid w:val="787AA59C"/>
    <w:multiLevelType w:val="hybridMultilevel"/>
    <w:lvl w:ilvl="0">
      <w:lvlJc w:val="left"/>
      <w:lvlText w:val="-"/>
      <w:numFmt w:val="bullet"/>
      <w:start w:val="1"/>
    </w:lvl>
  </w:abstractNum>
  <w:abstractNum w:abstractNumId="508">
    <w:nsid w:val="70BB9983"/>
    <w:multiLevelType w:val="hybridMultilevel"/>
    <w:lvl w:ilvl="0">
      <w:lvlJc w:val="left"/>
      <w:lvlText w:val="-"/>
      <w:numFmt w:val="bullet"/>
      <w:start w:val="1"/>
    </w:lvl>
  </w:abstractNum>
  <w:abstractNum w:abstractNumId="509">
    <w:nsid w:val="51EEBEEA"/>
    <w:multiLevelType w:val="hybridMultilevel"/>
    <w:lvl w:ilvl="0">
      <w:lvlJc w:val="left"/>
      <w:lvlText w:val="-"/>
      <w:numFmt w:val="bullet"/>
      <w:start w:val="1"/>
    </w:lvl>
  </w:abstractNum>
  <w:abstractNum w:abstractNumId="510">
    <w:nsid w:val="221A0CCD"/>
    <w:multiLevelType w:val="hybridMultilevel"/>
    <w:lvl w:ilvl="0">
      <w:lvlJc w:val="left"/>
      <w:lvlText w:val="-"/>
      <w:numFmt w:val="bullet"/>
      <w:start w:val="1"/>
    </w:lvl>
  </w:abstractNum>
  <w:abstractNum w:abstractNumId="511">
    <w:nsid w:val="1B7CA0ED"/>
    <w:multiLevelType w:val="hybridMultilevel"/>
    <w:lvl w:ilvl="0">
      <w:lvlJc w:val="left"/>
      <w:lvlText w:val="-"/>
      <w:numFmt w:val="bullet"/>
      <w:start w:val="1"/>
    </w:lvl>
  </w:abstractNum>
  <w:abstractNum w:abstractNumId="512">
    <w:nsid w:val="2395A7FF"/>
    <w:multiLevelType w:val="hybridMultilevel"/>
    <w:lvl w:ilvl="0">
      <w:lvlJc w:val="left"/>
      <w:lvlText w:val="-"/>
      <w:numFmt w:val="bullet"/>
      <w:start w:val="1"/>
    </w:lvl>
  </w:abstractNum>
  <w:abstractNum w:abstractNumId="513">
    <w:nsid w:val="3965EB66"/>
    <w:multiLevelType w:val="hybridMultilevel"/>
    <w:lvl w:ilvl="0">
      <w:lvlJc w:val="left"/>
      <w:lvlText w:val="-"/>
      <w:numFmt w:val="bullet"/>
      <w:start w:val="1"/>
    </w:lvl>
  </w:abstractNum>
  <w:abstractNum w:abstractNumId="514">
    <w:nsid w:val="3AA88B3C"/>
    <w:multiLevelType w:val="hybridMultilevel"/>
    <w:lvl w:ilvl="0">
      <w:lvlJc w:val="left"/>
      <w:lvlText w:val="(%1)"/>
      <w:numFmt w:val="decimal"/>
      <w:start w:val="1"/>
    </w:lvl>
  </w:abstractNum>
  <w:abstractNum w:abstractNumId="515">
    <w:nsid w:val="26BAF231"/>
    <w:multiLevelType w:val="hybridMultilevel"/>
    <w:lvl w:ilvl="0">
      <w:lvlJc w:val="left"/>
      <w:lvlText w:val="(%1)"/>
      <w:numFmt w:val="lowerLetter"/>
      <w:start w:val="1"/>
    </w:lvl>
  </w:abstractNum>
  <w:abstractNum w:abstractNumId="516">
    <w:nsid w:val="4B13A15A"/>
    <w:multiLevelType w:val="hybridMultilevel"/>
    <w:lvl w:ilvl="0">
      <w:lvlJc w:val="left"/>
      <w:lvlText w:val="(%1)"/>
      <w:numFmt w:val="decimal"/>
      <w:start w:val="2"/>
    </w:lvl>
  </w:abstractNum>
  <w:abstractNum w:abstractNumId="517">
    <w:nsid w:val="701E8A0D"/>
    <w:multiLevelType w:val="hybridMultilevel"/>
    <w:lvl w:ilvl="0">
      <w:lvlJc w:val="left"/>
      <w:lvlText w:val="(%1)"/>
      <w:numFmt w:val="decimal"/>
      <w:start w:val="4"/>
    </w:lvl>
  </w:abstractNum>
  <w:abstractNum w:abstractNumId="518">
    <w:nsid w:val="41E690CF"/>
    <w:multiLevelType w:val="hybridMultilevel"/>
    <w:lvl w:ilvl="0">
      <w:lvlJc w:val="left"/>
      <w:lvlText w:val="(%1)"/>
      <w:numFmt w:val="decimal"/>
      <w:start w:val="7"/>
    </w:lvl>
  </w:abstractNum>
  <w:abstractNum w:abstractNumId="519">
    <w:nsid w:val="7C6489B6"/>
    <w:multiLevelType w:val="hybridMultilevel"/>
    <w:lvl w:ilvl="0">
      <w:lvlJc w:val="left"/>
      <w:lvlText w:val="-"/>
      <w:numFmt w:val="bullet"/>
      <w:start w:val="1"/>
    </w:lvl>
  </w:abstractNum>
  <w:abstractNum w:abstractNumId="520">
    <w:nsid w:val="53AE65DE"/>
    <w:multiLevelType w:val="hybridMultilevel"/>
    <w:lvl w:ilvl="0">
      <w:lvlJc w:val="left"/>
      <w:lvlText w:val="/"/>
      <w:numFmt w:val="bullet"/>
      <w:start w:val="1"/>
    </w:lvl>
  </w:abstractNum>
  <w:abstractNum w:abstractNumId="521">
    <w:nsid w:val="527F603D"/>
    <w:multiLevelType w:val="hybridMultilevel"/>
    <w:lvl w:ilvl="0">
      <w:lvlJc w:val="left"/>
      <w:lvlText w:val="-"/>
      <w:numFmt w:val="bullet"/>
      <w:start w:val="1"/>
    </w:lvl>
    <w:lvl w:ilvl="1">
      <w:lvlJc w:val="left"/>
      <w:lvlText w:val="/"/>
      <w:numFmt w:val="bullet"/>
      <w:start w:val="1"/>
    </w:lvl>
  </w:abstractNum>
  <w:abstractNum w:abstractNumId="522">
    <w:nsid w:val="7E13D013"/>
    <w:multiLevelType w:val="hybridMultilevel"/>
    <w:lvl w:ilvl="0">
      <w:lvlJc w:val="left"/>
      <w:lvlText w:val="/"/>
      <w:numFmt w:val="bullet"/>
      <w:start w:val="1"/>
    </w:lvl>
    <w:lvl w:ilvl="1">
      <w:lvlJc w:val="left"/>
      <w:lvlText w:val="(%2)"/>
      <w:numFmt w:val="decimal"/>
      <w:start w:val="1"/>
    </w:lvl>
  </w:abstractNum>
  <w:abstractNum w:abstractNumId="523">
    <w:nsid w:val="663BFE95"/>
    <w:multiLevelType w:val="hybridMultilevel"/>
    <w:lvl w:ilvl="0">
      <w:lvlJc w:val="left"/>
      <w:lvlText w:val="%1."/>
      <w:numFmt w:val="decimal"/>
      <w:start w:val="1"/>
    </w:lvl>
  </w:abstractNum>
  <w:abstractNum w:abstractNumId="524">
    <w:nsid w:val="31E0986F"/>
    <w:multiLevelType w:val="hybridMultilevel"/>
    <w:lvl w:ilvl="0">
      <w:lvlJc w:val="left"/>
      <w:lvlText w:val="(%1)"/>
      <w:numFmt w:val="decimal"/>
      <w:start w:val="1"/>
    </w:lvl>
  </w:abstractNum>
  <w:abstractNum w:abstractNumId="525">
    <w:nsid w:val="41FCF274"/>
    <w:multiLevelType w:val="hybridMultilevel"/>
    <w:lvl w:ilvl="0">
      <w:lvlJc w:val="left"/>
      <w:lvlText w:val="-"/>
      <w:numFmt w:val="bullet"/>
      <w:start w:val="1"/>
    </w:lvl>
    <w:lvl w:ilvl="1">
      <w:lvlJc w:val="left"/>
      <w:lvlText w:val="(%2)"/>
      <w:numFmt w:val="decimal"/>
      <w:start w:val="1"/>
    </w:lvl>
  </w:abstractNum>
  <w:abstractNum w:abstractNumId="526">
    <w:nsid w:val="294614F7"/>
    <w:multiLevelType w:val="hybridMultilevel"/>
    <w:lvl w:ilvl="0">
      <w:lvlJc w:val="left"/>
      <w:lvlText w:val="(%1)"/>
      <w:numFmt w:val="decimal"/>
      <w:start w:val="3"/>
    </w:lvl>
  </w:abstractNum>
  <w:abstractNum w:abstractNumId="527">
    <w:nsid w:val="517DF487"/>
    <w:multiLevelType w:val="hybridMultilevel"/>
    <w:lvl w:ilvl="0">
      <w:lvlJc w:val="left"/>
      <w:lvlText w:val="(%1)"/>
      <w:numFmt w:val="decimal"/>
      <w:start w:val="4"/>
    </w:lvl>
  </w:abstractNum>
  <w:abstractNum w:abstractNumId="528">
    <w:nsid w:val="5EBE0EAB"/>
    <w:multiLevelType w:val="hybridMultilevel"/>
    <w:lvl w:ilvl="0">
      <w:lvlJc w:val="left"/>
      <w:lvlText w:val="(%1)"/>
      <w:numFmt w:val="decimal"/>
      <w:start w:val="1"/>
    </w:lvl>
  </w:abstractNum>
  <w:abstractNum w:abstractNumId="529">
    <w:nsid w:val="6E9DEAD0"/>
    <w:multiLevelType w:val="hybridMultilevel"/>
    <w:lvl w:ilvl="0">
      <w:lvlJc w:val="left"/>
      <w:lvlText w:val="(%1)"/>
      <w:numFmt w:val="decimal"/>
      <w:start w:val="1"/>
    </w:lvl>
  </w:abstractNum>
  <w:abstractNum w:abstractNumId="530">
    <w:nsid w:val="4450AA00"/>
    <w:multiLevelType w:val="hybridMultilevel"/>
    <w:lvl w:ilvl="0">
      <w:lvlJc w:val="left"/>
      <w:lvlText w:val="(%1)"/>
      <w:numFmt w:val="decimal"/>
      <w:start w:val="1"/>
    </w:lvl>
  </w:abstractNum>
  <w:abstractNum w:abstractNumId="531">
    <w:nsid w:val="4AC9F3E2"/>
    <w:multiLevelType w:val="hybridMultilevel"/>
    <w:lvl w:ilvl="0">
      <w:lvlJc w:val="left"/>
      <w:lvlText w:val="&amp;"/>
      <w:numFmt w:val="bullet"/>
      <w:start w:val="1"/>
    </w:lvl>
  </w:abstractNum>
  <w:abstractNum w:abstractNumId="532">
    <w:nsid w:val="CC0A782"/>
    <w:multiLevelType w:val="hybridMultilevel"/>
    <w:lvl w:ilvl="0">
      <w:lvlJc w:val="left"/>
      <w:lvlText w:val="%1."/>
      <w:numFmt w:val="decimal"/>
      <w:start w:val="1"/>
    </w:lvl>
    <w:lvl w:ilvl="1">
      <w:lvlJc w:val="left"/>
      <w:lvlText w:val="%2."/>
      <w:numFmt w:val="lowerLetter"/>
      <w:start w:val="1"/>
    </w:lvl>
  </w:abstractNum>
  <w:abstractNum w:abstractNumId="533">
    <w:nsid w:val="79B69BC9"/>
    <w:multiLevelType w:val="hybridMultilevel"/>
    <w:lvl w:ilvl="0">
      <w:lvlJc w:val="left"/>
      <w:lvlText w:val="%1."/>
      <w:numFmt w:val="lowerRoman"/>
      <w:start w:val="1"/>
    </w:lvl>
  </w:abstractNum>
  <w:abstractNum w:abstractNumId="534">
    <w:nsid w:val="2970CC78"/>
    <w:multiLevelType w:val="hybridMultilevel"/>
    <w:lvl w:ilvl="0">
      <w:lvlJc w:val="left"/>
      <w:lvlText w:val="%1"/>
      <w:numFmt w:val="lowerLetter"/>
      <w:start w:val="1"/>
    </w:lvl>
    <w:lvl w:ilvl="1">
      <w:lvlJc w:val="left"/>
      <w:lvlText w:val="%2."/>
      <w:numFmt w:val="lowerRoman"/>
      <w:start w:val="1"/>
    </w:lvl>
  </w:abstractNum>
  <w:abstractNum w:abstractNumId="535">
    <w:nsid w:val="49CA1341"/>
    <w:multiLevelType w:val="hybridMultilevel"/>
    <w:lvl w:ilvl="0">
      <w:lvlJc w:val="left"/>
      <w:lvlText w:val="%1."/>
      <w:numFmt w:val="lowerLetter"/>
      <w:start w:val="5"/>
    </w:lvl>
    <w:lvl w:ilvl="1">
      <w:lvlJc w:val="left"/>
      <w:lvlText w:val="%2"/>
      <w:numFmt w:val="lowerRoman"/>
      <w:start w:val="1"/>
    </w:lvl>
  </w:abstractNum>
  <w:abstractNum w:abstractNumId="536">
    <w:nsid w:val="58D7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7">
    <w:nsid w:val="64C2DDD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38">
    <w:nsid w:val="4244B8DE"/>
    <w:multiLevelType w:val="hybridMultilevel"/>
    <w:lvl w:ilvl="0">
      <w:lvlJc w:val="left"/>
      <w:lvlText w:val="%1."/>
      <w:numFmt w:val="decimal"/>
      <w:start w:val="6"/>
    </w:lvl>
  </w:abstractNum>
  <w:abstractNum w:abstractNumId="539">
    <w:nsid w:val="76490B01"/>
    <w:multiLevelType w:val="hybridMultilevel"/>
    <w:lvl w:ilvl="0">
      <w:lvlJc w:val="left"/>
      <w:lvlText w:val="%1."/>
      <w:numFmt w:val="decimal"/>
      <w:start w:val="1"/>
    </w:lvl>
    <w:lvl w:ilvl="1">
      <w:lvlJc w:val="left"/>
      <w:lvlText w:val="%2."/>
      <w:numFmt w:val="lowerLetter"/>
      <w:start w:val="1"/>
    </w:lvl>
  </w:abstractNum>
  <w:abstractNum w:abstractNumId="540">
    <w:nsid w:val="36B19CBF"/>
    <w:multiLevelType w:val="hybridMultilevel"/>
    <w:lvl w:ilvl="0">
      <w:lvlJc w:val="left"/>
      <w:lvlText w:val="%1."/>
      <w:numFmt w:val="decimal"/>
      <w:start w:val="4"/>
    </w:lvl>
    <w:lvl w:ilvl="1">
      <w:lvlJc w:val="left"/>
      <w:lvlText w:val="%2."/>
      <w:numFmt w:val="lowerLetter"/>
      <w:start w:val="1"/>
    </w:lvl>
  </w:abstractNum>
  <w:abstractNum w:abstractNumId="541">
    <w:nsid w:val="645EC5AB"/>
    <w:multiLevelType w:val="hybridMultilevel"/>
    <w:lvl w:ilvl="0">
      <w:lvlJc w:val="left"/>
      <w:lvlText w:val="%1."/>
      <w:numFmt w:val="decimal"/>
      <w:start w:val="10"/>
    </w:lvl>
  </w:abstractNum>
  <w:abstractNum w:abstractNumId="542">
    <w:nsid w:val="11C5ABEF"/>
    <w:multiLevelType w:val="hybridMultilevel"/>
    <w:lvl w:ilvl="0">
      <w:lvlJc w:val="left"/>
      <w:lvlText w:val="%1."/>
      <w:numFmt w:val="decimal"/>
      <w:start w:val="5"/>
    </w:lvl>
  </w:abstractNum>
  <w:abstractNum w:abstractNumId="543">
    <w:nsid w:val="5A4744BE"/>
    <w:multiLevelType w:val="hybridMultilevel"/>
    <w:lvl w:ilvl="0">
      <w:lvlJc w:val="left"/>
      <w:lvlText w:val="-"/>
      <w:numFmt w:val="bullet"/>
      <w:start w:val="1"/>
    </w:lvl>
  </w:abstractNum>
  <w:abstractNum w:abstractNumId="544">
    <w:nsid w:val="1DC4B111"/>
    <w:multiLevelType w:val="hybridMultilevel"/>
    <w:lvl w:ilvl="0">
      <w:lvlJc w:val="left"/>
      <w:lvlText w:val="%1."/>
      <w:numFmt w:val="decimal"/>
      <w:start w:val="2"/>
    </w:lvl>
  </w:abstractNum>
  <w:abstractNum w:abstractNumId="545">
    <w:nsid w:val="4C6E372B"/>
    <w:multiLevelType w:val="hybridMultilevel"/>
    <w:lvl w:ilvl="0">
      <w:lvlJc w:val="left"/>
      <w:lvlText w:val="%1."/>
      <w:numFmt w:val="decimal"/>
      <w:start w:val="1"/>
    </w:lvl>
  </w:abstractNum>
  <w:abstractNum w:abstractNumId="546">
    <w:nsid w:val="10236EF"/>
    <w:multiLevelType w:val="hybridMultilevel"/>
    <w:lvl w:ilvl="0">
      <w:lvlJc w:val="left"/>
      <w:lvlText w:val="%1."/>
      <w:numFmt w:val="decimal"/>
      <w:start w:val="2"/>
    </w:lvl>
  </w:abstractNum>
  <w:abstractNum w:abstractNumId="547">
    <w:nsid w:val="68D8526B"/>
    <w:multiLevelType w:val="hybridMultilevel"/>
    <w:lvl w:ilvl="0">
      <w:lvlJc w:val="left"/>
      <w:lvlText w:val="%1."/>
      <w:numFmt w:val="upperLetter"/>
      <w:start w:val="9"/>
    </w:lvl>
  </w:abstractNum>
  <w:abstractNum w:abstractNumId="548">
    <w:nsid w:val="3C8CC138"/>
    <w:multiLevelType w:val="hybridMultilevel"/>
    <w:lvl w:ilvl="0">
      <w:lvlJc w:val="left"/>
      <w:lvlText w:val="%1."/>
      <w:numFmt w:val="upperLetter"/>
      <w:start w:val="35"/>
    </w:lvl>
  </w:abstractNum>
  <w:abstractNum w:abstractNumId="549">
    <w:nsid w:val="42E8C7BE"/>
    <w:multiLevelType w:val="hybridMultilevel"/>
    <w:lvl w:ilvl="0">
      <w:lvlJc w:val="left"/>
      <w:lvlText w:val="(%1)"/>
      <w:numFmt w:val="lowerLetter"/>
      <w:start w:val="1"/>
    </w:lvl>
  </w:abstractNum>
  <w:abstractNum w:abstractNumId="550">
    <w:nsid w:val="653CDC22"/>
    <w:multiLevelType w:val="hybridMultilevel"/>
    <w:lvl w:ilvl="0">
      <w:lvlJc w:val="left"/>
      <w:lvlText w:val="(%1)"/>
      <w:numFmt w:val="lowerRoman"/>
      <w:start w:val="3"/>
    </w:lvl>
  </w:abstractNum>
  <w:abstractNum w:abstractNumId="551">
    <w:nsid w:val="103B2716"/>
    <w:multiLevelType w:val="hybridMultilevel"/>
    <w:lvl w:ilvl="0">
      <w:lvlJc w:val="left"/>
      <w:lvlText w:val="%1."/>
      <w:numFmt w:val="decimal"/>
      <w:start w:val="1"/>
    </w:lvl>
  </w:abstractNum>
  <w:abstractNum w:abstractNumId="552">
    <w:nsid w:val="156827FB"/>
    <w:multiLevelType w:val="hybridMultilevel"/>
    <w:lvl w:ilvl="0">
      <w:lvlJc w:val="left"/>
      <w:lvlText w:val="%1."/>
      <w:numFmt w:val="decimal"/>
      <w:start w:val="1"/>
    </w:lvl>
  </w:abstractNum>
  <w:abstractNum w:abstractNumId="553">
    <w:nsid w:val="6350AC35"/>
    <w:multiLevelType w:val="hybridMultilevel"/>
    <w:lvl w:ilvl="0">
      <w:lvlJc w:val="left"/>
      <w:lvlText w:val="%1."/>
      <w:numFmt w:val="decimal"/>
      <w:start w:val="1"/>
    </w:lvl>
  </w:abstractNum>
  <w:abstractNum w:abstractNumId="554">
    <w:nsid w:val="767725AB"/>
    <w:multiLevelType w:val="hybridMultilevel"/>
    <w:lvl w:ilvl="0">
      <w:lvlJc w:val="left"/>
      <w:lvlText w:val="%1."/>
      <w:numFmt w:val="decimal"/>
      <w:start w:val="1"/>
    </w:lvl>
  </w:abstractNum>
  <w:abstractNum w:abstractNumId="555">
    <w:nsid w:val="4748C06A"/>
    <w:multiLevelType w:val="hybridMultilevel"/>
    <w:lvl w:ilvl="0">
      <w:lvlJc w:val="left"/>
      <w:lvlText w:val="%1."/>
      <w:numFmt w:val="decimal"/>
      <w:start w:val="1"/>
    </w:lvl>
  </w:abstractNum>
  <w:abstractNum w:abstractNumId="556">
    <w:nsid w:val="254D9EA9"/>
    <w:multiLevelType w:val="hybridMultilevel"/>
    <w:lvl w:ilvl="0">
      <w:lvlJc w:val="left"/>
      <w:lvlText w:val="%1"/>
      <w:numFmt w:val="lowerLetter"/>
      <w:start w:val="1"/>
    </w:lvl>
    <w:lvl w:ilvl="1">
      <w:lvlJc w:val="left"/>
      <w:lvlText w:val="%2."/>
      <w:numFmt w:val="decimal"/>
      <w:start w:val="2"/>
    </w:lvl>
  </w:abstractNum>
  <w:abstractNum w:abstractNumId="557">
    <w:nsid w:val="1FBD3AA3"/>
    <w:multiLevelType w:val="hybridMultilevel"/>
    <w:lvl w:ilvl="0">
      <w:lvlJc w:val="left"/>
      <w:lvlText w:val="(%1)"/>
      <w:numFmt w:val="lowerLetter"/>
      <w:start w:val="14"/>
    </w:lvl>
    <w:lvl w:ilvl="1">
      <w:lvlJc w:val="left"/>
      <w:lvlText w:val="%2."/>
      <w:numFmt w:val="decimal"/>
      <w:start w:val="3"/>
    </w:lvl>
  </w:abstractNum>
  <w:abstractNum w:abstractNumId="558">
    <w:nsid w:val="18C6B4F2"/>
    <w:multiLevelType w:val="hybridMultilevel"/>
    <w:lvl w:ilvl="0">
      <w:lvlJc w:val="left"/>
      <w:lvlText w:val="(%1)"/>
      <w:numFmt w:val="lowerRoman"/>
      <w:start w:val="2"/>
    </w:lvl>
  </w:abstractNum>
  <w:abstractNum w:abstractNumId="559">
    <w:nsid w:val="40BAD55"/>
    <w:multiLevelType w:val="hybridMultilevel"/>
    <w:lvl w:ilvl="0">
      <w:lvlJc w:val="left"/>
      <w:lvlText w:val="%1."/>
      <w:numFmt w:val="decimal"/>
      <w:start w:val="4"/>
    </w:lvl>
  </w:abstractNum>
  <w:abstractNum w:abstractNumId="560">
    <w:nsid w:val="E5B2573"/>
    <w:multiLevelType w:val="hybridMultilevel"/>
    <w:lvl w:ilvl="0">
      <w:lvlJc w:val="left"/>
      <w:lvlText w:val="%1."/>
      <w:numFmt w:val="decimal"/>
      <w:start w:val="5"/>
    </w:lvl>
  </w:abstractNum>
  <w:abstractNum w:abstractNumId="561">
    <w:nsid w:val="5D175EF2"/>
    <w:multiLevelType w:val="hybridMultilevel"/>
    <w:lvl w:ilvl="0">
      <w:lvlJc w:val="left"/>
      <w:lvlText w:val="(%1)"/>
      <w:numFmt w:val="lowerLetter"/>
      <w:start w:val="2"/>
    </w:lvl>
  </w:abstractNum>
  <w:abstractNum w:abstractNumId="562">
    <w:nsid w:val="4ED5A137"/>
    <w:multiLevelType w:val="hybridMultilevel"/>
    <w:lvl w:ilvl="0">
      <w:lvlJc w:val="left"/>
      <w:lvlText w:val="%1."/>
      <w:numFmt w:val="decimal"/>
      <w:start w:val="6"/>
    </w:lvl>
  </w:abstractNum>
  <w:abstractNum w:abstractNumId="563">
    <w:nsid w:val="1B1BCCF5"/>
    <w:multiLevelType w:val="hybridMultilevel"/>
    <w:lvl w:ilvl="0">
      <w:lvlJc w:val="left"/>
      <w:lvlText w:val="%1."/>
      <w:numFmt w:val="decimal"/>
      <w:start w:val="7"/>
    </w:lvl>
  </w:abstractNum>
  <w:abstractNum w:abstractNumId="564">
    <w:nsid w:val="56CDFABB"/>
    <w:multiLevelType w:val="hybridMultilevel"/>
    <w:lvl w:ilvl="0">
      <w:lvlJc w:val="left"/>
      <w:lvlText w:val="%1."/>
      <w:numFmt w:val="decimal"/>
      <w:start w:val="1"/>
    </w:lvl>
  </w:abstractNum>
  <w:abstractNum w:abstractNumId="565">
    <w:nsid w:val="78466DAF"/>
    <w:multiLevelType w:val="hybridMultilevel"/>
    <w:lvl w:ilvl="0">
      <w:lvlJc w:val="left"/>
      <w:lvlText w:val="%1."/>
      <w:numFmt w:val="decimal"/>
      <w:start w:val="3"/>
    </w:lvl>
    <w:lvl w:ilvl="1">
      <w:lvlJc w:val="left"/>
      <w:lvlText w:val="(%2)"/>
      <w:numFmt w:val="lowerLetter"/>
      <w:start w:val="1"/>
    </w:lvl>
  </w:abstractNum>
  <w:abstractNum w:abstractNumId="566">
    <w:nsid w:val="64E5E036"/>
    <w:multiLevelType w:val="hybridMultilevel"/>
    <w:lvl w:ilvl="0">
      <w:lvlJc w:val="left"/>
      <w:lvlText w:val="%1"/>
      <w:numFmt w:val="decimal"/>
      <w:start w:val="1"/>
    </w:lvl>
    <w:lvl w:ilvl="1">
      <w:lvlJc w:val="left"/>
      <w:lvlText w:val="(%2)"/>
      <w:numFmt w:val="lowerLetter"/>
      <w:start w:val="2"/>
    </w:lvl>
  </w:abstractNum>
  <w:abstractNum w:abstractNumId="567">
    <w:nsid w:val="5C5B6C3A"/>
    <w:multiLevelType w:val="hybridMultilevel"/>
    <w:lvl w:ilvl="0">
      <w:lvlJc w:val="left"/>
      <w:lvlText w:val="%1."/>
      <w:numFmt w:val="decimal"/>
      <w:start w:val="4"/>
    </w:lvl>
    <w:lvl w:ilvl="1">
      <w:lvlJc w:val="left"/>
      <w:lvlText w:val="%2"/>
      <w:numFmt w:val="lowerLetter"/>
      <w:start w:val="1"/>
    </w:lvl>
  </w:abstractNum>
  <w:abstractNum w:abstractNumId="568">
    <w:nsid w:val="5D094B84"/>
    <w:multiLevelType w:val="hybridMultilevel"/>
    <w:lvl w:ilvl="0">
      <w:lvlJc w:val="left"/>
      <w:lvlText w:val="%1."/>
      <w:numFmt w:val="decimal"/>
      <w:start w:val="6"/>
    </w:lvl>
  </w:abstractNum>
  <w:abstractNum w:abstractNumId="569">
    <w:nsid w:val="272A9914"/>
    <w:multiLevelType w:val="hybridMultilevel"/>
    <w:lvl w:ilvl="0">
      <w:lvlJc w:val="left"/>
      <w:lvlText w:val="%1."/>
      <w:numFmt w:val="decimal"/>
      <w:start w:val="1"/>
    </w:lvl>
  </w:abstractNum>
  <w:abstractNum w:abstractNumId="570">
    <w:nsid w:val="52A4773B"/>
    <w:multiLevelType w:val="hybridMultilevel"/>
    <w:lvl w:ilvl="0">
      <w:lvlJc w:val="left"/>
      <w:lvlText w:val="%1."/>
      <w:numFmt w:val="decimal"/>
      <w:start w:val="5"/>
    </w:lvl>
  </w:abstractNum>
  <w:abstractNum w:abstractNumId="571">
    <w:nsid w:val="13BAE843"/>
    <w:multiLevelType w:val="hybridMultilevel"/>
    <w:lvl w:ilvl="0">
      <w:lvlJc w:val="left"/>
      <w:lvlText w:val="%1."/>
      <w:numFmt w:val="decimal"/>
      <w:start w:val="7"/>
    </w:lvl>
  </w:abstractNum>
  <w:abstractNum w:abstractNumId="572">
    <w:nsid w:val="B895EBF"/>
    <w:multiLevelType w:val="hybridMultilevel"/>
    <w:lvl w:ilvl="0">
      <w:lvlJc w:val="left"/>
      <w:lvlText w:val="%1."/>
      <w:numFmt w:val="decimal"/>
      <w:start w:val="1"/>
    </w:lvl>
    <w:lvl w:ilvl="1">
      <w:lvlJc w:val="left"/>
      <w:lvlText w:val="(%2)"/>
      <w:numFmt w:val="lowerLetter"/>
      <w:start w:val="1"/>
    </w:lvl>
  </w:abstractNum>
  <w:abstractNum w:abstractNumId="573">
    <w:nsid w:val="646A232A"/>
    <w:multiLevelType w:val="hybridMultilevel"/>
    <w:lvl w:ilvl="0">
      <w:lvlJc w:val="left"/>
      <w:lvlText w:val="(%1)"/>
      <w:numFmt w:val="lowerLetter"/>
      <w:start w:val="9"/>
    </w:lvl>
    <w:lvl w:ilvl="1">
      <w:lvlJc w:val="left"/>
      <w:lvlText w:val="(%2)"/>
      <w:numFmt w:val="lowerLetter"/>
      <w:start w:val="5"/>
    </w:lvl>
  </w:abstractNum>
  <w:abstractNum w:abstractNumId="574">
    <w:nsid w:val="6E022D01"/>
    <w:multiLevelType w:val="hybridMultilevel"/>
    <w:lvl w:ilvl="0">
      <w:lvlJc w:val="left"/>
      <w:lvlText w:val="%1."/>
      <w:numFmt w:val="decimal"/>
      <w:start w:val="2"/>
    </w:lvl>
  </w:abstractNum>
  <w:abstractNum w:abstractNumId="575">
    <w:nsid w:val="294E0FD0"/>
    <w:multiLevelType w:val="hybridMultilevel"/>
    <w:lvl w:ilvl="0">
      <w:lvlJc w:val="left"/>
      <w:lvlText w:val="(%1)"/>
      <w:numFmt w:val="lowerLetter"/>
      <w:start w:val="1"/>
    </w:lvl>
  </w:abstractNum>
  <w:abstractNum w:abstractNumId="576">
    <w:nsid w:val="30D85A55"/>
    <w:multiLevelType w:val="hybridMultilevel"/>
    <w:lvl w:ilvl="0">
      <w:lvlJc w:val="left"/>
      <w:lvlText w:val="(%1)"/>
      <w:numFmt w:val="lowerLetter"/>
      <w:start w:val="6"/>
    </w:lvl>
  </w:abstractNum>
  <w:abstractNum w:abstractNumId="577">
    <w:nsid w:val="6F0463F1"/>
    <w:multiLevelType w:val="hybridMultilevel"/>
    <w:lvl w:ilvl="0">
      <w:lvlJc w:val="left"/>
      <w:lvlText w:val="%1."/>
      <w:numFmt w:val="decimal"/>
      <w:start w:val="3"/>
    </w:lvl>
  </w:abstractNum>
  <w:abstractNum w:abstractNumId="578">
    <w:nsid w:val="1226623C"/>
    <w:multiLevelType w:val="hybridMultilevel"/>
    <w:lvl w:ilvl="0">
      <w:lvlJc w:val="left"/>
      <w:lvlText w:val="%1."/>
      <w:numFmt w:val="decimal"/>
      <w:start w:val="6"/>
    </w:lvl>
  </w:abstractNum>
  <w:abstractNum w:abstractNumId="579">
    <w:nsid w:val="6D651B8D"/>
    <w:multiLevelType w:val="hybridMultilevel"/>
    <w:lvl w:ilvl="0">
      <w:lvlJc w:val="left"/>
      <w:lvlText w:val="%1."/>
      <w:numFmt w:val="decimal"/>
      <w:start w:val="8"/>
    </w:lvl>
    <w:lvl w:ilvl="1">
      <w:lvlJc w:val="left"/>
      <w:lvlText w:val="(%2)"/>
      <w:numFmt w:val="lowerLetter"/>
      <w:start w:val="1"/>
    </w:lvl>
  </w:abstractNum>
  <w:abstractNum w:abstractNumId="580">
    <w:nsid w:val="31ED2BAF"/>
    <w:multiLevelType w:val="hybridMultilevel"/>
    <w:lvl w:ilvl="0">
      <w:lvlJc w:val="left"/>
      <w:lvlText w:val="(%1)"/>
      <w:numFmt w:val="lowerLetter"/>
      <w:start w:val="2"/>
    </w:lvl>
  </w:abstractNum>
  <w:abstractNum w:abstractNumId="581">
    <w:nsid w:val="77633E5E"/>
    <w:multiLevelType w:val="hybridMultilevel"/>
    <w:lvl w:ilvl="0">
      <w:lvlJc w:val="left"/>
      <w:lvlText w:val="(%1)"/>
      <w:numFmt w:val="lowerLetter"/>
      <w:start w:val="5"/>
    </w:lvl>
  </w:abstractNum>
  <w:abstractNum w:abstractNumId="582">
    <w:nsid w:val="7DA042A3"/>
    <w:multiLevelType w:val="hybridMultilevel"/>
    <w:lvl w:ilvl="0">
      <w:lvlJc w:val="left"/>
      <w:lvlText w:val="%1"/>
      <w:numFmt w:val="decimal"/>
      <w:start w:val="1"/>
    </w:lvl>
    <w:lvl w:ilvl="1">
      <w:lvlJc w:val="left"/>
      <w:lvlText w:val="(%2)"/>
      <w:numFmt w:val="lowerLetter"/>
      <w:start w:val="9"/>
    </w:lvl>
  </w:abstractNum>
  <w:abstractNum w:abstractNumId="583">
    <w:nsid w:val="475553AB"/>
    <w:multiLevelType w:val="hybridMultilevel"/>
    <w:lvl w:ilvl="0">
      <w:lvlJc w:val="left"/>
      <w:lvlText w:val="%1."/>
      <w:numFmt w:val="decimal"/>
      <w:start w:val="10"/>
    </w:lvl>
    <w:lvl w:ilvl="1">
      <w:lvlJc w:val="left"/>
      <w:lvlText w:val="%2"/>
      <w:numFmt w:val="lowerLetter"/>
      <w:start w:val="1"/>
    </w:lvl>
  </w:abstractNum>
  <w:abstractNum w:abstractNumId="584">
    <w:nsid w:val="5AB3EA93"/>
    <w:multiLevelType w:val="hybridMultilevel"/>
    <w:lvl w:ilvl="0">
      <w:lvlJc w:val="left"/>
      <w:lvlText w:val="%1."/>
      <w:numFmt w:val="decimal"/>
      <w:start w:val="11"/>
    </w:lvl>
  </w:abstractNum>
  <w:abstractNum w:abstractNumId="585">
    <w:nsid w:val="7417684F"/>
    <w:multiLevelType w:val="hybridMultilevel"/>
    <w:lvl w:ilvl="0">
      <w:lvlJc w:val="left"/>
      <w:lvlText w:val="%1."/>
      <w:numFmt w:val="decimal"/>
      <w:start w:val="14"/>
    </w:lvl>
  </w:abstractNum>
  <w:abstractNum w:abstractNumId="586">
    <w:nsid w:val="E9E1415"/>
    <w:multiLevelType w:val="hybridMultilevel"/>
    <w:lvl w:ilvl="0">
      <w:lvlJc w:val="left"/>
      <w:lvlText w:val="%1."/>
      <w:numFmt w:val="decimal"/>
      <w:start w:val="15"/>
    </w:lvl>
  </w:abstractNum>
  <w:abstractNum w:abstractNumId="587">
    <w:nsid w:val="1893D"/>
    <w:multiLevelType w:val="hybridMultilevel"/>
    <w:lvl w:ilvl="0">
      <w:lvlJc w:val="left"/>
      <w:lvlText w:val="%1."/>
      <w:numFmt w:val="decimal"/>
      <w:start w:val="19"/>
    </w:lvl>
  </w:abstractNum>
  <w:abstractNum w:abstractNumId="588">
    <w:nsid w:val="13D4A2F2"/>
    <w:multiLevelType w:val="hybridMultilevel"/>
    <w:lvl w:ilvl="0">
      <w:lvlJc w:val="left"/>
      <w:lvlText w:val="%1."/>
      <w:numFmt w:val="decimal"/>
      <w:start w:val="1"/>
    </w:lvl>
  </w:abstractNum>
  <w:abstractNum w:abstractNumId="589">
    <w:nsid w:val="2764C907"/>
    <w:multiLevelType w:val="hybridMultilevel"/>
    <w:lvl w:ilvl="0">
      <w:lvlJc w:val="left"/>
      <w:lvlText w:val="%1"/>
      <w:numFmt w:val="decimal"/>
      <w:start w:val="1"/>
    </w:lvl>
    <w:lvl w:ilvl="1">
      <w:lvlJc w:val="left"/>
      <w:lvlText w:val="%2."/>
      <w:numFmt w:val="decimal"/>
      <w:start w:val="5"/>
    </w:lvl>
  </w:abstractNum>
  <w:abstractNum w:abstractNumId="590">
    <w:nsid w:val="40D3692"/>
    <w:multiLevelType w:val="hybridMultilevel"/>
    <w:lvl w:ilvl="0">
      <w:lvlJc w:val="left"/>
      <w:lvlText w:val="(%1)"/>
      <w:numFmt w:val="decimal"/>
      <w:start w:val="1"/>
    </w:lvl>
    <w:lvl w:ilvl="1">
      <w:lvlJc w:val="left"/>
      <w:lvlText w:val="%2."/>
      <w:numFmt w:val="decimal"/>
      <w:start w:val="8"/>
    </w:lvl>
  </w:abstractNum>
  <w:abstractNum w:abstractNumId="591">
    <w:nsid w:val="222FC865"/>
    <w:multiLevelType w:val="hybridMultilevel"/>
    <w:lvl w:ilvl="0">
      <w:lvlJc w:val="left"/>
      <w:lvlText w:val="%1."/>
      <w:numFmt w:val="decimal"/>
      <w:start w:val="1"/>
    </w:lvl>
  </w:abstractNum>
  <w:abstractNum w:abstractNumId="592">
    <w:nsid w:val="47C27FA"/>
    <w:multiLevelType w:val="hybridMultilevel"/>
    <w:lvl w:ilvl="0">
      <w:lvlJc w:val="left"/>
      <w:lvlText w:val="(%1)"/>
      <w:numFmt w:val="lowerLetter"/>
      <w:start w:val="1"/>
    </w:lvl>
  </w:abstractNum>
  <w:abstractNum w:abstractNumId="593">
    <w:nsid w:val="52E2D7C9"/>
    <w:multiLevelType w:val="hybridMultilevel"/>
    <w:lvl w:ilvl="0">
      <w:lvlJc w:val="left"/>
      <w:lvlText w:val="%1"/>
      <w:numFmt w:val="decimal"/>
      <w:start w:val="1"/>
    </w:lvl>
    <w:lvl w:ilvl="1">
      <w:lvlJc w:val="left"/>
      <w:lvlText w:val="(%2)"/>
      <w:numFmt w:val="lowerLetter"/>
      <w:start w:val="2"/>
    </w:lvl>
  </w:abstractNum>
  <w:abstractNum w:abstractNumId="594">
    <w:nsid w:val="3D4B955A"/>
    <w:multiLevelType w:val="hybridMultilevel"/>
    <w:lvl w:ilvl="0">
      <w:lvlJc w:val="left"/>
      <w:lvlText w:val="%1."/>
      <w:numFmt w:val="decimal"/>
      <w:start w:val="3"/>
    </w:lvl>
    <w:lvl w:ilvl="1">
      <w:lvlJc w:val="left"/>
      <w:lvlText w:val="(%2)"/>
      <w:numFmt w:val="lowerLetter"/>
      <w:start w:val="1"/>
    </w:lvl>
  </w:abstractNum>
  <w:abstractNum w:abstractNumId="595">
    <w:nsid w:val="5B4A22B5"/>
    <w:multiLevelType w:val="hybridMultilevel"/>
    <w:lvl w:ilvl="0">
      <w:lvlJc w:val="left"/>
      <w:lvlText w:val="(%1)"/>
      <w:numFmt w:val="lowerLetter"/>
      <w:start w:val="3"/>
    </w:lvl>
    <w:lvl w:ilvl="1">
      <w:lvlJc w:val="left"/>
      <w:lvlText w:val="(%2)"/>
      <w:numFmt w:val="lowerRoman"/>
      <w:start w:val="1"/>
    </w:lvl>
  </w:abstractNum>
  <w:abstractNum w:abstractNumId="596">
    <w:nsid w:val="4B294578"/>
    <w:multiLevelType w:val="hybridMultilevel"/>
    <w:lvl w:ilvl="0">
      <w:lvlJc w:val="left"/>
      <w:lvlText w:val="(%1)"/>
      <w:numFmt w:val="lowerLetter"/>
      <w:start w:val="7"/>
    </w:lvl>
  </w:abstractNum>
  <w:abstractNum w:abstractNumId="597">
    <w:nsid w:val="22317590"/>
    <w:multiLevelType w:val="hybridMultilevel"/>
    <w:lvl w:ilvl="0">
      <w:lvlJc w:val="left"/>
      <w:lvlText w:val="(%1)"/>
      <w:numFmt w:val="lowerRoman"/>
      <w:start w:val="1"/>
    </w:lvl>
    <w:lvl w:ilvl="1">
      <w:lvlJc w:val="left"/>
      <w:lvlText w:val="(%2)"/>
      <w:numFmt w:val="lowerRoman"/>
      <w:start w:val="1"/>
    </w:lvl>
  </w:abstractNum>
  <w:abstractNum w:abstractNumId="598">
    <w:nsid w:val="37A58EEF"/>
    <w:multiLevelType w:val="hybridMultilevel"/>
    <w:lvl w:ilvl="0">
      <w:lvlJc w:val="left"/>
      <w:lvlText w:val="%1"/>
      <w:numFmt w:val="upperLetter"/>
      <w:start w:val="1"/>
    </w:lvl>
    <w:lvl w:ilvl="1">
      <w:lvlJc w:val="left"/>
      <w:lvlText w:val="(%2)"/>
      <w:numFmt w:val="lowerRoman"/>
      <w:start w:val="4"/>
    </w:lvl>
  </w:abstractNum>
  <w:abstractNum w:abstractNumId="599">
    <w:nsid w:val="283290FD"/>
    <w:multiLevelType w:val="hybridMultilevel"/>
    <w:lvl w:ilvl="0">
      <w:lvlJc w:val="left"/>
      <w:lvlText w:val="(%1)"/>
      <w:numFmt w:val="upperLetter"/>
      <w:start w:val="1"/>
    </w:lvl>
    <w:lvl w:ilvl="1">
      <w:lvlJc w:val="left"/>
      <w:lvlText w:val="(%2)"/>
      <w:numFmt w:val="lowerRoman"/>
      <w:start w:val="9"/>
    </w:lvl>
  </w:abstractNum>
  <w:abstractNum w:abstractNumId="600">
    <w:nsid w:val="495C0EA5"/>
    <w:multiLevelType w:val="hybridMultilevel"/>
    <w:lvl w:ilvl="0">
      <w:lvlJc w:val="left"/>
      <w:lvlText w:val="%1"/>
      <w:numFmt w:val="lowerLetter"/>
      <w:start w:val="1"/>
    </w:lvl>
    <w:lvl w:ilvl="1">
      <w:lvlJc w:val="left"/>
      <w:lvlText w:val="(%2)"/>
      <w:numFmt w:val="lowerRoman"/>
      <w:start w:val="13"/>
    </w:lvl>
  </w:abstractNum>
  <w:abstractNum w:abstractNumId="601">
    <w:nsid w:val="A4A062B"/>
    <w:multiLevelType w:val="hybridMultilevel"/>
    <w:lvl w:ilvl="0">
      <w:lvlJc w:val="left"/>
      <w:lvlText w:val="(%1)"/>
      <w:numFmt w:val="lowerLetter"/>
      <w:start w:val="10"/>
    </w:lvl>
    <w:lvl w:ilvl="1">
      <w:lvlJc w:val="left"/>
      <w:lvlText w:val="(%2)"/>
      <w:numFmt w:val="lowerRoman"/>
      <w:start w:val="1"/>
    </w:lvl>
  </w:abstractNum>
  <w:abstractNum w:abstractNumId="602">
    <w:nsid w:val="3BED7940"/>
    <w:multiLevelType w:val="hybridMultilevel"/>
    <w:lvl w:ilvl="0">
      <w:lvlJc w:val="left"/>
      <w:lvlText w:val="%1"/>
      <w:numFmt w:val="lowerLetter"/>
      <w:start w:val="1"/>
    </w:lvl>
    <w:lvl w:ilvl="1">
      <w:lvlJc w:val="left"/>
      <w:lvlText w:val="(%2)"/>
      <w:numFmt w:val="lowerRoman"/>
      <w:start w:val="2"/>
    </w:lvl>
  </w:abstractNum>
  <w:abstractNum w:abstractNumId="603">
    <w:nsid w:val="54E56D64"/>
    <w:multiLevelType w:val="hybridMultilevel"/>
    <w:lvl w:ilvl="0">
      <w:lvlJc w:val="left"/>
      <w:lvlText w:val="(%1)"/>
      <w:numFmt w:val="lowerLetter"/>
      <w:start w:val="11"/>
    </w:lvl>
    <w:lvl w:ilvl="1">
      <w:lvlJc w:val="left"/>
      <w:lvlText w:val="%2"/>
      <w:numFmt w:val="lowerRoman"/>
      <w:start w:val="1"/>
    </w:lvl>
  </w:abstractNum>
  <w:abstractNum w:abstractNumId="604">
    <w:nsid w:val="6EB42955"/>
    <w:multiLevelType w:val="hybridMultilevel"/>
    <w:lvl w:ilvl="0">
      <w:lvlJc w:val="left"/>
      <w:lvlText w:val="(%1)"/>
      <w:numFmt w:val="lowerLetter"/>
      <w:start w:val="12"/>
    </w:lvl>
    <w:lvl w:ilvl="1">
      <w:lvlJc w:val="left"/>
      <w:lvlText w:val="(%2)"/>
      <w:numFmt w:val="lowerRoman"/>
      <w:start w:val="1"/>
    </w:lvl>
  </w:abstractNum>
  <w:abstractNum w:abstractNumId="605">
    <w:nsid w:val="29EFA642"/>
    <w:multiLevelType w:val="hybridMultilevel"/>
    <w:lvl w:ilvl="0">
      <w:lvlJc w:val="left"/>
      <w:lvlText w:val="(%1)"/>
      <w:numFmt w:val="lowerRoman"/>
      <w:start w:val="4"/>
    </w:lvl>
  </w:abstractNum>
  <w:abstractNum w:abstractNumId="606">
    <w:nsid w:val="7E337D3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607">
    <w:nsid w:val="1F8C83AB"/>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1"/>
    </w:lvl>
  </w:abstractNum>
  <w:abstractNum w:abstractNumId="608">
    <w:nsid w:val="18F40A33"/>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1"/>
    </w:lvl>
  </w:abstractNum>
  <w:abstractNum w:abstractNumId="609">
    <w:nsid w:val="1059DF71"/>
    <w:multiLevelType w:val="hybridMultilevel"/>
    <w:lvl w:ilvl="0">
      <w:lvlJc w:val="left"/>
      <w:lvlText w:val="(%1)"/>
      <w:numFmt w:val="upperLetter"/>
      <w:start w:val="10"/>
    </w:lvl>
    <w:lvl w:ilvl="1">
      <w:lvlJc w:val="left"/>
      <w:lvlText w:val="%2"/>
      <w:numFmt w:val="lowerLetter"/>
      <w:start w:val="1"/>
    </w:lvl>
    <w:lvl w:ilvl="2">
      <w:lvlJc w:val="left"/>
      <w:lvlText w:val="%3"/>
      <w:numFmt w:val="lowerRoman"/>
      <w:start w:val="1"/>
    </w:lvl>
  </w:abstractNum>
  <w:abstractNum w:abstractNumId="610">
    <w:nsid w:val="CF19F38"/>
    <w:multiLevelType w:val="hybridMultilevel"/>
    <w:lvl w:ilvl="0">
      <w:lvlJc w:val="left"/>
      <w:lvlText w:val="(%1)"/>
      <w:numFmt w:val="upperLetter"/>
      <w:start w:val="13"/>
    </w:lvl>
    <w:lvl w:ilvl="1">
      <w:lvlJc w:val="left"/>
      <w:lvlText w:val="%2"/>
      <w:numFmt w:val="lowerLetter"/>
      <w:start w:val="1"/>
    </w:lvl>
    <w:lvl w:ilvl="2">
      <w:lvlJc w:val="left"/>
      <w:lvlText w:val="%3"/>
      <w:numFmt w:val="lowerRoman"/>
      <w:start w:val="1"/>
    </w:lvl>
  </w:abstractNum>
  <w:abstractNum w:abstractNumId="611">
    <w:nsid w:val="4AE135E2"/>
    <w:multiLevelType w:val="hybridMultilevel"/>
    <w:lvl w:ilvl="0">
      <w:lvlJc w:val="left"/>
      <w:lvlText w:val="(%1)"/>
      <w:numFmt w:val="upperLetter"/>
      <w:start w:val="16"/>
    </w:lvl>
    <w:lvl w:ilvl="1">
      <w:lvlJc w:val="left"/>
      <w:lvlText w:val="%2"/>
      <w:numFmt w:val="lowerLetter"/>
      <w:start w:val="1"/>
    </w:lvl>
    <w:lvl w:ilvl="2">
      <w:lvlJc w:val="left"/>
      <w:lvlText w:val="%3"/>
      <w:numFmt w:val="lowerRoman"/>
      <w:start w:val="1"/>
    </w:lvl>
  </w:abstractNum>
  <w:abstractNum w:abstractNumId="612">
    <w:nsid w:val="7BD1DCF"/>
    <w:multiLevelType w:val="hybridMultilevel"/>
    <w:lvl w:ilvl="0">
      <w:lvlJc w:val="left"/>
      <w:lvlText w:val="%1"/>
      <w:numFmt w:val="lowerLetter"/>
      <w:start w:val="1"/>
    </w:lvl>
    <w:lvl w:ilvl="1">
      <w:lvlJc w:val="left"/>
      <w:lvlText w:val="(%2)"/>
      <w:numFmt w:val="lowerRoman"/>
      <w:start w:val="2"/>
    </w:lvl>
  </w:abstractNum>
  <w:abstractNum w:abstractNumId="613">
    <w:nsid w:val="A91E1DC"/>
    <w:multiLevelType w:val="hybridMultilevel"/>
    <w:lvl w:ilvl="0">
      <w:lvlJc w:val="left"/>
      <w:lvlText w:val="(%1)"/>
      <w:numFmt w:val="lowerLetter"/>
      <w:start w:val="14"/>
    </w:lvl>
    <w:lvl w:ilvl="1">
      <w:lvlJc w:val="left"/>
      <w:lvlText w:val="(%2)"/>
      <w:numFmt w:val="lowerRoman"/>
      <w:start w:val="1"/>
    </w:lvl>
  </w:abstractNum>
  <w:abstractNum w:abstractNumId="614">
    <w:nsid w:val="1236898D"/>
    <w:multiLevelType w:val="hybridMultilevel"/>
    <w:lvl w:ilvl="0">
      <w:lvlJc w:val="left"/>
      <w:lvlText w:val="%1"/>
      <w:numFmt w:val="lowerLetter"/>
      <w:start w:val="1"/>
    </w:lvl>
    <w:lvl w:ilvl="1">
      <w:lvlJc w:val="left"/>
      <w:lvlText w:val="(%2)"/>
      <w:numFmt w:val="lowerRoman"/>
      <w:start w:val="4"/>
    </w:lvl>
  </w:abstractNum>
  <w:abstractNum w:abstractNumId="615">
    <w:nsid w:val="62710862"/>
    <w:multiLevelType w:val="hybridMultilevel"/>
    <w:lvl w:ilvl="0">
      <w:lvlJc w:val="left"/>
      <w:lvlText w:val="(%1)"/>
      <w:numFmt w:val="lowerLetter"/>
      <w:start w:val="15"/>
    </w:lvl>
    <w:lvl w:ilvl="1">
      <w:lvlJc w:val="left"/>
      <w:lvlText w:val="%2"/>
      <w:numFmt w:val="lowerRoman"/>
      <w:start w:val="1"/>
    </w:lvl>
  </w:abstractNum>
  <w:abstractNum w:abstractNumId="616">
    <w:nsid w:val="7EA94A2B"/>
    <w:multiLevelType w:val="hybridMultilevel"/>
    <w:lvl w:ilvl="0">
      <w:lvlJc w:val="left"/>
      <w:lvlText w:val="%1"/>
      <w:numFmt w:val="upperLetter"/>
      <w:start w:val="1"/>
    </w:lvl>
    <w:lvl w:ilvl="1">
      <w:lvlJc w:val="left"/>
      <w:lvlText w:val="(%2)"/>
      <w:numFmt w:val="lowerRoman"/>
      <w:start w:val="1"/>
    </w:lvl>
  </w:abstractNum>
  <w:abstractNum w:abstractNumId="617">
    <w:nsid w:val="20D49DA3"/>
    <w:multiLevelType w:val="hybridMultilevel"/>
    <w:lvl w:ilvl="0">
      <w:lvlJc w:val="left"/>
      <w:lvlText w:val="(%1)"/>
      <w:numFmt w:val="upperLetter"/>
      <w:start w:val="1"/>
    </w:lvl>
    <w:lvl w:ilvl="1">
      <w:lvlJc w:val="left"/>
      <w:lvlText w:val="%2"/>
      <w:numFmt w:val="lowerRoman"/>
      <w:start w:val="1"/>
    </w:lvl>
  </w:abstractNum>
  <w:abstractNum w:abstractNumId="618">
    <w:nsid w:val="6272919F"/>
    <w:multiLevelType w:val="hybridMultilevel"/>
    <w:lvl w:ilvl="0">
      <w:lvlJc w:val="left"/>
      <w:lvlText w:val="(%1)"/>
      <w:numFmt w:val="upperLetter"/>
      <w:start w:val="4"/>
    </w:lvl>
    <w:lvl w:ilvl="1">
      <w:lvlJc w:val="left"/>
      <w:lvlText w:val="%2"/>
      <w:numFmt w:val="lowerRoman"/>
      <w:start w:val="1"/>
    </w:lvl>
  </w:abstractNum>
  <w:abstractNum w:abstractNumId="619">
    <w:nsid w:val="127DED1D"/>
    <w:multiLevelType w:val="hybridMultilevel"/>
    <w:lvl w:ilvl="0">
      <w:lvlJc w:val="left"/>
      <w:lvlText w:val="(%1)"/>
      <w:numFmt w:val="upperLetter"/>
      <w:start w:val="8"/>
    </w:lvl>
    <w:lvl w:ilvl="1">
      <w:lvlJc w:val="left"/>
      <w:lvlText w:val="(%2)"/>
      <w:numFmt w:val="lowerRoman"/>
      <w:start w:val="5"/>
    </w:lvl>
  </w:abstractNum>
  <w:abstractNum w:abstractNumId="620">
    <w:nsid w:val="483966AA"/>
    <w:multiLevelType w:val="hybridMultilevel"/>
    <w:lvl w:ilvl="0">
      <w:lvlJc w:val="left"/>
      <w:lvlText w:val="%1"/>
      <w:numFmt w:val="upperLetter"/>
      <w:start w:val="1"/>
    </w:lvl>
    <w:lvl w:ilvl="1">
      <w:lvlJc w:val="left"/>
      <w:lvlText w:val="(%2)"/>
      <w:numFmt w:val="lowerRoman"/>
      <w:start w:val="7"/>
    </w:lvl>
  </w:abstractNum>
  <w:abstractNum w:abstractNumId="621">
    <w:nsid w:val="667FC831"/>
    <w:multiLevelType w:val="hybridMultilevel"/>
    <w:lvl w:ilvl="0">
      <w:lvlJc w:val="left"/>
      <w:lvlText w:val="(%1)"/>
      <w:numFmt w:val="upperLetter"/>
      <w:start w:val="2"/>
    </w:lvl>
    <w:lvl w:ilvl="1">
      <w:lvlJc w:val="left"/>
      <w:lvlText w:val="%2"/>
      <w:numFmt w:val="lowerRoman"/>
      <w:start w:val="1"/>
    </w:lvl>
  </w:abstractNum>
  <w:abstractNum w:abstractNumId="622">
    <w:nsid w:val="34ADB582"/>
    <w:multiLevelType w:val="hybridMultilevel"/>
    <w:lvl w:ilvl="0">
      <w:lvlJc w:val="left"/>
      <w:lvlText w:val="%1"/>
      <w:numFmt w:val="lowerLetter"/>
      <w:start w:val="1"/>
    </w:lvl>
    <w:lvl w:ilvl="1">
      <w:lvlJc w:val="left"/>
      <w:lvlText w:val="(%2)"/>
      <w:numFmt w:val="lowerRoman"/>
      <w:start w:val="11"/>
    </w:lvl>
  </w:abstractNum>
  <w:abstractNum w:abstractNumId="623">
    <w:nsid w:val="4CB58EA4"/>
    <w:multiLevelType w:val="hybridMultilevel"/>
    <w:lvl w:ilvl="0">
      <w:lvlJc w:val="left"/>
      <w:lvlText w:val="(%1)"/>
      <w:numFmt w:val="lowerLetter"/>
      <w:start w:val="18"/>
    </w:lvl>
    <w:lvl w:ilvl="1">
      <w:lvlJc w:val="left"/>
      <w:lvlText w:val="%2"/>
      <w:numFmt w:val="lowerRoman"/>
      <w:start w:val="1"/>
    </w:lvl>
  </w:abstractNum>
  <w:abstractNum w:abstractNumId="624">
    <w:nsid w:val="39629FFA"/>
    <w:multiLevelType w:val="hybridMultilevel"/>
    <w:lvl w:ilvl="0">
      <w:lvlJc w:val="left"/>
      <w:lvlText w:val="(%1)"/>
      <w:numFmt w:val="lowerLetter"/>
      <w:start w:val="19"/>
    </w:lvl>
    <w:lvl w:ilvl="1">
      <w:lvlJc w:val="left"/>
      <w:lvlText w:val="(%2)"/>
      <w:numFmt w:val="lowerLetter"/>
      <w:start w:val="9"/>
    </w:lvl>
  </w:abstractNum>
  <w:abstractNum w:abstractNumId="625">
    <w:nsid w:val="71F94AD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26">
    <w:nsid w:val="27FFB15A"/>
    <w:multiLevelType w:val="hybridMultilevel"/>
    <w:lvl w:ilvl="0">
      <w:lvlJc w:val="left"/>
      <w:lvlText w:val="(%1)"/>
      <w:numFmt w:val="lowerLetter"/>
      <w:start w:val="23"/>
    </w:lvl>
    <w:lvl w:ilvl="1">
      <w:lvlJc w:val="left"/>
      <w:lvlText w:val="(%2)"/>
      <w:numFmt w:val="lowerRoman"/>
      <w:start w:val="1"/>
    </w:lvl>
    <w:lvl w:ilvl="2">
      <w:lvlJc w:val="left"/>
      <w:lvlText w:val="(%3)"/>
      <w:numFmt w:val="upperLetter"/>
      <w:start w:val="1"/>
    </w:lvl>
  </w:abstractNum>
  <w:abstractNum w:abstractNumId="627">
    <w:nsid w:val="48BE57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28">
    <w:nsid w:val="142AC06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29">
    <w:nsid w:val="5FA54049"/>
    <w:multiLevelType w:val="hybridMultilevel"/>
    <w:lvl w:ilvl="0">
      <w:lvlJc w:val="left"/>
      <w:lvlText w:val="(%1)"/>
      <w:numFmt w:val="upperLetter"/>
      <w:start w:val="2"/>
    </w:lvl>
    <w:lvl w:ilvl="1">
      <w:lvlJc w:val="left"/>
      <w:lvlText w:val="(%2)"/>
      <w:numFmt w:val="lowerRoman"/>
      <w:start w:val="5"/>
    </w:lvl>
    <w:lvl w:ilvl="2">
      <w:lvlJc w:val="left"/>
      <w:lvlText w:val="%3"/>
      <w:numFmt w:val="upperLetter"/>
      <w:start w:val="1"/>
    </w:lvl>
  </w:abstractNum>
  <w:abstractNum w:abstractNumId="630">
    <w:nsid w:val="2CBE7670"/>
    <w:multiLevelType w:val="hybridMultilevel"/>
    <w:lvl w:ilvl="0">
      <w:lvlJc w:val="left"/>
      <w:lvlText w:val="%1"/>
      <w:numFmt w:val="upperLetter"/>
      <w:start w:val="1"/>
    </w:lvl>
    <w:lvl w:ilvl="1">
      <w:lvlJc w:val="left"/>
      <w:lvlText w:val="(%2)"/>
      <w:numFmt w:val="lowerRoman"/>
      <w:start w:val="7"/>
    </w:lvl>
  </w:abstractNum>
  <w:abstractNum w:abstractNumId="631">
    <w:nsid w:val="5D86CF11"/>
    <w:multiLevelType w:val="hybridMultilevel"/>
    <w:lvl w:ilvl="0">
      <w:lvlJc w:val="left"/>
      <w:lvlText w:val="(%1)"/>
      <w:numFmt w:val="upperLetter"/>
      <w:start w:val="1"/>
    </w:lvl>
    <w:lvl w:ilvl="1">
      <w:lvlJc w:val="left"/>
      <w:lvlText w:val="(%2)"/>
      <w:numFmt w:val="lowerRoman"/>
      <w:start w:val="11"/>
    </w:lvl>
  </w:abstractNum>
  <w:abstractNum w:abstractNumId="632">
    <w:nsid w:val="69EF4674"/>
    <w:multiLevelType w:val="hybridMultilevel"/>
    <w:lvl w:ilvl="0">
      <w:lvlJc w:val="left"/>
      <w:lvlText w:val="(%1)"/>
      <w:numFmt w:val="lowerLetter"/>
      <w:start w:val="24"/>
    </w:lvl>
  </w:abstractNum>
  <w:abstractNum w:abstractNumId="633">
    <w:nsid w:val="68ABEFB0"/>
    <w:multiLevelType w:val="hybridMultilevel"/>
    <w:lvl w:ilvl="0">
      <w:lvlJc w:val="left"/>
      <w:lvlText w:val="(%1)"/>
      <w:numFmt w:val="lowerLetter"/>
      <w:start w:val="26"/>
    </w:lvl>
  </w:abstractNum>
  <w:abstractNum w:abstractNumId="634">
    <w:nsid w:val="326C3C76"/>
    <w:multiLevelType w:val="hybridMultilevel"/>
    <w:lvl w:ilvl="0">
      <w:lvlJc w:val="left"/>
      <w:lvlText w:val="%1"/>
      <w:numFmt w:val="decimal"/>
      <w:start w:val="1"/>
    </w:lvl>
    <w:lvl w:ilvl="1">
      <w:lvlJc w:val="left"/>
      <w:lvlText w:val="(%2)"/>
      <w:numFmt w:val="lowerLetter"/>
      <w:start w:val="27"/>
    </w:lvl>
  </w:abstractNum>
  <w:abstractNum w:abstractNumId="635">
    <w:nsid w:val="58A36FCA"/>
    <w:multiLevelType w:val="hybridMultilevel"/>
    <w:lvl w:ilvl="0">
      <w:lvlJc w:val="left"/>
      <w:lvlText w:val="%1."/>
      <w:numFmt w:val="decimal"/>
      <w:start w:val="4"/>
    </w:lvl>
    <w:lvl w:ilvl="1">
      <w:lvlJc w:val="left"/>
      <w:lvlText w:val="(%2)"/>
      <w:numFmt w:val="lowerLetter"/>
      <w:start w:val="1"/>
    </w:lvl>
  </w:abstractNum>
  <w:abstractNum w:abstractNumId="636">
    <w:nsid w:val="129B95F2"/>
    <w:multiLevelType w:val="hybridMultilevel"/>
    <w:lvl w:ilvl="0">
      <w:lvlJc w:val="left"/>
      <w:lvlText w:val="(%1)"/>
      <w:numFmt w:val="lowerLetter"/>
      <w:start w:val="3"/>
    </w:lvl>
  </w:abstractNum>
  <w:abstractNum w:abstractNumId="637">
    <w:nsid w:val="309FB9AB"/>
    <w:multiLevelType w:val="hybridMultilevel"/>
    <w:lvl w:ilvl="0">
      <w:lvlJc w:val="left"/>
      <w:lvlText w:val="(%1)"/>
      <w:numFmt w:val="lowerLetter"/>
      <w:start w:val="6"/>
    </w:lvl>
  </w:abstractNum>
  <w:abstractNum w:abstractNumId="638">
    <w:nsid w:val="782FF375"/>
    <w:multiLevelType w:val="hybridMultilevel"/>
    <w:lvl w:ilvl="0">
      <w:lvlJc w:val="left"/>
      <w:lvlText w:val="%1."/>
      <w:numFmt w:val="decimal"/>
      <w:start w:val="5"/>
    </w:lvl>
    <w:lvl w:ilvl="1">
      <w:lvlJc w:val="left"/>
      <w:lvlText w:val="(%2)"/>
      <w:numFmt w:val="lowerLetter"/>
      <w:start w:val="1"/>
    </w:lvl>
  </w:abstractNum>
  <w:abstractNum w:abstractNumId="639">
    <w:nsid w:val="2B8FA025"/>
    <w:multiLevelType w:val="hybridMultilevel"/>
    <w:lvl w:ilvl="0">
      <w:lvlJc w:val="left"/>
      <w:lvlText w:val="(%1)"/>
      <w:numFmt w:val="lowerRoman"/>
      <w:start w:val="2"/>
    </w:lvl>
  </w:abstractNum>
  <w:abstractNum w:abstractNumId="640">
    <w:nsid w:val="40F9991C"/>
    <w:multiLevelType w:val="hybridMultilevel"/>
    <w:lvl w:ilvl="0">
      <w:lvlJc w:val="left"/>
      <w:lvlText w:val="(%1)"/>
      <w:numFmt w:val="lowerLetter"/>
      <w:start w:val="2"/>
    </w:lvl>
  </w:abstractNum>
  <w:abstractNum w:abstractNumId="641">
    <w:nsid w:val="52192AD"/>
    <w:multiLevelType w:val="hybridMultilevel"/>
    <w:lvl w:ilvl="0">
      <w:lvlJc w:val="left"/>
      <w:lvlText w:val="(%1)"/>
      <w:numFmt w:val="lowerLetter"/>
      <w:start w:val="3"/>
    </w:lvl>
  </w:abstractNum>
  <w:abstractNum w:abstractNumId="642">
    <w:nsid w:val="7670D608"/>
    <w:multiLevelType w:val="hybridMultilevel"/>
    <w:lvl w:ilvl="0">
      <w:lvlJc w:val="left"/>
      <w:lvlText w:val="(%1)"/>
      <w:numFmt w:val="lowerLetter"/>
      <w:start w:val="6"/>
    </w:lvl>
    <w:lvl w:ilvl="1">
      <w:lvlJc w:val="left"/>
      <w:lvlText w:val="(%2)"/>
      <w:numFmt w:val="lowerRoman"/>
      <w:start w:val="1"/>
    </w:lvl>
  </w:abstractNum>
  <w:abstractNum w:abstractNumId="643">
    <w:nsid w:val="48B6B6EB"/>
    <w:multiLevelType w:val="hybridMultilevel"/>
    <w:lvl w:ilvl="0">
      <w:lvlJc w:val="left"/>
      <w:lvlText w:val="(%1)"/>
      <w:numFmt w:val="lowerLetter"/>
      <w:start w:val="9"/>
    </w:lvl>
    <w:lvl w:ilvl="1">
      <w:lvlJc w:val="left"/>
      <w:lvlText w:val="(%2)"/>
      <w:numFmt w:val="lowerRoman"/>
      <w:start w:val="1"/>
    </w:lvl>
  </w:abstractNum>
  <w:abstractNum w:abstractNumId="644">
    <w:nsid w:val="FB37489"/>
    <w:multiLevelType w:val="hybridMultilevel"/>
    <w:lvl w:ilvl="0">
      <w:lvlJc w:val="left"/>
      <w:lvlText w:val="%1"/>
      <w:numFmt w:val="decimal"/>
      <w:start w:val="1"/>
    </w:lvl>
    <w:lvl w:ilvl="1">
      <w:lvlJc w:val="left"/>
      <w:lvlText w:val="(%2)"/>
      <w:numFmt w:val="lowerLetter"/>
      <w:start w:val="13"/>
    </w:lvl>
  </w:abstractNum>
  <w:abstractNum w:abstractNumId="645">
    <w:nsid w:val="8A75F95"/>
    <w:multiLevelType w:val="hybridMultilevel"/>
    <w:lvl w:ilvl="0">
      <w:lvlJc w:val="left"/>
      <w:lvlText w:val="%1."/>
      <w:numFmt w:val="decimal"/>
      <w:start w:val="6"/>
    </w:lvl>
    <w:lvl w:ilvl="1">
      <w:lvlJc w:val="left"/>
      <w:lvlText w:val="%2"/>
      <w:numFmt w:val="lowerLetter"/>
      <w:start w:val="1"/>
    </w:lvl>
  </w:abstractNum>
  <w:abstractNum w:abstractNumId="646">
    <w:nsid w:val="2B27BF4D"/>
    <w:multiLevelType w:val="hybridMultilevel"/>
    <w:lvl w:ilvl="0">
      <w:lvlJc w:val="left"/>
      <w:lvlText w:val="(%1)"/>
      <w:numFmt w:val="lowerLetter"/>
      <w:start w:val="1"/>
    </w:lvl>
  </w:abstractNum>
  <w:abstractNum w:abstractNumId="647">
    <w:nsid w:val="E5CBEB4"/>
    <w:multiLevelType w:val="hybridMultilevel"/>
    <w:lvl w:ilvl="0">
      <w:lvlJc w:val="left"/>
      <w:lvlText w:val="(%1)"/>
      <w:numFmt w:val="lowerLetter"/>
      <w:start w:val="3"/>
    </w:lvl>
  </w:abstractNum>
  <w:abstractNum w:abstractNumId="648">
    <w:nsid w:val="297BFD38"/>
    <w:multiLevelType w:val="hybridMultilevel"/>
    <w:lvl w:ilvl="0">
      <w:lvlJc w:val="left"/>
      <w:lvlText w:val="(%1)"/>
      <w:numFmt w:val="lowerLetter"/>
      <w:start w:val="4"/>
    </w:lvl>
  </w:abstractNum>
  <w:abstractNum w:abstractNumId="649">
    <w:nsid w:val="D9A50ED"/>
    <w:multiLevelType w:val="hybridMultilevel"/>
    <w:lvl w:ilvl="0">
      <w:lvlJc w:val="left"/>
      <w:lvlText w:val="%1"/>
      <w:numFmt w:val="decimal"/>
      <w:start w:val="1"/>
    </w:lvl>
    <w:lvl w:ilvl="1">
      <w:lvlJc w:val="left"/>
      <w:lvlText w:val="(%2)"/>
      <w:numFmt w:val="lowerLetter"/>
      <w:start w:val="7"/>
    </w:lvl>
  </w:abstractNum>
  <w:abstractNum w:abstractNumId="650">
    <w:nsid w:val="20DAABD1"/>
    <w:multiLevelType w:val="hybridMultilevel"/>
    <w:lvl w:ilvl="0">
      <w:lvlJc w:val="left"/>
      <w:lvlText w:val="%1."/>
      <w:numFmt w:val="decimal"/>
      <w:start w:val="7"/>
    </w:lvl>
    <w:lvl w:ilvl="1">
      <w:lvlJc w:val="left"/>
      <w:lvlText w:val="%2"/>
      <w:numFmt w:val="lowerLetter"/>
      <w:start w:val="1"/>
    </w:lvl>
  </w:abstractNum>
  <w:abstractNum w:abstractNumId="651">
    <w:nsid w:val="71B563E3"/>
    <w:multiLevelType w:val="hybridMultilevel"/>
    <w:lvl w:ilvl="0">
      <w:lvlJc w:val="left"/>
      <w:lvlText w:val="(%1)"/>
      <w:numFmt w:val="lowerLetter"/>
      <w:start w:val="1"/>
    </w:lvl>
  </w:abstractNum>
  <w:abstractNum w:abstractNumId="652">
    <w:nsid w:val="741A191E"/>
    <w:multiLevelType w:val="hybridMultilevel"/>
    <w:lvl w:ilvl="0">
      <w:lvlJc w:val="left"/>
      <w:lvlText w:val="(%1)"/>
      <w:numFmt w:val="lowerLetter"/>
      <w:start w:val="4"/>
    </w:lvl>
  </w:abstractNum>
  <w:abstractNum w:abstractNumId="653">
    <w:nsid w:val="55886153"/>
    <w:multiLevelType w:val="hybridMultilevel"/>
    <w:lvl w:ilvl="0">
      <w:lvlJc w:val="left"/>
      <w:lvlText w:val="%1"/>
      <w:numFmt w:val="decimal"/>
      <w:start w:val="1"/>
    </w:lvl>
    <w:lvl w:ilvl="1">
      <w:lvlJc w:val="left"/>
      <w:lvlText w:val="(%2)"/>
      <w:numFmt w:val="lowerLetter"/>
      <w:start w:val="6"/>
    </w:lvl>
  </w:abstractNum>
  <w:abstractNum w:abstractNumId="654">
    <w:nsid w:val="3E6AF287"/>
    <w:multiLevelType w:val="hybridMultilevel"/>
    <w:lvl w:ilvl="0">
      <w:lvlJc w:val="left"/>
      <w:lvlText w:val="%1."/>
      <w:numFmt w:val="decimal"/>
      <w:start w:val="8"/>
    </w:lvl>
    <w:lvl w:ilvl="1">
      <w:lvlJc w:val="left"/>
      <w:lvlText w:val="(%2)"/>
      <w:numFmt w:val="lowerLetter"/>
      <w:start w:val="1"/>
    </w:lvl>
  </w:abstractNum>
  <w:abstractNum w:abstractNumId="655">
    <w:nsid w:val="2D7CB919"/>
    <w:multiLevelType w:val="hybridMultilevel"/>
    <w:lvl w:ilvl="0">
      <w:lvlJc w:val="left"/>
      <w:lvlText w:val="%1"/>
      <w:numFmt w:val="lowerLetter"/>
      <w:start w:val="1"/>
    </w:lvl>
    <w:lvl w:ilvl="1">
      <w:lvlJc w:val="left"/>
      <w:lvlText w:val="(%2)"/>
      <w:numFmt w:val="lowerRoman"/>
      <w:start w:val="1"/>
    </w:lvl>
  </w:abstractNum>
  <w:abstractNum w:abstractNumId="656">
    <w:nsid w:val="4781AC2F"/>
    <w:multiLevelType w:val="hybridMultilevel"/>
    <w:lvl w:ilvl="0">
      <w:lvlJc w:val="left"/>
      <w:lvlText w:val="(%1)"/>
      <w:numFmt w:val="lowerLetter"/>
      <w:start w:val="2"/>
    </w:lvl>
    <w:lvl w:ilvl="1">
      <w:lvlJc w:val="left"/>
      <w:lvlText w:val="%2"/>
      <w:numFmt w:val="lowerRoman"/>
      <w:start w:val="1"/>
    </w:lvl>
  </w:abstractNum>
  <w:abstractNum w:abstractNumId="657">
    <w:nsid w:val="666AA3E1"/>
    <w:multiLevelType w:val="hybridMultilevel"/>
    <w:lvl w:ilvl="0">
      <w:lvlJc w:val="left"/>
      <w:lvlText w:val="(%1)"/>
      <w:numFmt w:val="lowerRoman"/>
      <w:start w:val="1"/>
    </w:lvl>
  </w:abstractNum>
  <w:abstractNum w:abstractNumId="658">
    <w:nsid w:val="32089E8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59">
    <w:nsid w:val="5BAC6C9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60">
    <w:nsid w:val="460FE42B"/>
    <w:multiLevelType w:val="hybridMultilevel"/>
    <w:lvl w:ilvl="0">
      <w:lvlJc w:val="left"/>
      <w:lvlText w:val="(%1)"/>
      <w:numFmt w:val="lowerLetter"/>
      <w:start w:val="3"/>
    </w:lvl>
  </w:abstractNum>
  <w:abstractNum w:abstractNumId="661">
    <w:nsid w:val="5EC714FC"/>
    <w:multiLevelType w:val="hybridMultilevel"/>
    <w:lvl w:ilvl="0">
      <w:lvlJc w:val="left"/>
      <w:lvlText w:val="(%1)"/>
      <w:numFmt w:val="lowerLetter"/>
      <w:start w:val="6"/>
    </w:lvl>
  </w:abstractNum>
  <w:abstractNum w:abstractNumId="662">
    <w:nsid w:val="39333BAD"/>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663">
    <w:nsid w:val="2FFF2A9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64">
    <w:nsid w:val="477304AC"/>
    <w:multiLevelType w:val="hybridMultilevel"/>
    <w:lvl w:ilvl="0">
      <w:lvlJc w:val="left"/>
      <w:lvlText w:val="%1"/>
      <w:numFmt w:val="lowerRoman"/>
      <w:start w:val="1"/>
    </w:lvl>
    <w:lvl w:ilvl="1">
      <w:lvlJc w:val="left"/>
      <w:lvlText w:val="(%2)"/>
      <w:numFmt w:val="lowerRoman"/>
      <w:start w:val="3"/>
    </w:lvl>
  </w:abstractNum>
  <w:abstractNum w:abstractNumId="665">
    <w:nsid w:val="6B9F7823"/>
    <w:multiLevelType w:val="hybridMultilevel"/>
    <w:lvl w:ilvl="0">
      <w:lvlJc w:val="left"/>
      <w:lvlText w:val="(%1)"/>
      <w:numFmt w:val="lowerRoman"/>
      <w:start w:val="2"/>
    </w:lvl>
    <w:lvl w:ilvl="1">
      <w:lvlJc w:val="left"/>
      <w:lvlText w:val="(%2)"/>
      <w:numFmt w:val="lowerRoman"/>
      <w:start w:val="4"/>
    </w:lvl>
  </w:abstractNum>
  <w:abstractNum w:abstractNumId="666">
    <w:nsid w:val="8A29A6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667">
    <w:nsid w:val="5A0E9A9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68">
    <w:nsid w:val="1C3F31CE"/>
    <w:multiLevelType w:val="hybridMultilevel"/>
    <w:lvl w:ilvl="0">
      <w:lvlJc w:val="left"/>
      <w:lvlText w:val="%1"/>
      <w:numFmt w:val="lowerLetter"/>
      <w:start w:val="1"/>
    </w:lvl>
    <w:lvl w:ilvl="1">
      <w:lvlJc w:val="left"/>
      <w:lvlText w:val="(%2)"/>
      <w:numFmt w:val="lowerRoman"/>
      <w:start w:val="2"/>
    </w:lvl>
  </w:abstractNum>
  <w:abstractNum w:abstractNumId="669">
    <w:nsid w:val="D28DDE"/>
    <w:multiLevelType w:val="hybridMultilevel"/>
    <w:lvl w:ilvl="0">
      <w:lvlJc w:val="left"/>
      <w:lvlText w:val="(%1)"/>
      <w:numFmt w:val="lowerLetter"/>
      <w:start w:val="3"/>
    </w:lvl>
    <w:lvl w:ilvl="1">
      <w:lvlJc w:val="left"/>
      <w:lvlText w:val="%2"/>
      <w:numFmt w:val="lowerRoman"/>
      <w:start w:val="1"/>
    </w:lvl>
  </w:abstractNum>
  <w:abstractNum w:abstractNumId="670">
    <w:nsid w:val="59E3AC4"/>
    <w:multiLevelType w:val="hybridMultilevel"/>
    <w:lvl w:ilvl="0">
      <w:lvlJc w:val="left"/>
      <w:lvlText w:val="%1."/>
      <w:numFmt w:val="decimal"/>
      <w:start w:val="11"/>
    </w:lvl>
  </w:abstractNum>
  <w:abstractNum w:abstractNumId="671">
    <w:nsid w:val="5D38CAEA"/>
    <w:multiLevelType w:val="hybridMultilevel"/>
    <w:lvl w:ilvl="0">
      <w:lvlJc w:val="left"/>
      <w:lvlText w:val="%1."/>
      <w:numFmt w:val="decimal"/>
      <w:start w:val="12"/>
    </w:lvl>
  </w:abstractNum>
  <w:abstractNum w:abstractNumId="672">
    <w:nsid w:val="5F4208C"/>
    <w:multiLevelType w:val="hybridMultilevel"/>
    <w:lvl w:ilvl="0">
      <w:lvlJc w:val="left"/>
      <w:lvlText w:val="%1."/>
      <w:numFmt w:val="decimal"/>
      <w:start w:val="16"/>
    </w:lvl>
  </w:abstractNum>
  <w:abstractNum w:abstractNumId="673">
    <w:nsid w:val="7C0F10CC"/>
    <w:multiLevelType w:val="hybridMultilevel"/>
    <w:lvl w:ilvl="0">
      <w:lvlJc w:val="left"/>
      <w:lvlText w:val="%1."/>
      <w:numFmt w:val="decimal"/>
      <w:start w:val="18"/>
    </w:lvl>
  </w:abstractNum>
  <w:abstractNum w:abstractNumId="674">
    <w:nsid w:val="25EF81D5"/>
    <w:multiLevelType w:val="hybridMultilevel"/>
    <w:lvl w:ilvl="0">
      <w:lvlJc w:val="left"/>
      <w:lvlText w:val="%1."/>
      <w:numFmt w:val="decimal"/>
      <w:start w:val="21"/>
    </w:lvl>
  </w:abstractNum>
  <w:abstractNum w:abstractNumId="675">
    <w:nsid w:val="15A79515"/>
    <w:multiLevelType w:val="hybridMultilevel"/>
    <w:lvl w:ilvl="0">
      <w:lvlJc w:val="left"/>
      <w:lvlText w:val="%1"/>
      <w:numFmt w:val="decimal"/>
      <w:start w:val="22"/>
    </w:lvl>
  </w:abstractNum>
  <w:abstractNum w:abstractNumId="676">
    <w:nsid w:val="4B67062"/>
    <w:multiLevelType w:val="hybridMultilevel"/>
    <w:lvl w:ilvl="0">
      <w:lvlJc w:val="left"/>
      <w:lvlText w:val="%1."/>
      <w:numFmt w:val="decimal"/>
      <w:start w:val="23"/>
    </w:lvl>
  </w:abstractNum>
  <w:abstractNum w:abstractNumId="677">
    <w:nsid w:val="51174123"/>
    <w:multiLevelType w:val="hybridMultilevel"/>
    <w:lvl w:ilvl="0">
      <w:lvlJc w:val="left"/>
      <w:lvlText w:val="%1."/>
      <w:numFmt w:val="decimal"/>
      <w:start w:val="1"/>
    </w:lvl>
    <w:lvl w:ilvl="1">
      <w:lvlJc w:val="left"/>
      <w:lvlText w:val="(%2)"/>
      <w:numFmt w:val="lowerLetter"/>
      <w:start w:val="2"/>
    </w:lvl>
  </w:abstractNum>
  <w:abstractNum w:abstractNumId="678">
    <w:nsid w:val="240453CA"/>
    <w:multiLevelType w:val="hybridMultilevel"/>
    <w:lvl w:ilvl="0">
      <w:lvlJc w:val="left"/>
      <w:lvlText w:val="%1."/>
      <w:numFmt w:val="decimal"/>
      <w:start w:val="2"/>
    </w:lvl>
  </w:abstractNum>
  <w:abstractNum w:abstractNumId="679">
    <w:nsid w:val="2E326D9A"/>
    <w:multiLevelType w:val="hybridMultilevel"/>
    <w:lvl w:ilvl="0">
      <w:lvlJc w:val="left"/>
      <w:lvlText w:val="%1."/>
      <w:numFmt w:val="decimal"/>
      <w:start w:val="3"/>
    </w:lvl>
  </w:abstractNum>
  <w:abstractNum w:abstractNumId="680">
    <w:nsid w:val="5EB19210"/>
    <w:multiLevelType w:val="hybridMultilevel"/>
    <w:lvl w:ilvl="0">
      <w:lvlJc w:val="left"/>
      <w:lvlText w:val="%1."/>
      <w:numFmt w:val="decimal"/>
      <w:start w:val="4"/>
    </w:lvl>
  </w:abstractNum>
  <w:abstractNum w:abstractNumId="681">
    <w:nsid w:val="44DEFF9B"/>
    <w:multiLevelType w:val="hybridMultilevel"/>
    <w:lvl w:ilvl="0">
      <w:lvlJc w:val="left"/>
      <w:lvlText w:val="%1."/>
      <w:numFmt w:val="decimal"/>
      <w:start w:val="5"/>
    </w:lvl>
  </w:abstractNum>
  <w:abstractNum w:abstractNumId="682">
    <w:nsid w:val="1FE7D17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2019-12-13T14:10:03Z</dcterms:created>
  <dcterms:modified xsi:type="dcterms:W3CDTF">2019-12-13T14:10:03Z</dcterms:modified>
</cp:coreProperties>
</file>