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27940</wp:posOffset>
            </wp:positionV>
            <wp:extent cx="6969125" cy="1605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60591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HARLESS KATHERINE J</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11/02/2020</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0" w:right="640" w:firstLine="10"/>
        <w:spacing w:after="0" w:line="237"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10" w:space="720"/>
            <w:col w:w="3350"/>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286"/>
              <w:spacing w:after="0"/>
              <w:rPr>
                <w:sz w:val="20"/>
                <w:szCs w:val="20"/>
                <w:color w:val="auto"/>
              </w:rPr>
            </w:pPr>
            <w:r>
              <w:rPr>
                <w:rFonts w:ascii="Arial" w:cs="Arial" w:eastAsia="Arial" w:hAnsi="Arial"/>
                <w:sz w:val="17"/>
                <w:szCs w:val="17"/>
                <w:color w:val="0000FF"/>
              </w:rPr>
              <w:t>55420-1196</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198755</wp:posOffset>
            </wp:positionV>
            <wp:extent cx="6969125" cy="129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1296035"/>
                    </a:xfrm>
                    <a:prstGeom prst="rect">
                      <a:avLst/>
                    </a:prstGeom>
                    <a:noFill/>
                  </pic:spPr>
                </pic:pic>
              </a:graphicData>
            </a:graphic>
          </wp:anchor>
        </w:drawing>
      </w:r>
    </w:p>
    <w:p>
      <w:pPr>
        <w:spacing w:after="0" w:line="373"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8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20"/>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0"/>
              </w:rPr>
              <w:t>Common Stock Units</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11/02/2020</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680" w:type="dxa"/>
            <w:vAlign w:val="bottom"/>
            <w:tcBorders>
              <w:bottom w:val="single" w:sz="8" w:color="2C2C2C"/>
            </w:tcBorders>
          </w:tcPr>
          <w:p>
            <w:pPr>
              <w:ind w:left="260"/>
              <w:spacing w:after="0" w:line="307" w:lineRule="exact"/>
              <w:rPr>
                <w:sz w:val="20"/>
                <w:szCs w:val="20"/>
                <w:color w:val="auto"/>
              </w:rPr>
            </w:pPr>
            <w:r>
              <w:rPr>
                <w:rFonts w:ascii="Arial" w:cs="Arial" w:eastAsia="Arial" w:hAnsi="Arial"/>
                <w:sz w:val="33"/>
                <w:szCs w:val="33"/>
                <w:color w:val="0000FF"/>
                <w:w w:val="79"/>
                <w:vertAlign w:val="subscript"/>
              </w:rPr>
              <w:t>807</w:t>
            </w:r>
            <w:r>
              <w:rPr>
                <w:rFonts w:ascii="Arial" w:cs="Arial" w:eastAsia="Arial" w:hAnsi="Arial"/>
                <w:sz w:val="11"/>
                <w:szCs w:val="11"/>
                <w:color w:val="008000"/>
                <w:w w:val="79"/>
              </w:rPr>
              <w:t>(1)</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tcBorders>
              <w:bottom w:val="single" w:sz="8" w:color="2C2C2C"/>
            </w:tcBorders>
            <w:gridSpan w:val="3"/>
          </w:tcPr>
          <w:p>
            <w:pPr>
              <w:jc w:val="center"/>
              <w:ind w:right="162"/>
              <w:spacing w:after="0"/>
              <w:rPr>
                <w:sz w:val="20"/>
                <w:szCs w:val="20"/>
                <w:color w:val="auto"/>
              </w:rPr>
            </w:pPr>
            <w:r>
              <w:rPr>
                <w:rFonts w:ascii="Arial" w:cs="Arial" w:eastAsia="Arial" w:hAnsi="Arial"/>
                <w:sz w:val="17"/>
                <w:szCs w:val="17"/>
                <w:color w:val="0000FF"/>
              </w:rPr>
              <w:t>5,052.544</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ind w:right="122"/>
              <w:spacing w:after="0"/>
              <w:rPr>
                <w:sz w:val="20"/>
                <w:szCs w:val="20"/>
                <w:color w:val="auto"/>
              </w:rPr>
            </w:pPr>
            <w:r>
              <w:rPr>
                <w:rFonts w:ascii="Arial" w:cs="Arial" w:eastAsia="Arial" w:hAnsi="Arial"/>
                <w:sz w:val="17"/>
                <w:szCs w:val="17"/>
                <w:color w:val="0000FF"/>
              </w:rPr>
              <w:t>84,490.653</w:t>
            </w:r>
            <w:r>
              <w:rPr>
                <w:rFonts w:ascii="Arial" w:cs="Arial" w:eastAsia="Arial" w:hAnsi="Arial"/>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300" w:type="dxa"/>
            <w:vAlign w:val="bottom"/>
          </w:tcPr>
          <w:p>
            <w:pPr>
              <w:spacing w:after="0"/>
              <w:rPr>
                <w:sz w:val="11"/>
                <w:szCs w:val="11"/>
                <w:color w:val="auto"/>
              </w:rPr>
            </w:pP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83.12</w:t>
            </w:r>
          </w:p>
        </w:tc>
        <w:tc>
          <w:tcPr>
            <w:tcW w:w="980" w:type="dxa"/>
            <w:vAlign w:val="bottom"/>
          </w:tcPr>
          <w:p>
            <w:pPr>
              <w:jc w:val="right"/>
              <w:ind w:right="161"/>
              <w:spacing w:after="0"/>
              <w:rPr>
                <w:sz w:val="20"/>
                <w:szCs w:val="20"/>
                <w:color w:val="auto"/>
              </w:rPr>
            </w:pPr>
            <w:r>
              <w:rPr>
                <w:rFonts w:ascii="Arial" w:cs="Arial" w:eastAsia="Arial" w:hAnsi="Arial"/>
                <w:sz w:val="13"/>
                <w:szCs w:val="13"/>
                <w:color w:val="0000FF"/>
              </w:rPr>
              <w:t>11/02/2020</w:t>
            </w:r>
          </w:p>
        </w:tc>
        <w:tc>
          <w:tcPr>
            <w:tcW w:w="112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Pr>
          <w:p>
            <w:pPr>
              <w:ind w:left="140"/>
              <w:spacing w:after="0" w:line="189" w:lineRule="exact"/>
              <w:rPr>
                <w:sz w:val="20"/>
                <w:szCs w:val="20"/>
                <w:color w:val="auto"/>
              </w:rPr>
            </w:pPr>
            <w:r>
              <w:rPr>
                <w:rFonts w:ascii="Arial" w:cs="Arial" w:eastAsia="Arial" w:hAnsi="Arial"/>
                <w:sz w:val="13"/>
                <w:szCs w:val="13"/>
                <w:color w:val="0000FF"/>
              </w:rPr>
              <w:t>3,201</w:t>
            </w:r>
            <w:r>
              <w:rPr>
                <w:rFonts w:ascii="Arial" w:cs="Arial" w:eastAsia="Arial" w:hAnsi="Arial"/>
                <w:sz w:val="21"/>
                <w:szCs w:val="21"/>
                <w:color w:val="008000"/>
                <w:vertAlign w:val="superscript"/>
              </w:rPr>
              <w:t>(4)</w:t>
            </w:r>
          </w:p>
        </w:tc>
        <w:tc>
          <w:tcPr>
            <w:tcW w:w="300" w:type="dxa"/>
            <w:vAlign w:val="bottom"/>
          </w:tcPr>
          <w:p>
            <w:pPr>
              <w:spacing w:after="0"/>
              <w:rPr>
                <w:sz w:val="16"/>
                <w:szCs w:val="16"/>
                <w:color w:val="auto"/>
              </w:rPr>
            </w:pPr>
          </w:p>
        </w:tc>
        <w:tc>
          <w:tcPr>
            <w:tcW w:w="780" w:type="dxa"/>
            <w:vAlign w:val="bottom"/>
            <w:gridSpan w:val="2"/>
          </w:tcPr>
          <w:p>
            <w:pPr>
              <w:ind w:left="260"/>
              <w:spacing w:after="0"/>
              <w:rPr>
                <w:sz w:val="20"/>
                <w:szCs w:val="20"/>
                <w:color w:val="auto"/>
              </w:rPr>
            </w:pPr>
            <w:r>
              <w:rPr>
                <w:rFonts w:ascii="Arial" w:cs="Arial" w:eastAsia="Arial" w:hAnsi="Arial"/>
                <w:sz w:val="11"/>
                <w:szCs w:val="11"/>
                <w:color w:val="008000"/>
              </w:rPr>
              <w:t>(5)</w:t>
            </w:r>
          </w:p>
        </w:tc>
        <w:tc>
          <w:tcPr>
            <w:tcW w:w="680" w:type="dxa"/>
            <w:vAlign w:val="bottom"/>
          </w:tcPr>
          <w:p>
            <w:pPr>
              <w:spacing w:after="0"/>
              <w:rPr>
                <w:sz w:val="20"/>
                <w:szCs w:val="20"/>
                <w:color w:val="auto"/>
              </w:rPr>
            </w:pPr>
            <w:r>
              <w:rPr>
                <w:rFonts w:ascii="Arial" w:cs="Arial" w:eastAsia="Arial" w:hAnsi="Arial"/>
                <w:sz w:val="13"/>
                <w:szCs w:val="13"/>
                <w:color w:val="0000FF"/>
              </w:rPr>
              <w:t>11/02/2030</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jc w:val="right"/>
              <w:ind w:right="36"/>
              <w:spacing w:after="0" w:line="189" w:lineRule="exact"/>
              <w:rPr>
                <w:sz w:val="20"/>
                <w:szCs w:val="20"/>
                <w:color w:val="auto"/>
              </w:rPr>
            </w:pPr>
            <w:r>
              <w:rPr>
                <w:rFonts w:ascii="Arial" w:cs="Arial" w:eastAsia="Arial" w:hAnsi="Arial"/>
                <w:sz w:val="17"/>
                <w:szCs w:val="17"/>
                <w:color w:val="0000FF"/>
                <w:w w:val="93"/>
              </w:rPr>
              <w:t>3,201</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3,201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Arial" w:cs="Arial" w:eastAsia="Arial" w:hAnsi="Arial"/>
                <w:sz w:val="12"/>
                <w:szCs w:val="12"/>
                <w:color w:val="0000FF"/>
              </w:rPr>
              <w:t>Stock</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ind w:left="140"/>
              <w:spacing w:after="0" w:line="104" w:lineRule="exact"/>
              <w:rPr>
                <w:sz w:val="20"/>
                <w:szCs w:val="20"/>
                <w:color w:val="auto"/>
              </w:rPr>
            </w:pPr>
            <w:r>
              <w:rPr>
                <w:rFonts w:ascii="Arial" w:cs="Arial" w:eastAsia="Arial" w:hAnsi="Arial"/>
                <w:sz w:val="12"/>
                <w:szCs w:val="12"/>
                <w:color w:val="0000FF"/>
              </w:rPr>
              <w:t>Stock</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-1784985</wp:posOffset>
            </wp:positionV>
            <wp:extent cx="7033895" cy="1923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19234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16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Amended and Restated 2010 Equity and Incentive Plan, as amended and restated (the "Amended and Restated 2010 Plan"). The reporting person has deferred the payout of her stock award under The Toro Company Deferred Compensation Plan for Non-Employee Directors (the "Deferred Plan") and, accordingly, the reporting person's stock award is paid in common stock units under the Deferred Plan.</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12.076 common stock units acquired by the reporting person since the date of her last report under the dividend reinvestment feature of the Deferred Plan.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4.758 shares of common stock acquired by the reporting person since the date of her last report under the dividend reinvestment feature of The Toro Company Direct Stock Purchase Plan.</w:t>
      </w:r>
    </w:p>
    <w:p>
      <w:pPr>
        <w:spacing w:after="0" w:line="54" w:lineRule="exact"/>
        <w:rPr>
          <w:rFonts w:ascii="Arial" w:cs="Arial" w:eastAsia="Arial" w:hAnsi="Arial"/>
          <w:sz w:val="12"/>
          <w:szCs w:val="12"/>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Amended and Restated 2010 Plan.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 which was November 2, 2020.</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4"/>
              </w:rPr>
              <w:t>11/04/2020</w:t>
            </w:r>
          </w:p>
        </w:tc>
        <w:tc>
          <w:tcPr>
            <w:tcW w:w="0" w:type="dxa"/>
            <w:vAlign w:val="bottom"/>
          </w:tcPr>
          <w:p>
            <w:pPr>
              <w:spacing w:after="0"/>
              <w:rPr>
                <w:sz w:val="1"/>
                <w:szCs w:val="1"/>
                <w:color w:val="auto"/>
              </w:rPr>
            </w:pPr>
          </w:p>
        </w:tc>
      </w:tr>
      <w:tr>
        <w:trPr>
          <w:trHeight w:val="83"/>
        </w:trPr>
        <w:tc>
          <w:tcPr>
            <w:tcW w:w="20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67151"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2020-11-04T16:32:55Z</dcterms:created>
  <dcterms:modified xsi:type="dcterms:W3CDTF">2020-11-04T16:32:55Z</dcterms:modified>
</cp:coreProperties>
</file>