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63"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69"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63"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69"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68" w:lineRule="exact"/>
        <w:rPr>
          <w:sz w:val="24"/>
          <w:szCs w:val="24"/>
          <w:color w:val="auto"/>
        </w:rPr>
      </w:pPr>
    </w:p>
    <w:p>
      <w:pPr>
        <w:ind w:left="4128"/>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17, 2008</w:t>
      </w:r>
    </w:p>
    <w:p>
      <w:pPr>
        <w:spacing w:after="0" w:line="314"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3" w:lineRule="exact"/>
        <w:rPr>
          <w:sz w:val="24"/>
          <w:szCs w:val="24"/>
          <w:color w:val="auto"/>
        </w:rPr>
      </w:pPr>
    </w:p>
    <w:p>
      <w:pPr>
        <w:ind w:left="45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314" w:lineRule="exact"/>
        <w:rPr>
          <w:sz w:val="24"/>
          <w:szCs w:val="24"/>
          <w:color w:val="auto"/>
        </w:rPr>
      </w:pPr>
    </w:p>
    <w:tbl>
      <w:tblPr>
        <w:tblLayout w:type="fixed"/>
        <w:tblInd w:w="1348" w:type="dxa"/>
        <w:tblCellMar>
          <w:top w:w="0" w:type="dxa"/>
          <w:left w:w="0" w:type="dxa"/>
          <w:bottom w:w="0" w:type="dxa"/>
          <w:right w:w="0" w:type="dxa"/>
        </w:tblCellMar>
      </w:tblPr>
      <w:tr>
        <w:trPr>
          <w:trHeight w:val="148"/>
        </w:trPr>
        <w:tc>
          <w:tcPr>
            <w:tcW w:w="2600" w:type="dxa"/>
            <w:vAlign w:val="bottom"/>
            <w:gridSpan w:val="3"/>
          </w:tcPr>
          <w:p>
            <w:pPr>
              <w:jc w:val="center"/>
              <w:ind w:right="14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9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1-8649</w:t>
            </w:r>
          </w:p>
        </w:tc>
        <w:tc>
          <w:tcPr>
            <w:tcW w:w="2680" w:type="dxa"/>
            <w:vAlign w:val="bottom"/>
            <w:gridSpan w:val="3"/>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41-0580470</w:t>
            </w:r>
          </w:p>
        </w:tc>
      </w:tr>
      <w:tr>
        <w:trPr>
          <w:trHeight w:val="155"/>
        </w:trPr>
        <w:tc>
          <w:tcPr>
            <w:tcW w:w="2600" w:type="dxa"/>
            <w:vAlign w:val="bottom"/>
            <w:gridSpan w:val="3"/>
          </w:tcPr>
          <w:p>
            <w:pPr>
              <w:jc w:val="center"/>
              <w:ind w:right="1460"/>
              <w:spacing w:after="0"/>
              <w:rPr>
                <w:sz w:val="20"/>
                <w:szCs w:val="20"/>
                <w:color w:val="auto"/>
              </w:rPr>
            </w:pPr>
            <w:r>
              <w:rPr>
                <w:rFonts w:ascii="Times New Roman" w:cs="Times New Roman" w:eastAsia="Times New Roman" w:hAnsi="Times New Roman"/>
                <w:sz w:val="12"/>
                <w:szCs w:val="12"/>
                <w:color w:val="auto"/>
              </w:rPr>
              <w:t>(State of Incorporation)</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540" w:type="dxa"/>
            <w:vAlign w:val="bottom"/>
          </w:tcPr>
          <w:p>
            <w:pPr>
              <w:spacing w:after="0"/>
              <w:rPr>
                <w:sz w:val="13"/>
                <w:szCs w:val="13"/>
                <w:color w:val="auto"/>
              </w:rPr>
            </w:pPr>
          </w:p>
        </w:tc>
        <w:tc>
          <w:tcPr>
            <w:tcW w:w="214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color w:val="auto"/>
                <w:w w:val="99"/>
              </w:rPr>
              <w:t>(I.R.S. Employer Identification Number)</w:t>
            </w:r>
          </w:p>
        </w:tc>
      </w:tr>
      <w:tr>
        <w:trPr>
          <w:trHeight w:val="468"/>
        </w:trPr>
        <w:tc>
          <w:tcPr>
            <w:tcW w:w="78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8111 Lyndale Avenue South</w:t>
            </w:r>
          </w:p>
        </w:tc>
        <w:tc>
          <w:tcPr>
            <w:tcW w:w="3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35"/>
        </w:trPr>
        <w:tc>
          <w:tcPr>
            <w:tcW w:w="780" w:type="dxa"/>
            <w:vAlign w:val="bottom"/>
          </w:tcPr>
          <w:p>
            <w:pPr>
              <w:spacing w:after="0"/>
              <w:rPr>
                <w:sz w:val="11"/>
                <w:szCs w:val="11"/>
                <w:color w:val="auto"/>
              </w:rPr>
            </w:pPr>
          </w:p>
        </w:tc>
        <w:tc>
          <w:tcPr>
            <w:tcW w:w="150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Bloomington, Minnesota</w:t>
            </w:r>
          </w:p>
        </w:tc>
        <w:tc>
          <w:tcPr>
            <w:tcW w:w="3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55420</w:t>
            </w:r>
          </w:p>
        </w:tc>
        <w:tc>
          <w:tcPr>
            <w:tcW w:w="1720" w:type="dxa"/>
            <w:vAlign w:val="bottom"/>
          </w:tcPr>
          <w:p>
            <w:pPr>
              <w:spacing w:after="0"/>
              <w:rPr>
                <w:sz w:val="11"/>
                <w:szCs w:val="11"/>
                <w:color w:val="auto"/>
              </w:rPr>
            </w:pPr>
          </w:p>
        </w:tc>
      </w:tr>
      <w:tr>
        <w:trPr>
          <w:trHeight w:val="151"/>
        </w:trPr>
        <w:tc>
          <w:tcPr>
            <w:tcW w:w="260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3920" w:type="dxa"/>
            <w:vAlign w:val="bottom"/>
          </w:tcPr>
          <w:p>
            <w:pPr>
              <w:spacing w:after="0"/>
              <w:rPr>
                <w:sz w:val="13"/>
                <w:szCs w:val="13"/>
                <w:color w:val="auto"/>
              </w:rPr>
            </w:pPr>
          </w:p>
        </w:tc>
        <w:tc>
          <w:tcPr>
            <w:tcW w:w="2680" w:type="dxa"/>
            <w:vAlign w:val="bottom"/>
            <w:gridSpan w:val="3"/>
          </w:tcPr>
          <w:p>
            <w:pPr>
              <w:jc w:val="center"/>
              <w:ind w:right="120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306"/>
        </w:trPr>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(952) 888-8801</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313" w:lineRule="exact"/>
        <w:rPr>
          <w:sz w:val="24"/>
          <w:szCs w:val="24"/>
          <w:color w:val="auto"/>
        </w:rPr>
      </w:pPr>
    </w:p>
    <w:p>
      <w:pPr>
        <w:jc w:val="center"/>
        <w:ind w:right="-927"/>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-5715</wp:posOffset>
            </wp:positionV>
            <wp:extent cx="13785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8585" cy="5715"/>
                    </a:xfrm>
                    <a:prstGeom prst="rect">
                      <a:avLst/>
                    </a:prstGeom>
                    <a:noFill/>
                  </pic:spPr>
                </pic:pic>
              </a:graphicData>
            </a:graphic>
          </wp:anchor>
        </w:drawing>
      </w:r>
    </w:p>
    <w:p>
      <w:pPr>
        <w:jc w:val="center"/>
        <w:ind w:right="-92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08" w:hanging="108"/>
        <w:spacing w:after="0"/>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Written communications pursuant to Rule 425 under the Securities Act (17 CFR 230.425)</w:t>
      </w:r>
    </w:p>
    <w:p>
      <w:pPr>
        <w:spacing w:after="0" w:line="168" w:lineRule="exact"/>
        <w:rPr>
          <w:rFonts w:ascii="Times New Roman" w:cs="Times New Roman" w:eastAsia="Times New Roman" w:hAnsi="Times New Roman"/>
          <w:sz w:val="12"/>
          <w:szCs w:val="12"/>
          <w:color w:val="auto"/>
        </w:rPr>
      </w:pPr>
    </w:p>
    <w:p>
      <w:pPr>
        <w:ind w:left="108" w:hanging="108"/>
        <w:spacing w:after="0"/>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Soliciting material pursuant to Rule 14a-12 under the Exchange Act (17 CFR 240.14a-12)</w:t>
      </w:r>
    </w:p>
    <w:p>
      <w:pPr>
        <w:spacing w:after="0" w:line="168" w:lineRule="exact"/>
        <w:rPr>
          <w:rFonts w:ascii="Times New Roman" w:cs="Times New Roman" w:eastAsia="Times New Roman" w:hAnsi="Times New Roman"/>
          <w:sz w:val="12"/>
          <w:szCs w:val="12"/>
          <w:color w:val="auto"/>
        </w:rPr>
      </w:pPr>
    </w:p>
    <w:p>
      <w:pPr>
        <w:ind w:left="108" w:hanging="108"/>
        <w:spacing w:after="0"/>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Pre-commencement communications pursuant to Rule 14d-2(b) under the Exchange Act (17 CFR 240.14d-2(b))</w:t>
      </w:r>
    </w:p>
    <w:p>
      <w:pPr>
        <w:spacing w:after="0" w:line="168" w:lineRule="exact"/>
        <w:rPr>
          <w:rFonts w:ascii="Times New Roman" w:cs="Times New Roman" w:eastAsia="Times New Roman" w:hAnsi="Times New Roman"/>
          <w:sz w:val="12"/>
          <w:szCs w:val="12"/>
          <w:color w:val="auto"/>
        </w:rPr>
      </w:pPr>
    </w:p>
    <w:p>
      <w:pPr>
        <w:ind w:left="108" w:hanging="108"/>
        <w:spacing w:after="0"/>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729932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ectPr>
          <w:pgSz w:w="11900" w:h="16838" w:orient="portrait"/>
          <w:cols w:equalWidth="0" w:num="1">
            <w:col w:w="10548"/>
          </w:cols>
          <w:pgMar w:left="212" w:top="570" w:right="1139"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Section 5 — Corporate Governance and Management</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5.03. Amendments to Articles of Incorporation or Bylaws; Change in Fiscal Year.</w:t>
      </w:r>
    </w:p>
    <w:p>
      <w:pPr>
        <w:spacing w:after="0" w:line="17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On June 16, 2008, the rights agreement between The Toro Company and Wells Fargo Bank, NA (f/k/a Norwest Bank of Minnesota) dated as of May 20, 1998, as amended, and the related rights to purchase Series B Junior Participating Voting Preferred Stock, expired by their terms. Accordingly, on June 17, 2008, our Board of Directors adopted (i) a resolution to eliminate the Series B Junior Participating Voting Preferred Stock from our Certificate of Incorporation, and</w:t>
      </w:r>
    </w:p>
    <w:p>
      <w:pPr>
        <w:ind w:left="8" w:right="20" w:hanging="8"/>
        <w:spacing w:after="0" w:line="261" w:lineRule="auto"/>
        <w:tabs>
          <w:tab w:leader="none" w:pos="18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Restated Certificate of Incorporation to reflect the elimination of the Series B Junior Participating Voting Preferred Stock. A copy of the Restated Certificate of Incorporation is filed as Exhibit 3.1 to this Form 8-K and is incorporated by reference into this Item 5.03.</w:t>
      </w:r>
    </w:p>
    <w:p>
      <w:pPr>
        <w:spacing w:after="0" w:line="139"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2"/>
          <w:szCs w:val="12"/>
          <w:color w:val="auto"/>
        </w:rPr>
        <w:t>Also on June 17, 2008, our Board of Directors adopted amendments to our Bylaws to increase the notice period and expand the information required to be provided by a shareholder who submits a nomination for election to our Board of Directors or other proposal for business to be brought before a meeting of shareholders. The amendments increase the standard advance notice period for shareholder nominations or proposals to not less than 90 days and not more than 120 days prior to the first anniversary of the preceding year’s annual meeting of shareholders, as compared to the prior advance notice period of not less than 45 days and not more than 90 days. In addition, the amendments require a shareholder who submits a nomination or other proposal to disclose, among other things, information about the proposed nominee and his or her relationships with the shareholder submitting the nomination, information about any agreements, arrangements or understandings the shareholder may have with the proposed nominee or other parties relating to the nomination or other proposal, and information about the interests that the shareholder has related to Toro and our shares, including as a result of, among other things, derivative securities, voting arrangements, short positions or other interests. A shareholder who submits a nomination or proposal is required to update the information previously disclosed as of the record date for the meeting of shareholders and as of the date that is eight business days prior to the date of the meeting of shareholders. A copy of our Amended and Restated Bylaws is attached as Exhibit 3.2 to this Form 8-K and is incorporated by reference into this Item 5.03.</w:t>
      </w:r>
    </w:p>
    <w:p>
      <w:pPr>
        <w:spacing w:after="0" w:line="147" w:lineRule="exact"/>
        <w:rPr>
          <w:sz w:val="20"/>
          <w:szCs w:val="20"/>
          <w:color w:val="auto"/>
        </w:rPr>
      </w:pPr>
    </w:p>
    <w:p>
      <w:pPr>
        <w:jc w:val="both"/>
        <w:ind w:left="8" w:right="60"/>
        <w:spacing w:after="0" w:line="265" w:lineRule="auto"/>
        <w:rPr>
          <w:sz w:val="20"/>
          <w:szCs w:val="20"/>
          <w:color w:val="auto"/>
        </w:rPr>
      </w:pPr>
      <w:r>
        <w:rPr>
          <w:rFonts w:ascii="Times New Roman" w:cs="Times New Roman" w:eastAsia="Times New Roman" w:hAnsi="Times New Roman"/>
          <w:sz w:val="12"/>
          <w:szCs w:val="12"/>
          <w:color w:val="auto"/>
        </w:rPr>
        <w:t>As described in our proxy statement for our 2008 Annual Meeting of Shareholders, which was filed with the SEC on January 31, 2008, our 2009 Annual Meeting of Shareholders is expected to be held on March 18, 2009. If a shareholder wishes to make a proposal to be included in our proxy statement for our 2009 Annual Meeting, our Vice President, Secretary and General Counsel must receive the proposal no later than the close of business on December 11, 2008, unless the date of our 2009 Annual Meeting is delayed by more than 30 calendar days, and the proposal must satisfy the requirements of the proxy rules promulgated by the SEC.</w:t>
      </w:r>
    </w:p>
    <w:p>
      <w:pPr>
        <w:spacing w:after="0" w:line="137"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2"/>
          <w:szCs w:val="12"/>
          <w:color w:val="auto"/>
        </w:rPr>
        <w:t xml:space="preserve">Under our Amended and Restated Bylaws, if a shareholder wishes to nominate a candidate for election to our Board of Directors at our 2009 Annual Meeting or to propose any other business to be brought before our 2009 Annual Meeting, the shareholder must give complete and timely written notice to our Vice President, Secretary and General Counsel not later than December 11, 2008 nor earlier than November 11, 2008. If the date of our 2009 Annual Meeting is advanced by more than 30 days or delayed by more than 60 days from the anniversary date of our 2008 Annual Meeting, a shareholder’s notice must be delivered not earlier than the 120th day nor later than the 90th day prior to our rescheduled meeting, or the tenth day following the day on which we first make public announcement of our rescheduled meeting. A shareholder’s notice must contain specific information required by our Amended and Restated Bylaws. Copies of our Amended and Restated Bylaws are available upon request to our Assistant General Counsel and Assistant Secretary at 8111 Lyndale Avenue South, Bloomington, Minnesota, 55420-1196, by telephone at 888/237-3054, or by email to invest@toro.com, or may be obtained through the SEC’s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If a shareholder’s nomination or proposal is not timely and properly made in accordance with the procedures set forth in our Amended and Restated Bylaws, it may not be brought before our 2009 Annual Meeting. If the nomination or proposal is nonetheless brought before our 2009 Annual Meeting and the Chair of the meeting does not exercise the power and duty to declare that such non-complying nomination or proposal shall be disregarded, the persons named in the proxy may use their discretionary voting with respect to the nomination or proposal.</w:t>
      </w:r>
    </w:p>
    <w:p>
      <w:pPr>
        <w:spacing w:after="0" w:line="147" w:lineRule="exact"/>
        <w:rPr>
          <w:sz w:val="20"/>
          <w:szCs w:val="20"/>
          <w:color w:val="auto"/>
        </w:rPr>
      </w:pPr>
    </w:p>
    <w:p>
      <w:pPr>
        <w:ind w:left="8" w:right="40"/>
        <w:spacing w:after="0" w:line="280" w:lineRule="auto"/>
        <w:rPr>
          <w:sz w:val="20"/>
          <w:szCs w:val="20"/>
          <w:color w:val="auto"/>
        </w:rPr>
      </w:pPr>
      <w:r>
        <w:rPr>
          <w:rFonts w:ascii="Times New Roman" w:cs="Times New Roman" w:eastAsia="Times New Roman" w:hAnsi="Times New Roman"/>
          <w:sz w:val="12"/>
          <w:szCs w:val="12"/>
          <w:color w:val="auto"/>
        </w:rPr>
        <w:t>The summary information set forth in this Form 8-K regarding our Restated Certificate of Incorporation and our Amended and Restated Bylaws is qualified in its entirety by reference to the full text of those documents, copies of which are filed as Exhibits 3.1 and 3.2 to this Form 8-K and are incorporated herein by reference.</w:t>
      </w:r>
    </w:p>
    <w:p>
      <w:pPr>
        <w:spacing w:after="0" w:line="2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Section 9 — Financial Statements and Exhibits</w:t>
      </w:r>
    </w:p>
    <w:p>
      <w:pPr>
        <w:spacing w:after="0" w:line="168" w:lineRule="exact"/>
        <w:rPr>
          <w:sz w:val="20"/>
          <w:szCs w:val="20"/>
          <w:color w:val="auto"/>
        </w:rPr>
      </w:pPr>
    </w:p>
    <w:p>
      <w:pPr>
        <w:ind w:left="8"/>
        <w:spacing w:after="0"/>
        <w:tabs>
          <w:tab w:leader="none" w:pos="300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72" w:lineRule="exact"/>
        <w:rPr>
          <w:sz w:val="20"/>
          <w:szCs w:val="20"/>
          <w:color w:val="auto"/>
        </w:rPr>
      </w:pPr>
    </w:p>
    <w:p>
      <w:pPr>
        <w:ind w:left="948" w:hanging="408"/>
        <w:spacing w:after="0"/>
        <w:tabs>
          <w:tab w:leader="none" w:pos="94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The Toro Company Restated Certificate of Incorporation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740" w:type="dxa"/>
            <w:vAlign w:val="bottom"/>
          </w:tcPr>
          <w:p>
            <w:pPr>
              <w:spacing w:after="0"/>
              <w:rPr>
                <w:sz w:val="13"/>
                <w:szCs w:val="13"/>
                <w:color w:val="auto"/>
              </w:rPr>
            </w:pPr>
          </w:p>
        </w:tc>
        <w:tc>
          <w:tcPr>
            <w:tcW w:w="3500" w:type="dxa"/>
            <w:vAlign w:val="bottom"/>
            <w:gridSpan w:val="3"/>
          </w:tcPr>
          <w:p>
            <w:pPr>
              <w:ind w:left="760"/>
              <w:spacing w:after="0"/>
              <w:rPr>
                <w:sz w:val="20"/>
                <w:szCs w:val="20"/>
                <w:color w:val="auto"/>
              </w:rPr>
            </w:pPr>
            <w:r>
              <w:rPr>
                <w:rFonts w:ascii="Times New Roman" w:cs="Times New Roman" w:eastAsia="Times New Roman" w:hAnsi="Times New Roman"/>
                <w:sz w:val="12"/>
                <w:szCs w:val="12"/>
                <w:color w:val="auto"/>
              </w:rPr>
              <w:t>The Toro Company Amended and Restated Bylaws</w:t>
            </w:r>
          </w:p>
        </w:tc>
      </w:tr>
    </w:tbl>
    <w:p>
      <w:pPr>
        <w:sectPr>
          <w:pgSz w:w="11900" w:h="16838" w:orient="portrait"/>
          <w:cols w:equalWidth="0" w:num="1">
            <w:col w:w="11488"/>
          </w:cols>
          <w:pgMar w:left="212" w:top="287" w:right="199" w:bottom="1440" w:gutter="0" w:footer="0" w:header="0"/>
        </w:sectPr>
      </w:pPr>
    </w:p>
    <w:bookmarkStart w:id="2" w:name="page3"/>
    <w:bookmarkEnd w:id="2"/>
    <w:p>
      <w:pPr>
        <w:ind w:left="5360"/>
        <w:spacing w:after="0"/>
        <w:rPr>
          <w:sz w:val="20"/>
          <w:szCs w:val="20"/>
          <w:color w:val="auto"/>
        </w:rPr>
      </w:pPr>
      <w:r>
        <w:rPr>
          <w:rFonts w:ascii="Times New Roman" w:cs="Times New Roman" w:eastAsia="Times New Roman" w:hAnsi="Times New Roman"/>
          <w:sz w:val="12"/>
          <w:szCs w:val="12"/>
          <w:color w:val="auto"/>
        </w:rPr>
        <w:t>SIGNATURES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144"/>
        </w:trPr>
        <w:tc>
          <w:tcPr>
            <w:tcW w:w="1980" w:type="dxa"/>
            <w:vAlign w:val="bottom"/>
          </w:tcPr>
          <w:p>
            <w:pPr>
              <w:spacing w:after="0"/>
              <w:rPr>
                <w:sz w:val="12"/>
                <w:szCs w:val="12"/>
                <w:color w:val="auto"/>
              </w:rPr>
            </w:pPr>
          </w:p>
        </w:tc>
        <w:tc>
          <w:tcPr>
            <w:tcW w:w="572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THE TORO COMPANY</w:t>
            </w:r>
          </w:p>
        </w:tc>
      </w:tr>
      <w:tr>
        <w:trPr>
          <w:trHeight w:val="155"/>
        </w:trPr>
        <w:tc>
          <w:tcPr>
            <w:tcW w:w="1980" w:type="dxa"/>
            <w:vAlign w:val="bottom"/>
          </w:tcPr>
          <w:p>
            <w:pPr>
              <w:spacing w:after="0"/>
              <w:rPr>
                <w:sz w:val="13"/>
                <w:szCs w:val="13"/>
                <w:color w:val="auto"/>
              </w:rPr>
            </w:pPr>
          </w:p>
        </w:tc>
        <w:tc>
          <w:tcPr>
            <w:tcW w:w="572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(Registrant)</w:t>
            </w:r>
          </w:p>
        </w:tc>
      </w:tr>
      <w:tr>
        <w:trPr>
          <w:trHeight w:val="279"/>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Date: June 17, 2008</w:t>
            </w:r>
          </w:p>
        </w:tc>
        <w:tc>
          <w:tcPr>
            <w:tcW w:w="5720" w:type="dxa"/>
            <w:vAlign w:val="bottom"/>
            <w:gridSpan w:val="2"/>
          </w:tcPr>
          <w:p>
            <w:pPr>
              <w:ind w:left="3260"/>
              <w:spacing w:after="0"/>
              <w:rPr>
                <w:sz w:val="20"/>
                <w:szCs w:val="20"/>
                <w:color w:val="auto"/>
              </w:rPr>
            </w:pPr>
            <w:r>
              <w:rPr>
                <w:rFonts w:ascii="Times New Roman" w:cs="Times New Roman" w:eastAsia="Times New Roman" w:hAnsi="Times New Roman"/>
                <w:sz w:val="12"/>
                <w:szCs w:val="12"/>
                <w:color w:val="auto"/>
              </w:rPr>
              <w:t>By:/s/ Timothy P. Dordell</w:t>
            </w:r>
          </w:p>
        </w:tc>
      </w:tr>
      <w:tr>
        <w:trPr>
          <w:trHeight w:val="20"/>
        </w:trPr>
        <w:tc>
          <w:tcPr>
            <w:tcW w:w="1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140"/>
        </w:trPr>
        <w:tc>
          <w:tcPr>
            <w:tcW w:w="1980" w:type="dxa"/>
            <w:vAlign w:val="bottom"/>
          </w:tcPr>
          <w:p>
            <w:pPr>
              <w:spacing w:after="0"/>
              <w:rPr>
                <w:sz w:val="12"/>
                <w:szCs w:val="12"/>
                <w:color w:val="auto"/>
              </w:rPr>
            </w:pPr>
          </w:p>
        </w:tc>
        <w:tc>
          <w:tcPr>
            <w:tcW w:w="5720" w:type="dxa"/>
            <w:vAlign w:val="bottom"/>
            <w:gridSpan w:val="2"/>
          </w:tcPr>
          <w:p>
            <w:pPr>
              <w:ind w:left="3260"/>
              <w:spacing w:after="0"/>
              <w:rPr>
                <w:sz w:val="20"/>
                <w:szCs w:val="20"/>
                <w:color w:val="auto"/>
              </w:rPr>
            </w:pPr>
            <w:r>
              <w:rPr>
                <w:rFonts w:ascii="Times New Roman" w:cs="Times New Roman" w:eastAsia="Times New Roman" w:hAnsi="Times New Roman"/>
                <w:sz w:val="12"/>
                <w:szCs w:val="12"/>
                <w:color w:val="auto"/>
              </w:rPr>
              <w:t>Timothy P. Dordell</w:t>
            </w:r>
          </w:p>
        </w:tc>
      </w:tr>
      <w:tr>
        <w:trPr>
          <w:trHeight w:val="155"/>
        </w:trPr>
        <w:tc>
          <w:tcPr>
            <w:tcW w:w="1980" w:type="dxa"/>
            <w:vAlign w:val="bottom"/>
          </w:tcPr>
          <w:p>
            <w:pPr>
              <w:spacing w:after="0"/>
              <w:rPr>
                <w:sz w:val="13"/>
                <w:szCs w:val="13"/>
                <w:color w:val="auto"/>
              </w:rPr>
            </w:pPr>
          </w:p>
        </w:tc>
        <w:tc>
          <w:tcPr>
            <w:tcW w:w="5720" w:type="dxa"/>
            <w:vAlign w:val="bottom"/>
            <w:gridSpan w:val="2"/>
          </w:tcPr>
          <w:p>
            <w:pPr>
              <w:ind w:left="3260"/>
              <w:spacing w:after="0"/>
              <w:rPr>
                <w:sz w:val="20"/>
                <w:szCs w:val="20"/>
                <w:color w:val="auto"/>
              </w:rPr>
            </w:pPr>
            <w:r>
              <w:rPr>
                <w:rFonts w:ascii="Times New Roman" w:cs="Times New Roman" w:eastAsia="Times New Roman" w:hAnsi="Times New Roman"/>
                <w:sz w:val="12"/>
                <w:szCs w:val="12"/>
                <w:color w:val="auto"/>
              </w:rPr>
              <w:t>Vice President, Secretary and General Counsel</w:t>
            </w:r>
          </w:p>
        </w:tc>
      </w:tr>
    </w:tbl>
    <w:p>
      <w:pPr>
        <w:sectPr>
          <w:pgSz w:w="11900" w:h="16838" w:orient="portrait"/>
          <w:cols w:equalWidth="0" w:num="1">
            <w:col w:w="10239"/>
          </w:cols>
          <w:pgMar w:left="220" w:top="291" w:right="1440" w:bottom="1440" w:gutter="0" w:footer="0" w:header="0"/>
        </w:sectPr>
      </w:pPr>
    </w:p>
    <w:bookmarkStart w:id="3" w:name="page4"/>
    <w:bookmarkEnd w:id="3"/>
    <w:p>
      <w:pPr>
        <w:jc w:val="right"/>
        <w:ind w:right="4039"/>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1300" w:type="dxa"/>
            <w:vAlign w:val="bottom"/>
          </w:tcPr>
          <w:p>
            <w:pPr>
              <w:spacing w:after="0"/>
              <w:rPr>
                <w:sz w:val="12"/>
                <w:szCs w:val="12"/>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DESCRIPTION</w:t>
            </w:r>
          </w:p>
        </w:tc>
        <w:tc>
          <w:tcPr>
            <w:tcW w:w="1900" w:type="dxa"/>
            <w:vAlign w:val="bottom"/>
          </w:tcPr>
          <w:p>
            <w:pPr>
              <w:spacing w:after="0"/>
              <w:rPr>
                <w:sz w:val="12"/>
                <w:szCs w:val="12"/>
                <w:color w:val="auto"/>
              </w:rPr>
            </w:pPr>
          </w:p>
        </w:tc>
      </w:tr>
      <w:tr>
        <w:trPr>
          <w:trHeight w:val="140"/>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4040" w:type="dxa"/>
            <w:vAlign w:val="bottom"/>
            <w:gridSpan w:val="3"/>
          </w:tcPr>
          <w:p>
            <w:pPr>
              <w:ind w:left="1300"/>
              <w:spacing w:after="0"/>
              <w:rPr>
                <w:sz w:val="20"/>
                <w:szCs w:val="20"/>
                <w:color w:val="auto"/>
              </w:rPr>
            </w:pPr>
            <w:r>
              <w:rPr>
                <w:rFonts w:ascii="Times New Roman" w:cs="Times New Roman" w:eastAsia="Times New Roman" w:hAnsi="Times New Roman"/>
                <w:sz w:val="12"/>
                <w:szCs w:val="12"/>
                <w:color w:val="auto"/>
                <w:w w:val="99"/>
              </w:rPr>
              <w:t>The Toro Company Restated Certificate of Incorporation</w:t>
            </w:r>
          </w:p>
        </w:tc>
      </w:tr>
      <w:tr>
        <w:trPr>
          <w:trHeight w:val="155"/>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4040" w:type="dxa"/>
            <w:vAlign w:val="bottom"/>
            <w:gridSpan w:val="3"/>
          </w:tcPr>
          <w:p>
            <w:pPr>
              <w:ind w:left="1300"/>
              <w:spacing w:after="0"/>
              <w:rPr>
                <w:sz w:val="20"/>
                <w:szCs w:val="20"/>
                <w:color w:val="auto"/>
              </w:rPr>
            </w:pPr>
            <w:r>
              <w:rPr>
                <w:rFonts w:ascii="Times New Roman" w:cs="Times New Roman" w:eastAsia="Times New Roman" w:hAnsi="Times New Roman"/>
                <w:sz w:val="12"/>
                <w:szCs w:val="12"/>
                <w:color w:val="auto"/>
              </w:rPr>
              <w:t>The Toro Company Amended and Restated Bylaws</w:t>
            </w:r>
          </w:p>
        </w:tc>
      </w:tr>
    </w:tbl>
    <w:p>
      <w:pPr>
        <w:sectPr>
          <w:pgSz w:w="11900" w:h="16838" w:orient="portrait"/>
          <w:cols w:equalWidth="0" w:num="1">
            <w:col w:w="10239"/>
          </w:cols>
          <w:pgMar w:left="220" w:top="2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RESTATED CERTIFICATE OF INCORPORATION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TORO COMPANY</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Toro Company (hereinafter called the “corporation”), a corporation organized and existing under and by virtue of the General Corporation Law of the State of Delaware, does hereby certify:</w:t>
      </w:r>
    </w:p>
    <w:p>
      <w:pPr>
        <w:spacing w:after="0" w:line="166" w:lineRule="exact"/>
        <w:rPr>
          <w:sz w:val="20"/>
          <w:szCs w:val="20"/>
          <w:color w:val="auto"/>
        </w:rPr>
      </w:pPr>
    </w:p>
    <w:p>
      <w:pPr>
        <w:ind w:firstLine="277"/>
        <w:spacing w:after="0" w:line="281" w:lineRule="auto"/>
        <w:rPr>
          <w:sz w:val="20"/>
          <w:szCs w:val="20"/>
          <w:color w:val="auto"/>
        </w:rPr>
      </w:pPr>
      <w:r>
        <w:rPr>
          <w:rFonts w:ascii="Times New Roman" w:cs="Times New Roman" w:eastAsia="Times New Roman" w:hAnsi="Times New Roman"/>
          <w:sz w:val="13"/>
          <w:szCs w:val="13"/>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118" w:lineRule="exact"/>
        <w:rPr>
          <w:sz w:val="20"/>
          <w:szCs w:val="20"/>
          <w:color w:val="auto"/>
        </w:rPr>
      </w:pPr>
    </w:p>
    <w:p>
      <w:pPr>
        <w:ind w:right="100" w:firstLine="277"/>
        <w:spacing w:after="0" w:line="281" w:lineRule="auto"/>
        <w:rPr>
          <w:sz w:val="20"/>
          <w:szCs w:val="20"/>
          <w:color w:val="auto"/>
        </w:rPr>
      </w:pPr>
      <w:r>
        <w:rPr>
          <w:rFonts w:ascii="Times New Roman" w:cs="Times New Roman" w:eastAsia="Times New Roman" w:hAnsi="Times New Roman"/>
          <w:sz w:val="13"/>
          <w:szCs w:val="13"/>
          <w:color w:val="auto"/>
        </w:rPr>
        <w:t>SECOND: This Restated Certificate of Incorporation was duly adopted by and in accordance with the provisions of Section 245 of the General Corporation Law of the State of Delaware as set forth in Title 8 of the Delaware Code.</w:t>
      </w:r>
    </w:p>
    <w:p>
      <w:pPr>
        <w:spacing w:after="0" w:line="118" w:lineRule="exact"/>
        <w:rPr>
          <w:sz w:val="20"/>
          <w:szCs w:val="20"/>
          <w:color w:val="auto"/>
        </w:rPr>
      </w:pPr>
    </w:p>
    <w:p>
      <w:pPr>
        <w:ind w:right="60" w:firstLine="277"/>
        <w:spacing w:after="0" w:line="281" w:lineRule="auto"/>
        <w:rPr>
          <w:sz w:val="20"/>
          <w:szCs w:val="20"/>
          <w:color w:val="auto"/>
        </w:rPr>
      </w:pPr>
      <w:r>
        <w:rPr>
          <w:rFonts w:ascii="Times New Roman" w:cs="Times New Roman" w:eastAsia="Times New Roman" w:hAnsi="Times New Roman"/>
          <w:sz w:val="13"/>
          <w:szCs w:val="13"/>
          <w:color w:val="auto"/>
        </w:rPr>
        <w:t>THIRD: This Restated Certificate of Incorporation only restates and integrates the provisions of the corporation’s Certificate of Incorporation as heretofore amended or supplemented, and there is no discrepancy between those provisions and the provisions of this Restated Certificate of Incorporation.</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FOURTH: The text of the Certificate of Incorporation of the corporation is hereby and restated to read in its entirety as follows: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name of this corporation shall be The Toro Company.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Registered Office</w:t>
      </w:r>
    </w:p>
    <w:p>
      <w:pPr>
        <w:spacing w:after="0" w:line="16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3"/>
          <w:szCs w:val="13"/>
          <w:color w:val="auto"/>
        </w:rPr>
        <w:t>The address of the registered office of the corporation in the State of Delaware is 160 Greentree Drive, Suite 101, City of Dover, County of Kent, and the name of its registered agent at that address is National Registered Agents, Inc.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purpose for which the corporation is formed is to engage in any lawful act or activity for which corporations may be organized under the General Corporation Law of Delaware.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 Stock</w:t>
      </w:r>
    </w:p>
    <w:p>
      <w:pPr>
        <w:spacing w:after="0" w:line="16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3"/>
          <w:szCs w:val="13"/>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one million eight hundred fifty thousand (101,850,000); the total number of shares of Common Stock shall be one hundred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5" w:name="page6"/>
    <w:bookmarkEnd w:id="5"/>
    <w:p>
      <w:pPr>
        <w:spacing w:after="0" w:line="281" w:lineRule="auto"/>
        <w:rPr>
          <w:sz w:val="20"/>
          <w:szCs w:val="20"/>
          <w:color w:val="auto"/>
        </w:rPr>
      </w:pPr>
      <w:r>
        <w:rPr>
          <w:rFonts w:ascii="Times New Roman" w:cs="Times New Roman" w:eastAsia="Times New Roman" w:hAnsi="Times New Roman"/>
          <w:sz w:val="13"/>
          <w:szCs w:val="13"/>
          <w:color w:val="auto"/>
        </w:rPr>
        <w:t>million (100,000,000) and each such share shall have a par value of $1.00; the total number of shares of Voting Preferred Stock shall be one million (1,000,000), and each such share shall have a par value of $1.00; and the total number of shares of Non-Voting Preferred Stock shall be eight hundred and fifty thousand (850,000), and each such share shall have a par value of $1.00.</w:t>
      </w:r>
    </w:p>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3"/>
          <w:szCs w:val="13"/>
          <w:color w:val="auto"/>
        </w:rPr>
        <w:t>Except as herein provided or as otherwise provided by law or by the resolution or resolutions adopted by the Board designating the rights, powers and preferences of any series of Preferred Stock, the Common Stock shall have the exclusive right to vote for the election of directors and for all other purposes, each holder of the Common Stock being entitled to one vote for each share held; and Voting Preferred Stock and Non-Voting Preferred Stock shall have only such voting rights, if any, as fixed by the Board of Directors and as required by law as to matters affecting such Voting Preferred Stock and Non-Voting Preferred Stock. Whenever this Restated Certificate of Incorporation or the Bylaws of the corporation shall require the affirmative vote of the holders of at least 80% of the voting power of the then outstanding shares of the capital stock of the corporation entitled to vote generally in the election of directors (such capital stock is hereinafter referred to in this Restated Certificate of Incorporation as “Voting Stock”), voting together as a single class, for the taking of corporate action: (A) such affirmative vote shall be in addition to any other affirmative vote required by law or by the resolution or resolutions designating the rights, powers and preferences of any outstanding series of Preferred Stock; and (B) each outstanding share of Common Stock shall be entitled to one vote and each outstanding share of each series of Voting Preferred Stock shall be entitled to the number of votes to which it is generally entitled, pursuant to the resolution or resolutions designating the rights, powers and preferences of such series of Preferred Stock, in the election of directors.</w:t>
      </w:r>
    </w:p>
    <w:p>
      <w:pPr>
        <w:spacing w:after="0" w:line="14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3"/>
          <w:szCs w:val="13"/>
          <w:color w:val="auto"/>
        </w:rPr>
        <w:t>The Board of Directors is authorized to establish more than one series or class of Common Stock, Voting Preferred Stock and Non-Voting Preferred Stock and to fix the relative rights and preferences of any such class or series, which rights and preferences need not be equal.</w:t>
      </w:r>
    </w:p>
    <w:p>
      <w:pPr>
        <w:spacing w:after="0" w:line="11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3"/>
          <w:szCs w:val="13"/>
          <w:color w:val="auto"/>
        </w:rPr>
        <w:t>There shall be no cumulative voting of the shares of this corporation and the holders of shares of any class of this corporation shall not have preemptive rights to subscribe for any shares or securities convertible into shares of this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Bylaws</w:t>
      </w:r>
    </w:p>
    <w:p>
      <w:pPr>
        <w:spacing w:after="0" w:line="16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3"/>
          <w:szCs w:val="13"/>
          <w:color w:val="auto"/>
        </w:rPr>
        <w:t>In furtherance and not in limitation of the powers conferred by law, the Board is expressly authorized to make, repeal, alter, amend and rescind the Bylaws of the corporation by a majority vote of the entire Board at any regular or special meeting of the Board; provided however, that, notwithstanding anything contained in this Restated Certificate of Incorporation or the Bylaws of the corporation to the contrary, the affirmative vote of the holders of at least 80% of the voting power of the then outstanding shares of Voting Stock, voting together as a single class, shall be required to (1) alter, amend or repeal any provision of the Bylaws which is substantially identical to or implements the last sentence of Article IV, or Articles VI, VII or VIII, of this Restated Certificate of Incorporation or (2) alter, amend or repeal any provision of this proviso to Article V.</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i w:val="1"/>
          <w:iCs w:val="1"/>
          <w:color w:val="auto"/>
        </w:rPr>
        <w:t>Number, Election and Terms</w:t>
      </w:r>
      <w:r>
        <w:rPr>
          <w:rFonts w:ascii="Times New Roman" w:cs="Times New Roman" w:eastAsia="Times New Roman" w:hAnsi="Times New Roman"/>
          <w:sz w:val="13"/>
          <w:szCs w:val="13"/>
          <w:color w:val="auto"/>
        </w:rPr>
        <w:t>.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nor more than twelve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A, B and C, as nearly equal in number as possible, with the term of office of each class to expire at the third succeeding Annual Meeting of Stockholders after its election at an Annual Meeting of Stockholders.</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i w:val="1"/>
          <w:iCs w:val="1"/>
          <w:color w:val="auto"/>
        </w:rPr>
        <w:t>Newly Created Directorships and Vacancies</w:t>
      </w:r>
      <w:r>
        <w:rPr>
          <w:rFonts w:ascii="Times New Roman" w:cs="Times New Roman" w:eastAsia="Times New Roman" w:hAnsi="Times New Roman"/>
          <w:sz w:val="13"/>
          <w:szCs w:val="13"/>
          <w:color w:val="auto"/>
        </w:rPr>
        <w:t>.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a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w:t>
      </w:r>
    </w:p>
    <w:p>
      <w:pPr>
        <w:spacing w:after="0" w:line="13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i w:val="1"/>
          <w:iCs w:val="1"/>
          <w:color w:val="auto"/>
        </w:rPr>
        <w:t>Removal</w:t>
      </w:r>
      <w:r>
        <w:rPr>
          <w:rFonts w:ascii="Times New Roman" w:cs="Times New Roman" w:eastAsia="Times New Roman" w:hAnsi="Times New Roman"/>
          <w:sz w:val="13"/>
          <w:szCs w:val="13"/>
          <w:color w:val="auto"/>
        </w:rPr>
        <w:t>.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shares of the Voting Stock, voting together as a single class.</w:t>
      </w:r>
    </w:p>
    <w:p>
      <w:pPr>
        <w:spacing w:after="0" w:line="11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i w:val="1"/>
          <w:iCs w:val="1"/>
          <w:color w:val="auto"/>
        </w:rPr>
        <w:t>Amendment, Repeal, etc</w:t>
      </w:r>
      <w:r>
        <w:rPr>
          <w:rFonts w:ascii="Times New Roman" w:cs="Times New Roman" w:eastAsia="Times New Roman" w:hAnsi="Times New Roman"/>
          <w:sz w:val="13"/>
          <w:szCs w:val="13"/>
          <w:color w:val="auto"/>
        </w:rPr>
        <w:t>.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Actions by Stockholders</w:t>
      </w:r>
    </w:p>
    <w:p>
      <w:pPr>
        <w:spacing w:after="0" w:line="1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Board pursuant to a resolution approved by a majority of the entire Board.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VII.</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Certain Business Combinations</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color w:val="auto"/>
        </w:rPr>
        <w:t>Section 1.</w:t>
      </w:r>
      <w:r>
        <w:rPr>
          <w:sz w:val="20"/>
          <w:szCs w:val="20"/>
          <w:color w:val="auto"/>
        </w:rPr>
        <w:tab/>
      </w:r>
      <w:r>
        <w:rPr>
          <w:rFonts w:ascii="Times New Roman" w:cs="Times New Roman" w:eastAsia="Times New Roman" w:hAnsi="Times New Roman"/>
          <w:sz w:val="13"/>
          <w:szCs w:val="13"/>
          <w:i w:val="1"/>
          <w:iCs w:val="1"/>
          <w:color w:val="auto"/>
        </w:rPr>
        <w:t>Vote Required for Certain Business Combinations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700" w:hanging="431"/>
        <w:spacing w:after="0"/>
        <w:tabs>
          <w:tab w:leader="none" w:pos="7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Higher Vote for Certain Business Combinations</w:t>
      </w:r>
      <w:r>
        <w:rPr>
          <w:rFonts w:ascii="Times New Roman" w:cs="Times New Roman" w:eastAsia="Times New Roman" w:hAnsi="Times New Roman"/>
          <w:sz w:val="13"/>
          <w:szCs w:val="13"/>
          <w:color w:val="auto"/>
        </w:rPr>
        <w:t>. Except as otherwise expressly provided in Section 2 of this Article VIII,</w:t>
      </w:r>
    </w:p>
    <w:p>
      <w:pPr>
        <w:spacing w:after="0" w:line="145" w:lineRule="exact"/>
        <w:rPr>
          <w:rFonts w:ascii="Times New Roman" w:cs="Times New Roman" w:eastAsia="Times New Roman" w:hAnsi="Times New Roman"/>
          <w:sz w:val="13"/>
          <w:szCs w:val="13"/>
          <w:color w:val="auto"/>
        </w:rPr>
      </w:pPr>
    </w:p>
    <w:p>
      <w:pPr>
        <w:ind w:left="1020" w:right="200" w:hanging="253"/>
        <w:spacing w:after="0" w:line="282" w:lineRule="auto"/>
        <w:tabs>
          <w:tab w:leader="none" w:pos="10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5" w:lineRule="exact"/>
        <w:rPr>
          <w:rFonts w:ascii="Times New Roman" w:cs="Times New Roman" w:eastAsia="Times New Roman" w:hAnsi="Times New Roman"/>
          <w:sz w:val="14"/>
          <w:szCs w:val="14"/>
          <w:color w:val="auto"/>
        </w:rPr>
      </w:pPr>
    </w:p>
    <w:p>
      <w:pPr>
        <w:ind w:left="1040" w:right="60" w:hanging="282"/>
        <w:spacing w:after="0" w:line="282" w:lineRule="auto"/>
        <w:tabs>
          <w:tab w:leader="none" w:pos="10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 or more;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368300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87" w:right="239" w:bottom="1440" w:gutter="0" w:footer="0" w:header="0"/>
        </w:sectPr>
      </w:pPr>
    </w:p>
    <w:bookmarkStart w:id="7" w:name="page8"/>
    <w:bookmarkEnd w:id="7"/>
    <w:p>
      <w:pPr>
        <w:ind w:left="1060" w:right="20" w:hanging="307"/>
        <w:spacing w:after="0" w:line="263" w:lineRule="auto"/>
        <w:tabs>
          <w:tab w:leader="none" w:pos="106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issuance or transfer by the corporation or any Subsidiary (in one transaction or a series of transactions) of any securities of the corporation or any Subsidiary to any Interested Stockholder or any Affiliate of any Interested Stockholder or any Affiliate of any Interested Stockholder in exchange for cash, securities or other property (or a combination thereof) having an aggregate Fair Market Value of $1,000,000 or more; or</w:t>
      </w:r>
    </w:p>
    <w:p>
      <w:pPr>
        <w:spacing w:after="0" w:line="200" w:lineRule="exact"/>
        <w:rPr>
          <w:rFonts w:ascii="Times New Roman" w:cs="Times New Roman" w:eastAsia="Times New Roman" w:hAnsi="Times New Roman"/>
          <w:sz w:val="13"/>
          <w:szCs w:val="13"/>
          <w:color w:val="auto"/>
        </w:rPr>
      </w:pPr>
    </w:p>
    <w:p>
      <w:pPr>
        <w:spacing w:after="0" w:line="362" w:lineRule="exact"/>
        <w:rPr>
          <w:rFonts w:ascii="Times New Roman" w:cs="Times New Roman" w:eastAsia="Times New Roman" w:hAnsi="Times New Roman"/>
          <w:sz w:val="13"/>
          <w:szCs w:val="13"/>
          <w:color w:val="auto"/>
        </w:rPr>
      </w:pPr>
    </w:p>
    <w:p>
      <w:pPr>
        <w:ind w:left="1020" w:hanging="281"/>
        <w:spacing w:after="0"/>
        <w:tabs>
          <w:tab w:leader="none" w:pos="10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any plan or proposal for the liquidation or dissolution of the corporation proposed by or on behalf of an Interested Stockholder or any Affiliate of any Interested Stockholder; or</w:t>
      </w:r>
    </w:p>
    <w:p>
      <w:pPr>
        <w:spacing w:after="0" w:line="200" w:lineRule="exact"/>
        <w:rPr>
          <w:rFonts w:ascii="Times New Roman" w:cs="Times New Roman" w:eastAsia="Times New Roman" w:hAnsi="Times New Roman"/>
          <w:sz w:val="13"/>
          <w:szCs w:val="13"/>
          <w:color w:val="auto"/>
        </w:rPr>
      </w:pPr>
    </w:p>
    <w:p>
      <w:pPr>
        <w:spacing w:after="0" w:line="344" w:lineRule="exact"/>
        <w:rPr>
          <w:rFonts w:ascii="Times New Roman" w:cs="Times New Roman" w:eastAsia="Times New Roman" w:hAnsi="Times New Roman"/>
          <w:sz w:val="13"/>
          <w:szCs w:val="13"/>
          <w:color w:val="auto"/>
        </w:rPr>
      </w:pPr>
    </w:p>
    <w:p>
      <w:pPr>
        <w:ind w:left="1040" w:hanging="274"/>
        <w:spacing w:after="0" w:line="263"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shall require the affirmative vote of the holders of at least 80% of the voting power of the then outstanding shares of Voting Stock, voting together as a single class and any necessary vote of the outstanding shares of Preferred Stock. Such affirmative vote shall be required not withstanding the fact that no vote may be required or that a lesser percentage may be specified, by law or in any agreement with any national securities exchange or otherwise.</w:t>
      </w:r>
    </w:p>
    <w:p>
      <w:pPr>
        <w:spacing w:after="0" w:line="128" w:lineRule="exact"/>
        <w:rPr>
          <w:sz w:val="20"/>
          <w:szCs w:val="20"/>
          <w:color w:val="auto"/>
        </w:rPr>
      </w:pPr>
    </w:p>
    <w:p>
      <w:pPr>
        <w:ind w:right="420" w:firstLine="269"/>
        <w:spacing w:after="0" w:line="284" w:lineRule="auto"/>
        <w:tabs>
          <w:tab w:leader="none" w:pos="69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Definition of “Business Combination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term “Business Combination” as used in this Article VIII shall mean any transaction which is referred to in any one or more of clauses (i) through (v)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paragraph A of this Section 1.</w:t>
      </w:r>
    </w:p>
    <w:p>
      <w:pPr>
        <w:spacing w:after="0" w:line="1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i w:val="1"/>
          <w:iCs w:val="1"/>
          <w:color w:val="auto"/>
        </w:rPr>
        <w:t>When Higher Vote is Not Required</w:t>
      </w:r>
      <w:r>
        <w:rPr>
          <w:rFonts w:ascii="Times New Roman" w:cs="Times New Roman" w:eastAsia="Times New Roman" w:hAnsi="Times New Roman"/>
          <w:sz w:val="13"/>
          <w:szCs w:val="13"/>
          <w:color w:val="auto"/>
        </w:rPr>
        <w:t>. The provisions of Section 1 of this Article VIII shall not be applicable to any particular Business Combination, and such Business Combination shall require only such affirmative vote as is required by law, this Restated Certificate of Incorporation and any resolution or resolutions designating the rights, powers and preferences of any outstanding series of Preferred Stock, if all of the conditions specified in either of the following paragraphs (A) and (B) are met (it being intended that in the case of a Business Combination not involving any cash or consideration other than cash to be received by the holders of each class or series of outstanding Voting Stock (other than Institutional Voting Stock, as hereinafter defined), the provisions of such Section 1 shall not be applicable only if the condition specified in the following paragraph (A) is met):</w:t>
      </w:r>
    </w:p>
    <w:p>
      <w:pPr>
        <w:spacing w:after="0" w:line="134" w:lineRule="exact"/>
        <w:rPr>
          <w:sz w:val="20"/>
          <w:szCs w:val="20"/>
          <w:color w:val="auto"/>
        </w:rPr>
      </w:pPr>
    </w:p>
    <w:p>
      <w:pPr>
        <w:ind w:left="700" w:hanging="431"/>
        <w:spacing w:after="0"/>
        <w:tabs>
          <w:tab w:leader="none" w:pos="7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Approval by Continuing Directors</w:t>
      </w:r>
      <w:r>
        <w:rPr>
          <w:rFonts w:ascii="Times New Roman" w:cs="Times New Roman" w:eastAsia="Times New Roman" w:hAnsi="Times New Roman"/>
          <w:sz w:val="13"/>
          <w:szCs w:val="13"/>
          <w:color w:val="auto"/>
        </w:rPr>
        <w:t>. The Business Combination shall have been approved by a majority of the Continuing Directors (as hereinafter defined).</w:t>
      </w:r>
    </w:p>
    <w:p>
      <w:pPr>
        <w:spacing w:after="0" w:line="165" w:lineRule="exact"/>
        <w:rPr>
          <w:rFonts w:ascii="Times New Roman" w:cs="Times New Roman" w:eastAsia="Times New Roman" w:hAnsi="Times New Roman"/>
          <w:sz w:val="13"/>
          <w:szCs w:val="13"/>
          <w:color w:val="auto"/>
        </w:rPr>
      </w:pPr>
    </w:p>
    <w:p>
      <w:pPr>
        <w:ind w:left="680" w:hanging="411"/>
        <w:spacing w:after="0"/>
        <w:tabs>
          <w:tab w:leader="none" w:pos="6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Price and Procedure Requirements</w:t>
      </w:r>
      <w:r>
        <w:rPr>
          <w:rFonts w:ascii="Times New Roman" w:cs="Times New Roman" w:eastAsia="Times New Roman" w:hAnsi="Times New Roman"/>
          <w:sz w:val="13"/>
          <w:szCs w:val="13"/>
          <w:color w:val="auto"/>
        </w:rPr>
        <w:t>. All of the following conditions shall have been met.</w:t>
      </w:r>
    </w:p>
    <w:p>
      <w:pPr>
        <w:spacing w:after="0" w:line="149" w:lineRule="exact"/>
        <w:rPr>
          <w:rFonts w:ascii="Times New Roman" w:cs="Times New Roman" w:eastAsia="Times New Roman" w:hAnsi="Times New Roman"/>
          <w:sz w:val="13"/>
          <w:szCs w:val="13"/>
          <w:color w:val="auto"/>
        </w:rPr>
      </w:pPr>
    </w:p>
    <w:p>
      <w:pPr>
        <w:ind w:left="980" w:right="580" w:hanging="253"/>
        <w:spacing w:after="0" w:line="281" w:lineRule="auto"/>
        <w:tabs>
          <w:tab w:leader="none" w:pos="98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384175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87" w:right="199" w:bottom="1440" w:gutter="0" w:footer="0" w:header="0"/>
        </w:sectPr>
      </w:pPr>
    </w:p>
    <w:bookmarkStart w:id="8" w:name="page9"/>
    <w:bookmarkEnd w:id="8"/>
    <w:p>
      <w:pPr>
        <w:ind w:left="564" w:right="40" w:hanging="230"/>
        <w:spacing w:after="0" w:line="263" w:lineRule="auto"/>
        <w:tabs>
          <w:tab w:leader="none" w:pos="564" w:val="left"/>
        </w:tabs>
        <w:numPr>
          <w:ilvl w:val="2"/>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 “Announcement Date”) or (2) in the transaction in which it became an Interested Stockholder, whichever is higher;</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42" w:lineRule="exact"/>
        <w:rPr>
          <w:rFonts w:ascii="Times New Roman" w:cs="Times New Roman" w:eastAsia="Times New Roman" w:hAnsi="Times New Roman"/>
          <w:sz w:val="13"/>
          <w:szCs w:val="13"/>
          <w:color w:val="auto"/>
        </w:rPr>
      </w:pPr>
    </w:p>
    <w:p>
      <w:pPr>
        <w:ind w:left="564" w:right="60" w:hanging="237"/>
        <w:spacing w:after="0" w:line="281" w:lineRule="auto"/>
        <w:tabs>
          <w:tab w:leader="none" w:pos="564" w:val="left"/>
        </w:tabs>
        <w:numPr>
          <w:ilvl w:val="2"/>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Market Value per share of Common Stock on the Announcement Date or on the date on which the Interested Stockholder became an Interested Stockholder (such latter date is referred to in this Article VIII as the “Determination Date”), whichever is higher; and</w:t>
      </w:r>
    </w:p>
    <w:p>
      <w:pPr>
        <w:spacing w:after="0" w:line="200" w:lineRule="exact"/>
        <w:rPr>
          <w:rFonts w:ascii="Times New Roman" w:cs="Times New Roman" w:eastAsia="Times New Roman" w:hAnsi="Times New Roman"/>
          <w:sz w:val="13"/>
          <w:szCs w:val="13"/>
          <w:color w:val="auto"/>
        </w:rPr>
      </w:pPr>
    </w:p>
    <w:p>
      <w:pPr>
        <w:spacing w:after="0" w:line="323" w:lineRule="exact"/>
        <w:rPr>
          <w:rFonts w:ascii="Times New Roman" w:cs="Times New Roman" w:eastAsia="Times New Roman" w:hAnsi="Times New Roman"/>
          <w:sz w:val="13"/>
          <w:szCs w:val="13"/>
          <w:color w:val="auto"/>
        </w:rPr>
      </w:pPr>
    </w:p>
    <w:p>
      <w:pPr>
        <w:ind w:left="564" w:hanging="230"/>
        <w:spacing w:after="0" w:line="257" w:lineRule="auto"/>
        <w:tabs>
          <w:tab w:leader="none" w:pos="564" w:val="left"/>
        </w:tabs>
        <w:numPr>
          <w:ilvl w:val="2"/>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price per share equal to the Fair Market Value per share of Common Stock on the Announcement Date or the Determination Date, whichever is higher, multiplied by the ratio of (1) the highest per share price (including any brokerage commissions, transfer taxes and soliciting dealers’ fees) paid by the Interested Stockholder for any shares of Common Stock acquired by it within the two-year period immediately prior to the Announcement Date to (2) the Fair Market Value per share of Common Stock on the first day in such two-year period upon which the Interested Stockholder acquired any shares of Common Stock.</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44" w:lineRule="exact"/>
        <w:rPr>
          <w:rFonts w:ascii="Times New Roman" w:cs="Times New Roman" w:eastAsia="Times New Roman" w:hAnsi="Times New Roman"/>
          <w:sz w:val="13"/>
          <w:szCs w:val="13"/>
          <w:color w:val="auto"/>
        </w:rPr>
      </w:pPr>
    </w:p>
    <w:p>
      <w:pPr>
        <w:ind w:left="284" w:right="60" w:hanging="284"/>
        <w:spacing w:after="0" w:line="257" w:lineRule="auto"/>
        <w:tabs>
          <w:tab w:leader="none" w:pos="28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amount of the cash and the Fair Market Value as of the date of the consummation of the Business Combination of consideration other than cash to be received per share by holders of shares of any other series of outstanding Voting Stock (other than Institutional Voting Stock, as hereinafter defined) shall be at least equal to the highest of the following (it being intended that the requirements of this paragraph (B)(ii) shall be required to be met with respect to every series of outstanding Voting Stock (other than Institutional Voting Stock), whether or not the Interested Stockholder has previously acquired any shares of a particular series of Voting Stock):</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44" w:lineRule="exact"/>
        <w:rPr>
          <w:rFonts w:ascii="Times New Roman" w:cs="Times New Roman" w:eastAsia="Times New Roman" w:hAnsi="Times New Roman"/>
          <w:sz w:val="13"/>
          <w:szCs w:val="13"/>
          <w:color w:val="auto"/>
        </w:rPr>
      </w:pPr>
    </w:p>
    <w:p>
      <w:pPr>
        <w:ind w:left="544" w:right="160" w:hanging="219"/>
        <w:spacing w:after="0" w:line="263" w:lineRule="auto"/>
        <w:tabs>
          <w:tab w:leader="none" w:pos="544"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highest per share price (including any brokerage commissions, transfer taxes and soliciting dealers’ fees) paid by the Interested Stockholder for any shares of such series of Voting Stock acquired by it (1) within the two-year period immediately prior to the Announcement Date or (2) in the transaction in which it became an Interested Stockholder, whichever is higher;</w:t>
      </w:r>
    </w:p>
    <w:p>
      <w:pPr>
        <w:spacing w:after="0" w:line="200" w:lineRule="exact"/>
        <w:rPr>
          <w:rFonts w:ascii="Times New Roman" w:cs="Times New Roman" w:eastAsia="Times New Roman" w:hAnsi="Times New Roman"/>
          <w:sz w:val="13"/>
          <w:szCs w:val="13"/>
          <w:color w:val="auto"/>
        </w:rPr>
      </w:pPr>
    </w:p>
    <w:p>
      <w:pPr>
        <w:spacing w:after="0" w:line="362" w:lineRule="exact"/>
        <w:rPr>
          <w:rFonts w:ascii="Times New Roman" w:cs="Times New Roman" w:eastAsia="Times New Roman" w:hAnsi="Times New Roman"/>
          <w:sz w:val="13"/>
          <w:szCs w:val="13"/>
          <w:color w:val="auto"/>
        </w:rPr>
      </w:pPr>
    </w:p>
    <w:p>
      <w:pPr>
        <w:ind w:left="544" w:right="420" w:hanging="235"/>
        <w:spacing w:after="0" w:line="281" w:lineRule="auto"/>
        <w:tabs>
          <w:tab w:leader="none" w:pos="544"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highest preferential amount per share to which the holders of shares of such series of Voting Stock are entitled in the event of any voluntary or involuntary liquidation, dissolution or winding up of the corporation;</w:t>
      </w:r>
    </w:p>
    <w:p>
      <w:pPr>
        <w:spacing w:after="0" w:line="343" w:lineRule="exact"/>
        <w:rPr>
          <w:rFonts w:ascii="Times New Roman" w:cs="Times New Roman" w:eastAsia="Times New Roman" w:hAnsi="Times New Roman"/>
          <w:sz w:val="13"/>
          <w:szCs w:val="13"/>
          <w:color w:val="auto"/>
        </w:rPr>
      </w:pPr>
    </w:p>
    <w:p>
      <w:pPr>
        <w:ind w:left="544" w:hanging="228"/>
        <w:spacing w:after="0"/>
        <w:tabs>
          <w:tab w:leader="none" w:pos="544"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Market Value per share of such series of Voting Stock on the Announcement Date or on the Determination Date, whichever is higher; and</w:t>
      </w:r>
    </w:p>
    <w:p>
      <w:pPr>
        <w:spacing w:after="0" w:line="372" w:lineRule="exact"/>
        <w:rPr>
          <w:rFonts w:ascii="Times New Roman" w:cs="Times New Roman" w:eastAsia="Times New Roman" w:hAnsi="Times New Roman"/>
          <w:sz w:val="13"/>
          <w:szCs w:val="13"/>
          <w:color w:val="auto"/>
        </w:rPr>
      </w:pPr>
    </w:p>
    <w:p>
      <w:pPr>
        <w:ind w:left="544" w:right="60" w:hanging="244"/>
        <w:spacing w:after="0" w:line="281" w:lineRule="auto"/>
        <w:tabs>
          <w:tab w:leader="none" w:pos="544"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price per share equal to the Fair Market Value per share of such series of Voting Stock on the Announcement Date or the Determination Date, whichever is higher, multiplied by the ratio of (1) the highest per share price (including any brokerage commissions, transfer taxes and soliciting dealers’ fees) paid by the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264160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24"/>
          </w:cols>
          <w:pgMar w:left="956" w:top="287" w:right="219" w:bottom="1440" w:gutter="0" w:footer="0" w:header="0"/>
        </w:sectPr>
      </w:pPr>
    </w:p>
    <w:bookmarkStart w:id="9" w:name="page10"/>
    <w:bookmarkEnd w:id="9"/>
    <w:p>
      <w:pPr>
        <w:ind w:left="1260" w:right="60"/>
        <w:spacing w:after="0" w:line="281" w:lineRule="auto"/>
        <w:rPr>
          <w:sz w:val="20"/>
          <w:szCs w:val="20"/>
          <w:color w:val="auto"/>
        </w:rPr>
      </w:pPr>
      <w:r>
        <w:rPr>
          <w:rFonts w:ascii="Times New Roman" w:cs="Times New Roman" w:eastAsia="Times New Roman" w:hAnsi="Times New Roman"/>
          <w:sz w:val="13"/>
          <w:szCs w:val="13"/>
          <w:color w:val="auto"/>
        </w:rPr>
        <w:t>Stockholder for any shares of such series of Voting Stock acquired by it within the two-year period immediately prior to the Announcement Date to (2) the Fair Market Value per share of such series of Voting Stock on the first day in such two-year period upon which the Interested Stockholder acquired any shares of such series of Voting Stock.</w:t>
      </w:r>
    </w:p>
    <w:p>
      <w:pPr>
        <w:spacing w:after="0" w:line="118" w:lineRule="exact"/>
        <w:rPr>
          <w:sz w:val="20"/>
          <w:szCs w:val="20"/>
          <w:color w:val="auto"/>
        </w:rPr>
      </w:pPr>
    </w:p>
    <w:p>
      <w:pPr>
        <w:ind w:left="1040" w:right="80" w:hanging="314"/>
        <w:spacing w:after="0" w:line="257" w:lineRule="auto"/>
        <w:tabs>
          <w:tab w:leader="none" w:pos="10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consideration to be received by holders of a particular class (in the case of Common Stock) or series (in the case of Preferred Stock) of the outstanding Voting Stock shall be in cash or in the same form as the Interested Stockholder has previously paid for shares of any class or series of Voting Stock. If the Interested Stockholder has paid for shares of any class or series of Voting Stock with varying forms of consideration, the form of consideration for such class or series of Voting Stock shall be either cash or the form used to acquire the largest number of shares of such class or series of Voting Stock previously acquired by it.</w:t>
      </w:r>
    </w:p>
    <w:p>
      <w:pPr>
        <w:spacing w:after="0" w:line="296" w:lineRule="exact"/>
        <w:rPr>
          <w:rFonts w:ascii="Times New Roman" w:cs="Times New Roman" w:eastAsia="Times New Roman" w:hAnsi="Times New Roman"/>
          <w:sz w:val="13"/>
          <w:szCs w:val="13"/>
          <w:color w:val="auto"/>
        </w:rPr>
      </w:pPr>
    </w:p>
    <w:p>
      <w:pPr>
        <w:ind w:left="1020" w:hanging="290"/>
        <w:spacing w:after="0" w:line="251" w:lineRule="auto"/>
        <w:tabs>
          <w:tab w:leader="none" w:pos="10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such Interested Stockholder has become an Interested Stockholder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Common Stock, unless the failure so to increase such annual rate is approved by a majority of the Continuing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301" w:lineRule="exact"/>
        <w:rPr>
          <w:rFonts w:ascii="Times New Roman" w:cs="Times New Roman" w:eastAsia="Times New Roman" w:hAnsi="Times New Roman"/>
          <w:sz w:val="13"/>
          <w:szCs w:val="13"/>
          <w:color w:val="auto"/>
        </w:rPr>
      </w:pPr>
    </w:p>
    <w:p>
      <w:pPr>
        <w:ind w:left="1000" w:right="480" w:hanging="265"/>
        <w:spacing w:after="0" w:line="263" w:lineRule="auto"/>
        <w:tabs>
          <w:tab w:leader="none" w:pos="10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200" w:lineRule="exact"/>
        <w:rPr>
          <w:rFonts w:ascii="Times New Roman" w:cs="Times New Roman" w:eastAsia="Times New Roman" w:hAnsi="Times New Roman"/>
          <w:sz w:val="13"/>
          <w:szCs w:val="13"/>
          <w:color w:val="auto"/>
        </w:rPr>
      </w:pPr>
    </w:p>
    <w:p>
      <w:pPr>
        <w:spacing w:after="0" w:line="362" w:lineRule="exact"/>
        <w:rPr>
          <w:rFonts w:ascii="Times New Roman" w:cs="Times New Roman" w:eastAsia="Times New Roman" w:hAnsi="Times New Roman"/>
          <w:sz w:val="13"/>
          <w:szCs w:val="13"/>
          <w:color w:val="auto"/>
        </w:rPr>
      </w:pPr>
    </w:p>
    <w:p>
      <w:pPr>
        <w:ind w:left="1020" w:right="220" w:hanging="299"/>
        <w:spacing w:after="0" w:line="263" w:lineRule="auto"/>
        <w:tabs>
          <w:tab w:leader="none" w:pos="10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proxy or information statement describing the proposed Business Combination and complying with the requirements of the Securities and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color w:val="auto"/>
        </w:rPr>
        <w:t>Section 3.</w:t>
      </w:r>
      <w:r>
        <w:rPr>
          <w:sz w:val="20"/>
          <w:szCs w:val="20"/>
          <w:color w:val="auto"/>
        </w:rPr>
        <w:tab/>
      </w:r>
      <w:r>
        <w:rPr>
          <w:rFonts w:ascii="Times New Roman" w:cs="Times New Roman" w:eastAsia="Times New Roman" w:hAnsi="Times New Roman"/>
          <w:sz w:val="13"/>
          <w:szCs w:val="13"/>
          <w:i w:val="1"/>
          <w:iCs w:val="1"/>
          <w:color w:val="auto"/>
        </w:rPr>
        <w:t>Certain Definitions</w:t>
      </w:r>
      <w:r>
        <w:rPr>
          <w:rFonts w:ascii="Times New Roman" w:cs="Times New Roman" w:eastAsia="Times New Roman" w:hAnsi="Times New Roman"/>
          <w:sz w:val="13"/>
          <w:szCs w:val="13"/>
          <w:color w:val="auto"/>
        </w:rPr>
        <w:t>. For the purposes of this Article VIII:</w:t>
      </w:r>
    </w:p>
    <w:p>
      <w:pPr>
        <w:spacing w:after="0" w:line="168" w:lineRule="exact"/>
        <w:rPr>
          <w:sz w:val="20"/>
          <w:szCs w:val="20"/>
          <w:color w:val="auto"/>
        </w:rPr>
      </w:pPr>
    </w:p>
    <w:p>
      <w:pPr>
        <w:ind w:left="680" w:hanging="411"/>
        <w:spacing w:after="0"/>
        <w:tabs>
          <w:tab w:leader="none" w:pos="6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shall mean any individual, firm, corporation or other entity.</w:t>
      </w:r>
    </w:p>
    <w:p>
      <w:pPr>
        <w:spacing w:after="0" w:line="165" w:lineRule="exact"/>
        <w:rPr>
          <w:rFonts w:ascii="Times New Roman" w:cs="Times New Roman" w:eastAsia="Times New Roman" w:hAnsi="Times New Roman"/>
          <w:sz w:val="13"/>
          <w:szCs w:val="13"/>
          <w:color w:val="auto"/>
        </w:rPr>
      </w:pPr>
    </w:p>
    <w:p>
      <w:pPr>
        <w:ind w:left="680" w:hanging="411"/>
        <w:spacing w:after="0"/>
        <w:tabs>
          <w:tab w:leader="none" w:pos="6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“Interested Stockholder” shall mean any person (other than the corporation or any Subsidiary) who 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548" w:right="259" w:bottom="1440" w:gutter="0" w:footer="0" w:header="0"/>
        </w:sectPr>
      </w:pPr>
    </w:p>
    <w:bookmarkStart w:id="10" w:name="page11"/>
    <w:bookmarkEnd w:id="10"/>
    <w:p>
      <w:pPr>
        <w:ind w:left="731" w:hanging="255"/>
        <w:spacing w:after="0"/>
        <w:tabs>
          <w:tab w:leader="none" w:pos="731"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beneficial owner, directly or indirectly, of more than 10% of the voting power of the outstanding Voting Stock; or</w:t>
      </w:r>
    </w:p>
    <w:p>
      <w:pPr>
        <w:spacing w:after="0" w:line="372" w:lineRule="exact"/>
        <w:rPr>
          <w:rFonts w:ascii="Times New Roman" w:cs="Times New Roman" w:eastAsia="Times New Roman" w:hAnsi="Times New Roman"/>
          <w:sz w:val="13"/>
          <w:szCs w:val="13"/>
          <w:color w:val="auto"/>
        </w:rPr>
      </w:pPr>
    </w:p>
    <w:p>
      <w:pPr>
        <w:ind w:left="731" w:right="220" w:hanging="282"/>
        <w:spacing w:after="0" w:line="281" w:lineRule="auto"/>
        <w:tabs>
          <w:tab w:leader="none" w:pos="731"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343" w:lineRule="exact"/>
        <w:rPr>
          <w:rFonts w:ascii="Times New Roman" w:cs="Times New Roman" w:eastAsia="Times New Roman" w:hAnsi="Times New Roman"/>
          <w:sz w:val="13"/>
          <w:szCs w:val="13"/>
          <w:color w:val="auto"/>
        </w:rPr>
      </w:pPr>
    </w:p>
    <w:p>
      <w:pPr>
        <w:ind w:left="731" w:hanging="292"/>
        <w:spacing w:after="0" w:line="263" w:lineRule="auto"/>
        <w:tabs>
          <w:tab w:leader="none" w:pos="731" w:val="left"/>
        </w:tabs>
        <w:numPr>
          <w:ilvl w:val="2"/>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w:t>
      </w:r>
    </w:p>
    <w:p>
      <w:pPr>
        <w:spacing w:after="0" w:line="200" w:lineRule="exact"/>
        <w:rPr>
          <w:rFonts w:ascii="Times New Roman" w:cs="Times New Roman" w:eastAsia="Times New Roman" w:hAnsi="Times New Roman"/>
          <w:sz w:val="13"/>
          <w:szCs w:val="13"/>
          <w:color w:val="auto"/>
        </w:rPr>
      </w:pPr>
    </w:p>
    <w:p>
      <w:pPr>
        <w:spacing w:after="0" w:line="362" w:lineRule="exact"/>
        <w:rPr>
          <w:rFonts w:ascii="Times New Roman" w:cs="Times New Roman" w:eastAsia="Times New Roman" w:hAnsi="Times New Roman"/>
          <w:sz w:val="13"/>
          <w:szCs w:val="13"/>
          <w:color w:val="auto"/>
        </w:rPr>
      </w:pPr>
    </w:p>
    <w:p>
      <w:pPr>
        <w:ind w:left="411" w:hanging="411"/>
        <w:spacing w:after="0"/>
        <w:tabs>
          <w:tab w:leader="none" w:pos="41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shall be a “beneficial owner” of any Voting Stock:</w:t>
      </w:r>
    </w:p>
    <w:p>
      <w:pPr>
        <w:spacing w:after="0" w:line="138" w:lineRule="exact"/>
        <w:rPr>
          <w:rFonts w:ascii="Times New Roman" w:cs="Times New Roman" w:eastAsia="Times New Roman" w:hAnsi="Times New Roman"/>
          <w:sz w:val="13"/>
          <w:szCs w:val="13"/>
          <w:color w:val="auto"/>
        </w:rPr>
      </w:pPr>
    </w:p>
    <w:p>
      <w:pPr>
        <w:ind w:left="731" w:hanging="264"/>
        <w:spacing w:after="0"/>
        <w:tabs>
          <w:tab w:leader="none" w:pos="731"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such person or any of its Affiliates or Associates (as hereinafter defined) beneficially owns, directly or indirectly; or</w:t>
      </w:r>
    </w:p>
    <w:p>
      <w:pPr>
        <w:spacing w:after="0" w:line="354" w:lineRule="exact"/>
        <w:rPr>
          <w:rFonts w:ascii="Times New Roman" w:cs="Times New Roman" w:eastAsia="Times New Roman" w:hAnsi="Times New Roman"/>
          <w:sz w:val="13"/>
          <w:szCs w:val="13"/>
          <w:color w:val="auto"/>
        </w:rPr>
      </w:pPr>
    </w:p>
    <w:p>
      <w:pPr>
        <w:ind w:left="711" w:right="380" w:hanging="262"/>
        <w:spacing w:after="0" w:line="226" w:lineRule="auto"/>
        <w:tabs>
          <w:tab w:leader="none" w:pos="711"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13" w:lineRule="exact"/>
        <w:rPr>
          <w:rFonts w:ascii="Times New Roman" w:cs="Times New Roman" w:eastAsia="Times New Roman" w:hAnsi="Times New Roman"/>
          <w:sz w:val="13"/>
          <w:szCs w:val="13"/>
          <w:color w:val="auto"/>
        </w:rPr>
      </w:pPr>
    </w:p>
    <w:p>
      <w:pPr>
        <w:ind w:left="711" w:right="280" w:hanging="272"/>
        <w:spacing w:after="0" w:line="239" w:lineRule="auto"/>
        <w:tabs>
          <w:tab w:leader="none" w:pos="711" w:val="left"/>
        </w:tabs>
        <w:numPr>
          <w:ilvl w:val="2"/>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are beneficially owned, directly or indirectly, by any other person with which such person or any of its Affiliates or Associates has any agreement, or arrangement or understanding for the purpose of acquiring, holding, voting or disposing of any shares of Voting Stock.</w:t>
      </w:r>
    </w:p>
    <w:p>
      <w:pPr>
        <w:spacing w:after="0" w:line="200" w:lineRule="exact"/>
        <w:rPr>
          <w:rFonts w:ascii="Times New Roman" w:cs="Times New Roman" w:eastAsia="Times New Roman" w:hAnsi="Times New Roman"/>
          <w:sz w:val="13"/>
          <w:szCs w:val="13"/>
          <w:color w:val="auto"/>
        </w:rPr>
      </w:pPr>
    </w:p>
    <w:p>
      <w:pPr>
        <w:spacing w:after="0" w:line="384" w:lineRule="exact"/>
        <w:rPr>
          <w:rFonts w:ascii="Times New Roman" w:cs="Times New Roman" w:eastAsia="Times New Roman" w:hAnsi="Times New Roman"/>
          <w:sz w:val="13"/>
          <w:szCs w:val="13"/>
          <w:color w:val="auto"/>
        </w:rPr>
      </w:pPr>
    </w:p>
    <w:p>
      <w:pPr>
        <w:ind w:left="-269" w:right="120" w:firstLine="269"/>
        <w:spacing w:after="0" w:line="263" w:lineRule="auto"/>
        <w:tabs>
          <w:tab w:leader="none" w:pos="43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130" w:lineRule="exact"/>
        <w:rPr>
          <w:rFonts w:ascii="Times New Roman" w:cs="Times New Roman" w:eastAsia="Times New Roman" w:hAnsi="Times New Roman"/>
          <w:sz w:val="13"/>
          <w:szCs w:val="13"/>
          <w:color w:val="auto"/>
        </w:rPr>
      </w:pPr>
    </w:p>
    <w:p>
      <w:pPr>
        <w:ind w:left="-269" w:right="480" w:firstLine="269"/>
        <w:spacing w:after="0" w:line="281" w:lineRule="auto"/>
        <w:tabs>
          <w:tab w:leader="none" w:pos="41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“Affiliate” or “Associate” shall have the respective meanings ascribed to such terms in Rule 12b-2 of the General Rules and Regulations under the Securities Exchange Act of 1934, as in effect on October 3, 1983.</w:t>
      </w:r>
    </w:p>
    <w:p>
      <w:pPr>
        <w:spacing w:after="0" w:line="118" w:lineRule="exact"/>
        <w:rPr>
          <w:rFonts w:ascii="Times New Roman" w:cs="Times New Roman" w:eastAsia="Times New Roman" w:hAnsi="Times New Roman"/>
          <w:sz w:val="13"/>
          <w:szCs w:val="13"/>
          <w:color w:val="auto"/>
        </w:rPr>
      </w:pPr>
    </w:p>
    <w:p>
      <w:pPr>
        <w:ind w:left="-269" w:right="300" w:firstLine="269"/>
        <w:spacing w:after="0" w:line="263" w:lineRule="auto"/>
        <w:tabs>
          <w:tab w:leader="none" w:pos="40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130" w:lineRule="exact"/>
        <w:rPr>
          <w:rFonts w:ascii="Times New Roman" w:cs="Times New Roman" w:eastAsia="Times New Roman" w:hAnsi="Times New Roman"/>
          <w:sz w:val="13"/>
          <w:szCs w:val="13"/>
          <w:color w:val="auto"/>
        </w:rPr>
      </w:pPr>
    </w:p>
    <w:p>
      <w:pPr>
        <w:ind w:left="-269" w:right="40" w:firstLine="269"/>
        <w:spacing w:after="0" w:line="263" w:lineRule="auto"/>
        <w:tabs>
          <w:tab w:leader="none" w:pos="43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Director” means any member of the Board who is unaffiliated with the Interested Stockholder and was a member of the Board prior to the time that the Interested Stockholder became an Interested Stockholder, and any successor of a Continuing Director who is unaffiliated with the Interested Stockholder and is recommended to succeed a Continuing Director by a majority of Continuing Directors then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133985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11"/>
          </w:cols>
          <w:pgMar w:left="489" w:top="126" w:right="199" w:bottom="1440" w:gutter="0" w:footer="0" w:header="0"/>
        </w:sectPr>
      </w:pPr>
    </w:p>
    <w:bookmarkStart w:id="11" w:name="page12"/>
    <w:bookmarkEnd w:id="11"/>
    <w:p>
      <w:pPr>
        <w:ind w:right="40" w:firstLine="269"/>
        <w:spacing w:after="0" w:line="253" w:lineRule="auto"/>
        <w:tabs>
          <w:tab w:leader="none" w:pos="70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Market Value” means: (i)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in good faith; and (ii) in the case of property other than cash or stock, the fair market value of such property on the date in question as determined by the Board in good faith.</w:t>
      </w:r>
    </w:p>
    <w:p>
      <w:pPr>
        <w:spacing w:after="0" w:line="292" w:lineRule="exact"/>
        <w:rPr>
          <w:rFonts w:ascii="Times New Roman" w:cs="Times New Roman" w:eastAsia="Times New Roman" w:hAnsi="Times New Roman"/>
          <w:sz w:val="13"/>
          <w:szCs w:val="13"/>
          <w:color w:val="auto"/>
        </w:rPr>
      </w:pPr>
    </w:p>
    <w:p>
      <w:pPr>
        <w:ind w:right="260" w:firstLine="269"/>
        <w:spacing w:after="0" w:line="281" w:lineRule="auto"/>
        <w:tabs>
          <w:tab w:leader="none" w:pos="684"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“Institutional Voting Stock” shall mean any series of Voting Stock which was issued to and continues to be held solely by one or more insurance companies, pension funds, commercial banks, savings banks or similar financial institutions or institutional investors.</w:t>
      </w:r>
    </w:p>
    <w:p>
      <w:pPr>
        <w:spacing w:after="0" w:line="118" w:lineRule="exact"/>
        <w:rPr>
          <w:rFonts w:ascii="Times New Roman" w:cs="Times New Roman" w:eastAsia="Times New Roman" w:hAnsi="Times New Roman"/>
          <w:sz w:val="13"/>
          <w:szCs w:val="13"/>
          <w:color w:val="auto"/>
        </w:rPr>
      </w:pPr>
    </w:p>
    <w:p>
      <w:pPr>
        <w:ind w:right="160" w:firstLine="269"/>
        <w:spacing w:after="0" w:line="281" w:lineRule="auto"/>
        <w:tabs>
          <w:tab w:leader="none" w:pos="69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Business Combination in which the corporation survives, the phrase “consideration other than cash to be received” as used in Section 2 of this Article VIII shall include the shares of Common Stock or the shares of any series of outstanding Voting Stock retained by the holders of such shares.</w:t>
      </w:r>
    </w:p>
    <w:p>
      <w:pPr>
        <w:spacing w:after="0" w:line="1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i w:val="1"/>
          <w:iCs w:val="1"/>
          <w:color w:val="auto"/>
        </w:rPr>
        <w:t>Powers of the Board of Directors</w:t>
      </w:r>
      <w:r>
        <w:rPr>
          <w:rFonts w:ascii="Times New Roman" w:cs="Times New Roman" w:eastAsia="Times New Roman" w:hAnsi="Times New Roman"/>
          <w:sz w:val="13"/>
          <w:szCs w:val="13"/>
          <w:color w:val="auto"/>
        </w:rPr>
        <w:t>. A majority of the directors of the corporation shall have the power and duty to determine for the purposes of this Article VIII, on the basis of information known to them after reasonable inquiry, (A) whether a person is an Interested Stockholder, (B) the number of shares of Voting Stock beneficially owned by any person, (C) whether a person is an Affiliate or Associate of another, (D) whether a series of Voting Stock is Institutional Voting Stock and (E) 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i w:val="1"/>
          <w:iCs w:val="1"/>
          <w:color w:val="auto"/>
        </w:rPr>
        <w:t>No Effect on Fiduciary Obligations of Interested Stockholders</w:t>
      </w:r>
      <w:r>
        <w:rPr>
          <w:rFonts w:ascii="Times New Roman" w:cs="Times New Roman" w:eastAsia="Times New Roman" w:hAnsi="Times New Roman"/>
          <w:sz w:val="13"/>
          <w:szCs w:val="13"/>
          <w:color w:val="auto"/>
        </w:rPr>
        <w:t>. Nothing contained in this Article VIII shall be construed to relieve any Interested Stockholder from any fiduciary obligation imposed by law.</w:t>
      </w:r>
    </w:p>
    <w:p>
      <w:pPr>
        <w:spacing w:after="0" w:line="30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i w:val="1"/>
          <w:iCs w:val="1"/>
          <w:color w:val="auto"/>
        </w:rPr>
        <w:t>Amendment, Repeal, etc.</w:t>
      </w:r>
      <w:r>
        <w:rPr>
          <w:rFonts w:ascii="Times New Roman" w:cs="Times New Roman" w:eastAsia="Times New Roman" w:hAnsi="Times New Roman"/>
          <w:sz w:val="13"/>
          <w:szCs w:val="13"/>
          <w:color w:val="auto"/>
        </w:rPr>
        <w:t xml:space="preserve"> Notwithstanding anything contained in this Restated Certificate of Incorporation to the contrary, the affirmative vote of the holders of at least 80% of the voting power of the then outstanding shares of the Voting Stock, voting together as a single class, shall be required to alter, amend or repeal this Article VIII.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Amendment of Restated Certificate of Incorporation</w:t>
      </w:r>
    </w:p>
    <w:p>
      <w:pPr>
        <w:spacing w:after="0" w:line="16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The corporation reserves the right to amend, alter, change or repeal any provision contained in this Restated Certificate of Incorporation, in the manner now or hereafter prescribed by statute, and all rights conferred on stockholders herein are granted subject to this reservation. Notwithstanding the foregoing, the provisions set forth in the last sentence of Article IV, and in Articles VI, VII and VIII, may not be altered, amended or repealed in any respect unless such alteration, amendment or repeal is approved as specified in each thereof.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Indemnity</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color w:val="auto"/>
        </w:rPr>
        <w:t>Section 1.</w:t>
      </w:r>
      <w:r>
        <w:rPr>
          <w:sz w:val="20"/>
          <w:szCs w:val="20"/>
          <w:color w:val="auto"/>
        </w:rPr>
        <w:tab/>
      </w:r>
      <w:r>
        <w:rPr>
          <w:rFonts w:ascii="Times New Roman" w:cs="Times New Roman" w:eastAsia="Times New Roman" w:hAnsi="Times New Roman"/>
          <w:sz w:val="13"/>
          <w:szCs w:val="13"/>
          <w:i w:val="1"/>
          <w:iCs w:val="1"/>
          <w:color w:val="auto"/>
        </w:rPr>
        <w:t>Elimination of Certain Liability of Directors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director of the corporation shall not be personally liable to the corporation or its stockholders for monetary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156845</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87" w:right="239" w:bottom="1440" w:gutter="0" w:footer="0" w:header="0"/>
        </w:sectPr>
      </w:pPr>
    </w:p>
    <w:bookmarkStart w:id="12" w:name="page13"/>
    <w:bookmarkEnd w:id="12"/>
    <w:p>
      <w:pPr>
        <w:ind w:right="40"/>
        <w:spacing w:after="0" w:line="281" w:lineRule="auto"/>
        <w:rPr>
          <w:sz w:val="20"/>
          <w:szCs w:val="20"/>
          <w:color w:val="auto"/>
        </w:rPr>
      </w:pPr>
      <w:r>
        <w:rPr>
          <w:rFonts w:ascii="Times New Roman" w:cs="Times New Roman" w:eastAsia="Times New Roman" w:hAnsi="Times New Roman"/>
          <w:sz w:val="13"/>
          <w:szCs w:val="13"/>
          <w:color w:val="auto"/>
        </w:rPr>
        <w:t>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Delaware General Corporation Law, or (D) for any transaction from which the director derived an improper personal benefit.</w:t>
      </w:r>
    </w:p>
    <w:p>
      <w:pPr>
        <w:spacing w:after="0" w:line="11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color w:val="auto"/>
        </w:rPr>
        <w:t>Section 2.</w:t>
      </w:r>
      <w:r>
        <w:rPr>
          <w:sz w:val="20"/>
          <w:szCs w:val="20"/>
          <w:color w:val="auto"/>
        </w:rPr>
        <w:tab/>
      </w:r>
      <w:r>
        <w:rPr>
          <w:rFonts w:ascii="Times New Roman" w:cs="Times New Roman" w:eastAsia="Times New Roman" w:hAnsi="Times New Roman"/>
          <w:sz w:val="13"/>
          <w:szCs w:val="13"/>
          <w:i w:val="1"/>
          <w:iCs w:val="1"/>
          <w:color w:val="auto"/>
        </w:rPr>
        <w:t>Indemnification and Insurance</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firstLine="269"/>
        <w:spacing w:after="0" w:line="248" w:lineRule="auto"/>
        <w:tabs>
          <w:tab w:leader="none" w:pos="70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Right to Indemnification</w:t>
      </w:r>
      <w:r>
        <w:rPr>
          <w:rFonts w:ascii="Times New Roman" w:cs="Times New Roman" w:eastAsia="Times New Roman" w:hAnsi="Times New Roman"/>
          <w:sz w:val="13"/>
          <w:szCs w:val="13"/>
          <w:color w:val="auto"/>
        </w:rPr>
        <w:t>. Each person who was or is made a party or is threatened to be made a party to or is involved in any action, suit or proceeding, whether civil, criminal, administrative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investigative (hereinafter a “proceeding”), by reason for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Section 2 shall be a contract right, which may, by action of the Board of Directors of the corporation and at its option, be expressed in a separate written instrument, and shall include the right to be paid by the corporation the expenses incurred in defending any such proceeding in advance of its final disposition;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2 or otherwise. The corporation may, by action of its Board of Directors, provide indemnification to employees and agents of the corporation with the same scope and effect as the foregoing indemnification of directors and officers.</w:t>
      </w:r>
    </w:p>
    <w:p>
      <w:pPr>
        <w:spacing w:after="0" w:line="294" w:lineRule="exact"/>
        <w:rPr>
          <w:rFonts w:ascii="Times New Roman" w:cs="Times New Roman" w:eastAsia="Times New Roman" w:hAnsi="Times New Roman"/>
          <w:sz w:val="13"/>
          <w:szCs w:val="13"/>
          <w:color w:val="auto"/>
        </w:rPr>
      </w:pPr>
    </w:p>
    <w:p>
      <w:pPr>
        <w:ind w:right="140" w:firstLine="269"/>
        <w:spacing w:after="0" w:line="252" w:lineRule="auto"/>
        <w:tabs>
          <w:tab w:leader="none" w:pos="69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Right of Claimant to Bring Suit</w:t>
      </w:r>
      <w:r>
        <w:rPr>
          <w:rFonts w:ascii="Times New Roman" w:cs="Times New Roman" w:eastAsia="Times New Roman" w:hAnsi="Times New Roman"/>
          <w:sz w:val="13"/>
          <w:szCs w:val="13"/>
          <w:color w:val="auto"/>
        </w:rPr>
        <w:t>. If a claim under paragraph (A) of this Section 2 is not paid in full by the corporation within thirty days after a written claim has been received by the corporation,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whether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13" w:name="page14"/>
    <w:bookmarkEnd w:id="13"/>
    <w:p>
      <w:pPr>
        <w:ind w:right="280"/>
        <w:spacing w:after="0" w:line="281" w:lineRule="auto"/>
        <w:rPr>
          <w:sz w:val="20"/>
          <w:szCs w:val="20"/>
          <w:color w:val="auto"/>
        </w:rPr>
      </w:pPr>
      <w:r>
        <w:rPr>
          <w:rFonts w:ascii="Times New Roman" w:cs="Times New Roman" w:eastAsia="Times New Roman" w:hAnsi="Times New Roman"/>
          <w:sz w:val="13"/>
          <w:szCs w:val="13"/>
          <w:color w:val="auto"/>
        </w:rPr>
        <w:t>independent legal counsel or its stockholders) that the claimant has not met such applicable standard of conduct, shall be a defense to the action or create a presumption that the claimant has not met the applicable standard of conduct.</w:t>
      </w:r>
    </w:p>
    <w:p>
      <w:pPr>
        <w:spacing w:after="0" w:line="116" w:lineRule="exact"/>
        <w:rPr>
          <w:sz w:val="20"/>
          <w:szCs w:val="20"/>
          <w:color w:val="auto"/>
        </w:rPr>
      </w:pPr>
    </w:p>
    <w:p>
      <w:pPr>
        <w:ind w:right="40" w:firstLine="269"/>
        <w:spacing w:after="0" w:line="273" w:lineRule="auto"/>
        <w:tabs>
          <w:tab w:leader="none" w:pos="69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Non-Exclusivity of Rights</w:t>
      </w:r>
      <w:r>
        <w:rPr>
          <w:rFonts w:ascii="Times New Roman" w:cs="Times New Roman" w:eastAsia="Times New Roman" w:hAnsi="Times New Roman"/>
          <w:sz w:val="13"/>
          <w:szCs w:val="13"/>
          <w:color w:val="auto"/>
        </w:rPr>
        <w:t>. The right to indemnification and the payment of expenses incurred in defending a proceeding in advance of its final disposition conferred in this Section 2 shall not be exclusive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other right which any persons may have or hereafter acquire under any statute, provision of the Restated Certificate of Incorporation, bylaw, agreement, vote of stockholders or disinterested directors or otherwise.</w:t>
      </w:r>
    </w:p>
    <w:p>
      <w:pPr>
        <w:spacing w:after="0" w:line="281" w:lineRule="exact"/>
        <w:rPr>
          <w:rFonts w:ascii="Times New Roman" w:cs="Times New Roman" w:eastAsia="Times New Roman" w:hAnsi="Times New Roman"/>
          <w:sz w:val="13"/>
          <w:szCs w:val="13"/>
          <w:color w:val="auto"/>
        </w:rPr>
      </w:pPr>
    </w:p>
    <w:p>
      <w:pPr>
        <w:jc w:val="both"/>
        <w:ind w:firstLine="269"/>
        <w:spacing w:after="0" w:line="265" w:lineRule="auto"/>
        <w:tabs>
          <w:tab w:leader="none" w:pos="70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Insurance</w:t>
      </w:r>
      <w:r>
        <w:rPr>
          <w:rFonts w:ascii="Times New Roman" w:cs="Times New Roman" w:eastAsia="Times New Roman" w:hAnsi="Times New Roman"/>
          <w:sz w:val="13"/>
          <w:szCs w:val="13"/>
          <w:color w:val="auto"/>
        </w:rPr>
        <w:t>. The corporation may maintain insurance, at its expense, to protect itself and any director, officer, employee or agent of the corporation or another corporation, partnership, joint venture, trust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enterprise against any such expense, liability or loss, whether or not the corporation would have the power to indemnify such person against such expense, liability or loss under the Delaware General Corporation Law.</w:t>
      </w:r>
    </w:p>
    <w:p>
      <w:pPr>
        <w:spacing w:after="0" w:line="290" w:lineRule="exact"/>
        <w:rPr>
          <w:sz w:val="20"/>
          <w:szCs w:val="20"/>
          <w:color w:val="auto"/>
        </w:rPr>
      </w:pPr>
    </w:p>
    <w:p>
      <w:pPr>
        <w:ind w:right="400" w:firstLine="277"/>
        <w:spacing w:after="0" w:line="202" w:lineRule="auto"/>
        <w:rPr>
          <w:sz w:val="20"/>
          <w:szCs w:val="20"/>
          <w:color w:val="auto"/>
        </w:rPr>
      </w:pPr>
      <w:r>
        <w:rPr>
          <w:rFonts w:ascii="Times New Roman" w:cs="Times New Roman" w:eastAsia="Times New Roman" w:hAnsi="Times New Roman"/>
          <w:sz w:val="13"/>
          <w:szCs w:val="13"/>
          <w:color w:val="auto"/>
        </w:rPr>
        <w:t>IN WITNESS WHEREOF, the corporation has caused this Restated Certificate of Incorporation to be executed this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3"/>
          <w:szCs w:val="13"/>
          <w:color w:val="auto"/>
        </w:rPr>
        <w:t xml:space="preserve"> day of June, 2008, in its name and on its behalf by its Vice President, Secretary and General Counsel pursuant to Section 103 of the General Corporation Law of the State of Delaware.</w:t>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u w:val="single" w:color="auto"/>
          <w:color w:val="auto"/>
        </w:rPr>
        <w:t>/s/ Timothy P. Dordell</w:t>
      </w:r>
    </w:p>
    <w:p>
      <w:pPr>
        <w:spacing w:after="0" w:line="1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color w:val="auto"/>
        </w:rPr>
        <w:t>Timothy P. Dordell</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3"/>
          <w:szCs w:val="13"/>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29932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14" w:name="page15"/>
    <w:bookmarkEnd w:id="14"/>
    <w:p>
      <w:pPr>
        <w:ind w:left="10860"/>
        <w:spacing w:after="0"/>
        <w:rPr>
          <w:sz w:val="20"/>
          <w:szCs w:val="20"/>
          <w:color w:val="auto"/>
        </w:rPr>
      </w:pPr>
      <w:r>
        <w:rPr>
          <w:rFonts w:ascii="Times New Roman" w:cs="Times New Roman" w:eastAsia="Times New Roman" w:hAnsi="Times New Roman"/>
          <w:sz w:val="13"/>
          <w:szCs w:val="13"/>
          <w:b w:val="1"/>
          <w:bCs w:val="1"/>
          <w:u w:val="single" w:color="auto"/>
          <w:color w:val="auto"/>
        </w:rPr>
        <w:t>Exhibit 3.2</w:t>
      </w:r>
    </w:p>
    <w:p>
      <w:pPr>
        <w:spacing w:after="0" w:line="3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BYLAWS</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THE TORO COMPANY</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Offices, Corporate Seal, and Records</w:t>
      </w:r>
    </w:p>
    <w:p>
      <w:pPr>
        <w:spacing w:after="0" w:line="168" w:lineRule="exact"/>
        <w:rPr>
          <w:sz w:val="20"/>
          <w:szCs w:val="20"/>
          <w:color w:val="auto"/>
        </w:rPr>
      </w:pPr>
    </w:p>
    <w:p>
      <w:pPr>
        <w:ind w:right="14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12" w:lineRule="exact"/>
        <w:rPr>
          <w:sz w:val="20"/>
          <w:szCs w:val="20"/>
          <w:color w:val="auto"/>
        </w:rPr>
      </w:pPr>
    </w:p>
    <w:p>
      <w:pPr>
        <w:ind w:right="80" w:firstLine="432"/>
        <w:spacing w:after="0" w:line="281" w:lineRule="auto"/>
        <w:rPr>
          <w:sz w:val="20"/>
          <w:szCs w:val="20"/>
          <w:color w:val="auto"/>
        </w:rPr>
      </w:pP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00" w:lineRule="exact"/>
        <w:rPr>
          <w:sz w:val="20"/>
          <w:szCs w:val="20"/>
          <w:color w:val="auto"/>
        </w:rPr>
      </w:pPr>
    </w:p>
    <w:p>
      <w:pPr>
        <w:ind w:right="12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 xml:space="preserve">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 or, in the case of uncertificated shares, the date the electronic entry evidencing the ownership of the shares was made in the Corporation’s records.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The Corporation shall at all times keep at its principal executive office the following records:</w:t>
      </w:r>
    </w:p>
    <w:p>
      <w:pPr>
        <w:spacing w:after="0" w:line="148" w:lineRule="exact"/>
        <w:rPr>
          <w:sz w:val="20"/>
          <w:szCs w:val="20"/>
          <w:color w:val="auto"/>
        </w:rPr>
      </w:pPr>
    </w:p>
    <w:p>
      <w:pPr>
        <w:ind w:left="1320" w:hanging="385"/>
        <w:spacing w:after="0"/>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original or copies of records of all proceedings of stockholders and directors, of its Bylaws and all amendments thereto, and of reports made to stockholders or any of them within the next pr</w:t>
      </w:r>
    </w:p>
    <w:p>
      <w:pPr>
        <w:spacing w:after="0" w:line="156" w:lineRule="exact"/>
        <w:rPr>
          <w:rFonts w:ascii="Times New Roman" w:cs="Times New Roman" w:eastAsia="Times New Roman" w:hAnsi="Times New Roman"/>
          <w:sz w:val="13"/>
          <w:szCs w:val="13"/>
          <w:color w:val="auto"/>
        </w:rPr>
      </w:pPr>
    </w:p>
    <w:p>
      <w:pPr>
        <w:ind w:left="1320" w:hanging="392"/>
        <w:spacing w:after="0"/>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of names and usual business addresses of its directors and principal officers;</w:t>
      </w:r>
    </w:p>
    <w:p>
      <w:pPr>
        <w:spacing w:after="0" w:line="156" w:lineRule="exact"/>
        <w:rPr>
          <w:rFonts w:ascii="Times New Roman" w:cs="Times New Roman" w:eastAsia="Times New Roman" w:hAnsi="Times New Roman"/>
          <w:sz w:val="13"/>
          <w:szCs w:val="13"/>
          <w:color w:val="auto"/>
        </w:rPr>
      </w:pPr>
    </w:p>
    <w:p>
      <w:pPr>
        <w:ind w:left="1320" w:hanging="385"/>
        <w:spacing w:after="0"/>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Appropriate financial statements.</w:t>
      </w:r>
    </w:p>
    <w:p>
      <w:pPr>
        <w:spacing w:after="0" w:line="157" w:lineRule="exact"/>
        <w:rPr>
          <w:sz w:val="20"/>
          <w:szCs w:val="20"/>
          <w:color w:val="auto"/>
        </w:rPr>
      </w:pPr>
    </w:p>
    <w:p>
      <w:pPr>
        <w:ind w:right="36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Meeting of Stockholders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All meetings of the stockholders shall be held at such place within or without the State of Delaware as may be designated by the Board of Directors in the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21" w:right="139" w:bottom="1440" w:gutter="0" w:footer="0" w:header="0"/>
        </w:sectPr>
      </w:pPr>
    </w:p>
    <w:bookmarkStart w:id="15" w:name="page16"/>
    <w:bookmarkEnd w:id="15"/>
    <w:p>
      <w:pPr>
        <w:ind w:firstLine="432"/>
        <w:spacing w:after="0" w:line="257" w:lineRule="auto"/>
        <w:rPr>
          <w:sz w:val="20"/>
          <w:szCs w:val="20"/>
          <w:color w:val="auto"/>
        </w:rPr>
      </w:pP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Annual meetings of the stockholders, if any, shall be held on the day or date and at the time and place as the Board of Directors may fix from time to time in its discretion, for the election of directors and the transaction of such other business as may come before the annual meeting; provided, however, that any previously scheduled annual meeting of the stockholders may be postponed by resolution of the Board of Directors upon public notice given prior to the date previously scheduled for such annual meeting of the stockholders; and provided, further, that no business with respect to which special notice is required by law shall be transacted at an annual meeting unless such notice shall have been given.</w:t>
      </w:r>
    </w:p>
    <w:p>
      <w:pPr>
        <w:spacing w:after="0" w:line="116"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12" w:lineRule="exact"/>
        <w:rPr>
          <w:sz w:val="20"/>
          <w:szCs w:val="20"/>
          <w:color w:val="auto"/>
        </w:rPr>
      </w:pPr>
    </w:p>
    <w:p>
      <w:pPr>
        <w:jc w:val="both"/>
        <w:ind w:right="18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Notice of each annual and special meeting of stockholders stating the date, time and place thereof, and the general nature of the business to be considered thereat, shall be given at least ten days and not more than sixty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12"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Any nominee for director in an uncontested election as to whom a majority of the votes of the shares present in person or represented by proxy at the meeting and entitled to vote on the election of directors are designated to be “withheld” from, or are voted “against”, that director’s election shall tender his or her resignation for consideration by the Nominating and Governance Committee. The Nominating and Governance Committee shall evaluate the best interests of the Corporation and its stockholders and shall recommend to the Board the action to be taken with respect to such tendered resignation. All other questions shall be decided by the affirmative vote of a majority of the shares present in person or represented by proxy at the meeting and entitled to vote on such question.</w:t>
      </w:r>
    </w:p>
    <w:p>
      <w:pPr>
        <w:spacing w:after="0" w:line="121"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3"/>
          <w:szCs w:val="13"/>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16"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3"/>
          <w:szCs w:val="13"/>
          <w:color w:val="auto"/>
        </w:rPr>
        <w:t>The Board of Directors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16" w:name="page17"/>
    <w:bookmarkEnd w:id="16"/>
    <w:p>
      <w:pPr>
        <w:spacing w:after="0" w:line="281" w:lineRule="auto"/>
        <w:rPr>
          <w:sz w:val="20"/>
          <w:szCs w:val="20"/>
          <w:color w:val="auto"/>
        </w:rPr>
      </w:pPr>
      <w:r>
        <w:rPr>
          <w:rFonts w:ascii="Times New Roman" w:cs="Times New Roman" w:eastAsia="Times New Roman" w:hAnsi="Times New Roman"/>
          <w:sz w:val="13"/>
          <w:szCs w:val="13"/>
          <w:color w:val="auto"/>
        </w:rPr>
        <w:t>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Chair of the meeting shall fix and announce at the meeting the date and time of the opening and the closing of the polls for each matter upon which the stockholders will vote at the meeting.</w:t>
      </w:r>
    </w:p>
    <w:p>
      <w:pPr>
        <w:spacing w:after="0" w:line="148"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 of any annual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of these Bylaws.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stockholders present at a duly organized meeting may continue to transact business until adjournment, notwithstanding the withdrawal of enough stockholders to leave less than a quorum.</w:t>
      </w:r>
    </w:p>
    <w:p>
      <w:pPr>
        <w:spacing w:after="0" w:line="148"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19" w:lineRule="exact"/>
        <w:rPr>
          <w:sz w:val="20"/>
          <w:szCs w:val="20"/>
          <w:color w:val="auto"/>
        </w:rPr>
      </w:pPr>
    </w:p>
    <w:p>
      <w:pPr>
        <w:ind w:right="20" w:firstLine="432"/>
        <w:spacing w:after="0" w:line="251" w:lineRule="auto"/>
        <w:rPr>
          <w:sz w:val="20"/>
          <w:szCs w:val="20"/>
          <w:color w:val="auto"/>
        </w:rPr>
      </w:pP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(A) (1) Nominations of persons for election to the Board of Directors of the Corporation and the proposal of other business to be considered by the stockholders may be made at an annual meeting of stockholders only (a) pursuant to the Corporation’s notice of meeting, (b) by or at the direction of the Board of Directors or (c) by any stockholder of the Corporation who (i) was a stockholder of record (and, with respect to any beneficial owner, if different, on whose behalf any nomination or proposal is made, only if such beneficial owner was the beneficial owner of shares of the Corporation) both at the time of giving of notice provided for in this Bylaw and at the time of the annual meeting, (ii) is entitled to vote at the annual meeting, and (iii) complied with the notice procedures set forth in this Bylaw as to such nominations or other business. Except for proposals properly made pursuant to Rule 14a-8 under the Securities Exchange Act of 1934, as amended (the “Exchange Act”), and included in the Corporation’s notice of meeting, the foregoing clause (c) shall be the exclusive means for a stockholder to make nominations of persons for election to the Board of Directors of the Corporation or to propose other business to be considered by the stockholders at an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17" w:name="page18"/>
    <w:bookmarkEnd w:id="17"/>
    <w:p>
      <w:pPr>
        <w:ind w:left="-857" w:firstLine="857"/>
        <w:spacing w:after="0" w:line="249" w:lineRule="auto"/>
        <w:tabs>
          <w:tab w:leader="none" w:pos="19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qualification, for any nominations of one or more persons for election to the Board of Directors of the Corporation or any other business to be properly brought before an annual meeting by a stockholder, in each case, pursuant to clause (c) of paragraph (A) (1) of this Bylaw, the stockholder must have given timely notice thereof in writing and in proper form to the Secretary of the Corporation and such other business must otherwise be a proper matter for stockholder action. To be timely, a stockholder’s notice shall be delivered to the Secretary at the principal executive offices of the Corporation not less than ninety days nor more than one hundred twenty days prior to the first anniversary of the preceding year’s annual meeting; provided, however, that in the event that the date of the annual meeting is advanced by more than thirty days or delayed by more than sixty days from the first anniversary date of the preceding year’s annual meeting, notice by the stockholder to be timely must be so delivered not earlier than the one hundred twentieth day prior to the date of such rescheduled annual meeting and not later than the close of business on the later of (x) the ninetieth day prior to the date of such rescheduled annual meeting or (y) the tenth day following the day on which public announcement of the date of such rescheduled annual meeting is first made. In no event shall any adjournment or postponement of an annual meeting or the announcement thereof commence a new time period for the giving of a stockholder’s notice as described above. For purposes of this Bylaw, the stockholder providing the notice of a proposed nomination or other business proposed to be brought before an annual meeting, the beneficial owner, if different, on whose behalf the proposed nomination or other business proposed to be brought before an annual meeting is made, and any affiliate or associate of such beneficial owner (as such terms are defined in Rule 12b-2 promulgated under the Exchange Act), are referred to as “Proposing Persons”. To be in proper form, a stockholder’s notice (whether given pursuant to this paragraph (A)(2) or paragraph (B) of these Bylaws) shall set forth, as of the date of such notice:</w:t>
      </w:r>
    </w:p>
    <w:p>
      <w:pPr>
        <w:spacing w:after="0" w:line="122" w:lineRule="exact"/>
        <w:rPr>
          <w:rFonts w:ascii="Times New Roman" w:cs="Times New Roman" w:eastAsia="Times New Roman" w:hAnsi="Times New Roman"/>
          <w:sz w:val="13"/>
          <w:szCs w:val="13"/>
          <w:color w:val="auto"/>
        </w:rPr>
      </w:pPr>
    </w:p>
    <w:p>
      <w:pPr>
        <w:ind w:left="-437" w:right="40" w:firstLine="869"/>
        <w:spacing w:after="0" w:line="251" w:lineRule="auto"/>
        <w:tabs>
          <w:tab w:leader="none" w:pos="633"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each person, if any, whom the stockholder proposes to nominate for election or reelection as a director (i) all information relating to such proposed nominee that is required to be disclosed in a proxy statement or other filings required to be made in connection with solicitations of proxies for election of directors in a contested election pursuant to Section 14 under Exchange Act and the regulations promulgated thereunder (including such proposed nominee’s written consent to being named in the proxy statement as a nominee and to serving as a director if elected), and (ii) a reasonably detailed description of all direct and indirect compensation and other material monetary agreements, arrangements and understandings during the past three years, and any other material relationships, between or among any Proposing Person,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a Proposing Person, or any person acting in concert therewith, were the “registrant” for purposes of such rule and the proposed nominee were a director or executive officer of such registrant;</w:t>
      </w:r>
    </w:p>
    <w:p>
      <w:pPr>
        <w:spacing w:after="0" w:line="121" w:lineRule="exact"/>
        <w:rPr>
          <w:rFonts w:ascii="Times New Roman" w:cs="Times New Roman" w:eastAsia="Times New Roman" w:hAnsi="Times New Roman"/>
          <w:sz w:val="13"/>
          <w:szCs w:val="13"/>
          <w:color w:val="auto"/>
        </w:rPr>
      </w:pPr>
    </w:p>
    <w:p>
      <w:pPr>
        <w:ind w:left="-437" w:right="80" w:firstLine="869"/>
        <w:spacing w:after="0" w:line="257" w:lineRule="auto"/>
        <w:tabs>
          <w:tab w:leader="none" w:pos="641"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any business other than nominations for election of one or more directors that the stockholder proposes to bring before the meeting, (i) a reasonably brief description of the business desired to be brought before the meeting, the reasons for conducting such business at the meeting and any material interest in such business of each Proposing Person, and (ii) a reasonably detailed description of all agreements, arrangements and understandings between or among any Proposing Person and/or any other person or persons (including their names) in connection with the proposal of such business by such stockholder; and</w:t>
      </w:r>
    </w:p>
    <w:p>
      <w:pPr>
        <w:spacing w:after="0" w:line="116" w:lineRule="exact"/>
        <w:rPr>
          <w:rFonts w:ascii="Times New Roman" w:cs="Times New Roman" w:eastAsia="Times New Roman" w:hAnsi="Times New Roman"/>
          <w:sz w:val="13"/>
          <w:szCs w:val="13"/>
          <w:color w:val="auto"/>
        </w:rPr>
      </w:pPr>
    </w:p>
    <w:p>
      <w:pPr>
        <w:ind w:left="643" w:hanging="211"/>
        <w:spacing w:after="0"/>
        <w:tabs>
          <w:tab w:leader="none" w:pos="643"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each Proposing Person, (i) the name and address of the stockholder providing the notice, as they appear on the Corporation’s books, and of any other Proposing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99695</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03"/>
          </w:cols>
          <w:pgMar w:left="1077" w:top="431" w:right="219" w:bottom="1440" w:gutter="0" w:footer="0" w:header="0"/>
        </w:sectPr>
      </w:pPr>
    </w:p>
    <w:bookmarkStart w:id="18" w:name="page19"/>
    <w:bookmarkEnd w:id="18"/>
    <w:p>
      <w:pPr>
        <w:ind w:left="480" w:firstLine="4"/>
        <w:spacing w:after="0" w:line="249" w:lineRule="auto"/>
        <w:tabs>
          <w:tab w:leader="none" w:pos="67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and number of shares of the Corporation that are, directly or indirectly, owned of record or beneficially by such Proposing Person, (iii) any option, warrant, convertible security, stock appreciation right, or similar right with an exercise or conversion privilege or a settlement payment or mechanism at a price related to any shares of the Corporation or with a value derived in whole or in part from the value of any shares of the Corporation, whether or not such instrument or right shall be subject to settlement in the underlying capital stock (or any class or series thereof) of the Corporation or otherwise (a “Derivative Instrument”), directly or indirectly, owned of record or beneficially by such Proposing Person and any other direct or indirect opportunity to profit or share in any profit derived from any increase or decrease in the value of shares of the Corporation, (iv) any proxy, contract, arrangement, understanding, or relationship pursuant to which such Proposing Person has a right to vote any shares of the Corporation, (v)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(vi) any rights to dividends on the shares of the Corporation owned beneficially by such Proposing Person that are separated or separable from the underlying shares of the Corporation, (vii) any proportionate interest in shares of the Corporation or Derivative Instruments held, directly or indirectly, by a general or limited partnership in which such Proposing Person is a general partner or, directly or indirectly, beneficially owns an interest in a general partner, and (viii) any performance related fees (other than an asset based fee) that such Proposing Person is entitled to based on any increase or decrease in the value of shares of the Corporation or Derivative Instruments, if any.</w:t>
      </w:r>
    </w:p>
    <w:p>
      <w:pPr>
        <w:spacing w:after="0" w:line="122" w:lineRule="exact"/>
        <w:rPr>
          <w:sz w:val="20"/>
          <w:szCs w:val="20"/>
          <w:color w:val="auto"/>
        </w:rPr>
      </w:pPr>
    </w:p>
    <w:p>
      <w:pPr>
        <w:ind w:right="60" w:firstLine="432"/>
        <w:spacing w:after="0" w:line="250" w:lineRule="auto"/>
        <w:rPr>
          <w:sz w:val="20"/>
          <w:szCs w:val="20"/>
          <w:color w:val="auto"/>
        </w:rPr>
      </w:pPr>
      <w:r>
        <w:rPr>
          <w:rFonts w:ascii="Times New Roman" w:cs="Times New Roman" w:eastAsia="Times New Roman" w:hAnsi="Times New Roman"/>
          <w:sz w:val="13"/>
          <w:szCs w:val="13"/>
          <w:color w:val="auto"/>
        </w:rPr>
        <w:t>A stockholder providing notice of a proposed nomination for election to the Board of Directors of the Corporation or other business proposed to be brought before a meeting (whether given pursuant to this paragraph (A)(2) or paragraph (B) of these Bylaws) shall further update and supplement such notice, if necessary, so that the information provided or required to be provided in such notice under this paragraph (A)(2) shall be true and correct as of the record date for the meeting and as of the date that is ten business days prior to the meeting or any adjournment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 The Corporation may also require any proposed nominee for election to the Board of Directors of the Corporation to furnish such other information as may be reasonably required for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23" w:lineRule="exact"/>
        <w:rPr>
          <w:sz w:val="20"/>
          <w:szCs w:val="20"/>
          <w:color w:val="auto"/>
        </w:rPr>
      </w:pPr>
    </w:p>
    <w:p>
      <w:pPr>
        <w:ind w:right="120" w:firstLine="857"/>
        <w:spacing w:after="0" w:line="254" w:lineRule="auto"/>
        <w:tabs>
          <w:tab w:leader="none" w:pos="105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paragraph (A)(2) of this Bylaw, in the event that the number of directors to be elected to the Board of Directors of the Corporation is increased and there is no public announcement by the Corporation naming all of the nominees for Director or specifying the size of the increased Board of Directors made by the Corporation at least one hundred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19" w:name="page20"/>
    <w:bookmarkEnd w:id="19"/>
    <w:p>
      <w:pPr>
        <w:ind w:left="-20" w:firstLine="424"/>
        <w:spacing w:after="0" w:line="249" w:lineRule="auto"/>
        <w:tabs>
          <w:tab w:leader="none" w:pos="6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Nominations of persons for election to the Board of Directors of the Corporation may be made at a special meeting of stockholders at which directors are to be elected pursuant to the Corporation’s notice of meeting (a) by or at the direction of the Board of Directors or (b) if and only if the Board of Directors has determined that directors shall be elected at such special meeting, by any stockholder of the Corporation who is a stockholder of record (and, with respect to any beneficial owner, if different, on whose behalf any nomination or proposal is made, only if such beneficial owner was the beneficial owner of shares of the Corporation) both at the time of giving of notice provided for in this Bylaw and at the time of the special meeting, who shall be entitled to vote at the special meeting and who complies with the notice procedures set forth in this Bylaw under paragraph (A)(2) with respect to nominations for election of directors at an annual meeting of stockholders. Stockholders shall not be permitted to propose other business to be considered by the stockholders at a special meeting. Without qualification, in the event the Corporation calls a special meeting of stockholders for the purpose of electing one or more directors to the Board of Directors, any stockholder otherwise permitted in this Bylaw to nominate a person or persons (as the case may be) for election to such position(s) as specified in the Corporation’s notice of meeting, may nominate such person(s) for election to such position(s) if the stockholder’s notice required by paragraph (A)(2) shall be delivered to the Secretary at the principal executive offices of the Corporation not earlier than the one hundred twentieth day prior to such special meeting and not later than the close of business on the later of (x) the ninetieth day prior to such special meeting or (y) the tenth day following the day on which public announcement is first made of the date of the special meeting and of the nominees proposed by the Board of Directors to be elected at such special meeting. In no event shall any adjournment or postponement of a special meeting or the announcement thereof commence a new time period for the giving of a stockholder’s notice as described above.</w:t>
      </w:r>
    </w:p>
    <w:p>
      <w:pPr>
        <w:spacing w:after="0" w:line="122" w:lineRule="exact"/>
        <w:rPr>
          <w:rFonts w:ascii="Times New Roman" w:cs="Times New Roman" w:eastAsia="Times New Roman" w:hAnsi="Times New Roman"/>
          <w:sz w:val="13"/>
          <w:szCs w:val="13"/>
          <w:color w:val="auto"/>
        </w:rPr>
      </w:pPr>
    </w:p>
    <w:p>
      <w:pPr>
        <w:jc w:val="both"/>
        <w:ind w:left="-20" w:right="60" w:firstLine="424"/>
        <w:spacing w:after="0" w:line="257" w:lineRule="auto"/>
        <w:tabs>
          <w:tab w:leader="none" w:pos="6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Only such persons who are nominated in accordance with the procedures set forth in this Bylaw shall be eligible to serve as directors and only such other business as shall have been brought before the meeting in accordance with the procedures set forth in this Bylaw shall be conducted at a meeting of stockholders. Except as otherwise provided by law, the Certificate of Incorporation or these Bylaws, , the Chair of the meeting shall have the power and duty to determine whether a nomination or any other business proposed to be brought before the meeting was made or proposed in compliance with this Bylaw and, if such nomination or other business is not in compliance with this Bylaw, to declare that such non-complying nomination or proposal shall be disregarded.</w:t>
      </w:r>
    </w:p>
    <w:p>
      <w:pPr>
        <w:spacing w:after="0" w:line="116" w:lineRule="exact"/>
        <w:rPr>
          <w:rFonts w:ascii="Times New Roman" w:cs="Times New Roman" w:eastAsia="Times New Roman" w:hAnsi="Times New Roman"/>
          <w:sz w:val="13"/>
          <w:szCs w:val="13"/>
          <w:color w:val="auto"/>
        </w:rPr>
      </w:pPr>
    </w:p>
    <w:p>
      <w:pPr>
        <w:ind w:left="-20" w:firstLine="857"/>
        <w:spacing w:after="0" w:line="257" w:lineRule="auto"/>
        <w:tabs>
          <w:tab w:leader="none" w:pos="103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provisions of this Bylaw, a stockholder shall also comply with all applicable requirements of the Exchange Act and the rules and regulations thereunder with respect to the matters set forth in this Bylaw. This Bylaw is expressly intended to apply to any business proposed to be considered by the stockholders at a meeting, regardless of whether or not such proposal is made pursuant to Rule 14a-8 under the Exchange Act. In the case of proposals made pursuant to Rule 14a-8 under the Exchange Act, this Bylaw shall not be deemed to affect any rights of stockholders to request inclusion of proposals in the Corporation’s proxy statement pursuant to Rule 14a-8 under the Exchange Act.</w:t>
      </w:r>
    </w:p>
    <w:p>
      <w:pPr>
        <w:spacing w:after="0" w:line="116" w:lineRule="exact"/>
        <w:rPr>
          <w:rFonts w:ascii="Times New Roman" w:cs="Times New Roman" w:eastAsia="Times New Roman" w:hAnsi="Times New Roman"/>
          <w:sz w:val="13"/>
          <w:szCs w:val="13"/>
          <w:color w:val="auto"/>
        </w:rPr>
      </w:pPr>
    </w:p>
    <w:p>
      <w:pPr>
        <w:ind w:left="-20" w:right="480" w:firstLine="857"/>
        <w:spacing w:after="0" w:line="281" w:lineRule="auto"/>
        <w:tabs>
          <w:tab w:leader="none" w:pos="1065"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Bylaw, “public announcement” shall mean disclosure in a press release reported by a national news service or in a document publicly filed by the Corporation with the Securities and Exchange Commission pursuant to Sections 13, 14 or 15(d) of the Exchange Act.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The business and affairs of the Corporation shall be managed under the direction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99695</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20" w:name="page21"/>
    <w:bookmarkEnd w:id="20"/>
    <w:p>
      <w:pPr>
        <w:ind w:right="20"/>
        <w:spacing w:after="0" w:line="253" w:lineRule="auto"/>
        <w:rPr>
          <w:sz w:val="20"/>
          <w:szCs w:val="20"/>
          <w:color w:val="auto"/>
        </w:rPr>
      </w:pPr>
      <w:r>
        <w:rPr>
          <w:rFonts w:ascii="Times New Roman" w:cs="Times New Roman" w:eastAsia="Times New Roman" w:hAnsi="Times New Roman"/>
          <w:sz w:val="13"/>
          <w:szCs w:val="13"/>
          <w:color w:val="auto"/>
        </w:rPr>
        <w:t>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27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Corporation.</w:t>
      </w:r>
    </w:p>
    <w:p>
      <w:pPr>
        <w:spacing w:after="0" w:line="119" w:lineRule="exact"/>
        <w:rPr>
          <w:sz w:val="20"/>
          <w:szCs w:val="20"/>
          <w:color w:val="auto"/>
        </w:rPr>
      </w:pPr>
    </w:p>
    <w:p>
      <w:pPr>
        <w:jc w:val="both"/>
        <w:ind w:right="20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 the third week of the month. At least three (3) days’ notice thereof shall be given by the Secretary to each director, either personally or by telephone, mail, electronic mail or facsimile transmission.</w:t>
      </w:r>
    </w:p>
    <w:p>
      <w:pPr>
        <w:spacing w:after="0" w:line="112" w:lineRule="exact"/>
        <w:rPr>
          <w:sz w:val="20"/>
          <w:szCs w:val="20"/>
          <w:color w:val="auto"/>
        </w:rPr>
      </w:pPr>
    </w:p>
    <w:p>
      <w:pPr>
        <w:ind w:right="60" w:firstLine="432"/>
        <w:spacing w:after="0" w:line="281" w:lineRule="auto"/>
        <w:rPr>
          <w:sz w:val="20"/>
          <w:szCs w:val="20"/>
          <w:color w:val="auto"/>
        </w:rPr>
      </w:pP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00" w:lineRule="exact"/>
        <w:rPr>
          <w:sz w:val="20"/>
          <w:szCs w:val="20"/>
          <w:color w:val="auto"/>
        </w:rPr>
      </w:pPr>
    </w:p>
    <w:p>
      <w:pPr>
        <w:ind w:right="140" w:firstLine="432"/>
        <w:spacing w:after="0" w:line="281" w:lineRule="auto"/>
        <w:rPr>
          <w:sz w:val="20"/>
          <w:szCs w:val="20"/>
          <w:color w:val="auto"/>
        </w:rPr>
      </w:pP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00" w:lineRule="exact"/>
        <w:rPr>
          <w:sz w:val="20"/>
          <w:szCs w:val="20"/>
          <w:color w:val="auto"/>
        </w:rPr>
      </w:pPr>
    </w:p>
    <w:p>
      <w:pPr>
        <w:ind w:right="120" w:firstLine="432"/>
        <w:spacing w:after="0" w:line="281" w:lineRule="auto"/>
        <w:rPr>
          <w:sz w:val="20"/>
          <w:szCs w:val="20"/>
          <w:color w:val="auto"/>
        </w:rPr>
      </w:pP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00"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xml:space="preserve"> The Board may unanimously elect from among the directors an Executive Committee, a Compensation and Human Resources Committee, an Audit Committee, and a Nominating and Governance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21" w:name="page22"/>
    <w:bookmarkEnd w:id="21"/>
    <w:p>
      <w:pPr>
        <w:ind w:right="40"/>
        <w:spacing w:after="0" w:line="263" w:lineRule="auto"/>
        <w:rPr>
          <w:sz w:val="20"/>
          <w:szCs w:val="20"/>
          <w:color w:val="auto"/>
        </w:rPr>
      </w:pPr>
      <w:r>
        <w:rPr>
          <w:rFonts w:ascii="Times New Roman" w:cs="Times New Roman" w:eastAsia="Times New Roman" w:hAnsi="Times New Roman"/>
          <w:sz w:val="13"/>
          <w:szCs w:val="13"/>
          <w:color w:val="auto"/>
        </w:rPr>
        <w:t>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and Human Resources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112"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The Executive Committee shall consist of a minimum of three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The Committee shall have discretionary authority to undertake additional activities within the scope of its primary functions.</w:t>
      </w:r>
    </w:p>
    <w:p>
      <w:pPr>
        <w:spacing w:after="0" w:line="116" w:lineRule="exact"/>
        <w:rPr>
          <w:sz w:val="20"/>
          <w:szCs w:val="20"/>
          <w:color w:val="auto"/>
        </w:rPr>
      </w:pPr>
    </w:p>
    <w:p>
      <w:pPr>
        <w:ind w:right="100" w:firstLine="432"/>
        <w:spacing w:after="0" w:line="252" w:lineRule="auto"/>
        <w:rPr>
          <w:sz w:val="20"/>
          <w:szCs w:val="20"/>
          <w:color w:val="auto"/>
        </w:rPr>
      </w:pP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The Audit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one of the members shall be designated by the Board of Directors as its Chair. The Chair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financial reports and accounting and reporting practices and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Committee shall have discretionary authority to undertake additional activities within the scope of its primary functions.</w:t>
      </w:r>
    </w:p>
    <w:p>
      <w:pPr>
        <w:spacing w:after="0" w:line="121"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3"/>
          <w:szCs w:val="13"/>
          <w:u w:val="single" w:color="auto"/>
          <w:color w:val="auto"/>
        </w:rPr>
        <w:t>Section 3.10.</w:t>
      </w:r>
      <w:r>
        <w:rPr>
          <w:rFonts w:ascii="Times New Roman" w:cs="Times New Roman" w:eastAsia="Times New Roman" w:hAnsi="Times New Roman"/>
          <w:sz w:val="13"/>
          <w:szCs w:val="13"/>
          <w:color w:val="auto"/>
        </w:rPr>
        <w:t xml:space="preserve"> The Compensation and Human Resources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one of the members shall be designated by the Board of Directors as its Chair. The Chair of the Compensation and Human Resources Committee shall preside at all meetings of the Compensation and Human Resources Committee and shall perform such other duties as may be prescribed by the Board of Directors. The purposes of the Compensation and Human Resources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122" w:lineRule="exact"/>
        <w:rPr>
          <w:sz w:val="20"/>
          <w:szCs w:val="20"/>
          <w:color w:val="auto"/>
        </w:rPr>
      </w:pPr>
    </w:p>
    <w:p>
      <w:pPr>
        <w:jc w:val="both"/>
        <w:ind w:right="12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The Nominating and Governance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one of the members shall be designated by the Board of Directors as its Chair. The Chair of the Nominating and Governance Committee shall preside at all meetings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22" w:name="page23"/>
    <w:bookmarkEnd w:id="22"/>
    <w:p>
      <w:pPr>
        <w:ind w:right="40"/>
        <w:spacing w:after="0" w:line="250" w:lineRule="auto"/>
        <w:rPr>
          <w:sz w:val="20"/>
          <w:szCs w:val="20"/>
          <w:color w:val="auto"/>
        </w:rPr>
      </w:pPr>
      <w:r>
        <w:rPr>
          <w:rFonts w:ascii="Times New Roman" w:cs="Times New Roman" w:eastAsia="Times New Roman" w:hAnsi="Times New Roman"/>
          <w:sz w:val="13"/>
          <w:szCs w:val="13"/>
          <w:color w:val="auto"/>
        </w:rPr>
        <w:t>Nominating and Governance Committee and shall perform such other duties as may be prescribed by the Board of Directors. The primary functions of the Nominating and Governance Committee are to review with the Chief Executive Officer of the Corporation an appropriate size and makeup for the Board of Directors, including individuals having such background and business experience as are consistent with and compatible to the long-range interests 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and to name a lead director to oversee the non-management executive sessions of the Board and to serve as an ongoing liaison between the directors and the employees.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123"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Meetings of each committee shall be held from time to time as the Chair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 of each Board committee shall preside at all meetings of such committee and shall perform such other duties as may be prescribed by the Board of Directors or the Chairman thereof.</w:t>
      </w:r>
    </w:p>
    <w:p>
      <w:pPr>
        <w:spacing w:after="0" w:line="121"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3.13.</w:t>
      </w:r>
      <w:r>
        <w:rPr>
          <w:rFonts w:ascii="Times New Roman" w:cs="Times New Roman" w:eastAsia="Times New Roman" w:hAnsi="Times New Roman"/>
          <w:sz w:val="13"/>
          <w:szCs w:val="13"/>
          <w:color w:val="auto"/>
        </w:rPr>
        <w:t xml:space="preserve">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Officers</w:t>
      </w:r>
    </w:p>
    <w:p>
      <w:pPr>
        <w:spacing w:after="0" w:line="134"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including one or more group vice presidents or one or more executive vice presidents, and agents as may from time to time be elected by the Board of Directors. Any two offices except those of the President and Vice President may be held by the same person. All officers shall hold office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color w:val="auto"/>
        </w:rPr>
        <w:t>pleasure of the Board of Directors and be subject to dismissal by it, with or without cause.</w:t>
      </w:r>
    </w:p>
    <w:p>
      <w:pPr>
        <w:spacing w:after="0" w:line="148" w:lineRule="exact"/>
        <w:rPr>
          <w:sz w:val="20"/>
          <w:szCs w:val="20"/>
          <w:color w:val="auto"/>
        </w:rPr>
      </w:pPr>
    </w:p>
    <w:p>
      <w:pPr>
        <w:ind w:right="380" w:firstLine="432"/>
        <w:spacing w:after="0" w:line="281" w:lineRule="auto"/>
        <w:rPr>
          <w:sz w:val="20"/>
          <w:szCs w:val="20"/>
          <w:color w:val="auto"/>
        </w:rPr>
      </w:pP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The salary and other compensation of the Chairman of the Board, the President and all elected Vice Presidents shall be fixed by the Board of Directors. If any vacancy shall occur among the elected officers, it shall be filled by the Board.</w:t>
      </w:r>
    </w:p>
    <w:p>
      <w:pPr>
        <w:spacing w:after="0" w:line="100"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The Chairman of the Board of Directors, or in his absence the Chair of the Compensation and Human Resources Committee, shall preside at all meetings of the Board of Directors. The Chairman of the Board has authority to appoint certain officers of the Corporation, including vice presidents and certain assistant officers whose responsibilities do not warrant election by the Board of Directors, and shall also perform such other duties as may be prescribed by the Board of Directors.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The President shall be Chief Operating Officer of the Corporation and, as such, shall carry out the plans for the Corporation as approved by the Chairman of the Board and 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absence of the Chairman of the Board of Directors, he shall preside at all meetings of the stockholders and otherwise perform the Chief Executive Officer’s duties as prescribed by the Board of Directors.</w:t>
      </w:r>
    </w:p>
    <w:p>
      <w:pPr>
        <w:spacing w:after="0" w:line="134"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first succeed to his powers and duties, then the Executive or Group Vice Presidents in order of seniority and in the event all are unable to serve for any reason, the Vice Presidents shall succeed to their power and duties in the order in which elected.</w:t>
      </w:r>
    </w:p>
    <w:p>
      <w:pPr>
        <w:spacing w:after="0" w:line="112"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12"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The assistant to any officer shall, in the absence or disability of that officer, perform his duties and shall perform such other duties as may be prescribed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128270</wp:posOffset>
            </wp:positionV>
            <wp:extent cx="729932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2"/>
    </w:lvl>
  </w:abstractNum>
  <w:abstractNum w:abstractNumId="2">
    <w:nsid w:val="140E0F76"/>
    <w:multiLevelType w:val="hybridMultilevel"/>
    <w:lvl w:ilvl="0">
      <w:lvlJc w:val="left"/>
      <w:lvlText w:val="(%1)"/>
      <w:numFmt w:val="lowerLetter"/>
      <w:start w:val="4"/>
    </w:lvl>
  </w:abstractNum>
  <w:abstractNum w:abstractNumId="3">
    <w:nsid w:val="3352255A"/>
    <w:multiLevelType w:val="hybridMultilevel"/>
    <w:lvl w:ilvl="0">
      <w:lvlJc w:val="left"/>
      <w:lvlText w:val="%1."/>
      <w:numFmt w:val="upperLetter"/>
      <w:start w:val="1"/>
    </w:lvl>
    <w:lvl w:ilvl="1">
      <w:lvlJc w:val="left"/>
      <w:lvlText w:val="(%2)"/>
      <w:numFmt w:val="lowerRoman"/>
      <w:start w:val="1"/>
    </w:lvl>
  </w:abstractNum>
  <w:abstractNum w:abstractNumId="4">
    <w:nsid w:val="109CF92E"/>
    <w:multiLevelType w:val="hybridMultilevel"/>
    <w:lvl w:ilvl="0">
      <w:lvlJc w:val="left"/>
      <w:lvlText w:val="%1"/>
      <w:numFmt w:val="lowerRoman"/>
      <w:start w:val="1"/>
    </w:lvl>
    <w:lvl w:ilvl="1">
      <w:lvlJc w:val="left"/>
      <w:lvlText w:val="(%2)"/>
      <w:numFmt w:val="lowerRoman"/>
      <w:start w:val="3"/>
    </w:lvl>
  </w:abstractNum>
  <w:abstractNum w:abstractNumId="5">
    <w:nsid w:val="DED7263"/>
    <w:multiLevelType w:val="hybridMultilevel"/>
    <w:lvl w:ilvl="0">
      <w:lvlJc w:val="left"/>
      <w:lvlText w:val="(%1)"/>
      <w:numFmt w:val="lowerRoman"/>
      <w:start w:val="4"/>
    </w:lvl>
    <w:lvl w:ilvl="1">
      <w:lvlJc w:val="left"/>
      <w:lvlText w:val="%2"/>
      <w:numFmt w:val="lowerRoman"/>
      <w:start w:val="1"/>
    </w:lvl>
  </w:abstractNum>
  <w:abstractNum w:abstractNumId="6">
    <w:nsid w:val="7FDCC233"/>
    <w:multiLevelType w:val="hybridMultilevel"/>
    <w:lvl w:ilvl="0">
      <w:lvlJc w:val="left"/>
      <w:lvlText w:val="%1."/>
      <w:numFmt w:val="upperLetter"/>
      <w:start w:val="2"/>
    </w:lvl>
  </w:abstractNum>
  <w:abstractNum w:abstractNumId="7">
    <w:nsid w:val="1BEFD79F"/>
    <w:multiLevelType w:val="hybridMultilevel"/>
    <w:lvl w:ilvl="0">
      <w:lvlJc w:val="left"/>
      <w:lvlText w:val="%1."/>
      <w:numFmt w:val="upperLetter"/>
      <w:start w:val="1"/>
    </w:lvl>
    <w:lvl w:ilvl="1">
      <w:lvlJc w:val="left"/>
      <w:lvlText w:val="(%2)"/>
      <w:numFmt w:val="lowerRoman"/>
      <w:start w:val="1"/>
    </w:lvl>
  </w:abstractNum>
  <w:abstractNum w:abstractNumId="8">
    <w:nsid w:val="41A7C4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
    <w:nsid w:val="6B68079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0">
    <w:nsid w:val="4E6AFB66"/>
    <w:multiLevelType w:val="hybridMultilevel"/>
    <w:lvl w:ilvl="0">
      <w:lvlJc w:val="left"/>
      <w:lvlText w:val="(%1)"/>
      <w:numFmt w:val="lowerRoman"/>
      <w:start w:val="3"/>
    </w:lvl>
  </w:abstractNum>
  <w:abstractNum w:abstractNumId="11">
    <w:nsid w:val="25E45D32"/>
    <w:multiLevelType w:val="hybridMultilevel"/>
    <w:lvl w:ilvl="0">
      <w:lvlJc w:val="left"/>
      <w:lvlText w:val="%1."/>
      <w:numFmt w:val="upperLetter"/>
      <w:start w:val="1"/>
    </w:lvl>
  </w:abstractNum>
  <w:abstractNum w:abstractNumId="12">
    <w:nsid w:val="519B500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3">
    <w:nsid w:val="431BD7B7"/>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3"/>
    </w:lvl>
  </w:abstractNum>
  <w:abstractNum w:abstractNumId="14">
    <w:nsid w:val="3F2DBA31"/>
    <w:multiLevelType w:val="hybridMultilevel"/>
    <w:lvl w:ilvl="0">
      <w:lvlJc w:val="left"/>
      <w:lvlText w:val="%1."/>
      <w:numFmt w:val="upperLetter"/>
      <w:start w:val="8"/>
    </w:lvl>
  </w:abstractNum>
  <w:abstractNum w:abstractNumId="15">
    <w:nsid w:val="7C83E458"/>
    <w:multiLevelType w:val="hybridMultilevel"/>
    <w:lvl w:ilvl="0">
      <w:lvlJc w:val="left"/>
      <w:lvlText w:val="%1."/>
      <w:numFmt w:val="upperLetter"/>
      <w:start w:val="1"/>
    </w:lvl>
  </w:abstractNum>
  <w:abstractNum w:abstractNumId="16">
    <w:nsid w:val="257130A3"/>
    <w:multiLevelType w:val="hybridMultilevel"/>
    <w:lvl w:ilvl="0">
      <w:lvlJc w:val="left"/>
      <w:lvlText w:val="%1."/>
      <w:numFmt w:val="upperLetter"/>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2"/>
    </w:lvl>
    <w:lvl w:ilvl="1">
      <w:lvlJc w:val="left"/>
      <w:lvlText w:val="(%2)"/>
      <w:numFmt w:val="lowerLetter"/>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upperLetter"/>
      <w:start w:val="2"/>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2019-12-13T13:52:41Z</dcterms:created>
  <dcterms:modified xsi:type="dcterms:W3CDTF">2019-12-13T13:52:41Z</dcterms:modified>
</cp:coreProperties>
</file>