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233680</wp:posOffset>
            </wp:positionH>
            <wp:positionV relativeFrom="page">
              <wp:posOffset>697230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662940</wp:posOffset>
            </wp:positionV>
            <wp:extent cx="70891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111760</wp:posOffset>
            </wp:positionV>
            <wp:extent cx="17570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32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74295</wp:posOffset>
            </wp:positionV>
            <wp:extent cx="17570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jc w:val="center"/>
        <w:spacing w:after="0"/>
        <w:rPr>
          <w:sz w:val="20"/>
          <w:szCs w:val="20"/>
          <w:color w:val="auto"/>
        </w:rPr>
      </w:pPr>
      <w:r>
        <w:rPr>
          <w:rFonts w:ascii="Arial" w:cs="Arial" w:eastAsia="Arial" w:hAnsi="Arial"/>
          <w:sz w:val="19"/>
          <w:szCs w:val="19"/>
          <w:color w:val="auto"/>
        </w:rPr>
        <w:t xml:space="preserve">Date of Report (Date of earliest event reported): </w:t>
      </w:r>
      <w:r>
        <w:rPr>
          <w:rFonts w:ascii="Arial" w:cs="Arial" w:eastAsia="Arial" w:hAnsi="Arial"/>
          <w:sz w:val="19"/>
          <w:szCs w:val="19"/>
          <w:b w:val="1"/>
          <w:bCs w:val="1"/>
          <w:color w:val="auto"/>
        </w:rPr>
        <w:t>December 15,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113665</wp:posOffset>
            </wp:positionV>
            <wp:extent cx="17570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74"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THE TORO COMPANY</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126365</wp:posOffset>
            </wp:positionV>
            <wp:extent cx="17570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99" w:lineRule="exact"/>
        <w:rPr>
          <w:sz w:val="24"/>
          <w:szCs w:val="24"/>
          <w:color w:val="auto"/>
        </w:rPr>
      </w:pPr>
    </w:p>
    <w:tbl>
      <w:tblPr>
        <w:tblLayout w:type="fixed"/>
        <w:tblInd w:w="480" w:type="dxa"/>
        <w:tblCellMar>
          <w:top w:w="0" w:type="dxa"/>
          <w:left w:w="0" w:type="dxa"/>
          <w:bottom w:w="0" w:type="dxa"/>
          <w:right w:w="0" w:type="dxa"/>
        </w:tblCellMar>
      </w:tblPr>
      <w:tr>
        <w:trPr>
          <w:trHeight w:val="246"/>
        </w:trPr>
        <w:tc>
          <w:tcPr>
            <w:tcW w:w="3660" w:type="dxa"/>
            <w:vAlign w:val="bottom"/>
          </w:tcPr>
          <w:p>
            <w:pPr>
              <w:jc w:val="center"/>
              <w:ind w:right="407"/>
              <w:spacing w:after="0"/>
              <w:rPr>
                <w:sz w:val="20"/>
                <w:szCs w:val="20"/>
                <w:color w:val="auto"/>
              </w:rPr>
            </w:pPr>
            <w:r>
              <w:rPr>
                <w:rFonts w:ascii="Arial" w:cs="Arial" w:eastAsia="Arial" w:hAnsi="Arial"/>
                <w:sz w:val="19"/>
                <w:szCs w:val="19"/>
                <w:b w:val="1"/>
                <w:bCs w:val="1"/>
                <w:color w:val="auto"/>
                <w:w w:val="91"/>
              </w:rPr>
              <w:t>Delaware</w:t>
            </w:r>
          </w:p>
        </w:tc>
        <w:tc>
          <w:tcPr>
            <w:tcW w:w="3100" w:type="dxa"/>
            <w:vAlign w:val="bottom"/>
          </w:tcPr>
          <w:p>
            <w:pPr>
              <w:jc w:val="right"/>
              <w:ind w:right="1268"/>
              <w:spacing w:after="0"/>
              <w:rPr>
                <w:sz w:val="20"/>
                <w:szCs w:val="20"/>
                <w:color w:val="auto"/>
              </w:rPr>
            </w:pPr>
            <w:r>
              <w:rPr>
                <w:rFonts w:ascii="Arial" w:cs="Arial" w:eastAsia="Arial" w:hAnsi="Arial"/>
                <w:sz w:val="19"/>
                <w:szCs w:val="19"/>
                <w:b w:val="1"/>
                <w:bCs w:val="1"/>
                <w:color w:val="auto"/>
              </w:rPr>
              <w:t>1-8649</w:t>
            </w:r>
          </w:p>
        </w:tc>
        <w:tc>
          <w:tcPr>
            <w:tcW w:w="3240" w:type="dxa"/>
            <w:vAlign w:val="bottom"/>
          </w:tcPr>
          <w:p>
            <w:pPr>
              <w:jc w:val="center"/>
              <w:ind w:left="548"/>
              <w:spacing w:after="0"/>
              <w:rPr>
                <w:sz w:val="20"/>
                <w:szCs w:val="20"/>
                <w:color w:val="auto"/>
              </w:rPr>
            </w:pPr>
            <w:r>
              <w:rPr>
                <w:rFonts w:ascii="Arial" w:cs="Arial" w:eastAsia="Arial" w:hAnsi="Arial"/>
                <w:sz w:val="19"/>
                <w:szCs w:val="19"/>
                <w:b w:val="1"/>
                <w:bCs w:val="1"/>
                <w:color w:val="auto"/>
                <w:w w:val="90"/>
              </w:rPr>
              <w:t>41-0580470</w:t>
            </w:r>
          </w:p>
        </w:tc>
        <w:tc>
          <w:tcPr>
            <w:tcW w:w="0" w:type="dxa"/>
            <w:vAlign w:val="bottom"/>
          </w:tcPr>
          <w:p>
            <w:pPr>
              <w:spacing w:after="0"/>
              <w:rPr>
                <w:sz w:val="1"/>
                <w:szCs w:val="1"/>
                <w:color w:val="auto"/>
              </w:rPr>
            </w:pPr>
          </w:p>
        </w:tc>
      </w:tr>
      <w:tr>
        <w:trPr>
          <w:trHeight w:val="241"/>
        </w:trPr>
        <w:tc>
          <w:tcPr>
            <w:tcW w:w="3660" w:type="dxa"/>
            <w:vAlign w:val="bottom"/>
          </w:tcPr>
          <w:p>
            <w:pPr>
              <w:jc w:val="center"/>
              <w:ind w:right="407"/>
              <w:spacing w:after="0"/>
              <w:rPr>
                <w:sz w:val="20"/>
                <w:szCs w:val="20"/>
                <w:color w:val="auto"/>
              </w:rPr>
            </w:pPr>
            <w:r>
              <w:rPr>
                <w:rFonts w:ascii="Arial" w:cs="Arial" w:eastAsia="Arial" w:hAnsi="Arial"/>
                <w:sz w:val="18"/>
                <w:szCs w:val="18"/>
                <w:color w:val="auto"/>
                <w:w w:val="92"/>
              </w:rPr>
              <w:t>(State or other jurisdiction of incorporation)</w:t>
            </w:r>
          </w:p>
        </w:tc>
        <w:tc>
          <w:tcPr>
            <w:tcW w:w="3100" w:type="dxa"/>
            <w:vAlign w:val="bottom"/>
          </w:tcPr>
          <w:p>
            <w:pPr>
              <w:jc w:val="center"/>
              <w:ind w:right="48"/>
              <w:spacing w:after="0"/>
              <w:rPr>
                <w:sz w:val="20"/>
                <w:szCs w:val="20"/>
                <w:color w:val="auto"/>
              </w:rPr>
            </w:pPr>
            <w:r>
              <w:rPr>
                <w:rFonts w:ascii="Arial" w:cs="Arial" w:eastAsia="Arial" w:hAnsi="Arial"/>
                <w:sz w:val="18"/>
                <w:szCs w:val="18"/>
                <w:color w:val="auto"/>
                <w:w w:val="93"/>
              </w:rPr>
              <w:t>(Commission File Number)</w:t>
            </w:r>
          </w:p>
        </w:tc>
        <w:tc>
          <w:tcPr>
            <w:tcW w:w="3240" w:type="dxa"/>
            <w:vAlign w:val="bottom"/>
          </w:tcPr>
          <w:p>
            <w:pPr>
              <w:jc w:val="center"/>
              <w:ind w:left="528"/>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391"/>
        </w:trPr>
        <w:tc>
          <w:tcPr>
            <w:tcW w:w="3660" w:type="dxa"/>
            <w:vAlign w:val="bottom"/>
          </w:tcPr>
          <w:p>
            <w:pPr>
              <w:jc w:val="center"/>
              <w:ind w:right="387"/>
              <w:spacing w:after="0"/>
              <w:rPr>
                <w:sz w:val="20"/>
                <w:szCs w:val="20"/>
                <w:color w:val="auto"/>
              </w:rPr>
            </w:pPr>
            <w:r>
              <w:rPr>
                <w:rFonts w:ascii="Arial" w:cs="Arial" w:eastAsia="Arial" w:hAnsi="Arial"/>
                <w:sz w:val="19"/>
                <w:szCs w:val="19"/>
                <w:b w:val="1"/>
                <w:bCs w:val="1"/>
                <w:color w:val="auto"/>
                <w:w w:val="87"/>
              </w:rPr>
              <w:t>8111 Lyndale Avenue South</w:t>
            </w:r>
          </w:p>
        </w:tc>
        <w:tc>
          <w:tcPr>
            <w:tcW w:w="3100" w:type="dxa"/>
            <w:vAlign w:val="bottom"/>
          </w:tcPr>
          <w:p>
            <w:pPr>
              <w:spacing w:after="0"/>
              <w:rPr>
                <w:sz w:val="24"/>
                <w:szCs w:val="24"/>
                <w:color w:val="auto"/>
              </w:rPr>
            </w:pPr>
          </w:p>
        </w:tc>
        <w:tc>
          <w:tcPr>
            <w:tcW w:w="3240" w:type="dxa"/>
            <w:vAlign w:val="bottom"/>
            <w:vMerge w:val="restart"/>
          </w:tcPr>
          <w:p>
            <w:pPr>
              <w:jc w:val="right"/>
              <w:ind w:right="948"/>
              <w:spacing w:after="0"/>
              <w:rPr>
                <w:sz w:val="20"/>
                <w:szCs w:val="20"/>
                <w:color w:val="auto"/>
              </w:rPr>
            </w:pPr>
            <w:r>
              <w:rPr>
                <w:rFonts w:ascii="Arial" w:cs="Arial" w:eastAsia="Arial" w:hAnsi="Arial"/>
                <w:sz w:val="19"/>
                <w:szCs w:val="19"/>
                <w:b w:val="1"/>
                <w:bCs w:val="1"/>
                <w:color w:val="auto"/>
              </w:rPr>
              <w:t>55420</w:t>
            </w:r>
          </w:p>
        </w:tc>
        <w:tc>
          <w:tcPr>
            <w:tcW w:w="0" w:type="dxa"/>
            <w:vAlign w:val="bottom"/>
          </w:tcPr>
          <w:p>
            <w:pPr>
              <w:spacing w:after="0"/>
              <w:rPr>
                <w:sz w:val="1"/>
                <w:szCs w:val="1"/>
                <w:color w:val="auto"/>
              </w:rPr>
            </w:pPr>
          </w:p>
        </w:tc>
      </w:tr>
      <w:tr>
        <w:trPr>
          <w:trHeight w:val="246"/>
        </w:trPr>
        <w:tc>
          <w:tcPr>
            <w:tcW w:w="3660" w:type="dxa"/>
            <w:vAlign w:val="bottom"/>
          </w:tcPr>
          <w:p>
            <w:pPr>
              <w:jc w:val="center"/>
              <w:ind w:right="387"/>
              <w:spacing w:after="0"/>
              <w:rPr>
                <w:sz w:val="20"/>
                <w:szCs w:val="20"/>
                <w:color w:val="auto"/>
              </w:rPr>
            </w:pPr>
            <w:r>
              <w:rPr>
                <w:rFonts w:ascii="Arial" w:cs="Arial" w:eastAsia="Arial" w:hAnsi="Arial"/>
                <w:sz w:val="19"/>
                <w:szCs w:val="19"/>
                <w:b w:val="1"/>
                <w:bCs w:val="1"/>
                <w:color w:val="auto"/>
                <w:w w:val="89"/>
              </w:rPr>
              <w:t>Bloomington, Minnesota</w:t>
            </w:r>
          </w:p>
        </w:tc>
        <w:tc>
          <w:tcPr>
            <w:tcW w:w="3100" w:type="dxa"/>
            <w:vAlign w:val="bottom"/>
          </w:tcPr>
          <w:p>
            <w:pPr>
              <w:spacing w:after="0"/>
              <w:rPr>
                <w:sz w:val="21"/>
                <w:szCs w:val="21"/>
                <w:color w:val="auto"/>
              </w:rPr>
            </w:pPr>
          </w:p>
        </w:tc>
        <w:tc>
          <w:tcPr>
            <w:tcW w:w="3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3660" w:type="dxa"/>
            <w:vAlign w:val="bottom"/>
          </w:tcPr>
          <w:p>
            <w:pPr>
              <w:jc w:val="center"/>
              <w:ind w:right="387"/>
              <w:spacing w:after="0"/>
              <w:rPr>
                <w:sz w:val="20"/>
                <w:szCs w:val="20"/>
                <w:color w:val="auto"/>
              </w:rPr>
            </w:pPr>
            <w:r>
              <w:rPr>
                <w:rFonts w:ascii="Arial" w:cs="Arial" w:eastAsia="Arial" w:hAnsi="Arial"/>
                <w:sz w:val="18"/>
                <w:szCs w:val="18"/>
                <w:color w:val="auto"/>
                <w:w w:val="92"/>
              </w:rPr>
              <w:t>(Address of principal executive offices)</w:t>
            </w:r>
          </w:p>
        </w:tc>
        <w:tc>
          <w:tcPr>
            <w:tcW w:w="3100" w:type="dxa"/>
            <w:vAlign w:val="bottom"/>
          </w:tcPr>
          <w:p>
            <w:pPr>
              <w:spacing w:after="0"/>
              <w:rPr>
                <w:sz w:val="20"/>
                <w:szCs w:val="20"/>
                <w:color w:val="auto"/>
              </w:rPr>
            </w:pPr>
          </w:p>
        </w:tc>
        <w:tc>
          <w:tcPr>
            <w:tcW w:w="3240" w:type="dxa"/>
            <w:vAlign w:val="bottom"/>
          </w:tcPr>
          <w:p>
            <w:pPr>
              <w:jc w:val="center"/>
              <w:ind w:left="548"/>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bl>
    <w:p>
      <w:pPr>
        <w:spacing w:after="0" w:line="350"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 xml:space="preserve">Registrant's telephone number, including area code: </w:t>
      </w:r>
      <w:r>
        <w:rPr>
          <w:rFonts w:ascii="Arial" w:cs="Arial" w:eastAsia="Arial" w:hAnsi="Arial"/>
          <w:sz w:val="19"/>
          <w:szCs w:val="19"/>
          <w:b w:val="1"/>
          <w:bCs w:val="1"/>
          <w:color w:val="auto"/>
        </w:rPr>
        <w:t>(952) 888-8801</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Not Applicable</w:t>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126365</wp:posOffset>
            </wp:positionV>
            <wp:extent cx="1757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spacing w:after="0" w:line="261" w:lineRule="auto"/>
        <w:rPr>
          <w:sz w:val="20"/>
          <w:szCs w:val="20"/>
          <w:color w:val="auto"/>
        </w:rPr>
      </w:pPr>
      <w:r>
        <w:rPr>
          <w:rFonts w:ascii="Arial" w:cs="Arial" w:eastAsia="Arial" w:hAnsi="Arial"/>
          <w:sz w:val="19"/>
          <w:szCs w:val="19"/>
          <w:color w:val="auto"/>
        </w:rPr>
        <w:t>Check the appropriate box below if the Form 8-K filing is intended to simultaneously satisfy the filing obligation of the registrant under any of the following provisions:</w:t>
      </w:r>
    </w:p>
    <w:p>
      <w:pPr>
        <w:spacing w:after="0" w:line="213"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Written communications pursuant to Rule 425 under the Securities Act (17 CFR 230.425)</w:t>
      </w:r>
    </w:p>
    <w:p>
      <w:pPr>
        <w:spacing w:after="0" w:line="254" w:lineRule="exact"/>
        <w:rPr>
          <w:rFonts w:ascii="MS PGothic" w:cs="MS PGothic" w:eastAsia="MS PGothic" w:hAnsi="MS PGothic"/>
          <w:sz w:val="19"/>
          <w:szCs w:val="19"/>
          <w:color w:val="auto"/>
        </w:rPr>
      </w:pPr>
    </w:p>
    <w:p>
      <w:pPr>
        <w:ind w:left="240" w:hanging="232"/>
        <w:spacing w:after="0"/>
        <w:tabs>
          <w:tab w:leader="none" w:pos="24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Soliciting material pursuant to Rule 14a-12 under the Exchange Act (17 CFR 240.14a-12)</w:t>
      </w:r>
    </w:p>
    <w:p>
      <w:pPr>
        <w:spacing w:after="0" w:line="254" w:lineRule="exact"/>
        <w:rPr>
          <w:rFonts w:ascii="MS PGothic" w:cs="MS PGothic" w:eastAsia="MS PGothic" w:hAnsi="MS PGothic"/>
          <w:sz w:val="19"/>
          <w:szCs w:val="19"/>
          <w:color w:val="auto"/>
        </w:rPr>
      </w:pPr>
    </w:p>
    <w:p>
      <w:pPr>
        <w:ind w:left="240" w:hanging="232"/>
        <w:spacing w:after="0"/>
        <w:tabs>
          <w:tab w:leader="none" w:pos="24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Pre-commencement communications pursuant to Rule 14d-2(b) under the Exchange Act (17 CFR 240.14d-2(b))</w:t>
      </w:r>
    </w:p>
    <w:p>
      <w:pPr>
        <w:spacing w:after="0" w:line="254" w:lineRule="exact"/>
        <w:rPr>
          <w:rFonts w:ascii="MS PGothic" w:cs="MS PGothic" w:eastAsia="MS PGothic" w:hAnsi="MS PGothic"/>
          <w:sz w:val="19"/>
          <w:szCs w:val="19"/>
          <w:color w:val="auto"/>
        </w:rPr>
      </w:pPr>
    </w:p>
    <w:p>
      <w:pPr>
        <w:ind w:right="2560" w:firstLine="8"/>
        <w:spacing w:after="0" w:line="442" w:lineRule="auto"/>
        <w:tabs>
          <w:tab w:leader="none" w:pos="228"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Pre-commencement communications pursuant to Rule 13e-4(c) under the Exchange Act (17 CFR 240.13e-4(c)) Securities registered pursuant to Section 12(b) of the Act:</w:t>
      </w:r>
    </w:p>
    <w:tbl>
      <w:tblPr>
        <w:tblLayout w:type="fixed"/>
        <w:tblInd w:w="50" w:type="dxa"/>
        <w:tblCellMar>
          <w:top w:w="0" w:type="dxa"/>
          <w:left w:w="0" w:type="dxa"/>
          <w:bottom w:w="0" w:type="dxa"/>
          <w:right w:w="0" w:type="dxa"/>
        </w:tblCellMar>
      </w:tblPr>
      <w:tr>
        <w:trPr>
          <w:trHeight w:val="207"/>
        </w:trPr>
        <w:tc>
          <w:tcPr>
            <w:tcW w:w="41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Title of each class</w:t>
            </w:r>
          </w:p>
        </w:tc>
        <w:tc>
          <w:tcPr>
            <w:tcW w:w="30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40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26"/>
        </w:trPr>
        <w:tc>
          <w:tcPr>
            <w:tcW w:w="41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$1.00 per share</w:t>
            </w:r>
          </w:p>
        </w:tc>
        <w:tc>
          <w:tcPr>
            <w:tcW w:w="3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TTC</w:t>
            </w:r>
          </w:p>
        </w:tc>
        <w:tc>
          <w:tcPr>
            <w:tcW w:w="4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315" w:lineRule="exact"/>
        <w:rPr>
          <w:sz w:val="24"/>
          <w:szCs w:val="24"/>
          <w:color w:val="auto"/>
        </w:rPr>
      </w:pPr>
    </w:p>
    <w:p>
      <w:pPr>
        <w:jc w:val="both"/>
        <w:spacing w:after="0" w:line="261"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8" w:lineRule="exact"/>
        <w:rPr>
          <w:sz w:val="24"/>
          <w:szCs w:val="24"/>
          <w:color w:val="auto"/>
        </w:rPr>
      </w:pPr>
    </w:p>
    <w:p>
      <w:pPr>
        <w:ind w:left="896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99" w:lineRule="exact"/>
        <w:rPr>
          <w:sz w:val="24"/>
          <w:szCs w:val="24"/>
          <w:color w:val="auto"/>
        </w:rPr>
      </w:pPr>
    </w:p>
    <w:p>
      <w:pPr>
        <w:jc w:val="both"/>
        <w:spacing w:after="0" w:line="246"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701040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96520</wp:posOffset>
            </wp:positionV>
            <wp:extent cx="7089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62230</wp:posOffset>
            </wp:positionV>
            <wp:extent cx="7089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Section 2 - Financial Information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On December 15, 2021, The Toro Company announced its earnings for the three and twelve month periods ended October 31, 2021.</w:t>
      </w:r>
    </w:p>
    <w:p>
      <w:pPr>
        <w:spacing w:after="0" w:line="25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695960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 w:name="page3"/>
    <w:bookmarkEnd w:id="2"/>
    <w:p>
      <w:pPr>
        <w:spacing w:after="0"/>
        <w:rPr>
          <w:sz w:val="20"/>
          <w:szCs w:val="20"/>
          <w:color w:val="auto"/>
        </w:rPr>
      </w:pPr>
      <w:r>
        <w:rPr>
          <w:rFonts w:ascii="Arial" w:cs="Arial" w:eastAsia="Arial" w:hAnsi="Arial"/>
          <w:sz w:val="20"/>
          <w:szCs w:val="20"/>
          <w:b w:val="1"/>
          <w:bCs w:val="1"/>
          <w:color w:val="auto"/>
        </w:rPr>
        <w:t>Section 9 - Financial Statements and Exhibits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380" w:type="dxa"/>
            <w:vAlign w:val="bottom"/>
          </w:tcPr>
          <w:p>
            <w:pPr>
              <w:spacing w:after="0"/>
              <w:rPr>
                <w:sz w:val="20"/>
                <w:szCs w:val="20"/>
                <w:color w:val="auto"/>
              </w:rPr>
            </w:pPr>
            <w:r>
              <w:rPr>
                <w:rFonts w:ascii="Arial" w:cs="Arial" w:eastAsia="Arial" w:hAnsi="Arial"/>
                <w:sz w:val="20"/>
                <w:szCs w:val="20"/>
                <w:color w:val="auto"/>
              </w:rPr>
              <w:t>(d)  Exhibits.</w:t>
            </w:r>
          </w:p>
        </w:tc>
        <w:tc>
          <w:tcPr>
            <w:tcW w:w="4820" w:type="dxa"/>
            <w:vAlign w:val="bottom"/>
          </w:tcPr>
          <w:p>
            <w:pPr>
              <w:spacing w:after="0"/>
              <w:rPr>
                <w:sz w:val="21"/>
                <w:szCs w:val="21"/>
                <w:color w:val="auto"/>
              </w:rPr>
            </w:pPr>
          </w:p>
        </w:tc>
        <w:tc>
          <w:tcPr>
            <w:tcW w:w="4040" w:type="dxa"/>
            <w:vAlign w:val="bottom"/>
          </w:tcPr>
          <w:p>
            <w:pPr>
              <w:spacing w:after="0"/>
              <w:rPr>
                <w:sz w:val="21"/>
                <w:szCs w:val="21"/>
                <w:color w:val="auto"/>
              </w:rPr>
            </w:pPr>
          </w:p>
        </w:tc>
      </w:tr>
      <w:tr>
        <w:trPr>
          <w:trHeight w:val="479"/>
        </w:trPr>
        <w:tc>
          <w:tcPr>
            <w:tcW w:w="2380" w:type="dxa"/>
            <w:vAlign w:val="bottom"/>
          </w:tcPr>
          <w:p>
            <w:pPr>
              <w:ind w:left="220"/>
              <w:spacing w:after="0"/>
              <w:rPr>
                <w:sz w:val="20"/>
                <w:szCs w:val="20"/>
                <w:color w:val="auto"/>
              </w:rPr>
            </w:pPr>
            <w:r>
              <w:rPr>
                <w:rFonts w:ascii="Arial" w:cs="Arial" w:eastAsia="Arial" w:hAnsi="Arial"/>
                <w:sz w:val="20"/>
                <w:szCs w:val="20"/>
                <w:b w:val="1"/>
                <w:bCs w:val="1"/>
                <w:color w:val="auto"/>
              </w:rPr>
              <w:t>Exhibit No.</w:t>
            </w:r>
          </w:p>
        </w:tc>
        <w:tc>
          <w:tcPr>
            <w:tcW w:w="8860" w:type="dxa"/>
            <w:vAlign w:val="bottom"/>
            <w:gridSpan w:val="2"/>
          </w:tcPr>
          <w:p>
            <w:pPr>
              <w:spacing w:after="0"/>
              <w:rPr>
                <w:sz w:val="20"/>
                <w:szCs w:val="20"/>
                <w:color w:val="auto"/>
              </w:rPr>
            </w:pPr>
            <w:r>
              <w:rPr>
                <w:rFonts w:ascii="Arial" w:cs="Arial" w:eastAsia="Arial" w:hAnsi="Arial"/>
                <w:sz w:val="20"/>
                <w:szCs w:val="20"/>
                <w:b w:val="1"/>
                <w:bCs w:val="1"/>
                <w:color w:val="auto"/>
              </w:rPr>
              <w:t>Description</w:t>
            </w:r>
          </w:p>
        </w:tc>
      </w:tr>
      <w:tr>
        <w:trPr>
          <w:trHeight w:val="206"/>
        </w:trPr>
        <w:tc>
          <w:tcPr>
            <w:tcW w:w="2380" w:type="dxa"/>
            <w:vAlign w:val="bottom"/>
          </w:tcPr>
          <w:p>
            <w:pPr>
              <w:ind w:left="220"/>
              <w:spacing w:after="0" w:line="206" w:lineRule="exact"/>
              <w:rPr>
                <w:sz w:val="20"/>
                <w:szCs w:val="20"/>
                <w:color w:val="auto"/>
              </w:rPr>
            </w:pPr>
            <w:r>
              <w:rPr>
                <w:rFonts w:ascii="Arial" w:cs="Arial" w:eastAsia="Arial" w:hAnsi="Arial"/>
                <w:sz w:val="20"/>
                <w:szCs w:val="20"/>
                <w:color w:val="auto"/>
              </w:rPr>
              <w:t>99.1</w:t>
            </w:r>
          </w:p>
        </w:tc>
        <w:tc>
          <w:tcPr>
            <w:tcW w:w="8860" w:type="dxa"/>
            <w:vAlign w:val="bottom"/>
            <w:gridSpan w:val="2"/>
          </w:tcPr>
          <w:p>
            <w:pPr>
              <w:spacing w:after="0" w:line="206" w:lineRule="exact"/>
              <w:rPr>
                <w:rFonts w:ascii="Arial" w:cs="Arial" w:eastAsia="Arial" w:hAnsi="Arial"/>
                <w:sz w:val="20"/>
                <w:szCs w:val="20"/>
                <w:color w:val="0000FF"/>
              </w:rPr>
            </w:pPr>
            <w:hyperlink w:anchor="page5">
              <w:r>
                <w:rPr>
                  <w:rFonts w:ascii="Arial" w:cs="Arial" w:eastAsia="Arial" w:hAnsi="Arial"/>
                  <w:sz w:val="20"/>
                  <w:szCs w:val="20"/>
                  <w:color w:val="0000FF"/>
                </w:rPr>
                <w:t>Press release dated December 15, 2021 (furnished herewith).</w:t>
              </w:r>
            </w:hyperlink>
          </w:p>
        </w:tc>
      </w:tr>
      <w:tr>
        <w:trPr>
          <w:trHeight w:val="20"/>
        </w:trPr>
        <w:tc>
          <w:tcPr>
            <w:tcW w:w="2380" w:type="dxa"/>
            <w:vAlign w:val="bottom"/>
          </w:tcPr>
          <w:p>
            <w:pPr>
              <w:spacing w:after="0" w:line="20" w:lineRule="exact"/>
              <w:rPr>
                <w:sz w:val="1"/>
                <w:szCs w:val="1"/>
                <w:color w:val="auto"/>
              </w:rPr>
            </w:pPr>
          </w:p>
        </w:tc>
        <w:tc>
          <w:tcPr>
            <w:tcW w:w="4820" w:type="dxa"/>
            <w:vAlign w:val="bottom"/>
            <w:shd w:val="clear" w:color="auto" w:fill="0000FF"/>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268"/>
        </w:trPr>
        <w:tc>
          <w:tcPr>
            <w:tcW w:w="2380" w:type="dxa"/>
            <w:vAlign w:val="bottom"/>
          </w:tcPr>
          <w:p>
            <w:pPr>
              <w:ind w:left="220"/>
              <w:spacing w:after="0"/>
              <w:rPr>
                <w:sz w:val="20"/>
                <w:szCs w:val="20"/>
                <w:color w:val="auto"/>
              </w:rPr>
            </w:pPr>
            <w:r>
              <w:rPr>
                <w:rFonts w:ascii="Arial" w:cs="Arial" w:eastAsia="Arial" w:hAnsi="Arial"/>
                <w:sz w:val="20"/>
                <w:szCs w:val="20"/>
                <w:color w:val="auto"/>
              </w:rPr>
              <w:t>104</w:t>
            </w:r>
          </w:p>
        </w:tc>
        <w:tc>
          <w:tcPr>
            <w:tcW w:w="8860" w:type="dxa"/>
            <w:vAlign w:val="bottom"/>
            <w:gridSpan w:val="2"/>
          </w:tcPr>
          <w:p>
            <w:pPr>
              <w:spacing w:after="0"/>
              <w:rPr>
                <w:sz w:val="20"/>
                <w:szCs w:val="20"/>
                <w:color w:val="auto"/>
              </w:rPr>
            </w:pPr>
            <w:r>
              <w:rPr>
                <w:rFonts w:ascii="Arial" w:cs="Arial" w:eastAsia="Arial" w:hAnsi="Arial"/>
                <w:sz w:val="20"/>
                <w:szCs w:val="20"/>
                <w:color w:val="auto"/>
              </w:rPr>
              <w:t>Cover Page Interactive Data File (embedded within the Inline XBRL document).</w:t>
            </w:r>
          </w:p>
        </w:tc>
      </w:tr>
      <w:tr>
        <w:trPr>
          <w:trHeight w:val="1461"/>
        </w:trPr>
        <w:tc>
          <w:tcPr>
            <w:tcW w:w="238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0"/>
          <w:szCs w:val="20"/>
          <w:color w:val="auto"/>
        </w:rPr>
        <w:t>SIGNATURES</w:t>
      </w:r>
    </w:p>
    <w:p>
      <w:pPr>
        <w:spacing w:after="0" w:line="243"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6320" w:type="dxa"/>
            <w:vAlign w:val="bottom"/>
          </w:tcPr>
          <w:p>
            <w:pPr>
              <w:spacing w:after="0"/>
              <w:rPr>
                <w:sz w:val="21"/>
                <w:szCs w:val="21"/>
                <w:color w:val="auto"/>
              </w:rPr>
            </w:pPr>
          </w:p>
        </w:tc>
        <w:tc>
          <w:tcPr>
            <w:tcW w:w="4860" w:type="dxa"/>
            <w:vAlign w:val="bottom"/>
          </w:tcPr>
          <w:p>
            <w:pPr>
              <w:spacing w:after="0"/>
              <w:rPr>
                <w:sz w:val="20"/>
                <w:szCs w:val="20"/>
                <w:color w:val="auto"/>
              </w:rPr>
            </w:pPr>
            <w:r>
              <w:rPr>
                <w:rFonts w:ascii="Arial" w:cs="Arial" w:eastAsia="Arial" w:hAnsi="Arial"/>
                <w:sz w:val="20"/>
                <w:szCs w:val="20"/>
                <w:color w:val="auto"/>
              </w:rPr>
              <w:t>THE TORO COMPANY</w:t>
            </w:r>
          </w:p>
        </w:tc>
      </w:tr>
      <w:tr>
        <w:trPr>
          <w:trHeight w:val="250"/>
        </w:trPr>
        <w:tc>
          <w:tcPr>
            <w:tcW w:w="6320" w:type="dxa"/>
            <w:vAlign w:val="bottom"/>
          </w:tcPr>
          <w:p>
            <w:pPr>
              <w:spacing w:after="0"/>
              <w:rPr>
                <w:sz w:val="21"/>
                <w:szCs w:val="21"/>
                <w:color w:val="auto"/>
              </w:rPr>
            </w:pPr>
          </w:p>
        </w:tc>
        <w:tc>
          <w:tcPr>
            <w:tcW w:w="4860" w:type="dxa"/>
            <w:vAlign w:val="bottom"/>
          </w:tcPr>
          <w:p>
            <w:pPr>
              <w:spacing w:after="0"/>
              <w:rPr>
                <w:sz w:val="20"/>
                <w:szCs w:val="20"/>
                <w:color w:val="auto"/>
              </w:rPr>
            </w:pPr>
            <w:r>
              <w:rPr>
                <w:rFonts w:ascii="Arial" w:cs="Arial" w:eastAsia="Arial" w:hAnsi="Arial"/>
                <w:sz w:val="20"/>
                <w:szCs w:val="20"/>
                <w:color w:val="auto"/>
              </w:rPr>
              <w:t>(Registrant)</w:t>
            </w:r>
          </w:p>
        </w:tc>
      </w:tr>
      <w:tr>
        <w:trPr>
          <w:trHeight w:val="509"/>
        </w:trPr>
        <w:tc>
          <w:tcPr>
            <w:tcW w:w="6320" w:type="dxa"/>
            <w:vAlign w:val="bottom"/>
          </w:tcPr>
          <w:p>
            <w:pPr>
              <w:spacing w:after="0"/>
              <w:rPr>
                <w:sz w:val="20"/>
                <w:szCs w:val="20"/>
                <w:color w:val="auto"/>
              </w:rPr>
            </w:pPr>
            <w:r>
              <w:rPr>
                <w:rFonts w:ascii="Arial" w:cs="Arial" w:eastAsia="Arial" w:hAnsi="Arial"/>
                <w:sz w:val="20"/>
                <w:szCs w:val="20"/>
                <w:color w:val="auto"/>
              </w:rPr>
              <w:t>Date: December 15, 2021</w:t>
            </w:r>
          </w:p>
        </w:tc>
        <w:tc>
          <w:tcPr>
            <w:tcW w:w="48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Renee J. Peterson</w:t>
            </w:r>
          </w:p>
        </w:tc>
      </w:tr>
      <w:tr>
        <w:trPr>
          <w:trHeight w:val="233"/>
        </w:trPr>
        <w:tc>
          <w:tcPr>
            <w:tcW w:w="632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20"/>
                <w:szCs w:val="20"/>
                <w:color w:val="auto"/>
              </w:rPr>
              <w:t>Renee J. Peterson</w:t>
            </w:r>
          </w:p>
        </w:tc>
      </w:tr>
      <w:tr>
        <w:trPr>
          <w:trHeight w:val="250"/>
        </w:trPr>
        <w:tc>
          <w:tcPr>
            <w:tcW w:w="6320" w:type="dxa"/>
            <w:vAlign w:val="bottom"/>
          </w:tcPr>
          <w:p>
            <w:pPr>
              <w:spacing w:after="0"/>
              <w:rPr>
                <w:sz w:val="21"/>
                <w:szCs w:val="21"/>
                <w:color w:val="auto"/>
              </w:rPr>
            </w:pPr>
          </w:p>
        </w:tc>
        <w:tc>
          <w:tcPr>
            <w:tcW w:w="4860" w:type="dxa"/>
            <w:vAlign w:val="bottom"/>
          </w:tcPr>
          <w:p>
            <w:pPr>
              <w:spacing w:after="0"/>
              <w:rPr>
                <w:sz w:val="20"/>
                <w:szCs w:val="20"/>
                <w:color w:val="auto"/>
              </w:rPr>
            </w:pPr>
            <w:r>
              <w:rPr>
                <w:rFonts w:ascii="Arial" w:cs="Arial" w:eastAsia="Arial" w:hAnsi="Arial"/>
                <w:sz w:val="20"/>
                <w:szCs w:val="20"/>
                <w:color w:val="auto"/>
              </w:rPr>
              <w:t>Vice President, Chief Financial Officer</w:t>
            </w:r>
          </w:p>
        </w:tc>
      </w:tr>
    </w:tbl>
    <w:p>
      <w:pPr>
        <w:sectPr>
          <w:pgSz w:w="11900" w:h="16838" w:orient="portrait"/>
          <w:cols w:equalWidth="0" w:num="1">
            <w:col w:w="11220"/>
          </w:cols>
          <w:pgMar w:left="320" w:top="892" w:right="35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994410" cy="651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994410" cy="65151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Julie Kerekes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Treasurer and Sr. Managing Director, Global Tax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Investor Relations</w:t>
      </w:r>
    </w:p>
    <w:p>
      <w:pPr>
        <w:spacing w:after="0" w:line="9" w:lineRule="exact"/>
        <w:rPr>
          <w:sz w:val="20"/>
          <w:szCs w:val="20"/>
          <w:color w:val="auto"/>
        </w:rPr>
      </w:pP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887-8846, </w:t>
      </w:r>
      <w:r>
        <w:rPr>
          <w:rFonts w:ascii="Arial" w:cs="Arial" w:eastAsia="Arial" w:hAnsi="Arial"/>
          <w:sz w:val="18"/>
          <w:szCs w:val="18"/>
          <w:u w:val="single" w:color="auto"/>
          <w:color w:val="0000FF"/>
        </w:rPr>
        <w:t>julie.kerekes@toro.com</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Manager, Public Relations</w:t>
      </w:r>
    </w:p>
    <w:p>
      <w:pPr>
        <w:spacing w:after="0" w:line="9" w:lineRule="exact"/>
        <w:rPr>
          <w:sz w:val="20"/>
          <w:szCs w:val="20"/>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887-8930, </w:t>
      </w:r>
      <w:r>
        <w:rPr>
          <w:rFonts w:ascii="Arial" w:cs="Arial" w:eastAsia="Arial" w:hAnsi="Arial"/>
          <w:sz w:val="18"/>
          <w:szCs w:val="18"/>
          <w:u w:val="single" w:color="auto"/>
          <w:color w:val="0000FF"/>
        </w:rPr>
        <w:t>branden.happel@toro.com</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 Immediate Release</w:t>
      </w: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The Toro Company Reports Record Full-Year Fiscal 2021 Results</w:t>
      </w:r>
    </w:p>
    <w:p>
      <w:pPr>
        <w:spacing w:after="0" w:line="53" w:lineRule="exact"/>
        <w:rPr>
          <w:sz w:val="20"/>
          <w:szCs w:val="20"/>
          <w:color w:val="auto"/>
        </w:rPr>
      </w:pPr>
    </w:p>
    <w:p>
      <w:pPr>
        <w:jc w:val="center"/>
        <w:ind w:right="-39"/>
        <w:spacing w:after="0"/>
        <w:rPr>
          <w:sz w:val="20"/>
          <w:szCs w:val="20"/>
          <w:color w:val="auto"/>
        </w:rPr>
      </w:pPr>
      <w:r>
        <w:rPr>
          <w:rFonts w:ascii="Arial" w:cs="Arial" w:eastAsia="Arial" w:hAnsi="Arial"/>
          <w:sz w:val="20"/>
          <w:szCs w:val="20"/>
          <w:i w:val="1"/>
          <w:iCs w:val="1"/>
          <w:color w:val="auto"/>
        </w:rPr>
        <w:t>Double-Digit Net Sales Growth in Both Segments in the Fourth Quarter</w:t>
      </w:r>
    </w:p>
    <w:p>
      <w:pPr>
        <w:spacing w:after="0" w:line="249" w:lineRule="exact"/>
        <w:rPr>
          <w:sz w:val="20"/>
          <w:szCs w:val="20"/>
          <w:color w:val="auto"/>
        </w:rPr>
      </w:pPr>
    </w:p>
    <w:p>
      <w:pPr>
        <w:ind w:left="640" w:hanging="308"/>
        <w:spacing w:after="0"/>
        <w:tabs>
          <w:tab w:leader="none" w:pos="640" w:val="left"/>
        </w:tabs>
        <w:numPr>
          <w:ilvl w:val="0"/>
          <w:numId w:val="4"/>
        </w:numPr>
        <w:rPr>
          <w:rFonts w:ascii="Arial" w:cs="Arial" w:eastAsia="Arial" w:hAnsi="Arial"/>
          <w:sz w:val="20"/>
          <w:szCs w:val="20"/>
          <w:b w:val="1"/>
          <w:bCs w:val="1"/>
          <w:color w:val="auto"/>
        </w:rPr>
      </w:pPr>
      <w:r>
        <w:rPr>
          <w:rFonts w:ascii="Arial" w:cs="Arial" w:eastAsia="Arial" w:hAnsi="Arial"/>
          <w:sz w:val="20"/>
          <w:szCs w:val="20"/>
          <w:color w:val="auto"/>
        </w:rPr>
        <w:t>Full-year reported diluted EPS of $3.78; *Adjusted diluted EPS of $3.62, up 19.9% year over year</w:t>
      </w:r>
    </w:p>
    <w:p>
      <w:pPr>
        <w:ind w:left="660" w:right="940" w:hanging="328"/>
        <w:spacing w:after="0" w:line="225" w:lineRule="auto"/>
        <w:tabs>
          <w:tab w:leader="none" w:pos="648" w:val="left"/>
        </w:tabs>
        <w:numPr>
          <w:ilvl w:val="0"/>
          <w:numId w:val="4"/>
        </w:numPr>
        <w:rPr>
          <w:rFonts w:ascii="Arial" w:cs="Arial" w:eastAsia="Arial" w:hAnsi="Arial"/>
          <w:sz w:val="20"/>
          <w:szCs w:val="20"/>
          <w:b w:val="1"/>
          <w:bCs w:val="1"/>
          <w:color w:val="auto"/>
        </w:rPr>
      </w:pPr>
      <w:r>
        <w:rPr>
          <w:rFonts w:ascii="Arial" w:cs="Arial" w:eastAsia="Arial" w:hAnsi="Arial"/>
          <w:sz w:val="20"/>
          <w:szCs w:val="20"/>
          <w:color w:val="auto"/>
        </w:rPr>
        <w:t>Fourth-quarter net sales up 14.2% year over year to $960.7 million; Professional segment net sales up 13.7%, Residential segment net sales up 19.8%</w:t>
      </w:r>
    </w:p>
    <w:p>
      <w:pPr>
        <w:ind w:left="640" w:hanging="308"/>
        <w:spacing w:after="0" w:line="225" w:lineRule="auto"/>
        <w:tabs>
          <w:tab w:leader="none" w:pos="640" w:val="left"/>
        </w:tabs>
        <w:numPr>
          <w:ilvl w:val="0"/>
          <w:numId w:val="4"/>
        </w:numPr>
        <w:rPr>
          <w:rFonts w:ascii="Arial" w:cs="Arial" w:eastAsia="Arial" w:hAnsi="Arial"/>
          <w:sz w:val="20"/>
          <w:szCs w:val="20"/>
          <w:b w:val="1"/>
          <w:bCs w:val="1"/>
          <w:color w:val="auto"/>
        </w:rPr>
      </w:pPr>
      <w:r>
        <w:rPr>
          <w:rFonts w:ascii="Arial" w:cs="Arial" w:eastAsia="Arial" w:hAnsi="Arial"/>
          <w:sz w:val="20"/>
          <w:szCs w:val="20"/>
          <w:color w:val="auto"/>
        </w:rPr>
        <w:t>Fourth-quarter reported and *adjusted diluted EPS of $0.56</w:t>
      </w:r>
    </w:p>
    <w:p>
      <w:pPr>
        <w:ind w:left="640" w:hanging="308"/>
        <w:spacing w:after="0"/>
        <w:tabs>
          <w:tab w:leader="none" w:pos="640" w:val="left"/>
        </w:tabs>
        <w:numPr>
          <w:ilvl w:val="0"/>
          <w:numId w:val="4"/>
        </w:numPr>
        <w:rPr>
          <w:rFonts w:ascii="Arial" w:cs="Arial" w:eastAsia="Arial" w:hAnsi="Arial"/>
          <w:sz w:val="20"/>
          <w:szCs w:val="20"/>
          <w:b w:val="1"/>
          <w:bCs w:val="1"/>
          <w:color w:val="auto"/>
        </w:rPr>
      </w:pPr>
      <w:r>
        <w:rPr>
          <w:rFonts w:ascii="Arial" w:cs="Arial" w:eastAsia="Arial" w:hAnsi="Arial"/>
          <w:sz w:val="20"/>
          <w:szCs w:val="20"/>
          <w:color w:val="auto"/>
        </w:rPr>
        <w:t>Full-year fiscal 2022 guidance of *adjusted diluted EPS in the range of $3.90 to $4.10 per diluted share</w:t>
      </w:r>
    </w:p>
    <w:p>
      <w:pPr>
        <w:spacing w:after="0" w:line="200" w:lineRule="exact"/>
        <w:rPr>
          <w:sz w:val="20"/>
          <w:szCs w:val="20"/>
          <w:color w:val="auto"/>
        </w:rPr>
      </w:pPr>
    </w:p>
    <w:p>
      <w:pPr>
        <w:spacing w:after="0" w:line="248" w:lineRule="exact"/>
        <w:rPr>
          <w:sz w:val="20"/>
          <w:szCs w:val="20"/>
          <w:color w:val="auto"/>
        </w:rPr>
      </w:pPr>
    </w:p>
    <w:p>
      <w:pPr>
        <w:spacing w:after="0" w:line="257" w:lineRule="auto"/>
        <w:rPr>
          <w:sz w:val="20"/>
          <w:szCs w:val="20"/>
          <w:color w:val="auto"/>
        </w:rPr>
      </w:pPr>
      <w:r>
        <w:rPr>
          <w:rFonts w:ascii="Arial" w:cs="Arial" w:eastAsia="Arial" w:hAnsi="Arial"/>
          <w:sz w:val="20"/>
          <w:szCs w:val="20"/>
          <w:b w:val="1"/>
          <w:bCs w:val="1"/>
          <w:color w:val="auto"/>
        </w:rPr>
        <w:t>BLOOMINGTON, Minn.—(BUSINESS WIRE) — December 15, 2021—</w:t>
      </w:r>
      <w:r>
        <w:rPr>
          <w:rFonts w:ascii="Arial" w:cs="Arial" w:eastAsia="Arial" w:hAnsi="Arial"/>
          <w:sz w:val="20"/>
          <w:szCs w:val="20"/>
          <w:color w:val="auto"/>
        </w:rPr>
        <w:t>The Toro Company (NYSE: TTC) today reported results</w:t>
      </w:r>
      <w:r>
        <w:rPr>
          <w:rFonts w:ascii="Arial" w:cs="Arial" w:eastAsia="Arial" w:hAnsi="Arial"/>
          <w:sz w:val="20"/>
          <w:szCs w:val="20"/>
          <w:b w:val="1"/>
          <w:bCs w:val="1"/>
          <w:color w:val="auto"/>
        </w:rPr>
        <w:t xml:space="preserve"> </w:t>
      </w:r>
      <w:r>
        <w:rPr>
          <w:rFonts w:ascii="Arial" w:cs="Arial" w:eastAsia="Arial" w:hAnsi="Arial"/>
          <w:sz w:val="20"/>
          <w:szCs w:val="20"/>
          <w:color w:val="auto"/>
        </w:rPr>
        <w:t>for its fiscal fourth-quarter and full-year periods ended October 31, 2021.</w:t>
      </w:r>
    </w:p>
    <w:p>
      <w:pPr>
        <w:spacing w:after="0" w:line="71" w:lineRule="exact"/>
        <w:rPr>
          <w:sz w:val="20"/>
          <w:szCs w:val="20"/>
          <w:color w:val="auto"/>
        </w:rPr>
      </w:pPr>
    </w:p>
    <w:p>
      <w:pPr>
        <w:ind w:right="160"/>
        <w:spacing w:after="0" w:line="230" w:lineRule="auto"/>
        <w:rPr>
          <w:sz w:val="20"/>
          <w:szCs w:val="20"/>
          <w:color w:val="auto"/>
        </w:rPr>
      </w:pPr>
      <w:r>
        <w:rPr>
          <w:rFonts w:ascii="Arial" w:cs="Arial" w:eastAsia="Arial" w:hAnsi="Arial"/>
          <w:sz w:val="20"/>
          <w:szCs w:val="20"/>
          <w:color w:val="auto"/>
        </w:rPr>
        <w:t>“We exceeded our top- and bottom-line guidance for fiscal 2021, driving double-digit net sales growth for both the quarter and full-year for our professional and residential segments,” said Richard M. Olson, chairman and chief executive officer. “We delivered these solid results, despite global supply chain challenges and inflationary pressures. Once again, with great resolve our employees and channel partners collaborated to serve the needs of our customers.</w:t>
      </w:r>
    </w:p>
    <w:p>
      <w:pPr>
        <w:spacing w:after="0" w:line="90" w:lineRule="exact"/>
        <w:rPr>
          <w:sz w:val="20"/>
          <w:szCs w:val="20"/>
          <w:color w:val="auto"/>
        </w:rPr>
      </w:pPr>
    </w:p>
    <w:p>
      <w:pPr>
        <w:ind w:right="160"/>
        <w:spacing w:after="0" w:line="241" w:lineRule="auto"/>
        <w:rPr>
          <w:sz w:val="20"/>
          <w:szCs w:val="20"/>
          <w:color w:val="auto"/>
        </w:rPr>
      </w:pPr>
      <w:r>
        <w:rPr>
          <w:rFonts w:ascii="Arial" w:cs="Arial" w:eastAsia="Arial" w:hAnsi="Arial"/>
          <w:sz w:val="19"/>
          <w:szCs w:val="19"/>
          <w:color w:val="auto"/>
        </w:rPr>
        <w:t>“We also continued to lead the way in offering no compromise, sustainable solutions across both segments. In October, we launched our battery-powered Revolution Series stand-on and zero-turn riding mowers. Equipped with our proprietary Horizon360™ business management software and HyperCell™ battery system, these commercial-grade products enable a smarter, more connected fleet and will run a full work day on a single charge. For residential customers, we added a two-stage snow thrower to our ever-expanding Flex-Force 60V product lineup. We are positioning the company for future growth with continued investments in capacity and the key technology areas of alternative power, smart connected and autonomous.”</w:t>
      </w:r>
    </w:p>
    <w:p>
      <w:pPr>
        <w:sectPr>
          <w:pgSz w:w="11900" w:h="16838" w:orient="portrait"/>
          <w:cols w:equalWidth="0" w:num="1">
            <w:col w:w="11200"/>
          </w:cols>
          <w:pgMar w:left="320" w:top="1440" w:right="379" w:bottom="1440" w:gutter="0" w:footer="0" w:header="0"/>
        </w:sectPr>
      </w:pPr>
    </w:p>
    <w:bookmarkStart w:id="5" w:name="page6"/>
    <w:bookmarkEnd w:id="5"/>
    <w:p>
      <w:pPr>
        <w:ind w:left="20"/>
        <w:spacing w:after="0"/>
        <w:rPr>
          <w:sz w:val="20"/>
          <w:szCs w:val="20"/>
          <w:color w:val="auto"/>
        </w:rPr>
      </w:pPr>
      <w:r>
        <w:rPr>
          <w:rFonts w:ascii="Arial" w:cs="Arial" w:eastAsia="Arial" w:hAnsi="Arial"/>
          <w:sz w:val="17"/>
          <w:szCs w:val="17"/>
          <w:color w:val="auto"/>
        </w:rPr>
        <w:t>2 - The Toro Company Reports Record Full-Year Fiscal 2021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827" w:right="37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FOURTH-QUARTER FISCAL 2021 FINANCIAL HIGHLIGHTS</w:t>
      </w:r>
    </w:p>
    <w:p>
      <w:pPr>
        <w:spacing w:after="0" w:line="145" w:lineRule="exact"/>
        <w:rPr>
          <w:sz w:val="20"/>
          <w:szCs w:val="20"/>
          <w:color w:val="auto"/>
        </w:rPr>
      </w:pPr>
    </w:p>
    <w:p>
      <w:pPr>
        <w:ind w:left="640" w:hanging="308"/>
        <w:spacing w:after="0"/>
        <w:tabs>
          <w:tab w:leader="none" w:pos="640" w:val="left"/>
        </w:tabs>
        <w:numPr>
          <w:ilvl w:val="0"/>
          <w:numId w:val="5"/>
        </w:numPr>
        <w:rPr>
          <w:rFonts w:ascii="Arial" w:cs="Arial" w:eastAsia="Arial" w:hAnsi="Arial"/>
          <w:sz w:val="20"/>
          <w:szCs w:val="20"/>
          <w:b w:val="1"/>
          <w:bCs w:val="1"/>
          <w:color w:val="auto"/>
        </w:rPr>
      </w:pPr>
      <w:r>
        <w:rPr>
          <w:rFonts w:ascii="Arial" w:cs="Arial" w:eastAsia="Arial" w:hAnsi="Arial"/>
          <w:sz w:val="20"/>
          <w:szCs w:val="20"/>
          <w:color w:val="auto"/>
        </w:rPr>
        <w:t>Net sales of $960.7 million, up 14.2% from $841.0 million in the fourth quarter of fiscal 2020.</w:t>
      </w:r>
    </w:p>
    <w:p>
      <w:pPr>
        <w:spacing w:after="0" w:line="229" w:lineRule="exact"/>
        <w:rPr>
          <w:rFonts w:ascii="Arial" w:cs="Arial" w:eastAsia="Arial" w:hAnsi="Arial"/>
          <w:sz w:val="20"/>
          <w:szCs w:val="20"/>
          <w:b w:val="1"/>
          <w:bCs w:val="1"/>
          <w:color w:val="auto"/>
        </w:rPr>
      </w:pPr>
    </w:p>
    <w:p>
      <w:pPr>
        <w:ind w:left="660" w:right="160" w:hanging="328"/>
        <w:spacing w:after="0" w:line="236" w:lineRule="auto"/>
        <w:tabs>
          <w:tab w:leader="none" w:pos="648" w:val="left"/>
        </w:tabs>
        <w:numPr>
          <w:ilvl w:val="0"/>
          <w:numId w:val="5"/>
        </w:numPr>
        <w:rPr>
          <w:rFonts w:ascii="Arial" w:cs="Arial" w:eastAsia="Arial" w:hAnsi="Arial"/>
          <w:sz w:val="20"/>
          <w:szCs w:val="20"/>
          <w:b w:val="1"/>
          <w:bCs w:val="1"/>
          <w:color w:val="auto"/>
        </w:rPr>
      </w:pPr>
      <w:r>
        <w:rPr>
          <w:rFonts w:ascii="Arial" w:cs="Arial" w:eastAsia="Arial" w:hAnsi="Arial"/>
          <w:sz w:val="20"/>
          <w:szCs w:val="20"/>
          <w:color w:val="auto"/>
        </w:rPr>
        <w:t>Net earnings of $60.1 million, down 16.7% from $72.2 million in the fourth quarter of fiscal 2020; *adjusted net earnings of $59.7 million, down 13.7% from $69.2 million in the fourth quarter of fiscal 2020.</w:t>
      </w:r>
    </w:p>
    <w:p>
      <w:pPr>
        <w:spacing w:after="0" w:line="222" w:lineRule="exact"/>
        <w:rPr>
          <w:rFonts w:ascii="Arial" w:cs="Arial" w:eastAsia="Arial" w:hAnsi="Arial"/>
          <w:sz w:val="20"/>
          <w:szCs w:val="20"/>
          <w:b w:val="1"/>
          <w:bCs w:val="1"/>
          <w:color w:val="auto"/>
        </w:rPr>
      </w:pPr>
    </w:p>
    <w:p>
      <w:pPr>
        <w:ind w:left="660" w:right="340" w:hanging="328"/>
        <w:spacing w:after="0" w:line="236" w:lineRule="auto"/>
        <w:tabs>
          <w:tab w:leader="none" w:pos="648" w:val="left"/>
        </w:tabs>
        <w:numPr>
          <w:ilvl w:val="0"/>
          <w:numId w:val="5"/>
        </w:numPr>
        <w:rPr>
          <w:rFonts w:ascii="Arial" w:cs="Arial" w:eastAsia="Arial" w:hAnsi="Arial"/>
          <w:sz w:val="20"/>
          <w:szCs w:val="20"/>
          <w:b w:val="1"/>
          <w:bCs w:val="1"/>
          <w:color w:val="auto"/>
        </w:rPr>
      </w:pPr>
      <w:r>
        <w:rPr>
          <w:rFonts w:ascii="Arial" w:cs="Arial" w:eastAsia="Arial" w:hAnsi="Arial"/>
          <w:sz w:val="20"/>
          <w:szCs w:val="20"/>
          <w:color w:val="auto"/>
        </w:rPr>
        <w:t>Reported EPS of $0.56 per diluted share versus $0.66 per diluted share in the fourth quarter of fiscal 2020; *adjusted EPS of $0.56 per diluted share versus $0.64 per diluted share in the fourth quarter of fiscal 2020.</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FULL-YEAR FISCAL 2021 FINANCIAL HIGHLIGHTS</w:t>
      </w:r>
    </w:p>
    <w:p>
      <w:pPr>
        <w:spacing w:after="0" w:line="159" w:lineRule="exact"/>
        <w:rPr>
          <w:sz w:val="20"/>
          <w:szCs w:val="20"/>
          <w:color w:val="auto"/>
        </w:rPr>
      </w:pPr>
    </w:p>
    <w:p>
      <w:pPr>
        <w:ind w:left="640" w:hanging="308"/>
        <w:spacing w:after="0"/>
        <w:tabs>
          <w:tab w:leader="none" w:pos="640" w:val="left"/>
        </w:tabs>
        <w:numPr>
          <w:ilvl w:val="0"/>
          <w:numId w:val="6"/>
        </w:numPr>
        <w:rPr>
          <w:rFonts w:ascii="Arial" w:cs="Arial" w:eastAsia="Arial" w:hAnsi="Arial"/>
          <w:sz w:val="20"/>
          <w:szCs w:val="20"/>
          <w:b w:val="1"/>
          <w:bCs w:val="1"/>
          <w:color w:val="auto"/>
        </w:rPr>
      </w:pPr>
      <w:r>
        <w:rPr>
          <w:rFonts w:ascii="Arial" w:cs="Arial" w:eastAsia="Arial" w:hAnsi="Arial"/>
          <w:sz w:val="20"/>
          <w:szCs w:val="20"/>
          <w:color w:val="auto"/>
        </w:rPr>
        <w:t>Net sales of $3.96 billion, up 17.2% from $3.38 billion last year.</w:t>
      </w:r>
    </w:p>
    <w:p>
      <w:pPr>
        <w:spacing w:after="0" w:line="229" w:lineRule="exact"/>
        <w:rPr>
          <w:rFonts w:ascii="Arial" w:cs="Arial" w:eastAsia="Arial" w:hAnsi="Arial"/>
          <w:sz w:val="20"/>
          <w:szCs w:val="20"/>
          <w:b w:val="1"/>
          <w:bCs w:val="1"/>
          <w:color w:val="auto"/>
        </w:rPr>
      </w:pPr>
    </w:p>
    <w:p>
      <w:pPr>
        <w:ind w:left="660" w:right="560" w:hanging="328"/>
        <w:spacing w:after="0" w:line="236" w:lineRule="auto"/>
        <w:tabs>
          <w:tab w:leader="none" w:pos="648" w:val="left"/>
        </w:tabs>
        <w:numPr>
          <w:ilvl w:val="0"/>
          <w:numId w:val="6"/>
        </w:numPr>
        <w:rPr>
          <w:rFonts w:ascii="Arial" w:cs="Arial" w:eastAsia="Arial" w:hAnsi="Arial"/>
          <w:sz w:val="20"/>
          <w:szCs w:val="20"/>
          <w:b w:val="1"/>
          <w:bCs w:val="1"/>
          <w:color w:val="auto"/>
        </w:rPr>
      </w:pPr>
      <w:r>
        <w:rPr>
          <w:rFonts w:ascii="Arial" w:cs="Arial" w:eastAsia="Arial" w:hAnsi="Arial"/>
          <w:sz w:val="20"/>
          <w:szCs w:val="20"/>
          <w:color w:val="auto"/>
        </w:rPr>
        <w:t>Net earnings of $409.9 million, up 24.3% from $329.7 million last year; *adjusted net earnings of $392.7 million, up 19.8% from $327.7 million in fiscal 2020.</w:t>
      </w:r>
    </w:p>
    <w:p>
      <w:pPr>
        <w:spacing w:after="0" w:line="222" w:lineRule="exact"/>
        <w:rPr>
          <w:rFonts w:ascii="Arial" w:cs="Arial" w:eastAsia="Arial" w:hAnsi="Arial"/>
          <w:sz w:val="20"/>
          <w:szCs w:val="20"/>
          <w:b w:val="1"/>
          <w:bCs w:val="1"/>
          <w:color w:val="auto"/>
        </w:rPr>
      </w:pPr>
    </w:p>
    <w:p>
      <w:pPr>
        <w:ind w:left="660" w:right="220" w:hanging="328"/>
        <w:spacing w:after="0" w:line="236" w:lineRule="auto"/>
        <w:tabs>
          <w:tab w:leader="none" w:pos="648" w:val="left"/>
        </w:tabs>
        <w:numPr>
          <w:ilvl w:val="0"/>
          <w:numId w:val="6"/>
        </w:numPr>
        <w:rPr>
          <w:rFonts w:ascii="Arial" w:cs="Arial" w:eastAsia="Arial" w:hAnsi="Arial"/>
          <w:sz w:val="20"/>
          <w:szCs w:val="20"/>
          <w:b w:val="1"/>
          <w:bCs w:val="1"/>
          <w:color w:val="auto"/>
        </w:rPr>
      </w:pPr>
      <w:r>
        <w:rPr>
          <w:rFonts w:ascii="Arial" w:cs="Arial" w:eastAsia="Arial" w:hAnsi="Arial"/>
          <w:sz w:val="20"/>
          <w:szCs w:val="20"/>
          <w:color w:val="auto"/>
        </w:rPr>
        <w:t>Reported EPS of $3.78 per diluted share, up 24.8% from $3.03 per diluted share last year; *adjusted EPS of $3.62 per diluted share, up 19.9% from $3.02 per diluted share in fiscal 2020.</w:t>
      </w:r>
    </w:p>
    <w:p>
      <w:pPr>
        <w:spacing w:after="0" w:line="208" w:lineRule="exact"/>
        <w:rPr>
          <w:rFonts w:ascii="Arial" w:cs="Arial" w:eastAsia="Arial" w:hAnsi="Arial"/>
          <w:sz w:val="20"/>
          <w:szCs w:val="20"/>
          <w:b w:val="1"/>
          <w:bCs w:val="1"/>
          <w:color w:val="auto"/>
        </w:rPr>
      </w:pPr>
    </w:p>
    <w:p>
      <w:pPr>
        <w:ind w:left="640" w:hanging="308"/>
        <w:spacing w:after="0"/>
        <w:tabs>
          <w:tab w:leader="none" w:pos="640" w:val="left"/>
        </w:tabs>
        <w:numPr>
          <w:ilvl w:val="0"/>
          <w:numId w:val="6"/>
        </w:numPr>
        <w:rPr>
          <w:rFonts w:ascii="Arial" w:cs="Arial" w:eastAsia="Arial" w:hAnsi="Arial"/>
          <w:sz w:val="20"/>
          <w:szCs w:val="20"/>
          <w:b w:val="1"/>
          <w:bCs w:val="1"/>
          <w:color w:val="auto"/>
        </w:rPr>
      </w:pPr>
      <w:r>
        <w:rPr>
          <w:rFonts w:ascii="Arial" w:cs="Arial" w:eastAsia="Arial" w:hAnsi="Arial"/>
          <w:sz w:val="20"/>
          <w:szCs w:val="20"/>
          <w:color w:val="auto"/>
        </w:rPr>
        <w:t>Deployed $100.0 million to pay down debt and returned $414.7 million to shareholders through regular dividends of</w:t>
      </w:r>
    </w:p>
    <w:p>
      <w:pPr>
        <w:ind w:left="660"/>
        <w:spacing w:after="0" w:line="236" w:lineRule="auto"/>
        <w:rPr>
          <w:rFonts w:ascii="Arial" w:cs="Arial" w:eastAsia="Arial" w:hAnsi="Arial"/>
          <w:sz w:val="20"/>
          <w:szCs w:val="20"/>
          <w:b w:val="1"/>
          <w:bCs w:val="1"/>
          <w:color w:val="auto"/>
        </w:rPr>
      </w:pPr>
      <w:r>
        <w:rPr>
          <w:rFonts w:ascii="Arial" w:cs="Arial" w:eastAsia="Arial" w:hAnsi="Arial"/>
          <w:sz w:val="20"/>
          <w:szCs w:val="20"/>
          <w:color w:val="auto"/>
        </w:rPr>
        <w:t>$112.4 million and share repurchases of $302.3 million. As of October 31, 2021, the company had ample liquidity of $1.0 billion.</w:t>
      </w: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OUTLOOK</w:t>
      </w:r>
    </w:p>
    <w:p>
      <w:pPr>
        <w:spacing w:after="0" w:line="145" w:lineRule="exact"/>
        <w:rPr>
          <w:sz w:val="20"/>
          <w:szCs w:val="20"/>
          <w:color w:val="auto"/>
        </w:rPr>
      </w:pPr>
    </w:p>
    <w:p>
      <w:pPr>
        <w:ind w:right="120"/>
        <w:spacing w:after="0" w:line="229" w:lineRule="auto"/>
        <w:rPr>
          <w:sz w:val="20"/>
          <w:szCs w:val="20"/>
          <w:color w:val="auto"/>
        </w:rPr>
      </w:pPr>
      <w:r>
        <w:rPr>
          <w:rFonts w:ascii="Arial" w:cs="Arial" w:eastAsia="Arial" w:hAnsi="Arial"/>
          <w:sz w:val="20"/>
          <w:szCs w:val="20"/>
          <w:color w:val="auto"/>
        </w:rPr>
        <w:t>“As we enter the new fiscal year, we continue to see robust demand for our innovative products and remain focused on serving our customers,” added Olson. “We are encouraged by the benefits we are realizing from our productivity initiatives and pricing actions. At the same time, we anticipate the challenging macro environment will continue for at least the near term. We will remain focused on managing our expenses prudently, while also prioritizing investments that support long-term, sustainable growth across our businesses.</w:t>
      </w:r>
    </w:p>
    <w:p>
      <w:pPr>
        <w:spacing w:after="0" w:line="131"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 xml:space="preserve">“I would like to thank our team for coming together to perform and exceed our fiscal 2021 Power Forward employee initiative goals for net sales and adjusted operating earnings. I am excited to announce our new three-year </w:t>
      </w:r>
      <w:r>
        <w:rPr>
          <w:rFonts w:ascii="Arial" w:cs="Arial" w:eastAsia="Arial" w:hAnsi="Arial"/>
          <w:sz w:val="20"/>
          <w:szCs w:val="20"/>
          <w:i w:val="1"/>
          <w:iCs w:val="1"/>
          <w:color w:val="auto"/>
        </w:rPr>
        <w:t>Drive for Five</w:t>
      </w:r>
      <w:r>
        <w:rPr>
          <w:rFonts w:ascii="Arial" w:cs="Arial" w:eastAsia="Arial" w:hAnsi="Arial"/>
          <w:sz w:val="20"/>
          <w:szCs w:val="20"/>
          <w:color w:val="auto"/>
        </w:rPr>
        <w:t xml:space="preserve"> initiative, which will continue to align and engage employees across the enterprise toward collective goals. The core focus of the new initiative will be to exceed $5 billion in annual net sales through organic growth, while improving profitability, by the end of fiscal 2024. We have strong momentum heading into the new fiscal year, guided by our enterprise strategic priorities of accelerating profitable growth, driving productivity and operational excellence, and empowering people.”</w:t>
      </w:r>
    </w:p>
    <w:p>
      <w:pPr>
        <w:spacing w:after="0" w:line="128" w:lineRule="exact"/>
        <w:rPr>
          <w:sz w:val="20"/>
          <w:szCs w:val="20"/>
          <w:color w:val="auto"/>
        </w:rPr>
      </w:pPr>
    </w:p>
    <w:p>
      <w:pPr>
        <w:ind w:right="260"/>
        <w:spacing w:after="0" w:line="244" w:lineRule="auto"/>
        <w:rPr>
          <w:sz w:val="20"/>
          <w:szCs w:val="20"/>
          <w:color w:val="auto"/>
        </w:rPr>
      </w:pPr>
      <w:r>
        <w:rPr>
          <w:rFonts w:ascii="Arial" w:cs="Arial" w:eastAsia="Arial" w:hAnsi="Arial"/>
          <w:sz w:val="19"/>
          <w:szCs w:val="19"/>
          <w:color w:val="auto"/>
        </w:rPr>
        <w:t>For fiscal 2022, management expects net sales growth in the range of 8% to 10% and *adjusted EPS in the range of $3.90 to $4.10 per diluted share. This estimated *adjusted diluted EPS range excludes the tax benefits recorded as excess tax deductions for stock compensation. This guidance is based on current visibility and reflects expectations for a strong demand environment and increasing net price realization, coupled with the continuation of a challenging operating environment.</w:t>
      </w:r>
    </w:p>
    <w:p>
      <w:pPr>
        <w:sectPr>
          <w:pgSz w:w="11900" w:h="16838" w:orient="portrait"/>
          <w:cols w:equalWidth="0" w:num="1">
            <w:col w:w="11200"/>
          </w:cols>
          <w:pgMar w:left="320" w:top="827" w:right="379" w:bottom="1440" w:gutter="0" w:footer="0" w:header="0"/>
          <w:type w:val="continuous"/>
        </w:sectPr>
      </w:pPr>
    </w:p>
    <w:bookmarkStart w:id="6" w:name="page7"/>
    <w:bookmarkEnd w:id="6"/>
    <w:p>
      <w:pPr>
        <w:ind w:left="20"/>
        <w:spacing w:after="0"/>
        <w:rPr>
          <w:sz w:val="20"/>
          <w:szCs w:val="20"/>
          <w:color w:val="auto"/>
        </w:rPr>
      </w:pPr>
      <w:r>
        <w:rPr>
          <w:rFonts w:ascii="Arial" w:cs="Arial" w:eastAsia="Arial" w:hAnsi="Arial"/>
          <w:sz w:val="17"/>
          <w:szCs w:val="17"/>
          <w:color w:val="auto"/>
        </w:rPr>
        <w:t>3 - The Toro Company Reports Record Full-Year Fiscal 2021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827" w:right="359" w:bottom="1440" w:gutter="0" w:footer="0" w:header="0"/>
        </w:sectPr>
      </w:pPr>
    </w:p>
    <w:p>
      <w:pPr>
        <w:spacing w:after="0" w:line="399" w:lineRule="exact"/>
        <w:rPr>
          <w:sz w:val="20"/>
          <w:szCs w:val="20"/>
          <w:color w:val="auto"/>
        </w:rPr>
      </w:pPr>
    </w:p>
    <w:p>
      <w:pPr>
        <w:ind w:right="4920"/>
        <w:spacing w:after="0" w:line="373" w:lineRule="auto"/>
        <w:rPr>
          <w:sz w:val="20"/>
          <w:szCs w:val="20"/>
          <w:color w:val="auto"/>
        </w:rPr>
      </w:pPr>
      <w:r>
        <w:rPr>
          <w:rFonts w:ascii="Arial" w:cs="Arial" w:eastAsia="Arial" w:hAnsi="Arial"/>
          <w:sz w:val="20"/>
          <w:szCs w:val="20"/>
          <w:b w:val="1"/>
          <w:bCs w:val="1"/>
          <w:u w:val="single" w:color="auto"/>
          <w:color w:val="auto"/>
        </w:rPr>
        <w:t xml:space="preserve">FISCAL FOURTH-QUARTER AND FULL-YEAR SEGMENT RESULTS </w:t>
      </w:r>
      <w:r>
        <w:rPr>
          <w:rFonts w:ascii="Arial" w:cs="Arial" w:eastAsia="Arial" w:hAnsi="Arial"/>
          <w:sz w:val="20"/>
          <w:szCs w:val="20"/>
          <w:b w:val="1"/>
          <w:bCs w:val="1"/>
          <w:color w:val="auto"/>
        </w:rPr>
        <w:t>Professional Segment</w:t>
      </w:r>
    </w:p>
    <w:p>
      <w:pPr>
        <w:spacing w:after="0" w:line="25" w:lineRule="exact"/>
        <w:rPr>
          <w:sz w:val="20"/>
          <w:szCs w:val="20"/>
          <w:color w:val="auto"/>
        </w:rPr>
      </w:pPr>
    </w:p>
    <w:p>
      <w:pPr>
        <w:ind w:left="660" w:right="100" w:hanging="328"/>
        <w:spacing w:after="0" w:line="232" w:lineRule="auto"/>
        <w:tabs>
          <w:tab w:leader="none" w:pos="648" w:val="left"/>
        </w:tabs>
        <w:numPr>
          <w:ilvl w:val="0"/>
          <w:numId w:val="7"/>
        </w:numPr>
        <w:rPr>
          <w:rFonts w:ascii="Arial" w:cs="Arial" w:eastAsia="Arial" w:hAnsi="Arial"/>
          <w:sz w:val="20"/>
          <w:szCs w:val="20"/>
          <w:b w:val="1"/>
          <w:bCs w:val="1"/>
          <w:color w:val="auto"/>
        </w:rPr>
      </w:pPr>
      <w:r>
        <w:rPr>
          <w:rFonts w:ascii="Arial" w:cs="Arial" w:eastAsia="Arial" w:hAnsi="Arial"/>
          <w:sz w:val="20"/>
          <w:szCs w:val="20"/>
          <w:color w:val="auto"/>
        </w:rPr>
        <w:t>Professional segment net sales for the fourth quarter were $732.5 million, up 13.7% compared with $644.0 million in the same period last year. The increase was primarily driven by net price realization and strong demand for products in our landscape contractor and golf and grounds markets worldwide.</w:t>
      </w:r>
    </w:p>
    <w:p>
      <w:pPr>
        <w:spacing w:after="0" w:line="143" w:lineRule="exact"/>
        <w:rPr>
          <w:rFonts w:ascii="Arial" w:cs="Arial" w:eastAsia="Arial" w:hAnsi="Arial"/>
          <w:sz w:val="20"/>
          <w:szCs w:val="20"/>
          <w:b w:val="1"/>
          <w:bCs w:val="1"/>
          <w:color w:val="auto"/>
        </w:rPr>
      </w:pPr>
    </w:p>
    <w:p>
      <w:pPr>
        <w:ind w:left="660" w:right="40"/>
        <w:spacing w:after="0" w:line="232" w:lineRule="auto"/>
        <w:rPr>
          <w:rFonts w:ascii="Arial" w:cs="Arial" w:eastAsia="Arial" w:hAnsi="Arial"/>
          <w:sz w:val="20"/>
          <w:szCs w:val="20"/>
          <w:b w:val="1"/>
          <w:bCs w:val="1"/>
          <w:color w:val="auto"/>
        </w:rPr>
      </w:pPr>
      <w:r>
        <w:rPr>
          <w:rFonts w:ascii="Arial" w:cs="Arial" w:eastAsia="Arial" w:hAnsi="Arial"/>
          <w:sz w:val="20"/>
          <w:szCs w:val="20"/>
          <w:color w:val="auto"/>
        </w:rPr>
        <w:t>For fiscal 2021, professional segment net sales were $2.93 billion, up 16.1% from $2.52 billion last year. The increase was mainly driven by broad-based demand across the portfolio, led by increased sales of landscape contractor zero-turn riding mowers, and net price realization.</w:t>
      </w:r>
    </w:p>
    <w:p>
      <w:pPr>
        <w:spacing w:after="0" w:line="143" w:lineRule="exact"/>
        <w:rPr>
          <w:rFonts w:ascii="Arial" w:cs="Arial" w:eastAsia="Arial" w:hAnsi="Arial"/>
          <w:sz w:val="20"/>
          <w:szCs w:val="20"/>
          <w:b w:val="1"/>
          <w:bCs w:val="1"/>
          <w:color w:val="auto"/>
        </w:rPr>
      </w:pPr>
    </w:p>
    <w:p>
      <w:pPr>
        <w:ind w:left="660" w:hanging="328"/>
        <w:spacing w:after="0" w:line="230" w:lineRule="auto"/>
        <w:tabs>
          <w:tab w:leader="none" w:pos="648" w:val="left"/>
        </w:tabs>
        <w:numPr>
          <w:ilvl w:val="0"/>
          <w:numId w:val="7"/>
        </w:numPr>
        <w:rPr>
          <w:rFonts w:ascii="Arial" w:cs="Arial" w:eastAsia="Arial" w:hAnsi="Arial"/>
          <w:sz w:val="20"/>
          <w:szCs w:val="20"/>
          <w:b w:val="1"/>
          <w:bCs w:val="1"/>
          <w:color w:val="auto"/>
        </w:rPr>
      </w:pPr>
      <w:r>
        <w:rPr>
          <w:rFonts w:ascii="Arial" w:cs="Arial" w:eastAsia="Arial" w:hAnsi="Arial"/>
          <w:sz w:val="20"/>
          <w:szCs w:val="20"/>
          <w:color w:val="auto"/>
        </w:rPr>
        <w:t>Professional segment earnings for the fourth quarter were $101.0 million, down 3.0% compared with $104.2 million in the same period last year, and when expressed as a percentage of net sales, 13.8%, down from 16.2% in fiscal 2020. The decrease was largely due to higher material and freight costs, partially offset by net price realization, volume leverage and productivity improvements.</w:t>
      </w:r>
    </w:p>
    <w:p>
      <w:pPr>
        <w:spacing w:after="0" w:line="144" w:lineRule="exact"/>
        <w:rPr>
          <w:rFonts w:ascii="Arial" w:cs="Arial" w:eastAsia="Arial" w:hAnsi="Arial"/>
          <w:sz w:val="20"/>
          <w:szCs w:val="20"/>
          <w:b w:val="1"/>
          <w:bCs w:val="1"/>
          <w:color w:val="auto"/>
        </w:rPr>
      </w:pPr>
    </w:p>
    <w:p>
      <w:pPr>
        <w:ind w:left="660" w:right="180"/>
        <w:spacing w:after="0" w:line="230" w:lineRule="auto"/>
        <w:rPr>
          <w:rFonts w:ascii="Arial" w:cs="Arial" w:eastAsia="Arial" w:hAnsi="Arial"/>
          <w:sz w:val="20"/>
          <w:szCs w:val="20"/>
          <w:b w:val="1"/>
          <w:bCs w:val="1"/>
          <w:color w:val="auto"/>
        </w:rPr>
      </w:pPr>
      <w:r>
        <w:rPr>
          <w:rFonts w:ascii="Arial" w:cs="Arial" w:eastAsia="Arial" w:hAnsi="Arial"/>
          <w:sz w:val="20"/>
          <w:szCs w:val="20"/>
          <w:color w:val="auto"/>
        </w:rPr>
        <w:t>Full-year fiscal 2021 professional segment earnings were $507.3 million, up 18.9% compared with $426.6 million in the prior fiscal year, and when expressed as a percentage of net sales, 17.3%, up from 16.9% last year. The increase was mainly driven by net price realization, volume leverage, productivity improvements and product mix, partially offset by higher material and freight costs.</w:t>
      </w:r>
    </w:p>
    <w:p>
      <w:pPr>
        <w:spacing w:after="0" w:line="3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Residential Segment</w:t>
      </w:r>
    </w:p>
    <w:p>
      <w:pPr>
        <w:spacing w:after="0" w:line="159" w:lineRule="exact"/>
        <w:rPr>
          <w:sz w:val="20"/>
          <w:szCs w:val="20"/>
          <w:color w:val="auto"/>
        </w:rPr>
      </w:pPr>
    </w:p>
    <w:p>
      <w:pPr>
        <w:ind w:left="660" w:right="220" w:hanging="328"/>
        <w:spacing w:after="0" w:line="232" w:lineRule="auto"/>
        <w:tabs>
          <w:tab w:leader="none" w:pos="648" w:val="left"/>
        </w:tabs>
        <w:numPr>
          <w:ilvl w:val="0"/>
          <w:numId w:val="8"/>
        </w:numPr>
        <w:rPr>
          <w:rFonts w:ascii="Arial" w:cs="Arial" w:eastAsia="Arial" w:hAnsi="Arial"/>
          <w:sz w:val="20"/>
          <w:szCs w:val="20"/>
          <w:b w:val="1"/>
          <w:bCs w:val="1"/>
          <w:color w:val="auto"/>
        </w:rPr>
      </w:pPr>
      <w:r>
        <w:rPr>
          <w:rFonts w:ascii="Arial" w:cs="Arial" w:eastAsia="Arial" w:hAnsi="Arial"/>
          <w:sz w:val="20"/>
          <w:szCs w:val="20"/>
          <w:color w:val="auto"/>
        </w:rPr>
        <w:t>Residential segment net sales for the fourth quarter were $225.2 million, up 19.8% compared with $187.9 million in the same period last year. The increase was primarily due to net price realization and strong retail demand for zero-turn riding mowers.</w:t>
      </w:r>
    </w:p>
    <w:p>
      <w:pPr>
        <w:spacing w:after="0" w:line="143" w:lineRule="exact"/>
        <w:rPr>
          <w:rFonts w:ascii="Arial" w:cs="Arial" w:eastAsia="Arial" w:hAnsi="Arial"/>
          <w:sz w:val="20"/>
          <w:szCs w:val="20"/>
          <w:b w:val="1"/>
          <w:bCs w:val="1"/>
          <w:color w:val="auto"/>
        </w:rPr>
      </w:pPr>
    </w:p>
    <w:p>
      <w:pPr>
        <w:ind w:left="660" w:right="200"/>
        <w:spacing w:after="0" w:line="232" w:lineRule="auto"/>
        <w:rPr>
          <w:rFonts w:ascii="Arial" w:cs="Arial" w:eastAsia="Arial" w:hAnsi="Arial"/>
          <w:sz w:val="20"/>
          <w:szCs w:val="20"/>
          <w:b w:val="1"/>
          <w:bCs w:val="1"/>
          <w:color w:val="auto"/>
        </w:rPr>
      </w:pPr>
      <w:r>
        <w:rPr>
          <w:rFonts w:ascii="Arial" w:cs="Arial" w:eastAsia="Arial" w:hAnsi="Arial"/>
          <w:sz w:val="20"/>
          <w:szCs w:val="20"/>
          <w:color w:val="auto"/>
        </w:rPr>
        <w:t>For fiscal 2021, residential segment net sales were $1.01 billion, up 23.1% compared with $820.7 million last year. The increase was mainly driven by strong retail demand for zero-turn riding and walk power mowers, net price realization, and increased sales of snow thrower and 60V Flex-Force battery-powered home solutions products.</w:t>
      </w:r>
    </w:p>
    <w:p>
      <w:pPr>
        <w:spacing w:after="0" w:line="143" w:lineRule="exact"/>
        <w:rPr>
          <w:rFonts w:ascii="Arial" w:cs="Arial" w:eastAsia="Arial" w:hAnsi="Arial"/>
          <w:sz w:val="20"/>
          <w:szCs w:val="20"/>
          <w:b w:val="1"/>
          <w:bCs w:val="1"/>
          <w:color w:val="auto"/>
        </w:rPr>
      </w:pPr>
    </w:p>
    <w:p>
      <w:pPr>
        <w:ind w:left="660" w:right="200" w:hanging="328"/>
        <w:spacing w:after="0" w:line="230" w:lineRule="auto"/>
        <w:tabs>
          <w:tab w:leader="none" w:pos="648" w:val="left"/>
        </w:tabs>
        <w:numPr>
          <w:ilvl w:val="0"/>
          <w:numId w:val="8"/>
        </w:numPr>
        <w:rPr>
          <w:rFonts w:ascii="Arial" w:cs="Arial" w:eastAsia="Arial" w:hAnsi="Arial"/>
          <w:sz w:val="20"/>
          <w:szCs w:val="20"/>
          <w:b w:val="1"/>
          <w:bCs w:val="1"/>
          <w:color w:val="auto"/>
        </w:rPr>
      </w:pPr>
      <w:r>
        <w:rPr>
          <w:rFonts w:ascii="Arial" w:cs="Arial" w:eastAsia="Arial" w:hAnsi="Arial"/>
          <w:sz w:val="20"/>
          <w:szCs w:val="20"/>
          <w:color w:val="auto"/>
        </w:rPr>
        <w:t>Residential segment earnings for the fourth quarter were $11.9 million, down 55.1% compared with $26.4 million in the same period last year, and when expressed as a percentage of net sales, 5.3%, down from 14.1% in fiscal 2020. The decrease was largely driven by higher material, manufacturing and freight costs, partially offset by net price realization, product mix, volume leverage and productivity improvements.</w:t>
      </w:r>
    </w:p>
    <w:p>
      <w:pPr>
        <w:spacing w:after="0" w:line="144" w:lineRule="exact"/>
        <w:rPr>
          <w:rFonts w:ascii="Arial" w:cs="Arial" w:eastAsia="Arial" w:hAnsi="Arial"/>
          <w:sz w:val="20"/>
          <w:szCs w:val="20"/>
          <w:b w:val="1"/>
          <w:bCs w:val="1"/>
          <w:color w:val="auto"/>
        </w:rPr>
      </w:pPr>
    </w:p>
    <w:p>
      <w:pPr>
        <w:ind w:left="660" w:right="200"/>
        <w:spacing w:after="0" w:line="230" w:lineRule="auto"/>
        <w:rPr>
          <w:rFonts w:ascii="Arial" w:cs="Arial" w:eastAsia="Arial" w:hAnsi="Arial"/>
          <w:sz w:val="20"/>
          <w:szCs w:val="20"/>
          <w:b w:val="1"/>
          <w:bCs w:val="1"/>
          <w:color w:val="auto"/>
        </w:rPr>
      </w:pPr>
      <w:r>
        <w:rPr>
          <w:rFonts w:ascii="Arial" w:cs="Arial" w:eastAsia="Arial" w:hAnsi="Arial"/>
          <w:sz w:val="20"/>
          <w:szCs w:val="20"/>
          <w:color w:val="auto"/>
        </w:rPr>
        <w:t>For fiscal 2021, residential segment earnings increased 6.9% to $121.5 million, compared with $113.7 million last year, and when expressed as a percentage of net sales, decreased to 12.0% from 13.8% in fiscal 2020. The decrease was mainly driven by higher material and freight costs, partially offset by net price realization, productivity improvements, volume leverage and product mix.</w:t>
      </w:r>
    </w:p>
    <w:p>
      <w:pPr>
        <w:sectPr>
          <w:pgSz w:w="11900" w:h="16838" w:orient="portrait"/>
          <w:cols w:equalWidth="0" w:num="1">
            <w:col w:w="11220"/>
          </w:cols>
          <w:pgMar w:left="320" w:top="827" w:right="359" w:bottom="1440" w:gutter="0" w:footer="0" w:header="0"/>
          <w:type w:val="continuous"/>
        </w:sectPr>
      </w:pPr>
    </w:p>
    <w:bookmarkStart w:id="7" w:name="page8"/>
    <w:bookmarkEnd w:id="7"/>
    <w:p>
      <w:pPr>
        <w:ind w:left="20"/>
        <w:spacing w:after="0"/>
        <w:rPr>
          <w:sz w:val="20"/>
          <w:szCs w:val="20"/>
          <w:color w:val="auto"/>
        </w:rPr>
      </w:pPr>
      <w:r>
        <w:rPr>
          <w:rFonts w:ascii="Arial" w:cs="Arial" w:eastAsia="Arial" w:hAnsi="Arial"/>
          <w:sz w:val="17"/>
          <w:szCs w:val="17"/>
          <w:color w:val="auto"/>
        </w:rPr>
        <w:t>4 - The Toro Company Reports Record Full-Year Fiscal 2021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OPERATING RESULTS</w:t>
      </w:r>
    </w:p>
    <w:p>
      <w:pPr>
        <w:spacing w:after="0" w:line="145" w:lineRule="exact"/>
        <w:rPr>
          <w:sz w:val="20"/>
          <w:szCs w:val="20"/>
          <w:color w:val="auto"/>
        </w:rPr>
      </w:pPr>
    </w:p>
    <w:p>
      <w:pPr>
        <w:ind w:right="760"/>
        <w:spacing w:after="0" w:line="236" w:lineRule="auto"/>
        <w:rPr>
          <w:sz w:val="20"/>
          <w:szCs w:val="20"/>
          <w:color w:val="auto"/>
        </w:rPr>
      </w:pPr>
      <w:r>
        <w:rPr>
          <w:rFonts w:ascii="Arial" w:cs="Arial" w:eastAsia="Arial" w:hAnsi="Arial"/>
          <w:sz w:val="20"/>
          <w:szCs w:val="20"/>
          <w:color w:val="auto"/>
        </w:rPr>
        <w:t>Gross margin for the fourth quarter was 30.1%, compared with 35.7% for the same prior-year period. The decrease was primarily due to higher material and freight costs, partially offset by net price realization.</w:t>
      </w:r>
    </w:p>
    <w:p>
      <w:pPr>
        <w:spacing w:after="0" w:line="142" w:lineRule="exact"/>
        <w:rPr>
          <w:sz w:val="20"/>
          <w:szCs w:val="20"/>
          <w:color w:val="auto"/>
        </w:rPr>
      </w:pPr>
    </w:p>
    <w:p>
      <w:pPr>
        <w:ind w:right="80"/>
        <w:spacing w:after="0" w:line="247" w:lineRule="auto"/>
        <w:rPr>
          <w:sz w:val="20"/>
          <w:szCs w:val="20"/>
          <w:color w:val="auto"/>
        </w:rPr>
      </w:pPr>
      <w:r>
        <w:rPr>
          <w:rFonts w:ascii="Arial" w:cs="Arial" w:eastAsia="Arial" w:hAnsi="Arial"/>
          <w:sz w:val="19"/>
          <w:szCs w:val="19"/>
          <w:color w:val="0A0A0A"/>
        </w:rPr>
        <w:t>For fiscal 2021, gross margin was 33.8%, compared with 35.2% for fiscal 2020. *Adjusted gross margin for fiscal 2021 was 33.8%, compared with 35.4% for fiscal 2020. The decreases in reported and *adjusted gross margin were primarily driven by higher material and freight costs, which were partially offset by net price realization, productivity improvements and product mix.</w:t>
      </w:r>
    </w:p>
    <w:p>
      <w:pPr>
        <w:spacing w:after="0" w:line="135"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SG&amp;A expense as a percentage of net sales for the fourth quarter was 22.4% compared with 24.6% in the prior-year period. The improvement was primarily driven by volume leverage, partially offset by higher indirect marketing expenses.</w:t>
      </w:r>
    </w:p>
    <w:p>
      <w:pPr>
        <w:spacing w:after="0" w:line="142" w:lineRule="exact"/>
        <w:rPr>
          <w:sz w:val="20"/>
          <w:szCs w:val="20"/>
          <w:color w:val="auto"/>
        </w:rPr>
      </w:pPr>
    </w:p>
    <w:p>
      <w:pPr>
        <w:ind w:right="40"/>
        <w:spacing w:after="0" w:line="236" w:lineRule="auto"/>
        <w:rPr>
          <w:sz w:val="20"/>
          <w:szCs w:val="20"/>
          <w:color w:val="auto"/>
        </w:rPr>
      </w:pPr>
      <w:r>
        <w:rPr>
          <w:rFonts w:ascii="Arial" w:cs="Arial" w:eastAsia="Arial" w:hAnsi="Arial"/>
          <w:sz w:val="20"/>
          <w:szCs w:val="20"/>
          <w:color w:val="auto"/>
        </w:rPr>
        <w:t>For fiscal 2021, SG&amp;A expense as a percentage of net sales was 20.7%, compared with 22.6% in fiscal 2020. The improvement was primarily due to volume leverage and a favorable net legal settlement.</w:t>
      </w:r>
    </w:p>
    <w:p>
      <w:pPr>
        <w:spacing w:after="0" w:line="142" w:lineRule="exact"/>
        <w:rPr>
          <w:sz w:val="20"/>
          <w:szCs w:val="20"/>
          <w:color w:val="auto"/>
        </w:rPr>
      </w:pPr>
    </w:p>
    <w:p>
      <w:pPr>
        <w:ind w:right="180"/>
        <w:spacing w:after="0" w:line="247" w:lineRule="auto"/>
        <w:rPr>
          <w:sz w:val="20"/>
          <w:szCs w:val="20"/>
          <w:color w:val="auto"/>
        </w:rPr>
      </w:pPr>
      <w:r>
        <w:rPr>
          <w:rFonts w:ascii="Arial" w:cs="Arial" w:eastAsia="Arial" w:hAnsi="Arial"/>
          <w:sz w:val="19"/>
          <w:szCs w:val="19"/>
          <w:color w:val="auto"/>
        </w:rPr>
        <w:t>Operating earnings as a percentage of net sales were 7.7% for the fourth quarter, compared with 11.1% in the same prior-year period. For fiscal 2021, operating earnings as a percentage of net sales were 13.1%, compared with 12.6% in fiscal 2020. *Adjusted operating earnings as a percentage of net sales for fiscal 2021 were 12.8%, unchanged on a year-over-year basis.</w:t>
      </w:r>
    </w:p>
    <w:p>
      <w:pPr>
        <w:spacing w:after="0" w:line="135" w:lineRule="exact"/>
        <w:rPr>
          <w:sz w:val="20"/>
          <w:szCs w:val="20"/>
          <w:color w:val="auto"/>
        </w:rPr>
      </w:pPr>
    </w:p>
    <w:p>
      <w:pPr>
        <w:ind w:right="480"/>
        <w:spacing w:after="0" w:line="236" w:lineRule="auto"/>
        <w:rPr>
          <w:sz w:val="20"/>
          <w:szCs w:val="20"/>
          <w:color w:val="auto"/>
        </w:rPr>
      </w:pPr>
      <w:r>
        <w:rPr>
          <w:rFonts w:ascii="Arial" w:cs="Arial" w:eastAsia="Arial" w:hAnsi="Arial"/>
          <w:sz w:val="20"/>
          <w:szCs w:val="20"/>
          <w:color w:val="auto"/>
        </w:rPr>
        <w:t>Interest expense was down $1.0 million for the fourth quarter to $7.0 million, and down $4.5 million for the full year to $28.7 million, driven by lower debt levels and decreased interest rates.</w:t>
      </w:r>
    </w:p>
    <w:p>
      <w:pPr>
        <w:spacing w:after="0" w:line="115" w:lineRule="exact"/>
        <w:rPr>
          <w:sz w:val="20"/>
          <w:szCs w:val="20"/>
          <w:color w:val="auto"/>
        </w:rPr>
      </w:pPr>
    </w:p>
    <w:p>
      <w:pPr>
        <w:ind w:right="20"/>
        <w:spacing w:after="0" w:line="229" w:lineRule="auto"/>
        <w:rPr>
          <w:sz w:val="20"/>
          <w:szCs w:val="20"/>
          <w:color w:val="auto"/>
        </w:rPr>
      </w:pPr>
      <w:r>
        <w:rPr>
          <w:rFonts w:ascii="Arial" w:cs="Arial" w:eastAsia="Arial" w:hAnsi="Arial"/>
          <w:sz w:val="20"/>
          <w:szCs w:val="20"/>
          <w:color w:val="auto"/>
        </w:rPr>
        <w:t>The reported effective tax rates for the fourth quarter and full year were 13.3% and 18.0%, respectively, compared with 18.5% and 19.0% for fiscal 2020. The *adjusted effective tax rates for the fourth quarter and full year were 13.9% and 19.6%, respectively, compared with 21.9% and 20.9% for fiscal 2020. The decreases were primarily driven by the geographic mix of earnings and one-time adjustments related to prior years. The reported effective tax rate decreases were partially offset by lower tax benefits recorded as excess tax deductions for stock compensation.</w:t>
      </w:r>
    </w:p>
    <w:p>
      <w:pPr>
        <w:spacing w:after="0" w:line="89" w:lineRule="exact"/>
        <w:rPr>
          <w:sz w:val="20"/>
          <w:szCs w:val="20"/>
          <w:color w:val="auto"/>
        </w:rPr>
      </w:pPr>
    </w:p>
    <w:p>
      <w:pPr>
        <w:ind w:right="380"/>
        <w:spacing w:after="0" w:line="267" w:lineRule="auto"/>
        <w:rPr>
          <w:sz w:val="20"/>
          <w:szCs w:val="20"/>
          <w:color w:val="auto"/>
        </w:rPr>
      </w:pPr>
      <w:r>
        <w:rPr>
          <w:rFonts w:ascii="Arial" w:cs="Arial" w:eastAsia="Arial" w:hAnsi="Arial"/>
          <w:sz w:val="18"/>
          <w:szCs w:val="18"/>
          <w:i w:val="1"/>
          <w:iCs w:val="1"/>
          <w:color w:val="auto"/>
        </w:rPr>
        <w:t>*Non-GAAP financial measure. Please see the tables provided for a reconciliation of historical non-GAAP financial measures to the most comparable GAAP measures.</w:t>
      </w:r>
    </w:p>
    <w:p>
      <w:pPr>
        <w:sectPr>
          <w:pgSz w:w="11900" w:h="16838" w:orient="portrait"/>
          <w:cols w:equalWidth="0" w:num="1">
            <w:col w:w="11240"/>
          </w:cols>
          <w:pgMar w:left="320" w:top="827" w:right="339" w:bottom="1440" w:gutter="0" w:footer="0" w:header="0"/>
          <w:type w:val="continuous"/>
        </w:sectPr>
      </w:pPr>
    </w:p>
    <w:bookmarkStart w:id="8" w:name="page9"/>
    <w:bookmarkEnd w:id="8"/>
    <w:p>
      <w:pPr>
        <w:ind w:left="20"/>
        <w:spacing w:after="0"/>
        <w:rPr>
          <w:sz w:val="20"/>
          <w:szCs w:val="20"/>
          <w:color w:val="auto"/>
        </w:rPr>
      </w:pPr>
      <w:r>
        <w:rPr>
          <w:rFonts w:ascii="Arial" w:cs="Arial" w:eastAsia="Arial" w:hAnsi="Arial"/>
          <w:sz w:val="17"/>
          <w:szCs w:val="17"/>
          <w:color w:val="auto"/>
        </w:rPr>
        <w:t>5 - The Toro Company Reports Record Full-Year Fiscal 2021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LIVE CONFERENCE CALL</w:t>
      </w:r>
    </w:p>
    <w:p>
      <w:pPr>
        <w:spacing w:after="0" w:line="235" w:lineRule="auto"/>
        <w:rPr>
          <w:sz w:val="20"/>
          <w:szCs w:val="20"/>
          <w:color w:val="auto"/>
        </w:rPr>
      </w:pPr>
      <w:r>
        <w:rPr>
          <w:rFonts w:ascii="Arial" w:cs="Arial" w:eastAsia="Arial" w:hAnsi="Arial"/>
          <w:sz w:val="20"/>
          <w:szCs w:val="20"/>
          <w:b w:val="1"/>
          <w:bCs w:val="1"/>
          <w:color w:val="auto"/>
        </w:rPr>
        <w:t>December 15, 2021 at 10:00 a.m. CST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www.thetorocompany.com/invest</w:t>
      </w:r>
    </w:p>
    <w:p>
      <w:pPr>
        <w:spacing w:after="0" w:line="135" w:lineRule="exact"/>
        <w:rPr>
          <w:sz w:val="20"/>
          <w:szCs w:val="20"/>
          <w:color w:val="auto"/>
        </w:rPr>
      </w:pPr>
    </w:p>
    <w:p>
      <w:pPr>
        <w:jc w:val="both"/>
        <w:ind w:right="40"/>
        <w:spacing w:after="0" w:line="232" w:lineRule="auto"/>
        <w:rPr>
          <w:sz w:val="20"/>
          <w:szCs w:val="20"/>
          <w:color w:val="auto"/>
        </w:rPr>
      </w:pPr>
      <w:r>
        <w:rPr>
          <w:rFonts w:ascii="Arial" w:cs="Arial" w:eastAsia="Arial" w:hAnsi="Arial"/>
          <w:sz w:val="20"/>
          <w:szCs w:val="20"/>
          <w:color w:val="auto"/>
        </w:rPr>
        <w:t xml:space="preserve">The Toro Company will conduct its earnings call and webcast for investors beginning at 10:00 a.m. CST on December 15, 2021. The webcast will be available at </w:t>
      </w:r>
      <w:r>
        <w:rPr>
          <w:rFonts w:ascii="Arial" w:cs="Arial" w:eastAsia="Arial" w:hAnsi="Arial"/>
          <w:sz w:val="20"/>
          <w:szCs w:val="20"/>
          <w:u w:val="single" w:color="auto"/>
          <w:color w:val="auto"/>
        </w:rPr>
        <w:t>www.thetorocompany.com/invest</w:t>
      </w:r>
      <w:r>
        <w:rPr>
          <w:rFonts w:ascii="Arial" w:cs="Arial" w:eastAsia="Arial" w:hAnsi="Arial"/>
          <w:sz w:val="20"/>
          <w:szCs w:val="20"/>
          <w:color w:val="auto"/>
        </w:rPr>
        <w:t>. Webcast participants will need to complete a brief registration form and should allocate extra time before the webcast begins to register and, if necessary, install audio software.</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Toro Company</w:t>
      </w:r>
    </w:p>
    <w:p>
      <w:pPr>
        <w:spacing w:after="0" w:line="145" w:lineRule="exact"/>
        <w:rPr>
          <w:sz w:val="20"/>
          <w:szCs w:val="20"/>
          <w:color w:val="auto"/>
        </w:rPr>
      </w:pPr>
    </w:p>
    <w:p>
      <w:pPr>
        <w:ind w:right="40"/>
        <w:spacing w:after="0" w:line="227" w:lineRule="auto"/>
        <w:rPr>
          <w:sz w:val="20"/>
          <w:szCs w:val="20"/>
          <w:color w:val="auto"/>
        </w:rPr>
      </w:pPr>
      <w:r>
        <w:rPr>
          <w:rFonts w:ascii="Arial" w:cs="Arial" w:eastAsia="Arial" w:hAnsi="Arial"/>
          <w:sz w:val="20"/>
          <w:szCs w:val="20"/>
          <w:color w:val="auto"/>
        </w:rPr>
        <w:t xml:space="preserve">The Toro Company (NYSE: TTC) is a leading worldwide provider of innovative solutions for the outdoor environment including turf and landscape maintenance, snow and ice management, underground utility construction, rental and specialty construction, and irrigation and outdoor lighting solutions. With sales of $4.0 billion in fiscal 2021, The Toro Company’s global presence extends to more than 125 countries through a family of brands that includes Toro, Ditch Witch, Exmark, BOSS Snowplow, Ventrac, American Augers, Trencor, Pope, Subsite Electronics, HammerHead, Radius HDD, Perrot, Hayter, Unique Lighting Systems, Irritrol, and Lawn-Boy. Through constant innovation and caring relationships built on trust and integrity, The Toro Company and its family of brands have built a legacy of excellence by helping customers work on golf courses, sports fields, construction sites, public green spaces, commercial and residential properties and agricultural operations. For more information, visit </w:t>
      </w:r>
      <w:r>
        <w:rPr>
          <w:rFonts w:ascii="Arial" w:cs="Arial" w:eastAsia="Arial" w:hAnsi="Arial"/>
          <w:sz w:val="20"/>
          <w:szCs w:val="20"/>
          <w:u w:val="single" w:color="auto"/>
          <w:color w:val="0000FF"/>
        </w:rPr>
        <w:t>www.thetorocompany.com</w:t>
      </w:r>
      <w:r>
        <w:rPr>
          <w:rFonts w:ascii="Arial" w:cs="Arial" w:eastAsia="Arial" w:hAnsi="Arial"/>
          <w:sz w:val="20"/>
          <w:szCs w:val="20"/>
          <w:color w:val="auto"/>
        </w:rPr>
        <w:t>.</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Information</w:t>
      </w:r>
    </w:p>
    <w:p>
      <w:pPr>
        <w:spacing w:after="0" w:line="145" w:lineRule="exact"/>
        <w:rPr>
          <w:sz w:val="20"/>
          <w:szCs w:val="20"/>
          <w:color w:val="auto"/>
        </w:rPr>
      </w:pPr>
    </w:p>
    <w:p>
      <w:pPr>
        <w:ind w:right="120"/>
        <w:spacing w:after="0"/>
        <w:rPr>
          <w:sz w:val="20"/>
          <w:szCs w:val="20"/>
          <w:color w:val="auto"/>
        </w:rPr>
      </w:pPr>
      <w:r>
        <w:rPr>
          <w:rFonts w:ascii="Arial" w:cs="Arial" w:eastAsia="Arial" w:hAnsi="Arial"/>
          <w:sz w:val="19"/>
          <w:szCs w:val="19"/>
          <w:color w:val="auto"/>
        </w:rPr>
        <w:t>This press release and our related earnings call reference certain non-GAAP financial measures, which are not calculated or presented in accordance with U.S. GAAP, as information supplemental and in addition to the most directly comparable financial measures calculated and presented in accordance with U.S. GAAP. The non-GAAP financial measures included within this press release and our related earnings call that are utilized as measures of our operating performance consist of gross profit, gross margin, operating earnings, earnings before income taxes, net earnings, net earnings per diluted share, and the effective tax rate, each as adjusted. The non-GAAP financial measures included within this press release and our related earnings call that are utilized as measures of our liquidity consist of free cash flow and free cash flow conversion percentage.</w:t>
      </w:r>
    </w:p>
    <w:p>
      <w:pPr>
        <w:spacing w:after="0" w:line="17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The Toro Company uses these non-GAAP financial measures in making operating decisions and assessing liquidity because it believes these non-GAAP financial measures provide meaningful supplemental information regarding core operational performance and cash flows, as a measure of the company's liquidity, and provide the company with a better understanding of how to allocate resources to both ongoing and prospective business initiatives. Additionally, these non-GAAP financial measures facilitate the company's internal comparisons for both historical operating results and competitors' operating results by factoring out potential differences caused by charges and benefits not related to its regular, ongoing business, including, without limitation, certain non-cash, large, and/or unpredictable charges and benefits; acquisitions and dispositions; legal judgments, settlements, or other matters; and tax positions. The company believes that these non-GAAP financial measures, when considered in conjunction with the financial measures prepared in accordance with U.S. GAAP, provide investors with useful supplemental financial information to better understand its core operational performance and cash flows.</w:t>
      </w:r>
    </w:p>
    <w:p>
      <w:pPr>
        <w:spacing w:after="0" w:line="160" w:lineRule="exact"/>
        <w:rPr>
          <w:sz w:val="20"/>
          <w:szCs w:val="20"/>
          <w:color w:val="auto"/>
        </w:rPr>
      </w:pPr>
    </w:p>
    <w:p>
      <w:pPr>
        <w:ind w:right="80"/>
        <w:spacing w:after="0" w:line="229" w:lineRule="auto"/>
        <w:rPr>
          <w:sz w:val="20"/>
          <w:szCs w:val="20"/>
          <w:color w:val="auto"/>
        </w:rPr>
      </w:pPr>
      <w:r>
        <w:rPr>
          <w:rFonts w:ascii="Arial" w:cs="Arial" w:eastAsia="Arial" w:hAnsi="Arial"/>
          <w:sz w:val="20"/>
          <w:szCs w:val="20"/>
          <w:color w:val="auto"/>
        </w:rPr>
        <w:t>Reconciliations of historical non-GAAP financial measures to the most comparable U.S. GAAP financial measures are included in the financial tables contained in this press release. These non-GAAP financial measures, however, should not be considered superior to, as a substitute for, or as an alternative to, and should be considered in conjunction with, the U.S. GAAP financial measures included within this press release and the company’s related earnings call. These non-GAAP financial measures may differ from similar measures used by other companies.</w:t>
      </w:r>
    </w:p>
    <w:p>
      <w:pPr>
        <w:sectPr>
          <w:pgSz w:w="11900" w:h="16838" w:orient="portrait"/>
          <w:cols w:equalWidth="0" w:num="1">
            <w:col w:w="11240"/>
          </w:cols>
          <w:pgMar w:left="320" w:top="827" w:right="339" w:bottom="1440" w:gutter="0" w:footer="0" w:header="0"/>
          <w:type w:val="continuous"/>
        </w:sectPr>
      </w:pPr>
    </w:p>
    <w:bookmarkStart w:id="9" w:name="page10"/>
    <w:bookmarkEnd w:id="9"/>
    <w:p>
      <w:pPr>
        <w:ind w:left="20"/>
        <w:spacing w:after="0"/>
        <w:rPr>
          <w:sz w:val="20"/>
          <w:szCs w:val="20"/>
          <w:color w:val="auto"/>
        </w:rPr>
      </w:pPr>
      <w:r>
        <w:rPr>
          <w:rFonts w:ascii="Arial" w:cs="Arial" w:eastAsia="Arial" w:hAnsi="Arial"/>
          <w:sz w:val="17"/>
          <w:szCs w:val="17"/>
          <w:color w:val="auto"/>
        </w:rPr>
        <w:t>6 - The Toro Company Reports Record Full-Year Fiscal 2021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827" w:right="379" w:bottom="1440" w:gutter="0" w:footer="0" w:header="0"/>
        </w:sectPr>
      </w:pPr>
    </w:p>
    <w:p>
      <w:pPr>
        <w:spacing w:after="0" w:line="200" w:lineRule="exact"/>
        <w:rPr>
          <w:sz w:val="20"/>
          <w:szCs w:val="20"/>
          <w:color w:val="auto"/>
        </w:rPr>
      </w:pPr>
    </w:p>
    <w:p>
      <w:pPr>
        <w:spacing w:after="0" w:line="398"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The Toro Company cannot provide quantitative reconciliations of forward-looking non-GAAP financial measures provided herein or in its related earnings call without unreasonable effort because the combined effect and timing of recognition of potential charges or gains is inherently uncertain and difficult to predict. In addition, since any adjustments could have a substantial effect on U.S. GAAP measures of financial performance, such quantitative reconciliations would imply a degree of precision and certainty that could be confusing to investors. From a qualitative perspective, it is anticipated that the differences between the forward-looking non-GAAP financial measures and the most directly comparable GAAP financial measure will consist of items similar to those described in the financial tables later in this release, including, for example and without limitation, certain non-cash, large, and/or unpredictable charges and benefits; acquisitions and dispositions; legal judgments, settlements, or other matters; and tax positions.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color w:val="auto"/>
        </w:rPr>
        <w:t>This news release contains forward-looking statements, which are being made pursuant to the safe harbor provisions of the Private Securities Litigation Reform Act of 1995. These forward-looking statements are based on management’s current assumptions and expectations of future events, and often can be identified by words such as “expect,” “strive,” “looking ahead,” “outlook,” “guidance,” “forecast,” “goal,” “optimistic,” “anticipate,” “continue,” “plan,” “estimate,” “project,” “believe,” “should,” “could,” “will,” “would,” “possible,” “may,” “likely,” “intend,” “can,” “seek,” “potential,” “pro forma,” or the negative thereof or similar expressions. Forward-looking statements involve risks and uncertainties that could cause actual events and results to differ materially from those projected or implied. Forward-looking statements in this release include the company’s fiscal 2021 financial guidance. Particular risks and uncertainties that may affect the company’s operating results or financial position include: COVID-19 related factors, risks and challenges; adverse worldwide economic conditions; disruption at or in proximity to its facilities or in its manufacturing or other operations, or those in its distribution channel customers, mass retailers or home centers where its products are sold, or suppliers; fluctuations in the cost and availability of commodities, components, parts, and accessories, including steel, engines, hydraulics and resins; the effect of abnormal weather patterns; the effect of natural disasters, social unrest, and global pandemics; the level of growth or contraction in its key markets; customer, government and municipal revenue, budget, spending levels and cash conservation efforts; loss of any substantial customer; inventory adjustments or changes in purchasing patterns by customers; the company’s ability to develop and achieve market acceptance for new products; increased competition; the risks attendant to international relations, operations and markets; foreign currency exchange rate fluctuations; financial viability of and/or relationships with the company’s distribution channel partners; risks associated with acquisitions; impairment of goodwill or other intangible assets; impacts of any restructuring activities; management of alliances or joint ventures, including Red Iron Acceptance, LLC; impact of laws, regulations and standards, consumer product safety, accounting, taxation, trade, tariffs and/or antidumping and countervailing duties petitions, healthcare, and environmental, health and safety matters; unforeseen product quality problems; loss of or changes in executive management or key employees; the occurrence of litigation or claims, including those involving intellectual property or product liability matters; and other risks and uncertainties described in the company’s most recent annual report on Form 10-K, subsequent quarterly reports on Form 10-Q or current reports on Form 8-K, and other filings with the Securities and Exchange Commission. The company makes no commitment to revise or update any forward-looking statements in order to reflect events or circumstances occurring or existing after the date any forward-looking statement is made.</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(Financial tables follow)</w:t>
      </w:r>
    </w:p>
    <w:p>
      <w:pPr>
        <w:sectPr>
          <w:pgSz w:w="11900" w:h="16838" w:orient="portrait"/>
          <w:cols w:equalWidth="0" w:num="1">
            <w:col w:w="11200"/>
          </w:cols>
          <w:pgMar w:left="320" w:top="827" w:right="379" w:bottom="1440" w:gutter="0" w:footer="0" w:header="0"/>
          <w:type w:val="continuous"/>
        </w:sectPr>
      </w:pPr>
    </w:p>
    <w:bookmarkStart w:id="10" w:name="page11"/>
    <w:bookmarkEnd w:id="10"/>
    <w:p>
      <w:pPr>
        <w:ind w:left="20"/>
        <w:spacing w:after="0"/>
        <w:rPr>
          <w:sz w:val="20"/>
          <w:szCs w:val="20"/>
          <w:color w:val="auto"/>
        </w:rPr>
      </w:pPr>
      <w:r>
        <w:rPr>
          <w:rFonts w:ascii="Arial" w:cs="Arial" w:eastAsia="Arial" w:hAnsi="Arial"/>
          <w:sz w:val="18"/>
          <w:szCs w:val="18"/>
          <w:color w:val="auto"/>
        </w:rPr>
        <w:t>7 - The Toro Company Reports Record Full-Year Fiscal 2021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TORO COMPANY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Earnings (Unaudited)</w:t>
      </w:r>
    </w:p>
    <w:p>
      <w:pPr>
        <w:jc w:val="center"/>
        <w:spacing w:after="0"/>
        <w:rPr>
          <w:sz w:val="20"/>
          <w:szCs w:val="20"/>
          <w:color w:val="auto"/>
        </w:rPr>
      </w:pPr>
      <w:r>
        <w:rPr>
          <w:rFonts w:ascii="Arial" w:cs="Arial" w:eastAsia="Arial" w:hAnsi="Arial"/>
          <w:sz w:val="20"/>
          <w:szCs w:val="20"/>
          <w:b w:val="1"/>
          <w:bCs w:val="1"/>
          <w:color w:val="auto"/>
        </w:rPr>
        <w:t>(Dollars and shares in thousands, except per-share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5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3"/>
          </w:tcPr>
          <w:p>
            <w:pPr>
              <w:jc w:val="right"/>
              <w:ind w:right="837"/>
              <w:spacing w:after="0"/>
              <w:rPr>
                <w:sz w:val="20"/>
                <w:szCs w:val="20"/>
                <w:color w:val="auto"/>
              </w:rPr>
            </w:pPr>
            <w:r>
              <w:rPr>
                <w:rFonts w:ascii="Arial" w:cs="Arial" w:eastAsia="Arial" w:hAnsi="Arial"/>
                <w:sz w:val="17"/>
                <w:szCs w:val="17"/>
                <w:b w:val="1"/>
                <w:bCs w:val="1"/>
                <w:color w:val="auto"/>
              </w:rPr>
              <w:t>Three Months Ended</w:t>
            </w:r>
          </w:p>
        </w:tc>
        <w:tc>
          <w:tcPr>
            <w:tcW w:w="20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3"/>
          </w:tcPr>
          <w:p>
            <w:pPr>
              <w:jc w:val="right"/>
              <w:ind w:right="757"/>
              <w:spacing w:after="0"/>
              <w:rPr>
                <w:sz w:val="20"/>
                <w:szCs w:val="20"/>
                <w:color w:val="auto"/>
              </w:rPr>
            </w:pPr>
            <w:r>
              <w:rPr>
                <w:rFonts w:ascii="Arial" w:cs="Arial" w:eastAsia="Arial" w:hAnsi="Arial"/>
                <w:sz w:val="17"/>
                <w:szCs w:val="17"/>
                <w:b w:val="1"/>
                <w:bCs w:val="1"/>
                <w:color w:val="auto"/>
              </w:rPr>
              <w:t>Twelve Months Ended</w:t>
            </w:r>
          </w:p>
        </w:tc>
        <w:tc>
          <w:tcPr>
            <w:tcW w:w="0" w:type="dxa"/>
            <w:vAlign w:val="bottom"/>
          </w:tcPr>
          <w:p>
            <w:pPr>
              <w:spacing w:after="0"/>
              <w:rPr>
                <w:sz w:val="1"/>
                <w:szCs w:val="1"/>
                <w:color w:val="auto"/>
              </w:rPr>
            </w:pPr>
          </w:p>
        </w:tc>
      </w:tr>
      <w:tr>
        <w:trPr>
          <w:trHeight w:val="211"/>
        </w:trPr>
        <w:tc>
          <w:tcPr>
            <w:tcW w:w="45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b w:val="1"/>
                <w:bCs w:val="1"/>
                <w:color w:val="auto"/>
                <w:w w:val="91"/>
              </w:rPr>
              <w:t>October 31, 2021</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b w:val="1"/>
                <w:bCs w:val="1"/>
                <w:color w:val="auto"/>
                <w:w w:val="89"/>
              </w:rPr>
              <w:t>October 31, 2020</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b w:val="1"/>
                <w:bCs w:val="1"/>
                <w:color w:val="auto"/>
                <w:w w:val="89"/>
              </w:rPr>
              <w:t>October 31, 2021</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b w:val="1"/>
                <w:bCs w:val="1"/>
                <w:color w:val="auto"/>
                <w:w w:val="91"/>
              </w:rPr>
              <w:t>October 31, 2020</w:t>
            </w: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960,655</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840,957</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3,959,584</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3,378,810</w:t>
            </w:r>
          </w:p>
        </w:tc>
        <w:tc>
          <w:tcPr>
            <w:tcW w:w="0" w:type="dxa"/>
            <w:vAlign w:val="bottom"/>
          </w:tcPr>
          <w:p>
            <w:pPr>
              <w:spacing w:after="0"/>
              <w:rPr>
                <w:sz w:val="1"/>
                <w:szCs w:val="1"/>
                <w:color w:val="auto"/>
              </w:rPr>
            </w:pPr>
          </w:p>
        </w:tc>
      </w:tr>
      <w:tr>
        <w:trPr>
          <w:trHeight w:val="214"/>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Cost of sales</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671,269</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540,562</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2,621,092</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2,189,036</w:t>
            </w:r>
          </w:p>
        </w:tc>
        <w:tc>
          <w:tcPr>
            <w:tcW w:w="0" w:type="dxa"/>
            <w:vAlign w:val="bottom"/>
          </w:tcPr>
          <w:p>
            <w:pPr>
              <w:spacing w:after="0"/>
              <w:rPr>
                <w:sz w:val="1"/>
                <w:szCs w:val="1"/>
                <w:color w:val="auto"/>
              </w:rPr>
            </w:pPr>
          </w:p>
        </w:tc>
      </w:tr>
      <w:tr>
        <w:trPr>
          <w:trHeight w:val="211"/>
        </w:trPr>
        <w:tc>
          <w:tcPr>
            <w:tcW w:w="4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289,386</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300,395</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1,338,492</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1,189,774</w:t>
            </w:r>
          </w:p>
        </w:tc>
        <w:tc>
          <w:tcPr>
            <w:tcW w:w="0" w:type="dxa"/>
            <w:vAlign w:val="bottom"/>
          </w:tcPr>
          <w:p>
            <w:pPr>
              <w:spacing w:after="0"/>
              <w:rPr>
                <w:sz w:val="1"/>
                <w:szCs w:val="1"/>
                <w:color w:val="auto"/>
              </w:rPr>
            </w:pPr>
          </w:p>
        </w:tc>
      </w:tr>
      <w:tr>
        <w:trPr>
          <w:trHeight w:val="214"/>
        </w:trPr>
        <w:tc>
          <w:tcPr>
            <w:tcW w:w="4540" w:type="dxa"/>
            <w:vAlign w:val="bottom"/>
          </w:tcPr>
          <w:p>
            <w:pPr>
              <w:ind w:left="140"/>
              <w:spacing w:after="0"/>
              <w:rPr>
                <w:sz w:val="20"/>
                <w:szCs w:val="20"/>
                <w:color w:val="auto"/>
              </w:rPr>
            </w:pPr>
            <w:r>
              <w:rPr>
                <w:rFonts w:ascii="Arial" w:cs="Arial" w:eastAsia="Arial" w:hAnsi="Arial"/>
                <w:sz w:val="17"/>
                <w:szCs w:val="17"/>
                <w:color w:val="auto"/>
              </w:rPr>
              <w:t>Gross margin</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30.1 %</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35.7 %</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33.8 %</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35.2 %</w:t>
            </w:r>
          </w:p>
        </w:tc>
        <w:tc>
          <w:tcPr>
            <w:tcW w:w="0" w:type="dxa"/>
            <w:vAlign w:val="bottom"/>
          </w:tcPr>
          <w:p>
            <w:pPr>
              <w:spacing w:after="0"/>
              <w:rPr>
                <w:sz w:val="1"/>
                <w:szCs w:val="1"/>
                <w:color w:val="auto"/>
              </w:rPr>
            </w:pPr>
          </w:p>
        </w:tc>
      </w:tr>
      <w:tr>
        <w:trPr>
          <w:trHeight w:val="216"/>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 expense</w:t>
            </w: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215,226</w:t>
            </w: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206,914</w:t>
            </w: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820,212</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763,417</w:t>
            </w:r>
          </w:p>
        </w:tc>
        <w:tc>
          <w:tcPr>
            <w:tcW w:w="0" w:type="dxa"/>
            <w:vAlign w:val="bottom"/>
          </w:tcPr>
          <w:p>
            <w:pPr>
              <w:spacing w:after="0"/>
              <w:rPr>
                <w:sz w:val="1"/>
                <w:szCs w:val="1"/>
                <w:color w:val="auto"/>
              </w:rPr>
            </w:pPr>
          </w:p>
        </w:tc>
      </w:tr>
      <w:tr>
        <w:trPr>
          <w:trHeight w:val="209"/>
        </w:trPr>
        <w:tc>
          <w:tcPr>
            <w:tcW w:w="4540" w:type="dxa"/>
            <w:vAlign w:val="bottom"/>
          </w:tcPr>
          <w:p>
            <w:pPr>
              <w:ind w:left="140"/>
              <w:spacing w:after="0"/>
              <w:rPr>
                <w:sz w:val="20"/>
                <w:szCs w:val="20"/>
                <w:color w:val="auto"/>
              </w:rPr>
            </w:pPr>
            <w:r>
              <w:rPr>
                <w:rFonts w:ascii="Arial" w:cs="Arial" w:eastAsia="Arial" w:hAnsi="Arial"/>
                <w:sz w:val="17"/>
                <w:szCs w:val="17"/>
                <w:color w:val="auto"/>
              </w:rPr>
              <w:t>Operating earnings</w:t>
            </w:r>
          </w:p>
        </w:tc>
        <w:tc>
          <w:tcPr>
            <w:tcW w:w="220" w:type="dxa"/>
            <w:vAlign w:val="bottom"/>
          </w:tcPr>
          <w:p>
            <w:pPr>
              <w:spacing w:after="0"/>
              <w:rPr>
                <w:sz w:val="18"/>
                <w:szCs w:val="18"/>
                <w:color w:val="auto"/>
              </w:rPr>
            </w:pPr>
          </w:p>
        </w:tc>
        <w:tc>
          <w:tcPr>
            <w:tcW w:w="1480" w:type="dxa"/>
            <w:vAlign w:val="bottom"/>
          </w:tcPr>
          <w:p>
            <w:pPr>
              <w:jc w:val="right"/>
              <w:ind w:right="177"/>
              <w:spacing w:after="0"/>
              <w:rPr>
                <w:sz w:val="20"/>
                <w:szCs w:val="20"/>
                <w:color w:val="auto"/>
              </w:rPr>
            </w:pPr>
            <w:r>
              <w:rPr>
                <w:rFonts w:ascii="Arial" w:cs="Arial" w:eastAsia="Arial" w:hAnsi="Arial"/>
                <w:sz w:val="17"/>
                <w:szCs w:val="17"/>
                <w:color w:val="auto"/>
              </w:rPr>
              <w:t>74,160</w:t>
            </w:r>
          </w:p>
        </w:tc>
        <w:tc>
          <w:tcPr>
            <w:tcW w:w="200" w:type="dxa"/>
            <w:vAlign w:val="bottom"/>
          </w:tcPr>
          <w:p>
            <w:pPr>
              <w:spacing w:after="0"/>
              <w:rPr>
                <w:sz w:val="18"/>
                <w:szCs w:val="18"/>
                <w:color w:val="auto"/>
              </w:rPr>
            </w:pPr>
          </w:p>
        </w:tc>
        <w:tc>
          <w:tcPr>
            <w:tcW w:w="1480" w:type="dxa"/>
            <w:vAlign w:val="bottom"/>
          </w:tcPr>
          <w:p>
            <w:pPr>
              <w:jc w:val="right"/>
              <w:ind w:right="177"/>
              <w:spacing w:after="0"/>
              <w:rPr>
                <w:sz w:val="20"/>
                <w:szCs w:val="20"/>
                <w:color w:val="auto"/>
              </w:rPr>
            </w:pPr>
            <w:r>
              <w:rPr>
                <w:rFonts w:ascii="Arial" w:cs="Arial" w:eastAsia="Arial" w:hAnsi="Arial"/>
                <w:sz w:val="17"/>
                <w:szCs w:val="17"/>
                <w:color w:val="auto"/>
              </w:rPr>
              <w:t>93,481</w:t>
            </w:r>
          </w:p>
        </w:tc>
        <w:tc>
          <w:tcPr>
            <w:tcW w:w="200" w:type="dxa"/>
            <w:vAlign w:val="bottom"/>
          </w:tcPr>
          <w:p>
            <w:pPr>
              <w:spacing w:after="0"/>
              <w:rPr>
                <w:sz w:val="18"/>
                <w:szCs w:val="18"/>
                <w:color w:val="auto"/>
              </w:rPr>
            </w:pPr>
          </w:p>
        </w:tc>
        <w:tc>
          <w:tcPr>
            <w:tcW w:w="1480" w:type="dxa"/>
            <w:vAlign w:val="bottom"/>
          </w:tcPr>
          <w:p>
            <w:pPr>
              <w:jc w:val="right"/>
              <w:ind w:right="177"/>
              <w:spacing w:after="0"/>
              <w:rPr>
                <w:sz w:val="20"/>
                <w:szCs w:val="20"/>
                <w:color w:val="auto"/>
              </w:rPr>
            </w:pPr>
            <w:r>
              <w:rPr>
                <w:rFonts w:ascii="Arial" w:cs="Arial" w:eastAsia="Arial" w:hAnsi="Arial"/>
                <w:sz w:val="17"/>
                <w:szCs w:val="17"/>
                <w:color w:val="auto"/>
              </w:rPr>
              <w:t>518,280</w:t>
            </w:r>
          </w:p>
        </w:tc>
        <w:tc>
          <w:tcPr>
            <w:tcW w:w="200" w:type="dxa"/>
            <w:vAlign w:val="bottom"/>
          </w:tcPr>
          <w:p>
            <w:pPr>
              <w:spacing w:after="0"/>
              <w:rPr>
                <w:sz w:val="18"/>
                <w:szCs w:val="18"/>
                <w:color w:val="auto"/>
              </w:rPr>
            </w:pPr>
          </w:p>
        </w:tc>
        <w:tc>
          <w:tcPr>
            <w:tcW w:w="1440" w:type="dxa"/>
            <w:vAlign w:val="bottom"/>
          </w:tcPr>
          <w:p>
            <w:pPr>
              <w:jc w:val="right"/>
              <w:ind w:right="117"/>
              <w:spacing w:after="0"/>
              <w:rPr>
                <w:sz w:val="20"/>
                <w:szCs w:val="20"/>
                <w:color w:val="auto"/>
              </w:rPr>
            </w:pPr>
            <w:r>
              <w:rPr>
                <w:rFonts w:ascii="Arial" w:cs="Arial" w:eastAsia="Arial" w:hAnsi="Arial"/>
                <w:sz w:val="17"/>
                <w:szCs w:val="17"/>
                <w:color w:val="auto"/>
              </w:rPr>
              <w:t>426,357</w:t>
            </w:r>
          </w:p>
        </w:tc>
        <w:tc>
          <w:tcPr>
            <w:tcW w:w="0" w:type="dxa"/>
            <w:vAlign w:val="bottom"/>
          </w:tcPr>
          <w:p>
            <w:pPr>
              <w:spacing w:after="0"/>
              <w:rPr>
                <w:sz w:val="1"/>
                <w:szCs w:val="1"/>
                <w:color w:val="auto"/>
              </w:rPr>
            </w:pPr>
          </w:p>
        </w:tc>
      </w:tr>
      <w:tr>
        <w:trPr>
          <w:trHeight w:val="218"/>
        </w:trPr>
        <w:tc>
          <w:tcPr>
            <w:tcW w:w="4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(6,997)</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(8,037)</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(28,659)</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(33,156)</w:t>
            </w:r>
          </w:p>
        </w:tc>
        <w:tc>
          <w:tcPr>
            <w:tcW w:w="0" w:type="dxa"/>
            <w:vAlign w:val="bottom"/>
          </w:tcPr>
          <w:p>
            <w:pPr>
              <w:spacing w:after="0"/>
              <w:rPr>
                <w:sz w:val="1"/>
                <w:szCs w:val="1"/>
                <w:color w:val="auto"/>
              </w:rPr>
            </w:pPr>
          </w:p>
        </w:tc>
      </w:tr>
      <w:tr>
        <w:trPr>
          <w:trHeight w:val="214"/>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 income, net</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2,135</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3,123</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10,197</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13,869</w:t>
            </w:r>
          </w:p>
        </w:tc>
        <w:tc>
          <w:tcPr>
            <w:tcW w:w="0" w:type="dxa"/>
            <w:vAlign w:val="bottom"/>
          </w:tcPr>
          <w:p>
            <w:pPr>
              <w:spacing w:after="0"/>
              <w:rPr>
                <w:sz w:val="1"/>
                <w:szCs w:val="1"/>
                <w:color w:val="auto"/>
              </w:rPr>
            </w:pPr>
          </w:p>
        </w:tc>
      </w:tr>
      <w:tr>
        <w:trPr>
          <w:trHeight w:val="211"/>
        </w:trPr>
        <w:tc>
          <w:tcPr>
            <w:tcW w:w="4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Earnings before income taxes</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69,298</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88,567</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499,818</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407,070</w:t>
            </w:r>
          </w:p>
        </w:tc>
        <w:tc>
          <w:tcPr>
            <w:tcW w:w="0" w:type="dxa"/>
            <w:vAlign w:val="bottom"/>
          </w:tcPr>
          <w:p>
            <w:pPr>
              <w:spacing w:after="0"/>
              <w:rPr>
                <w:sz w:val="1"/>
                <w:szCs w:val="1"/>
                <w:color w:val="auto"/>
              </w:rPr>
            </w:pPr>
          </w:p>
        </w:tc>
      </w:tr>
      <w:tr>
        <w:trPr>
          <w:trHeight w:val="214"/>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Provision for income taxes</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9,190</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16,371</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89,938</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77,369</w:t>
            </w:r>
          </w:p>
        </w:tc>
        <w:tc>
          <w:tcPr>
            <w:tcW w:w="0" w:type="dxa"/>
            <w:vAlign w:val="bottom"/>
          </w:tcPr>
          <w:p>
            <w:pPr>
              <w:spacing w:after="0"/>
              <w:rPr>
                <w:sz w:val="1"/>
                <w:szCs w:val="1"/>
                <w:color w:val="auto"/>
              </w:rPr>
            </w:pPr>
          </w:p>
        </w:tc>
      </w:tr>
      <w:tr>
        <w:trPr>
          <w:trHeight w:val="234"/>
        </w:trPr>
        <w:tc>
          <w:tcPr>
            <w:tcW w:w="45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Net earnings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60,108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72,196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409,880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329,701</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45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Basic net earnings per share of common stock</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0.56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0.67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3.82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3.06</w:t>
            </w:r>
          </w:p>
        </w:tc>
        <w:tc>
          <w:tcPr>
            <w:tcW w:w="0" w:type="dxa"/>
            <w:vAlign w:val="bottom"/>
          </w:tcPr>
          <w:p>
            <w:pPr>
              <w:spacing w:after="0"/>
              <w:rPr>
                <w:sz w:val="1"/>
                <w:szCs w:val="1"/>
                <w:color w:val="auto"/>
              </w:rPr>
            </w:pPr>
          </w:p>
        </w:tc>
      </w:tr>
      <w:tr>
        <w:trPr>
          <w:trHeight w:val="130"/>
        </w:trPr>
        <w:tc>
          <w:tcPr>
            <w:tcW w:w="45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Diluted net earnings per share of common stock</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0.56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0.66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3.78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3.03</w:t>
            </w:r>
          </w:p>
        </w:tc>
        <w:tc>
          <w:tcPr>
            <w:tcW w:w="0" w:type="dxa"/>
            <w:vAlign w:val="bottom"/>
          </w:tcPr>
          <w:p>
            <w:pPr>
              <w:spacing w:after="0"/>
              <w:rPr>
                <w:sz w:val="1"/>
                <w:szCs w:val="1"/>
                <w:color w:val="auto"/>
              </w:rPr>
            </w:pPr>
          </w:p>
        </w:tc>
      </w:tr>
      <w:tr>
        <w:trPr>
          <w:trHeight w:val="130"/>
        </w:trPr>
        <w:tc>
          <w:tcPr>
            <w:tcW w:w="4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54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w w:val="89"/>
              </w:rPr>
              <w:t>Weighted-average number of shares of common stock outstanding</w:t>
            </w:r>
          </w:p>
        </w:tc>
        <w:tc>
          <w:tcPr>
            <w:tcW w:w="22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ind w:right="177"/>
              <w:spacing w:after="0"/>
              <w:rPr>
                <w:sz w:val="20"/>
                <w:szCs w:val="20"/>
                <w:color w:val="auto"/>
              </w:rPr>
            </w:pPr>
            <w:r>
              <w:rPr>
                <w:rFonts w:ascii="Arial" w:cs="Arial" w:eastAsia="Arial" w:hAnsi="Arial"/>
                <w:sz w:val="17"/>
                <w:szCs w:val="17"/>
                <w:color w:val="auto"/>
              </w:rPr>
              <w:t>106,388</w:t>
            </w:r>
          </w:p>
        </w:tc>
        <w:tc>
          <w:tcPr>
            <w:tcW w:w="20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ind w:right="177"/>
              <w:spacing w:after="0"/>
              <w:rPr>
                <w:sz w:val="20"/>
                <w:szCs w:val="20"/>
                <w:color w:val="auto"/>
              </w:rPr>
            </w:pPr>
            <w:r>
              <w:rPr>
                <w:rFonts w:ascii="Arial" w:cs="Arial" w:eastAsia="Arial" w:hAnsi="Arial"/>
                <w:sz w:val="17"/>
                <w:szCs w:val="17"/>
                <w:color w:val="auto"/>
              </w:rPr>
              <w:t>107,945</w:t>
            </w:r>
          </w:p>
        </w:tc>
        <w:tc>
          <w:tcPr>
            <w:tcW w:w="20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ind w:right="177"/>
              <w:spacing w:after="0"/>
              <w:rPr>
                <w:sz w:val="20"/>
                <w:szCs w:val="20"/>
                <w:color w:val="auto"/>
              </w:rPr>
            </w:pPr>
            <w:r>
              <w:rPr>
                <w:rFonts w:ascii="Arial" w:cs="Arial" w:eastAsia="Arial" w:hAnsi="Arial"/>
                <w:sz w:val="17"/>
                <w:szCs w:val="17"/>
                <w:color w:val="auto"/>
              </w:rPr>
              <w:t>107,341</w:t>
            </w:r>
          </w:p>
        </w:tc>
        <w:tc>
          <w:tcPr>
            <w:tcW w:w="20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ind w:right="117"/>
              <w:spacing w:after="0"/>
              <w:rPr>
                <w:sz w:val="20"/>
                <w:szCs w:val="20"/>
                <w:color w:val="auto"/>
              </w:rPr>
            </w:pPr>
            <w:r>
              <w:rPr>
                <w:rFonts w:ascii="Arial" w:cs="Arial" w:eastAsia="Arial" w:hAnsi="Arial"/>
                <w:sz w:val="17"/>
                <w:szCs w:val="17"/>
                <w:color w:val="auto"/>
              </w:rPr>
              <w:t>107,658</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 Basic</w:t>
            </w:r>
          </w:p>
        </w:tc>
        <w:tc>
          <w:tcPr>
            <w:tcW w:w="22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54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w w:val="89"/>
              </w:rPr>
              <w:t>Weighted-average number of shares of common stock outstanding</w:t>
            </w:r>
          </w:p>
        </w:tc>
        <w:tc>
          <w:tcPr>
            <w:tcW w:w="22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ind w:right="177"/>
              <w:spacing w:after="0"/>
              <w:rPr>
                <w:sz w:val="20"/>
                <w:szCs w:val="20"/>
                <w:color w:val="auto"/>
              </w:rPr>
            </w:pPr>
            <w:r>
              <w:rPr>
                <w:rFonts w:ascii="Arial" w:cs="Arial" w:eastAsia="Arial" w:hAnsi="Arial"/>
                <w:sz w:val="17"/>
                <w:szCs w:val="17"/>
                <w:color w:val="auto"/>
              </w:rPr>
              <w:t>107,534</w:t>
            </w:r>
          </w:p>
        </w:tc>
        <w:tc>
          <w:tcPr>
            <w:tcW w:w="20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ind w:right="177"/>
              <w:spacing w:after="0"/>
              <w:rPr>
                <w:sz w:val="20"/>
                <w:szCs w:val="20"/>
                <w:color w:val="auto"/>
              </w:rPr>
            </w:pPr>
            <w:r>
              <w:rPr>
                <w:rFonts w:ascii="Arial" w:cs="Arial" w:eastAsia="Arial" w:hAnsi="Arial"/>
                <w:sz w:val="17"/>
                <w:szCs w:val="17"/>
                <w:color w:val="auto"/>
              </w:rPr>
              <w:t>108,947</w:t>
            </w:r>
          </w:p>
        </w:tc>
        <w:tc>
          <w:tcPr>
            <w:tcW w:w="20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ind w:right="177"/>
              <w:spacing w:after="0"/>
              <w:rPr>
                <w:sz w:val="20"/>
                <w:szCs w:val="20"/>
                <w:color w:val="auto"/>
              </w:rPr>
            </w:pPr>
            <w:r>
              <w:rPr>
                <w:rFonts w:ascii="Arial" w:cs="Arial" w:eastAsia="Arial" w:hAnsi="Arial"/>
                <w:sz w:val="17"/>
                <w:szCs w:val="17"/>
                <w:color w:val="auto"/>
              </w:rPr>
              <w:t>108,473</w:t>
            </w:r>
          </w:p>
        </w:tc>
        <w:tc>
          <w:tcPr>
            <w:tcW w:w="20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ind w:right="117"/>
              <w:spacing w:after="0"/>
              <w:rPr>
                <w:sz w:val="20"/>
                <w:szCs w:val="20"/>
                <w:color w:val="auto"/>
              </w:rPr>
            </w:pPr>
            <w:r>
              <w:rPr>
                <w:rFonts w:ascii="Arial" w:cs="Arial" w:eastAsia="Arial" w:hAnsi="Arial"/>
                <w:sz w:val="17"/>
                <w:szCs w:val="17"/>
                <w:color w:val="auto"/>
              </w:rPr>
              <w:t>108,663</w:t>
            </w:r>
          </w:p>
        </w:tc>
        <w:tc>
          <w:tcPr>
            <w:tcW w:w="0" w:type="dxa"/>
            <w:vAlign w:val="bottom"/>
          </w:tcPr>
          <w:p>
            <w:pPr>
              <w:spacing w:after="0"/>
              <w:rPr>
                <w:sz w:val="1"/>
                <w:szCs w:val="1"/>
                <w:color w:val="auto"/>
              </w:rPr>
            </w:pPr>
          </w:p>
        </w:tc>
      </w:tr>
      <w:tr>
        <w:trPr>
          <w:trHeight w:val="214"/>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 Diluted</w:t>
            </w: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Segment Data (Unaudited)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(Dollars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6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3"/>
          </w:tcPr>
          <w:p>
            <w:pPr>
              <w:jc w:val="right"/>
              <w:ind w:right="757"/>
              <w:spacing w:after="0"/>
              <w:rPr>
                <w:sz w:val="20"/>
                <w:szCs w:val="20"/>
                <w:color w:val="auto"/>
              </w:rPr>
            </w:pPr>
            <w:r>
              <w:rPr>
                <w:rFonts w:ascii="Arial" w:cs="Arial" w:eastAsia="Arial" w:hAnsi="Arial"/>
                <w:sz w:val="17"/>
                <w:szCs w:val="17"/>
                <w:b w:val="1"/>
                <w:bCs w:val="1"/>
                <w:color w:val="auto"/>
              </w:rPr>
              <w:t>Three Months Ended</w:t>
            </w:r>
          </w:p>
        </w:tc>
        <w:tc>
          <w:tcPr>
            <w:tcW w:w="16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3"/>
          </w:tcPr>
          <w:p>
            <w:pPr>
              <w:jc w:val="right"/>
              <w:ind w:right="677"/>
              <w:spacing w:after="0"/>
              <w:rPr>
                <w:sz w:val="20"/>
                <w:szCs w:val="20"/>
                <w:color w:val="auto"/>
              </w:rPr>
            </w:pPr>
            <w:r>
              <w:rPr>
                <w:rFonts w:ascii="Arial" w:cs="Arial" w:eastAsia="Arial" w:hAnsi="Arial"/>
                <w:sz w:val="17"/>
                <w:szCs w:val="17"/>
                <w:b w:val="1"/>
                <w:bCs w:val="1"/>
                <w:color w:val="auto"/>
              </w:rPr>
              <w:t>Twelve Months Ended</w:t>
            </w:r>
          </w:p>
        </w:tc>
      </w:tr>
      <w:tr>
        <w:trPr>
          <w:trHeight w:val="212"/>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Segment Net Sales</w:t>
            </w:r>
          </w:p>
        </w:tc>
        <w:tc>
          <w:tcPr>
            <w:tcW w:w="1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b w:val="1"/>
                <w:bCs w:val="1"/>
                <w:color w:val="auto"/>
                <w:w w:val="88"/>
              </w:rPr>
              <w:t>October 31, 2021</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b w:val="1"/>
                <w:bCs w:val="1"/>
                <w:color w:val="auto"/>
                <w:w w:val="88"/>
              </w:rPr>
              <w:t>October 31, 2020</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b w:val="1"/>
                <w:bCs w:val="1"/>
                <w:color w:val="auto"/>
                <w:w w:val="89"/>
              </w:rPr>
              <w:t>October 31, 2021</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b w:val="1"/>
                <w:bCs w:val="1"/>
                <w:color w:val="auto"/>
                <w:w w:val="89"/>
              </w:rPr>
              <w:t>October 31, 2020</w:t>
            </w:r>
          </w:p>
        </w:tc>
      </w:tr>
      <w:tr>
        <w:trPr>
          <w:trHeight w:val="210"/>
        </w:trPr>
        <w:tc>
          <w:tcPr>
            <w:tcW w:w="3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Professional</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732,542</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644,029</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2,929,600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2,523,452</w:t>
            </w:r>
          </w:p>
        </w:tc>
      </w:tr>
      <w:tr>
        <w:trPr>
          <w:trHeight w:val="214"/>
        </w:trPr>
        <w:tc>
          <w:tcPr>
            <w:tcW w:w="3680" w:type="dxa"/>
            <w:vAlign w:val="bottom"/>
          </w:tcPr>
          <w:p>
            <w:pPr>
              <w:ind w:left="20"/>
              <w:spacing w:after="0"/>
              <w:rPr>
                <w:sz w:val="20"/>
                <w:szCs w:val="20"/>
                <w:color w:val="auto"/>
              </w:rPr>
            </w:pPr>
            <w:r>
              <w:rPr>
                <w:rFonts w:ascii="Arial" w:cs="Arial" w:eastAsia="Arial" w:hAnsi="Arial"/>
                <w:sz w:val="17"/>
                <w:szCs w:val="17"/>
                <w:color w:val="auto"/>
              </w:rPr>
              <w:t>Residential</w:t>
            </w:r>
          </w:p>
        </w:tc>
        <w:tc>
          <w:tcPr>
            <w:tcW w:w="1400" w:type="dxa"/>
            <w:vAlign w:val="bottom"/>
          </w:tcPr>
          <w:p>
            <w:pPr>
              <w:spacing w:after="0"/>
              <w:rPr>
                <w:sz w:val="18"/>
                <w:szCs w:val="18"/>
                <w:color w:val="auto"/>
              </w:rPr>
            </w:pPr>
          </w:p>
        </w:tc>
        <w:tc>
          <w:tcPr>
            <w:tcW w:w="1420" w:type="dxa"/>
            <w:vAlign w:val="bottom"/>
          </w:tcPr>
          <w:p>
            <w:pPr>
              <w:jc w:val="right"/>
              <w:ind w:right="37"/>
              <w:spacing w:after="0"/>
              <w:rPr>
                <w:sz w:val="20"/>
                <w:szCs w:val="20"/>
                <w:color w:val="auto"/>
              </w:rPr>
            </w:pPr>
            <w:r>
              <w:rPr>
                <w:rFonts w:ascii="Arial" w:cs="Arial" w:eastAsia="Arial" w:hAnsi="Arial"/>
                <w:sz w:val="17"/>
                <w:szCs w:val="17"/>
                <w:color w:val="auto"/>
              </w:rPr>
              <w:t>225,225</w:t>
            </w:r>
          </w:p>
        </w:tc>
        <w:tc>
          <w:tcPr>
            <w:tcW w:w="180" w:type="dxa"/>
            <w:vAlign w:val="bottom"/>
          </w:tcPr>
          <w:p>
            <w:pPr>
              <w:spacing w:after="0"/>
              <w:rPr>
                <w:sz w:val="18"/>
                <w:szCs w:val="18"/>
                <w:color w:val="auto"/>
              </w:rPr>
            </w:pPr>
          </w:p>
        </w:tc>
        <w:tc>
          <w:tcPr>
            <w:tcW w:w="1420" w:type="dxa"/>
            <w:vAlign w:val="bottom"/>
          </w:tcPr>
          <w:p>
            <w:pPr>
              <w:jc w:val="right"/>
              <w:ind w:right="37"/>
              <w:spacing w:after="0"/>
              <w:rPr>
                <w:sz w:val="20"/>
                <w:szCs w:val="20"/>
                <w:color w:val="auto"/>
              </w:rPr>
            </w:pPr>
            <w:r>
              <w:rPr>
                <w:rFonts w:ascii="Arial" w:cs="Arial" w:eastAsia="Arial" w:hAnsi="Arial"/>
                <w:sz w:val="17"/>
                <w:szCs w:val="17"/>
                <w:color w:val="auto"/>
              </w:rPr>
              <w:t>187,938</w:t>
            </w:r>
          </w:p>
        </w:tc>
        <w:tc>
          <w:tcPr>
            <w:tcW w:w="160" w:type="dxa"/>
            <w:vAlign w:val="bottom"/>
          </w:tcPr>
          <w:p>
            <w:pPr>
              <w:spacing w:after="0"/>
              <w:rPr>
                <w:sz w:val="18"/>
                <w:szCs w:val="18"/>
                <w:color w:val="auto"/>
              </w:rPr>
            </w:pPr>
          </w:p>
        </w:tc>
        <w:tc>
          <w:tcPr>
            <w:tcW w:w="1420" w:type="dxa"/>
            <w:vAlign w:val="bottom"/>
          </w:tcPr>
          <w:p>
            <w:pPr>
              <w:jc w:val="right"/>
              <w:ind w:right="37"/>
              <w:spacing w:after="0"/>
              <w:rPr>
                <w:sz w:val="20"/>
                <w:szCs w:val="20"/>
                <w:color w:val="auto"/>
              </w:rPr>
            </w:pPr>
            <w:r>
              <w:rPr>
                <w:rFonts w:ascii="Arial" w:cs="Arial" w:eastAsia="Arial" w:hAnsi="Arial"/>
                <w:sz w:val="17"/>
                <w:szCs w:val="17"/>
                <w:color w:val="auto"/>
              </w:rPr>
              <w:t>1,010,077</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820,745</w:t>
            </w:r>
          </w:p>
        </w:tc>
      </w:tr>
      <w:tr>
        <w:trPr>
          <w:trHeight w:val="216"/>
        </w:trPr>
        <w:tc>
          <w:tcPr>
            <w:tcW w:w="3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4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2,888</w:t>
            </w: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8,990</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19,907</w:t>
            </w: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34,613</w:t>
            </w:r>
          </w:p>
        </w:tc>
      </w:tr>
      <w:tr>
        <w:trPr>
          <w:trHeight w:val="210"/>
        </w:trPr>
        <w:tc>
          <w:tcPr>
            <w:tcW w:w="36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Total net sales*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960,655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840,957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3,959,584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3,378,810</w:t>
            </w:r>
          </w:p>
        </w:tc>
      </w:tr>
      <w:tr>
        <w:trPr>
          <w:trHeight w:val="22"/>
        </w:trPr>
        <w:tc>
          <w:tcPr>
            <w:tcW w:w="36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37"/>
        </w:trPr>
        <w:tc>
          <w:tcPr>
            <w:tcW w:w="36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08"/>
        </w:trPr>
        <w:tc>
          <w:tcPr>
            <w:tcW w:w="3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*Includes international net sales of:</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188,709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170,115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827,630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678,116</w:t>
            </w:r>
          </w:p>
        </w:tc>
      </w:tr>
      <w:tr>
        <w:trPr>
          <w:trHeight w:val="493"/>
        </w:trPr>
        <w:tc>
          <w:tcPr>
            <w:tcW w:w="36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3"/>
          </w:tcPr>
          <w:p>
            <w:pPr>
              <w:jc w:val="right"/>
              <w:ind w:right="757"/>
              <w:spacing w:after="0"/>
              <w:rPr>
                <w:sz w:val="20"/>
                <w:szCs w:val="20"/>
                <w:color w:val="auto"/>
              </w:rPr>
            </w:pPr>
            <w:r>
              <w:rPr>
                <w:rFonts w:ascii="Arial" w:cs="Arial" w:eastAsia="Arial" w:hAnsi="Arial"/>
                <w:sz w:val="17"/>
                <w:szCs w:val="17"/>
                <w:b w:val="1"/>
                <w:bCs w:val="1"/>
                <w:color w:val="auto"/>
              </w:rPr>
              <w:t>Three Months Ended</w:t>
            </w:r>
          </w:p>
        </w:tc>
        <w:tc>
          <w:tcPr>
            <w:tcW w:w="1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3"/>
          </w:tcPr>
          <w:p>
            <w:pPr>
              <w:jc w:val="right"/>
              <w:ind w:right="677"/>
              <w:spacing w:after="0"/>
              <w:rPr>
                <w:sz w:val="20"/>
                <w:szCs w:val="20"/>
                <w:color w:val="auto"/>
              </w:rPr>
            </w:pPr>
            <w:r>
              <w:rPr>
                <w:rFonts w:ascii="Arial" w:cs="Arial" w:eastAsia="Arial" w:hAnsi="Arial"/>
                <w:sz w:val="17"/>
                <w:szCs w:val="17"/>
                <w:b w:val="1"/>
                <w:bCs w:val="1"/>
                <w:color w:val="auto"/>
              </w:rPr>
              <w:t>Twelve Months Ended</w:t>
            </w:r>
          </w:p>
        </w:tc>
      </w:tr>
      <w:tr>
        <w:trPr>
          <w:trHeight w:val="211"/>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Segment Earnings (Loss)</w:t>
            </w:r>
          </w:p>
        </w:tc>
        <w:tc>
          <w:tcPr>
            <w:tcW w:w="1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b w:val="1"/>
                <w:bCs w:val="1"/>
                <w:color w:val="auto"/>
                <w:w w:val="88"/>
              </w:rPr>
              <w:t>October 31, 2021</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b w:val="1"/>
                <w:bCs w:val="1"/>
                <w:color w:val="auto"/>
                <w:w w:val="88"/>
              </w:rPr>
              <w:t>October 31, 2020</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b w:val="1"/>
                <w:bCs w:val="1"/>
                <w:color w:val="auto"/>
                <w:w w:val="89"/>
              </w:rPr>
              <w:t>October 31, 2021</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b w:val="1"/>
                <w:bCs w:val="1"/>
                <w:color w:val="auto"/>
                <w:w w:val="89"/>
              </w:rPr>
              <w:t>October 31, 2020</w:t>
            </w:r>
          </w:p>
        </w:tc>
      </w:tr>
      <w:tr>
        <w:trPr>
          <w:trHeight w:val="210"/>
        </w:trPr>
        <w:tc>
          <w:tcPr>
            <w:tcW w:w="3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Professional</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101,048</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104,175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507,327</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426,560</w:t>
            </w:r>
          </w:p>
        </w:tc>
      </w:tr>
      <w:tr>
        <w:trPr>
          <w:trHeight w:val="214"/>
        </w:trPr>
        <w:tc>
          <w:tcPr>
            <w:tcW w:w="3680" w:type="dxa"/>
            <w:vAlign w:val="bottom"/>
          </w:tcPr>
          <w:p>
            <w:pPr>
              <w:ind w:left="20"/>
              <w:spacing w:after="0"/>
              <w:rPr>
                <w:sz w:val="20"/>
                <w:szCs w:val="20"/>
                <w:color w:val="auto"/>
              </w:rPr>
            </w:pPr>
            <w:r>
              <w:rPr>
                <w:rFonts w:ascii="Arial" w:cs="Arial" w:eastAsia="Arial" w:hAnsi="Arial"/>
                <w:sz w:val="17"/>
                <w:szCs w:val="17"/>
                <w:color w:val="auto"/>
              </w:rPr>
              <w:t>Residential</w:t>
            </w:r>
          </w:p>
        </w:tc>
        <w:tc>
          <w:tcPr>
            <w:tcW w:w="1400" w:type="dxa"/>
            <w:vAlign w:val="bottom"/>
          </w:tcPr>
          <w:p>
            <w:pPr>
              <w:spacing w:after="0"/>
              <w:rPr>
                <w:sz w:val="18"/>
                <w:szCs w:val="18"/>
                <w:color w:val="auto"/>
              </w:rPr>
            </w:pPr>
          </w:p>
        </w:tc>
        <w:tc>
          <w:tcPr>
            <w:tcW w:w="1420" w:type="dxa"/>
            <w:vAlign w:val="bottom"/>
          </w:tcPr>
          <w:p>
            <w:pPr>
              <w:jc w:val="right"/>
              <w:ind w:right="37"/>
              <w:spacing w:after="0"/>
              <w:rPr>
                <w:sz w:val="20"/>
                <w:szCs w:val="20"/>
                <w:color w:val="auto"/>
              </w:rPr>
            </w:pPr>
            <w:r>
              <w:rPr>
                <w:rFonts w:ascii="Arial" w:cs="Arial" w:eastAsia="Arial" w:hAnsi="Arial"/>
                <w:sz w:val="17"/>
                <w:szCs w:val="17"/>
                <w:color w:val="auto"/>
              </w:rPr>
              <w:t>11,874</w:t>
            </w:r>
          </w:p>
        </w:tc>
        <w:tc>
          <w:tcPr>
            <w:tcW w:w="180" w:type="dxa"/>
            <w:vAlign w:val="bottom"/>
          </w:tcPr>
          <w:p>
            <w:pPr>
              <w:spacing w:after="0"/>
              <w:rPr>
                <w:sz w:val="18"/>
                <w:szCs w:val="18"/>
                <w:color w:val="auto"/>
              </w:rPr>
            </w:pPr>
          </w:p>
        </w:tc>
        <w:tc>
          <w:tcPr>
            <w:tcW w:w="1420" w:type="dxa"/>
            <w:vAlign w:val="bottom"/>
          </w:tcPr>
          <w:p>
            <w:pPr>
              <w:jc w:val="right"/>
              <w:ind w:right="37"/>
              <w:spacing w:after="0"/>
              <w:rPr>
                <w:sz w:val="20"/>
                <w:szCs w:val="20"/>
                <w:color w:val="auto"/>
              </w:rPr>
            </w:pPr>
            <w:r>
              <w:rPr>
                <w:rFonts w:ascii="Arial" w:cs="Arial" w:eastAsia="Arial" w:hAnsi="Arial"/>
                <w:sz w:val="17"/>
                <w:szCs w:val="17"/>
                <w:color w:val="auto"/>
              </w:rPr>
              <w:t>26,436</w:t>
            </w:r>
          </w:p>
        </w:tc>
        <w:tc>
          <w:tcPr>
            <w:tcW w:w="160" w:type="dxa"/>
            <w:vAlign w:val="bottom"/>
          </w:tcPr>
          <w:p>
            <w:pPr>
              <w:spacing w:after="0"/>
              <w:rPr>
                <w:sz w:val="18"/>
                <w:szCs w:val="18"/>
                <w:color w:val="auto"/>
              </w:rPr>
            </w:pPr>
          </w:p>
        </w:tc>
        <w:tc>
          <w:tcPr>
            <w:tcW w:w="1420" w:type="dxa"/>
            <w:vAlign w:val="bottom"/>
          </w:tcPr>
          <w:p>
            <w:pPr>
              <w:jc w:val="right"/>
              <w:ind w:right="37"/>
              <w:spacing w:after="0"/>
              <w:rPr>
                <w:sz w:val="20"/>
                <w:szCs w:val="20"/>
                <w:color w:val="auto"/>
              </w:rPr>
            </w:pPr>
            <w:r>
              <w:rPr>
                <w:rFonts w:ascii="Arial" w:cs="Arial" w:eastAsia="Arial" w:hAnsi="Arial"/>
                <w:sz w:val="17"/>
                <w:szCs w:val="17"/>
                <w:color w:val="auto"/>
              </w:rPr>
              <w:t>121,516</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113,669</w:t>
            </w:r>
          </w:p>
        </w:tc>
      </w:tr>
      <w:tr>
        <w:trPr>
          <w:trHeight w:val="216"/>
        </w:trPr>
        <w:tc>
          <w:tcPr>
            <w:tcW w:w="3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4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(43,624)</w:t>
            </w: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(42,044)</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(129,025)</w:t>
            </w: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(133,159)</w:t>
            </w:r>
          </w:p>
        </w:tc>
      </w:tr>
      <w:tr>
        <w:trPr>
          <w:trHeight w:val="210"/>
        </w:trPr>
        <w:tc>
          <w:tcPr>
            <w:tcW w:w="36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Total segment earnings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69,298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88,567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499,818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407,070</w:t>
            </w:r>
          </w:p>
        </w:tc>
      </w:tr>
      <w:tr>
        <w:trPr>
          <w:trHeight w:val="22"/>
        </w:trPr>
        <w:tc>
          <w:tcPr>
            <w:tcW w:w="36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827" w:right="339" w:bottom="1440" w:gutter="0" w:footer="0" w:header="0"/>
        </w:sectPr>
      </w:pPr>
    </w:p>
    <w:bookmarkStart w:id="11" w:name="page12"/>
    <w:bookmarkEnd w:id="11"/>
    <w:p>
      <w:pPr>
        <w:ind w:left="20"/>
        <w:spacing w:after="0"/>
        <w:rPr>
          <w:sz w:val="20"/>
          <w:szCs w:val="20"/>
          <w:color w:val="auto"/>
        </w:rPr>
      </w:pPr>
      <w:r>
        <w:rPr>
          <w:rFonts w:ascii="Arial" w:cs="Arial" w:eastAsia="Arial" w:hAnsi="Arial"/>
          <w:sz w:val="18"/>
          <w:szCs w:val="18"/>
          <w:color w:val="auto"/>
        </w:rPr>
        <w:t>8 - The Toro Company Reports Record Full-Year Fiscal 2021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TORO COMPANY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Balance Sheets (Unaudited)</w:t>
      </w:r>
    </w:p>
    <w:p>
      <w:pPr>
        <w:jc w:val="center"/>
        <w:spacing w:after="0"/>
        <w:rPr>
          <w:sz w:val="20"/>
          <w:szCs w:val="20"/>
          <w:color w:val="auto"/>
        </w:rPr>
      </w:pPr>
      <w:r>
        <w:rPr>
          <w:rFonts w:ascii="Arial" w:cs="Arial" w:eastAsia="Arial" w:hAnsi="Arial"/>
          <w:sz w:val="20"/>
          <w:szCs w:val="20"/>
          <w:b w:val="1"/>
          <w:bCs w:val="1"/>
          <w:color w:val="auto"/>
        </w:rPr>
        <w:t>(Dollars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2820" w:type="dxa"/>
            <w:vAlign w:val="bottom"/>
            <w:tcBorders>
              <w:top w:val="single" w:sz="8" w:color="auto"/>
              <w:bottom w:val="single" w:sz="8" w:color="auto"/>
            </w:tcBorders>
          </w:tcPr>
          <w:p>
            <w:pPr>
              <w:spacing w:after="0"/>
              <w:rPr>
                <w:sz w:val="19"/>
                <w:szCs w:val="19"/>
                <w:color w:val="auto"/>
              </w:rPr>
            </w:pPr>
          </w:p>
        </w:tc>
        <w:tc>
          <w:tcPr>
            <w:tcW w:w="2500" w:type="dxa"/>
            <w:vAlign w:val="bottom"/>
            <w:tcBorders>
              <w:top w:val="single" w:sz="8" w:color="auto"/>
              <w:bottom w:val="single" w:sz="8" w:color="auto"/>
            </w:tcBorders>
          </w:tcPr>
          <w:p>
            <w:pPr>
              <w:spacing w:after="0"/>
              <w:rPr>
                <w:sz w:val="19"/>
                <w:szCs w:val="19"/>
                <w:color w:val="auto"/>
              </w:rPr>
            </w:pPr>
          </w:p>
        </w:tc>
        <w:tc>
          <w:tcPr>
            <w:tcW w:w="3880" w:type="dxa"/>
            <w:vAlign w:val="bottom"/>
            <w:tcBorders>
              <w:top w:val="single" w:sz="8" w:color="auto"/>
              <w:bottom w:val="single" w:sz="8" w:color="auto"/>
            </w:tcBorders>
            <w:gridSpan w:val="2"/>
          </w:tcPr>
          <w:p>
            <w:pPr>
              <w:jc w:val="right"/>
              <w:ind w:right="57"/>
              <w:spacing w:after="0"/>
              <w:rPr>
                <w:sz w:val="20"/>
                <w:szCs w:val="20"/>
                <w:color w:val="auto"/>
              </w:rPr>
            </w:pPr>
            <w:r>
              <w:rPr>
                <w:rFonts w:ascii="Arial" w:cs="Arial" w:eastAsia="Arial" w:hAnsi="Arial"/>
                <w:sz w:val="17"/>
                <w:szCs w:val="17"/>
                <w:b w:val="1"/>
                <w:bCs w:val="1"/>
                <w:color w:val="auto"/>
              </w:rPr>
              <w:t>October 31, 2021</w:t>
            </w:r>
          </w:p>
        </w:tc>
        <w:tc>
          <w:tcPr>
            <w:tcW w:w="1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6"/>
              </w:rPr>
              <w:t>October 31, 2020</w:t>
            </w:r>
          </w:p>
        </w:tc>
      </w:tr>
      <w:tr>
        <w:trPr>
          <w:trHeight w:val="169"/>
        </w:trPr>
        <w:tc>
          <w:tcPr>
            <w:tcW w:w="20" w:type="dxa"/>
            <w:vAlign w:val="bottom"/>
            <w:shd w:val="clear" w:color="auto" w:fill="CCEEFF"/>
          </w:tcPr>
          <w:p>
            <w:pPr>
              <w:spacing w:after="0"/>
              <w:rPr>
                <w:sz w:val="14"/>
                <w:szCs w:val="14"/>
                <w:color w:val="auto"/>
              </w:rPr>
            </w:pPr>
          </w:p>
        </w:tc>
        <w:tc>
          <w:tcPr>
            <w:tcW w:w="5920" w:type="dxa"/>
            <w:vAlign w:val="bottom"/>
            <w:gridSpan w:val="3"/>
            <w:shd w:val="clear" w:color="auto" w:fill="CCEEFF"/>
          </w:tcPr>
          <w:p>
            <w:pPr>
              <w:spacing w:after="0" w:line="169" w:lineRule="exact"/>
              <w:rPr>
                <w:sz w:val="20"/>
                <w:szCs w:val="20"/>
                <w:color w:val="auto"/>
              </w:rPr>
            </w:pPr>
            <w:r>
              <w:rPr>
                <w:rFonts w:ascii="Arial" w:cs="Arial" w:eastAsia="Arial" w:hAnsi="Arial"/>
                <w:sz w:val="17"/>
                <w:szCs w:val="17"/>
                <w:color w:val="auto"/>
              </w:rPr>
              <w:t>ASSETS</w:t>
            </w:r>
          </w:p>
        </w:tc>
        <w:tc>
          <w:tcPr>
            <w:tcW w:w="28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5920" w:type="dxa"/>
            <w:vAlign w:val="bottom"/>
            <w:gridSpan w:val="3"/>
          </w:tcPr>
          <w:p>
            <w:pPr>
              <w:spacing w:after="0"/>
              <w:rPr>
                <w:sz w:val="20"/>
                <w:szCs w:val="20"/>
                <w:color w:val="auto"/>
              </w:rPr>
            </w:pPr>
            <w:r>
              <w:rPr>
                <w:rFonts w:ascii="Arial" w:cs="Arial" w:eastAsia="Arial" w:hAnsi="Arial"/>
                <w:sz w:val="17"/>
                <w:szCs w:val="17"/>
                <w:color w:val="auto"/>
              </w:rPr>
              <w:t>Cash and cash equivalents</w:t>
            </w:r>
          </w:p>
        </w:tc>
        <w:tc>
          <w:tcPr>
            <w:tcW w:w="2840" w:type="dxa"/>
            <w:vAlign w:val="bottom"/>
          </w:tcPr>
          <w:p>
            <w:pPr>
              <w:jc w:val="right"/>
              <w:ind w:right="197"/>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37"/>
              <w:spacing w:after="0"/>
              <w:rPr>
                <w:sz w:val="20"/>
                <w:szCs w:val="20"/>
                <w:color w:val="auto"/>
              </w:rPr>
            </w:pPr>
            <w:r>
              <w:rPr>
                <w:rFonts w:ascii="Arial" w:cs="Arial" w:eastAsia="Arial" w:hAnsi="Arial"/>
                <w:sz w:val="17"/>
                <w:szCs w:val="17"/>
                <w:color w:val="auto"/>
              </w:rPr>
              <w:t>405,612</w:t>
            </w:r>
          </w:p>
        </w:tc>
        <w:tc>
          <w:tcPr>
            <w:tcW w:w="42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479,892</w:t>
            </w:r>
          </w:p>
        </w:tc>
      </w:tr>
      <w:tr>
        <w:trPr>
          <w:trHeight w:val="218"/>
        </w:trPr>
        <w:tc>
          <w:tcPr>
            <w:tcW w:w="20" w:type="dxa"/>
            <w:vAlign w:val="bottom"/>
            <w:shd w:val="clear" w:color="auto" w:fill="CCEEFF"/>
          </w:tcPr>
          <w:p>
            <w:pPr>
              <w:spacing w:after="0"/>
              <w:rPr>
                <w:sz w:val="18"/>
                <w:szCs w:val="18"/>
                <w:color w:val="auto"/>
              </w:rPr>
            </w:pPr>
          </w:p>
        </w:tc>
        <w:tc>
          <w:tcPr>
            <w:tcW w:w="59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Receivables, net</w:t>
            </w:r>
          </w:p>
        </w:tc>
        <w:tc>
          <w:tcPr>
            <w:tcW w:w="28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310,279</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261,135</w:t>
            </w:r>
          </w:p>
        </w:tc>
      </w:tr>
      <w:tr>
        <w:trPr>
          <w:trHeight w:val="214"/>
        </w:trPr>
        <w:tc>
          <w:tcPr>
            <w:tcW w:w="20" w:type="dxa"/>
            <w:vAlign w:val="bottom"/>
          </w:tcPr>
          <w:p>
            <w:pPr>
              <w:spacing w:after="0"/>
              <w:rPr>
                <w:sz w:val="18"/>
                <w:szCs w:val="18"/>
                <w:color w:val="auto"/>
              </w:rPr>
            </w:pPr>
          </w:p>
        </w:tc>
        <w:tc>
          <w:tcPr>
            <w:tcW w:w="5920" w:type="dxa"/>
            <w:vAlign w:val="bottom"/>
            <w:gridSpan w:val="3"/>
          </w:tcPr>
          <w:p>
            <w:pPr>
              <w:spacing w:after="0"/>
              <w:rPr>
                <w:sz w:val="20"/>
                <w:szCs w:val="20"/>
                <w:color w:val="auto"/>
              </w:rPr>
            </w:pPr>
            <w:r>
              <w:rPr>
                <w:rFonts w:ascii="Arial" w:cs="Arial" w:eastAsia="Arial" w:hAnsi="Arial"/>
                <w:sz w:val="17"/>
                <w:szCs w:val="17"/>
                <w:color w:val="auto"/>
              </w:rPr>
              <w:t>Inventories, net</w:t>
            </w:r>
          </w:p>
        </w:tc>
        <w:tc>
          <w:tcPr>
            <w:tcW w:w="2840" w:type="dxa"/>
            <w:vAlign w:val="bottom"/>
          </w:tcPr>
          <w:p>
            <w:pPr>
              <w:spacing w:after="0"/>
              <w:rPr>
                <w:sz w:val="18"/>
                <w:szCs w:val="18"/>
                <w:color w:val="auto"/>
              </w:rPr>
            </w:pPr>
          </w:p>
        </w:tc>
        <w:tc>
          <w:tcPr>
            <w:tcW w:w="1040" w:type="dxa"/>
            <w:vAlign w:val="bottom"/>
          </w:tcPr>
          <w:p>
            <w:pPr>
              <w:jc w:val="right"/>
              <w:ind w:right="37"/>
              <w:spacing w:after="0"/>
              <w:rPr>
                <w:sz w:val="20"/>
                <w:szCs w:val="20"/>
                <w:color w:val="auto"/>
              </w:rPr>
            </w:pPr>
            <w:r>
              <w:rPr>
                <w:rFonts w:ascii="Arial" w:cs="Arial" w:eastAsia="Arial" w:hAnsi="Arial"/>
                <w:sz w:val="17"/>
                <w:szCs w:val="17"/>
                <w:color w:val="auto"/>
              </w:rPr>
              <w:t>738,170</w:t>
            </w: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652,433</w:t>
            </w: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592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Prepaid expenses and other current assets</w:t>
            </w:r>
          </w:p>
        </w:tc>
        <w:tc>
          <w:tcPr>
            <w:tcW w:w="28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35,124</w:t>
            </w:r>
          </w:p>
        </w:tc>
        <w:tc>
          <w:tcPr>
            <w:tcW w:w="4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34,188</w:t>
            </w:r>
          </w:p>
        </w:tc>
      </w:tr>
      <w:tr>
        <w:trPr>
          <w:trHeight w:val="210"/>
        </w:trPr>
        <w:tc>
          <w:tcPr>
            <w:tcW w:w="20" w:type="dxa"/>
            <w:vAlign w:val="bottom"/>
            <w:tcBorders>
              <w:bottom w:val="single" w:sz="8" w:color="auto"/>
            </w:tcBorders>
          </w:tcPr>
          <w:p>
            <w:pPr>
              <w:spacing w:after="0"/>
              <w:rPr>
                <w:sz w:val="18"/>
                <w:szCs w:val="18"/>
                <w:color w:val="auto"/>
              </w:rPr>
            </w:pPr>
          </w:p>
        </w:tc>
        <w:tc>
          <w:tcPr>
            <w:tcW w:w="5920" w:type="dxa"/>
            <w:vAlign w:val="bottom"/>
            <w:tcBorders>
              <w:bottom w:val="single" w:sz="8" w:color="auto"/>
            </w:tcBorders>
            <w:gridSpan w:val="3"/>
          </w:tcPr>
          <w:p>
            <w:pPr>
              <w:ind w:left="120"/>
              <w:spacing w:after="0"/>
              <w:rPr>
                <w:sz w:val="20"/>
                <w:szCs w:val="20"/>
                <w:color w:val="auto"/>
              </w:rPr>
            </w:pPr>
            <w:r>
              <w:rPr>
                <w:rFonts w:ascii="Arial" w:cs="Arial" w:eastAsia="Arial" w:hAnsi="Arial"/>
                <w:sz w:val="17"/>
                <w:szCs w:val="17"/>
                <w:color w:val="auto"/>
              </w:rPr>
              <w:t>Total current assets</w:t>
            </w:r>
          </w:p>
        </w:tc>
        <w:tc>
          <w:tcPr>
            <w:tcW w:w="28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1,489,185</w:t>
            </w: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1,427,648</w:t>
            </w:r>
          </w:p>
        </w:tc>
      </w:tr>
      <w:tr>
        <w:trPr>
          <w:trHeight w:val="198"/>
        </w:trPr>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5920" w:type="dxa"/>
            <w:vAlign w:val="bottom"/>
            <w:gridSpan w:val="3"/>
          </w:tcPr>
          <w:p>
            <w:pPr>
              <w:spacing w:after="0"/>
              <w:rPr>
                <w:sz w:val="20"/>
                <w:szCs w:val="20"/>
                <w:color w:val="auto"/>
              </w:rPr>
            </w:pPr>
            <w:r>
              <w:rPr>
                <w:rFonts w:ascii="Arial" w:cs="Arial" w:eastAsia="Arial" w:hAnsi="Arial"/>
                <w:sz w:val="17"/>
                <w:szCs w:val="17"/>
                <w:color w:val="auto"/>
              </w:rPr>
              <w:t>Property, plant, and equipment, net</w:t>
            </w:r>
          </w:p>
        </w:tc>
        <w:tc>
          <w:tcPr>
            <w:tcW w:w="2840" w:type="dxa"/>
            <w:vAlign w:val="bottom"/>
          </w:tcPr>
          <w:p>
            <w:pPr>
              <w:spacing w:after="0"/>
              <w:rPr>
                <w:sz w:val="18"/>
                <w:szCs w:val="18"/>
                <w:color w:val="auto"/>
              </w:rPr>
            </w:pPr>
          </w:p>
        </w:tc>
        <w:tc>
          <w:tcPr>
            <w:tcW w:w="1040" w:type="dxa"/>
            <w:vAlign w:val="bottom"/>
          </w:tcPr>
          <w:p>
            <w:pPr>
              <w:jc w:val="right"/>
              <w:ind w:right="37"/>
              <w:spacing w:after="0"/>
              <w:rPr>
                <w:sz w:val="20"/>
                <w:szCs w:val="20"/>
                <w:color w:val="auto"/>
              </w:rPr>
            </w:pPr>
            <w:r>
              <w:rPr>
                <w:rFonts w:ascii="Arial" w:cs="Arial" w:eastAsia="Arial" w:hAnsi="Arial"/>
                <w:sz w:val="17"/>
                <w:szCs w:val="17"/>
                <w:color w:val="auto"/>
              </w:rPr>
              <w:t>487,731</w:t>
            </w: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467,919</w:t>
            </w:r>
          </w:p>
        </w:tc>
      </w:tr>
      <w:tr>
        <w:trPr>
          <w:trHeight w:val="218"/>
        </w:trPr>
        <w:tc>
          <w:tcPr>
            <w:tcW w:w="20" w:type="dxa"/>
            <w:vAlign w:val="bottom"/>
            <w:shd w:val="clear" w:color="auto" w:fill="CCEEFF"/>
          </w:tcPr>
          <w:p>
            <w:pPr>
              <w:spacing w:after="0"/>
              <w:rPr>
                <w:sz w:val="18"/>
                <w:szCs w:val="18"/>
                <w:color w:val="auto"/>
              </w:rPr>
            </w:pPr>
          </w:p>
        </w:tc>
        <w:tc>
          <w:tcPr>
            <w:tcW w:w="59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Goodwill</w:t>
            </w:r>
          </w:p>
        </w:tc>
        <w:tc>
          <w:tcPr>
            <w:tcW w:w="28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421,680</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424,075</w:t>
            </w:r>
          </w:p>
        </w:tc>
      </w:tr>
      <w:tr>
        <w:trPr>
          <w:trHeight w:val="214"/>
        </w:trPr>
        <w:tc>
          <w:tcPr>
            <w:tcW w:w="20" w:type="dxa"/>
            <w:vAlign w:val="bottom"/>
          </w:tcPr>
          <w:p>
            <w:pPr>
              <w:spacing w:after="0"/>
              <w:rPr>
                <w:sz w:val="18"/>
                <w:szCs w:val="18"/>
                <w:color w:val="auto"/>
              </w:rPr>
            </w:pPr>
          </w:p>
        </w:tc>
        <w:tc>
          <w:tcPr>
            <w:tcW w:w="5920" w:type="dxa"/>
            <w:vAlign w:val="bottom"/>
            <w:gridSpan w:val="3"/>
          </w:tcPr>
          <w:p>
            <w:pPr>
              <w:spacing w:after="0"/>
              <w:rPr>
                <w:sz w:val="20"/>
                <w:szCs w:val="20"/>
                <w:color w:val="auto"/>
              </w:rPr>
            </w:pPr>
            <w:r>
              <w:rPr>
                <w:rFonts w:ascii="Arial" w:cs="Arial" w:eastAsia="Arial" w:hAnsi="Arial"/>
                <w:sz w:val="17"/>
                <w:szCs w:val="17"/>
                <w:color w:val="auto"/>
              </w:rPr>
              <w:t>Other intangible assets, net</w:t>
            </w:r>
          </w:p>
        </w:tc>
        <w:tc>
          <w:tcPr>
            <w:tcW w:w="2840" w:type="dxa"/>
            <w:vAlign w:val="bottom"/>
          </w:tcPr>
          <w:p>
            <w:pPr>
              <w:spacing w:after="0"/>
              <w:rPr>
                <w:sz w:val="18"/>
                <w:szCs w:val="18"/>
                <w:color w:val="auto"/>
              </w:rPr>
            </w:pPr>
          </w:p>
        </w:tc>
        <w:tc>
          <w:tcPr>
            <w:tcW w:w="1040" w:type="dxa"/>
            <w:vAlign w:val="bottom"/>
          </w:tcPr>
          <w:p>
            <w:pPr>
              <w:jc w:val="right"/>
              <w:ind w:right="37"/>
              <w:spacing w:after="0"/>
              <w:rPr>
                <w:sz w:val="20"/>
                <w:szCs w:val="20"/>
                <w:color w:val="auto"/>
              </w:rPr>
            </w:pPr>
            <w:r>
              <w:rPr>
                <w:rFonts w:ascii="Arial" w:cs="Arial" w:eastAsia="Arial" w:hAnsi="Arial"/>
                <w:sz w:val="17"/>
                <w:szCs w:val="17"/>
                <w:color w:val="auto"/>
              </w:rPr>
              <w:t>420,041</w:t>
            </w: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408,305</w:t>
            </w:r>
          </w:p>
        </w:tc>
      </w:tr>
      <w:tr>
        <w:trPr>
          <w:trHeight w:val="218"/>
        </w:trPr>
        <w:tc>
          <w:tcPr>
            <w:tcW w:w="20" w:type="dxa"/>
            <w:vAlign w:val="bottom"/>
            <w:shd w:val="clear" w:color="auto" w:fill="CCEEFF"/>
          </w:tcPr>
          <w:p>
            <w:pPr>
              <w:spacing w:after="0"/>
              <w:rPr>
                <w:sz w:val="18"/>
                <w:szCs w:val="18"/>
                <w:color w:val="auto"/>
              </w:rPr>
            </w:pPr>
          </w:p>
        </w:tc>
        <w:tc>
          <w:tcPr>
            <w:tcW w:w="59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Right-of-use assets</w:t>
            </w:r>
          </w:p>
        </w:tc>
        <w:tc>
          <w:tcPr>
            <w:tcW w:w="28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66,990</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78,752</w:t>
            </w:r>
          </w:p>
        </w:tc>
      </w:tr>
      <w:tr>
        <w:trPr>
          <w:trHeight w:val="214"/>
        </w:trPr>
        <w:tc>
          <w:tcPr>
            <w:tcW w:w="20" w:type="dxa"/>
            <w:vAlign w:val="bottom"/>
          </w:tcPr>
          <w:p>
            <w:pPr>
              <w:spacing w:after="0"/>
              <w:rPr>
                <w:sz w:val="18"/>
                <w:szCs w:val="18"/>
                <w:color w:val="auto"/>
              </w:rPr>
            </w:pPr>
          </w:p>
        </w:tc>
        <w:tc>
          <w:tcPr>
            <w:tcW w:w="5920" w:type="dxa"/>
            <w:vAlign w:val="bottom"/>
            <w:gridSpan w:val="3"/>
          </w:tcPr>
          <w:p>
            <w:pPr>
              <w:spacing w:after="0"/>
              <w:rPr>
                <w:sz w:val="20"/>
                <w:szCs w:val="20"/>
                <w:color w:val="auto"/>
              </w:rPr>
            </w:pPr>
            <w:r>
              <w:rPr>
                <w:rFonts w:ascii="Arial" w:cs="Arial" w:eastAsia="Arial" w:hAnsi="Arial"/>
                <w:sz w:val="17"/>
                <w:szCs w:val="17"/>
                <w:color w:val="auto"/>
              </w:rPr>
              <w:t>Investment in finance affiliate</w:t>
            </w:r>
          </w:p>
        </w:tc>
        <w:tc>
          <w:tcPr>
            <w:tcW w:w="2840" w:type="dxa"/>
            <w:vAlign w:val="bottom"/>
          </w:tcPr>
          <w:p>
            <w:pPr>
              <w:spacing w:after="0"/>
              <w:rPr>
                <w:sz w:val="18"/>
                <w:szCs w:val="18"/>
                <w:color w:val="auto"/>
              </w:rPr>
            </w:pPr>
          </w:p>
        </w:tc>
        <w:tc>
          <w:tcPr>
            <w:tcW w:w="1040" w:type="dxa"/>
            <w:vAlign w:val="bottom"/>
          </w:tcPr>
          <w:p>
            <w:pPr>
              <w:jc w:val="right"/>
              <w:ind w:right="37"/>
              <w:spacing w:after="0"/>
              <w:rPr>
                <w:sz w:val="20"/>
                <w:szCs w:val="20"/>
                <w:color w:val="auto"/>
              </w:rPr>
            </w:pPr>
            <w:r>
              <w:rPr>
                <w:rFonts w:ascii="Arial" w:cs="Arial" w:eastAsia="Arial" w:hAnsi="Arial"/>
                <w:sz w:val="17"/>
                <w:szCs w:val="17"/>
                <w:color w:val="auto"/>
              </w:rPr>
              <w:t>20,671</w:t>
            </w: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19,745</w:t>
            </w:r>
          </w:p>
        </w:tc>
      </w:tr>
      <w:tr>
        <w:trPr>
          <w:trHeight w:val="218"/>
        </w:trPr>
        <w:tc>
          <w:tcPr>
            <w:tcW w:w="20" w:type="dxa"/>
            <w:vAlign w:val="bottom"/>
            <w:shd w:val="clear" w:color="auto" w:fill="CCEEFF"/>
          </w:tcPr>
          <w:p>
            <w:pPr>
              <w:spacing w:after="0"/>
              <w:rPr>
                <w:sz w:val="18"/>
                <w:szCs w:val="18"/>
                <w:color w:val="auto"/>
              </w:rPr>
            </w:pPr>
          </w:p>
        </w:tc>
        <w:tc>
          <w:tcPr>
            <w:tcW w:w="59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Deferred income taxes</w:t>
            </w:r>
          </w:p>
        </w:tc>
        <w:tc>
          <w:tcPr>
            <w:tcW w:w="28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5,800</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6,466</w:t>
            </w:r>
          </w:p>
        </w:tc>
      </w:tr>
      <w:tr>
        <w:trPr>
          <w:trHeight w:val="214"/>
        </w:trPr>
        <w:tc>
          <w:tcPr>
            <w:tcW w:w="20" w:type="dxa"/>
            <w:vAlign w:val="bottom"/>
            <w:tcBorders>
              <w:bottom w:val="single" w:sz="8" w:color="auto"/>
            </w:tcBorders>
          </w:tcPr>
          <w:p>
            <w:pPr>
              <w:spacing w:after="0"/>
              <w:rPr>
                <w:sz w:val="18"/>
                <w:szCs w:val="18"/>
                <w:color w:val="auto"/>
              </w:rPr>
            </w:pPr>
          </w:p>
        </w:tc>
        <w:tc>
          <w:tcPr>
            <w:tcW w:w="592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Other assets</w:t>
            </w:r>
          </w:p>
        </w:tc>
        <w:tc>
          <w:tcPr>
            <w:tcW w:w="28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24,042</w:t>
            </w: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20,318</w:t>
            </w:r>
          </w:p>
        </w:tc>
      </w:tr>
      <w:tr>
        <w:trPr>
          <w:trHeight w:val="235"/>
        </w:trPr>
        <w:tc>
          <w:tcPr>
            <w:tcW w:w="20" w:type="dxa"/>
            <w:vAlign w:val="bottom"/>
            <w:tcBorders>
              <w:bottom w:val="single" w:sz="8" w:color="auto"/>
            </w:tcBorders>
            <w:shd w:val="clear" w:color="auto" w:fill="CCEEFF"/>
          </w:tcPr>
          <w:p>
            <w:pPr>
              <w:spacing w:after="0"/>
              <w:rPr>
                <w:sz w:val="19"/>
                <w:szCs w:val="19"/>
                <w:color w:val="auto"/>
              </w:rPr>
            </w:pPr>
          </w:p>
        </w:tc>
        <w:tc>
          <w:tcPr>
            <w:tcW w:w="592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Total assets</w:t>
            </w:r>
          </w:p>
        </w:tc>
        <w:tc>
          <w:tcPr>
            <w:tcW w:w="28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2,936,140</w:t>
            </w:r>
          </w:p>
        </w:tc>
        <w:tc>
          <w:tcPr>
            <w:tcW w:w="4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2,853,228</w:t>
            </w: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820" w:type="dxa"/>
            <w:vAlign w:val="bottom"/>
            <w:tcBorders>
              <w:top w:val="single" w:sz="8" w:color="CCEEFF"/>
              <w:bottom w:val="single" w:sz="8" w:color="auto"/>
            </w:tcBorders>
          </w:tcPr>
          <w:p>
            <w:pPr>
              <w:spacing w:after="0" w:line="20" w:lineRule="exact"/>
              <w:rPr>
                <w:sz w:val="1"/>
                <w:szCs w:val="1"/>
                <w:color w:val="auto"/>
              </w:rPr>
            </w:pPr>
          </w:p>
        </w:tc>
        <w:tc>
          <w:tcPr>
            <w:tcW w:w="2500" w:type="dxa"/>
            <w:vAlign w:val="bottom"/>
            <w:tcBorders>
              <w:top w:val="single" w:sz="8" w:color="CCEEFF"/>
              <w:bottom w:val="single" w:sz="8" w:color="auto"/>
            </w:tcBorders>
          </w:tcPr>
          <w:p>
            <w:pPr>
              <w:spacing w:after="0" w:line="20" w:lineRule="exact"/>
              <w:rPr>
                <w:sz w:val="1"/>
                <w:szCs w:val="1"/>
                <w:color w:val="auto"/>
              </w:rPr>
            </w:pPr>
          </w:p>
        </w:tc>
        <w:tc>
          <w:tcPr>
            <w:tcW w:w="28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96"/>
        </w:trPr>
        <w:tc>
          <w:tcPr>
            <w:tcW w:w="20" w:type="dxa"/>
            <w:vAlign w:val="bottom"/>
            <w:shd w:val="clear" w:color="auto" w:fill="CCEEFF"/>
          </w:tcPr>
          <w:p>
            <w:pPr>
              <w:spacing w:after="0"/>
              <w:rPr>
                <w:sz w:val="17"/>
                <w:szCs w:val="17"/>
                <w:color w:val="auto"/>
              </w:rPr>
            </w:pPr>
          </w:p>
        </w:tc>
        <w:tc>
          <w:tcPr>
            <w:tcW w:w="5920" w:type="dxa"/>
            <w:vAlign w:val="bottom"/>
            <w:gridSpan w:val="3"/>
            <w:shd w:val="clear" w:color="auto" w:fill="CCEEFF"/>
          </w:tcPr>
          <w:p>
            <w:pPr>
              <w:spacing w:after="0" w:line="176" w:lineRule="exact"/>
              <w:rPr>
                <w:sz w:val="20"/>
                <w:szCs w:val="20"/>
                <w:color w:val="auto"/>
              </w:rPr>
            </w:pPr>
            <w:r>
              <w:rPr>
                <w:rFonts w:ascii="Arial" w:cs="Arial" w:eastAsia="Arial" w:hAnsi="Arial"/>
                <w:sz w:val="17"/>
                <w:szCs w:val="17"/>
                <w:color w:val="auto"/>
              </w:rPr>
              <w:t>LIABILITIES AND STOCKHOLDERS’ EQUITY</w:t>
            </w:r>
          </w:p>
        </w:tc>
        <w:tc>
          <w:tcPr>
            <w:tcW w:w="28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4"/>
        </w:trPr>
        <w:tc>
          <w:tcPr>
            <w:tcW w:w="20" w:type="dxa"/>
            <w:vAlign w:val="bottom"/>
            <w:tcBorders>
              <w:top w:val="single" w:sz="8" w:color="CCEEFF"/>
            </w:tcBorders>
          </w:tcPr>
          <w:p>
            <w:pPr>
              <w:spacing w:after="0"/>
              <w:rPr>
                <w:sz w:val="18"/>
                <w:szCs w:val="18"/>
                <w:color w:val="auto"/>
              </w:rPr>
            </w:pPr>
          </w:p>
        </w:tc>
        <w:tc>
          <w:tcPr>
            <w:tcW w:w="342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Current portion of long-term debt</w:t>
            </w:r>
          </w:p>
        </w:tc>
        <w:tc>
          <w:tcPr>
            <w:tcW w:w="2500" w:type="dxa"/>
            <w:vAlign w:val="bottom"/>
            <w:tcBorders>
              <w:top w:val="single" w:sz="8" w:color="CCEEFF"/>
            </w:tcBorders>
          </w:tcPr>
          <w:p>
            <w:pPr>
              <w:spacing w:after="0"/>
              <w:rPr>
                <w:sz w:val="18"/>
                <w:szCs w:val="18"/>
                <w:color w:val="auto"/>
              </w:rPr>
            </w:pPr>
          </w:p>
        </w:tc>
        <w:tc>
          <w:tcPr>
            <w:tcW w:w="2840" w:type="dxa"/>
            <w:vAlign w:val="bottom"/>
            <w:tcBorders>
              <w:top w:val="single" w:sz="8" w:color="CCEEFF"/>
            </w:tcBorders>
          </w:tcPr>
          <w:p>
            <w:pPr>
              <w:jc w:val="right"/>
              <w:ind w:right="197"/>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CCEEFF"/>
            </w:tcBorders>
          </w:tcPr>
          <w:p>
            <w:pPr>
              <w:jc w:val="right"/>
              <w:ind w:right="37"/>
              <w:spacing w:after="0"/>
              <w:rPr>
                <w:sz w:val="20"/>
                <w:szCs w:val="20"/>
                <w:color w:val="auto"/>
              </w:rPr>
            </w:pPr>
            <w:r>
              <w:rPr>
                <w:rFonts w:ascii="Arial" w:cs="Arial" w:eastAsia="Arial" w:hAnsi="Arial"/>
                <w:sz w:val="17"/>
                <w:szCs w:val="17"/>
                <w:color w:val="auto"/>
              </w:rPr>
              <w:t>—</w:t>
            </w:r>
          </w:p>
        </w:tc>
        <w:tc>
          <w:tcPr>
            <w:tcW w:w="420" w:type="dxa"/>
            <w:vAlign w:val="bottom"/>
            <w:tcBorders>
              <w:top w:val="single" w:sz="8" w:color="CCEEFF"/>
            </w:tcBorders>
          </w:tcPr>
          <w:p>
            <w:pPr>
              <w:jc w:val="right"/>
              <w:ind w:right="177"/>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99,873</w:t>
            </w:r>
          </w:p>
        </w:tc>
      </w:tr>
      <w:tr>
        <w:trPr>
          <w:trHeight w:val="218"/>
        </w:trPr>
        <w:tc>
          <w:tcPr>
            <w:tcW w:w="20" w:type="dxa"/>
            <w:vAlign w:val="bottom"/>
            <w:shd w:val="clear" w:color="auto" w:fill="CCEEFF"/>
          </w:tcPr>
          <w:p>
            <w:pPr>
              <w:spacing w:after="0"/>
              <w:rPr>
                <w:sz w:val="18"/>
                <w:szCs w:val="18"/>
                <w:color w:val="auto"/>
              </w:rPr>
            </w:pPr>
          </w:p>
        </w:tc>
        <w:tc>
          <w:tcPr>
            <w:tcW w:w="59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Accounts payable</w:t>
            </w:r>
          </w:p>
        </w:tc>
        <w:tc>
          <w:tcPr>
            <w:tcW w:w="28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503,116</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363,953</w:t>
            </w:r>
          </w:p>
        </w:tc>
      </w:tr>
      <w:tr>
        <w:trPr>
          <w:trHeight w:val="214"/>
        </w:trPr>
        <w:tc>
          <w:tcPr>
            <w:tcW w:w="20" w:type="dxa"/>
            <w:vAlign w:val="bottom"/>
          </w:tcPr>
          <w:p>
            <w:pPr>
              <w:spacing w:after="0"/>
              <w:rPr>
                <w:sz w:val="18"/>
                <w:szCs w:val="18"/>
                <w:color w:val="auto"/>
              </w:rPr>
            </w:pPr>
          </w:p>
        </w:tc>
        <w:tc>
          <w:tcPr>
            <w:tcW w:w="5920" w:type="dxa"/>
            <w:vAlign w:val="bottom"/>
            <w:gridSpan w:val="3"/>
          </w:tcPr>
          <w:p>
            <w:pPr>
              <w:spacing w:after="0"/>
              <w:rPr>
                <w:sz w:val="20"/>
                <w:szCs w:val="20"/>
                <w:color w:val="auto"/>
              </w:rPr>
            </w:pPr>
            <w:r>
              <w:rPr>
                <w:rFonts w:ascii="Arial" w:cs="Arial" w:eastAsia="Arial" w:hAnsi="Arial"/>
                <w:sz w:val="17"/>
                <w:szCs w:val="17"/>
                <w:color w:val="auto"/>
              </w:rPr>
              <w:t>Accrued liabilities</w:t>
            </w:r>
          </w:p>
        </w:tc>
        <w:tc>
          <w:tcPr>
            <w:tcW w:w="2840" w:type="dxa"/>
            <w:vAlign w:val="bottom"/>
          </w:tcPr>
          <w:p>
            <w:pPr>
              <w:spacing w:after="0"/>
              <w:rPr>
                <w:sz w:val="18"/>
                <w:szCs w:val="18"/>
                <w:color w:val="auto"/>
              </w:rPr>
            </w:pPr>
          </w:p>
        </w:tc>
        <w:tc>
          <w:tcPr>
            <w:tcW w:w="1040" w:type="dxa"/>
            <w:vAlign w:val="bottom"/>
          </w:tcPr>
          <w:p>
            <w:pPr>
              <w:jc w:val="right"/>
              <w:ind w:right="37"/>
              <w:spacing w:after="0"/>
              <w:rPr>
                <w:sz w:val="20"/>
                <w:szCs w:val="20"/>
                <w:color w:val="auto"/>
              </w:rPr>
            </w:pPr>
            <w:r>
              <w:rPr>
                <w:rFonts w:ascii="Arial" w:cs="Arial" w:eastAsia="Arial" w:hAnsi="Arial"/>
                <w:sz w:val="17"/>
                <w:szCs w:val="17"/>
                <w:color w:val="auto"/>
              </w:rPr>
              <w:t>419,620</w:t>
            </w: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376,524</w:t>
            </w: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592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7"/>
                <w:szCs w:val="17"/>
                <w:color w:val="auto"/>
              </w:rPr>
              <w:t>Short-term lease liabilities</w:t>
            </w:r>
          </w:p>
        </w:tc>
        <w:tc>
          <w:tcPr>
            <w:tcW w:w="28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14,283</w:t>
            </w:r>
          </w:p>
        </w:tc>
        <w:tc>
          <w:tcPr>
            <w:tcW w:w="4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15,447</w:t>
            </w:r>
          </w:p>
        </w:tc>
      </w:tr>
      <w:tr>
        <w:trPr>
          <w:trHeight w:val="210"/>
        </w:trPr>
        <w:tc>
          <w:tcPr>
            <w:tcW w:w="20" w:type="dxa"/>
            <w:vAlign w:val="bottom"/>
            <w:tcBorders>
              <w:bottom w:val="single" w:sz="8" w:color="auto"/>
            </w:tcBorders>
          </w:tcPr>
          <w:p>
            <w:pPr>
              <w:spacing w:after="0"/>
              <w:rPr>
                <w:sz w:val="18"/>
                <w:szCs w:val="18"/>
                <w:color w:val="auto"/>
              </w:rPr>
            </w:pPr>
          </w:p>
        </w:tc>
        <w:tc>
          <w:tcPr>
            <w:tcW w:w="5920" w:type="dxa"/>
            <w:vAlign w:val="bottom"/>
            <w:tcBorders>
              <w:bottom w:val="single" w:sz="8" w:color="auto"/>
            </w:tcBorders>
            <w:gridSpan w:val="3"/>
          </w:tcPr>
          <w:p>
            <w:pPr>
              <w:ind w:left="120"/>
              <w:spacing w:after="0"/>
              <w:rPr>
                <w:sz w:val="20"/>
                <w:szCs w:val="20"/>
                <w:color w:val="auto"/>
              </w:rPr>
            </w:pPr>
            <w:r>
              <w:rPr>
                <w:rFonts w:ascii="Arial" w:cs="Arial" w:eastAsia="Arial" w:hAnsi="Arial"/>
                <w:sz w:val="17"/>
                <w:szCs w:val="17"/>
                <w:color w:val="auto"/>
              </w:rPr>
              <w:t>Total current liabilities</w:t>
            </w:r>
          </w:p>
        </w:tc>
        <w:tc>
          <w:tcPr>
            <w:tcW w:w="28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937,019</w:t>
            </w: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855,797</w:t>
            </w:r>
          </w:p>
        </w:tc>
      </w:tr>
      <w:tr>
        <w:trPr>
          <w:trHeight w:val="198"/>
        </w:trPr>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5920" w:type="dxa"/>
            <w:vAlign w:val="bottom"/>
            <w:gridSpan w:val="3"/>
          </w:tcPr>
          <w:p>
            <w:pPr>
              <w:spacing w:after="0"/>
              <w:rPr>
                <w:sz w:val="20"/>
                <w:szCs w:val="20"/>
                <w:color w:val="auto"/>
              </w:rPr>
            </w:pPr>
            <w:r>
              <w:rPr>
                <w:rFonts w:ascii="Arial" w:cs="Arial" w:eastAsia="Arial" w:hAnsi="Arial"/>
                <w:sz w:val="17"/>
                <w:szCs w:val="17"/>
                <w:color w:val="auto"/>
              </w:rPr>
              <w:t>Long-term debt, less current portion</w:t>
            </w:r>
          </w:p>
        </w:tc>
        <w:tc>
          <w:tcPr>
            <w:tcW w:w="2840" w:type="dxa"/>
            <w:vAlign w:val="bottom"/>
          </w:tcPr>
          <w:p>
            <w:pPr>
              <w:spacing w:after="0"/>
              <w:rPr>
                <w:sz w:val="18"/>
                <w:szCs w:val="18"/>
                <w:color w:val="auto"/>
              </w:rPr>
            </w:pPr>
          </w:p>
        </w:tc>
        <w:tc>
          <w:tcPr>
            <w:tcW w:w="1040" w:type="dxa"/>
            <w:vAlign w:val="bottom"/>
          </w:tcPr>
          <w:p>
            <w:pPr>
              <w:jc w:val="right"/>
              <w:ind w:right="37"/>
              <w:spacing w:after="0"/>
              <w:rPr>
                <w:sz w:val="20"/>
                <w:szCs w:val="20"/>
                <w:color w:val="auto"/>
              </w:rPr>
            </w:pPr>
            <w:r>
              <w:rPr>
                <w:rFonts w:ascii="Arial" w:cs="Arial" w:eastAsia="Arial" w:hAnsi="Arial"/>
                <w:sz w:val="17"/>
                <w:szCs w:val="17"/>
                <w:color w:val="auto"/>
              </w:rPr>
              <w:t>691,242</w:t>
            </w: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691,250</w:t>
            </w:r>
          </w:p>
        </w:tc>
      </w:tr>
      <w:tr>
        <w:trPr>
          <w:trHeight w:val="218"/>
        </w:trPr>
        <w:tc>
          <w:tcPr>
            <w:tcW w:w="20" w:type="dxa"/>
            <w:vAlign w:val="bottom"/>
            <w:shd w:val="clear" w:color="auto" w:fill="CCEEFF"/>
          </w:tcPr>
          <w:p>
            <w:pPr>
              <w:spacing w:after="0"/>
              <w:rPr>
                <w:sz w:val="18"/>
                <w:szCs w:val="18"/>
                <w:color w:val="auto"/>
              </w:rPr>
            </w:pPr>
          </w:p>
        </w:tc>
        <w:tc>
          <w:tcPr>
            <w:tcW w:w="59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Long-term lease liabilities</w:t>
            </w:r>
          </w:p>
        </w:tc>
        <w:tc>
          <w:tcPr>
            <w:tcW w:w="28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55,752</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66,641</w:t>
            </w:r>
          </w:p>
        </w:tc>
      </w:tr>
      <w:tr>
        <w:trPr>
          <w:trHeight w:val="214"/>
        </w:trPr>
        <w:tc>
          <w:tcPr>
            <w:tcW w:w="20" w:type="dxa"/>
            <w:vAlign w:val="bottom"/>
          </w:tcPr>
          <w:p>
            <w:pPr>
              <w:spacing w:after="0"/>
              <w:rPr>
                <w:sz w:val="18"/>
                <w:szCs w:val="18"/>
                <w:color w:val="auto"/>
              </w:rPr>
            </w:pPr>
          </w:p>
        </w:tc>
        <w:tc>
          <w:tcPr>
            <w:tcW w:w="5920" w:type="dxa"/>
            <w:vAlign w:val="bottom"/>
            <w:gridSpan w:val="3"/>
          </w:tcPr>
          <w:p>
            <w:pPr>
              <w:spacing w:after="0"/>
              <w:rPr>
                <w:sz w:val="20"/>
                <w:szCs w:val="20"/>
                <w:color w:val="auto"/>
              </w:rPr>
            </w:pPr>
            <w:r>
              <w:rPr>
                <w:rFonts w:ascii="Arial" w:cs="Arial" w:eastAsia="Arial" w:hAnsi="Arial"/>
                <w:sz w:val="17"/>
                <w:szCs w:val="17"/>
                <w:color w:val="auto"/>
              </w:rPr>
              <w:t>Deferred income taxes</w:t>
            </w:r>
          </w:p>
        </w:tc>
        <w:tc>
          <w:tcPr>
            <w:tcW w:w="2840" w:type="dxa"/>
            <w:vAlign w:val="bottom"/>
          </w:tcPr>
          <w:p>
            <w:pPr>
              <w:spacing w:after="0"/>
              <w:rPr>
                <w:sz w:val="18"/>
                <w:szCs w:val="18"/>
                <w:color w:val="auto"/>
              </w:rPr>
            </w:pPr>
          </w:p>
        </w:tc>
        <w:tc>
          <w:tcPr>
            <w:tcW w:w="1040" w:type="dxa"/>
            <w:vAlign w:val="bottom"/>
          </w:tcPr>
          <w:p>
            <w:pPr>
              <w:jc w:val="right"/>
              <w:ind w:right="37"/>
              <w:spacing w:after="0"/>
              <w:rPr>
                <w:sz w:val="20"/>
                <w:szCs w:val="20"/>
                <w:color w:val="auto"/>
              </w:rPr>
            </w:pPr>
            <w:r>
              <w:rPr>
                <w:rFonts w:ascii="Arial" w:cs="Arial" w:eastAsia="Arial" w:hAnsi="Arial"/>
                <w:sz w:val="17"/>
                <w:szCs w:val="17"/>
                <w:color w:val="auto"/>
              </w:rPr>
              <w:t>50,397</w:t>
            </w: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70,435</w:t>
            </w:r>
          </w:p>
        </w:tc>
      </w:tr>
      <w:tr>
        <w:trPr>
          <w:trHeight w:val="218"/>
        </w:trPr>
        <w:tc>
          <w:tcPr>
            <w:tcW w:w="20" w:type="dxa"/>
            <w:vAlign w:val="bottom"/>
            <w:shd w:val="clear" w:color="auto" w:fill="CCEEFF"/>
          </w:tcPr>
          <w:p>
            <w:pPr>
              <w:spacing w:after="0"/>
              <w:rPr>
                <w:sz w:val="18"/>
                <w:szCs w:val="18"/>
                <w:color w:val="auto"/>
              </w:rPr>
            </w:pPr>
          </w:p>
        </w:tc>
        <w:tc>
          <w:tcPr>
            <w:tcW w:w="59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Other long-term liabilities</w:t>
            </w:r>
          </w:p>
        </w:tc>
        <w:tc>
          <w:tcPr>
            <w:tcW w:w="28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50,598</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54,277</w:t>
            </w: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9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Stockholders’ equity:</w:t>
            </w:r>
          </w:p>
        </w:tc>
        <w:tc>
          <w:tcPr>
            <w:tcW w:w="2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5920" w:type="dxa"/>
            <w:vAlign w:val="bottom"/>
            <w:gridSpan w:val="3"/>
          </w:tcPr>
          <w:p>
            <w:pPr>
              <w:ind w:left="120"/>
              <w:spacing w:after="0"/>
              <w:rPr>
                <w:sz w:val="20"/>
                <w:szCs w:val="20"/>
                <w:color w:val="auto"/>
              </w:rPr>
            </w:pPr>
            <w:r>
              <w:rPr>
                <w:rFonts w:ascii="Arial" w:cs="Arial" w:eastAsia="Arial" w:hAnsi="Arial"/>
                <w:sz w:val="17"/>
                <w:szCs w:val="17"/>
                <w:color w:val="auto"/>
              </w:rPr>
              <w:t>Preferred stock</w:t>
            </w:r>
          </w:p>
        </w:tc>
        <w:tc>
          <w:tcPr>
            <w:tcW w:w="2840" w:type="dxa"/>
            <w:vAlign w:val="bottom"/>
          </w:tcPr>
          <w:p>
            <w:pPr>
              <w:spacing w:after="0"/>
              <w:rPr>
                <w:sz w:val="18"/>
                <w:szCs w:val="18"/>
                <w:color w:val="auto"/>
              </w:rPr>
            </w:pPr>
          </w:p>
        </w:tc>
        <w:tc>
          <w:tcPr>
            <w:tcW w:w="104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20" w:type="dxa"/>
            <w:vAlign w:val="bottom"/>
            <w:shd w:val="clear" w:color="auto" w:fill="CCEEFF"/>
          </w:tcPr>
          <w:p>
            <w:pPr>
              <w:spacing w:after="0"/>
              <w:rPr>
                <w:sz w:val="18"/>
                <w:szCs w:val="18"/>
                <w:color w:val="auto"/>
              </w:rPr>
            </w:pPr>
          </w:p>
        </w:tc>
        <w:tc>
          <w:tcPr>
            <w:tcW w:w="59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Common stock</w:t>
            </w:r>
          </w:p>
        </w:tc>
        <w:tc>
          <w:tcPr>
            <w:tcW w:w="28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105,206</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107,583</w:t>
            </w:r>
          </w:p>
        </w:tc>
      </w:tr>
      <w:tr>
        <w:trPr>
          <w:trHeight w:val="214"/>
        </w:trPr>
        <w:tc>
          <w:tcPr>
            <w:tcW w:w="20" w:type="dxa"/>
            <w:vAlign w:val="bottom"/>
          </w:tcPr>
          <w:p>
            <w:pPr>
              <w:spacing w:after="0"/>
              <w:rPr>
                <w:sz w:val="18"/>
                <w:szCs w:val="18"/>
                <w:color w:val="auto"/>
              </w:rPr>
            </w:pPr>
          </w:p>
        </w:tc>
        <w:tc>
          <w:tcPr>
            <w:tcW w:w="5920" w:type="dxa"/>
            <w:vAlign w:val="bottom"/>
            <w:gridSpan w:val="3"/>
          </w:tcPr>
          <w:p>
            <w:pPr>
              <w:ind w:left="120"/>
              <w:spacing w:after="0"/>
              <w:rPr>
                <w:sz w:val="20"/>
                <w:szCs w:val="20"/>
                <w:color w:val="auto"/>
              </w:rPr>
            </w:pPr>
            <w:r>
              <w:rPr>
                <w:rFonts w:ascii="Arial" w:cs="Arial" w:eastAsia="Arial" w:hAnsi="Arial"/>
                <w:sz w:val="17"/>
                <w:szCs w:val="17"/>
                <w:color w:val="auto"/>
              </w:rPr>
              <w:t>Retained earnings</w:t>
            </w:r>
          </w:p>
        </w:tc>
        <w:tc>
          <w:tcPr>
            <w:tcW w:w="2840" w:type="dxa"/>
            <w:vAlign w:val="bottom"/>
          </w:tcPr>
          <w:p>
            <w:pPr>
              <w:spacing w:after="0"/>
              <w:rPr>
                <w:sz w:val="18"/>
                <w:szCs w:val="18"/>
                <w:color w:val="auto"/>
              </w:rPr>
            </w:pPr>
          </w:p>
        </w:tc>
        <w:tc>
          <w:tcPr>
            <w:tcW w:w="1040" w:type="dxa"/>
            <w:vAlign w:val="bottom"/>
          </w:tcPr>
          <w:p>
            <w:pPr>
              <w:jc w:val="right"/>
              <w:ind w:right="37"/>
              <w:spacing w:after="0"/>
              <w:rPr>
                <w:sz w:val="20"/>
                <w:szCs w:val="20"/>
                <w:color w:val="auto"/>
              </w:rPr>
            </w:pPr>
            <w:r>
              <w:rPr>
                <w:rFonts w:ascii="Arial" w:cs="Arial" w:eastAsia="Arial" w:hAnsi="Arial"/>
                <w:sz w:val="17"/>
                <w:szCs w:val="17"/>
                <w:color w:val="auto"/>
              </w:rPr>
              <w:t>1,071,922</w:t>
            </w: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1,041,507</w:t>
            </w: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5920" w:type="dxa"/>
            <w:vAlign w:val="bottom"/>
            <w:tcBorders>
              <w:bottom w:val="single" w:sz="8" w:color="auto"/>
            </w:tcBorders>
            <w:gridSpan w:val="3"/>
            <w:shd w:val="clear" w:color="auto" w:fill="CCEEFF"/>
          </w:tcPr>
          <w:p>
            <w:pPr>
              <w:ind w:left="120"/>
              <w:spacing w:after="0"/>
              <w:rPr>
                <w:sz w:val="20"/>
                <w:szCs w:val="20"/>
                <w:color w:val="auto"/>
              </w:rPr>
            </w:pPr>
            <w:r>
              <w:rPr>
                <w:rFonts w:ascii="Arial" w:cs="Arial" w:eastAsia="Arial" w:hAnsi="Arial"/>
                <w:sz w:val="17"/>
                <w:szCs w:val="17"/>
                <w:color w:val="auto"/>
              </w:rPr>
              <w:t>Accumulated other comprehensive loss</w:t>
            </w:r>
          </w:p>
        </w:tc>
        <w:tc>
          <w:tcPr>
            <w:tcW w:w="28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(25,996)</w:t>
            </w:r>
          </w:p>
        </w:tc>
        <w:tc>
          <w:tcPr>
            <w:tcW w:w="4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(34,262)</w:t>
            </w:r>
          </w:p>
        </w:tc>
      </w:tr>
      <w:tr>
        <w:trPr>
          <w:trHeight w:val="209"/>
        </w:trPr>
        <w:tc>
          <w:tcPr>
            <w:tcW w:w="20" w:type="dxa"/>
            <w:vAlign w:val="bottom"/>
            <w:tcBorders>
              <w:bottom w:val="single" w:sz="8" w:color="auto"/>
            </w:tcBorders>
          </w:tcPr>
          <w:p>
            <w:pPr>
              <w:spacing w:after="0"/>
              <w:rPr>
                <w:sz w:val="18"/>
                <w:szCs w:val="18"/>
                <w:color w:val="auto"/>
              </w:rPr>
            </w:pPr>
          </w:p>
        </w:tc>
        <w:tc>
          <w:tcPr>
            <w:tcW w:w="5920" w:type="dxa"/>
            <w:vAlign w:val="bottom"/>
            <w:tcBorders>
              <w:bottom w:val="single" w:sz="8" w:color="auto"/>
            </w:tcBorders>
            <w:gridSpan w:val="3"/>
          </w:tcPr>
          <w:p>
            <w:pPr>
              <w:ind w:left="220"/>
              <w:spacing w:after="0"/>
              <w:rPr>
                <w:sz w:val="20"/>
                <w:szCs w:val="20"/>
                <w:color w:val="auto"/>
              </w:rPr>
            </w:pPr>
            <w:r>
              <w:rPr>
                <w:rFonts w:ascii="Arial" w:cs="Arial" w:eastAsia="Arial" w:hAnsi="Arial"/>
                <w:sz w:val="17"/>
                <w:szCs w:val="17"/>
                <w:color w:val="auto"/>
              </w:rPr>
              <w:t>Total stockholders’ equity</w:t>
            </w:r>
          </w:p>
        </w:tc>
        <w:tc>
          <w:tcPr>
            <w:tcW w:w="28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1,151,132</w:t>
            </w: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1,114,828</w:t>
            </w:r>
          </w:p>
        </w:tc>
      </w:tr>
      <w:tr>
        <w:trPr>
          <w:trHeight w:val="235"/>
        </w:trPr>
        <w:tc>
          <w:tcPr>
            <w:tcW w:w="20" w:type="dxa"/>
            <w:vAlign w:val="bottom"/>
            <w:tcBorders>
              <w:bottom w:val="single" w:sz="8" w:color="auto"/>
            </w:tcBorders>
            <w:shd w:val="clear" w:color="auto" w:fill="CCEEFF"/>
          </w:tcPr>
          <w:p>
            <w:pPr>
              <w:spacing w:after="0"/>
              <w:rPr>
                <w:sz w:val="19"/>
                <w:szCs w:val="19"/>
                <w:color w:val="auto"/>
              </w:rPr>
            </w:pPr>
          </w:p>
        </w:tc>
        <w:tc>
          <w:tcPr>
            <w:tcW w:w="592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Total liabilities and stockholders’ equity</w:t>
            </w:r>
          </w:p>
        </w:tc>
        <w:tc>
          <w:tcPr>
            <w:tcW w:w="28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2,936,140</w:t>
            </w:r>
          </w:p>
        </w:tc>
        <w:tc>
          <w:tcPr>
            <w:tcW w:w="4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2,853,228</w:t>
            </w: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820" w:type="dxa"/>
            <w:vAlign w:val="bottom"/>
            <w:tcBorders>
              <w:top w:val="single" w:sz="8" w:color="CCEEFF"/>
              <w:bottom w:val="single" w:sz="8" w:color="auto"/>
            </w:tcBorders>
          </w:tcPr>
          <w:p>
            <w:pPr>
              <w:spacing w:after="0" w:line="20" w:lineRule="exact"/>
              <w:rPr>
                <w:sz w:val="1"/>
                <w:szCs w:val="1"/>
                <w:color w:val="auto"/>
              </w:rPr>
            </w:pPr>
          </w:p>
        </w:tc>
        <w:tc>
          <w:tcPr>
            <w:tcW w:w="2500" w:type="dxa"/>
            <w:vAlign w:val="bottom"/>
            <w:tcBorders>
              <w:top w:val="single" w:sz="8" w:color="CCEEFF"/>
              <w:bottom w:val="single" w:sz="8" w:color="auto"/>
            </w:tcBorders>
          </w:tcPr>
          <w:p>
            <w:pPr>
              <w:spacing w:after="0" w:line="20" w:lineRule="exact"/>
              <w:rPr>
                <w:sz w:val="1"/>
                <w:szCs w:val="1"/>
                <w:color w:val="auto"/>
              </w:rPr>
            </w:pPr>
          </w:p>
        </w:tc>
        <w:tc>
          <w:tcPr>
            <w:tcW w:w="28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827" w:right="339" w:bottom="1440" w:gutter="0" w:footer="0" w:header="0"/>
        </w:sectPr>
      </w:pPr>
    </w:p>
    <w:bookmarkStart w:id="12" w:name="page13"/>
    <w:bookmarkEnd w:id="12"/>
    <w:p>
      <w:pPr>
        <w:ind w:left="20"/>
        <w:spacing w:after="0"/>
        <w:rPr>
          <w:sz w:val="20"/>
          <w:szCs w:val="20"/>
          <w:color w:val="auto"/>
        </w:rPr>
      </w:pPr>
      <w:r>
        <w:rPr>
          <w:rFonts w:ascii="Arial" w:cs="Arial" w:eastAsia="Arial" w:hAnsi="Arial"/>
          <w:sz w:val="18"/>
          <w:szCs w:val="18"/>
          <w:color w:val="auto"/>
        </w:rPr>
        <w:t>9 - The Toro Company Reports Record Full-Year Fiscal 2021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TORO COMPANY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Cash Flows (Unaudited)</w:t>
      </w:r>
    </w:p>
    <w:p>
      <w:pPr>
        <w:jc w:val="center"/>
        <w:spacing w:after="0"/>
        <w:rPr>
          <w:sz w:val="20"/>
          <w:szCs w:val="20"/>
          <w:color w:val="auto"/>
        </w:rPr>
      </w:pPr>
      <w:r>
        <w:rPr>
          <w:rFonts w:ascii="Arial" w:cs="Arial" w:eastAsia="Arial" w:hAnsi="Arial"/>
          <w:sz w:val="20"/>
          <w:szCs w:val="20"/>
          <w:b w:val="1"/>
          <w:bCs w:val="1"/>
          <w:color w:val="auto"/>
        </w:rPr>
        <w:t>(Dollars in thousands)</w:t>
      </w:r>
    </w:p>
    <w:p>
      <w:pPr>
        <w:spacing w:after="0" w:line="104" w:lineRule="exact"/>
        <w:rPr>
          <w:sz w:val="20"/>
          <w:szCs w:val="20"/>
          <w:color w:val="auto"/>
        </w:rPr>
      </w:pPr>
    </w:p>
    <w:p>
      <w:pPr>
        <w:ind w:left="9020"/>
        <w:spacing w:after="0"/>
        <w:rPr>
          <w:sz w:val="20"/>
          <w:szCs w:val="20"/>
          <w:color w:val="auto"/>
        </w:rPr>
      </w:pPr>
      <w:r>
        <w:rPr>
          <w:rFonts w:ascii="Arial" w:cs="Arial" w:eastAsia="Arial" w:hAnsi="Arial"/>
          <w:sz w:val="17"/>
          <w:szCs w:val="17"/>
          <w:b w:val="1"/>
          <w:bCs w:val="1"/>
          <w:color w:val="auto"/>
        </w:rPr>
        <w:t>Twelve Months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960" w:type="dxa"/>
            <w:vAlign w:val="bottom"/>
            <w:tcBorders>
              <w:top w:val="single" w:sz="8" w:color="auto"/>
              <w:bottom w:val="single" w:sz="8" w:color="auto"/>
            </w:tcBorders>
          </w:tcPr>
          <w:p>
            <w:pPr>
              <w:spacing w:after="0"/>
              <w:rPr>
                <w:sz w:val="18"/>
                <w:szCs w:val="18"/>
                <w:color w:val="auto"/>
              </w:rPr>
            </w:pPr>
          </w:p>
        </w:tc>
        <w:tc>
          <w:tcPr>
            <w:tcW w:w="2860" w:type="dxa"/>
            <w:vAlign w:val="bottom"/>
            <w:tcBorders>
              <w:top w:val="single" w:sz="8" w:color="auto"/>
              <w:bottom w:val="single" w:sz="8" w:color="auto"/>
            </w:tcBorders>
            <w:gridSpan w:val="2"/>
          </w:tcPr>
          <w:p>
            <w:pPr>
              <w:jc w:val="right"/>
              <w:ind w:right="57"/>
              <w:spacing w:after="0"/>
              <w:rPr>
                <w:sz w:val="20"/>
                <w:szCs w:val="20"/>
                <w:color w:val="auto"/>
              </w:rPr>
            </w:pPr>
            <w:r>
              <w:rPr>
                <w:rFonts w:ascii="Arial" w:cs="Arial" w:eastAsia="Arial" w:hAnsi="Arial"/>
                <w:sz w:val="17"/>
                <w:szCs w:val="17"/>
                <w:b w:val="1"/>
                <w:bCs w:val="1"/>
                <w:color w:val="auto"/>
              </w:rPr>
              <w:t>October 31, 2021</w:t>
            </w:r>
          </w:p>
        </w:tc>
        <w:tc>
          <w:tcPr>
            <w:tcW w:w="1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6"/>
              </w:rPr>
              <w:t>October 31, 2020</w:t>
            </w:r>
          </w:p>
        </w:tc>
      </w:tr>
      <w:tr>
        <w:trPr>
          <w:trHeight w:val="209"/>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operating activities:</w:t>
            </w:r>
          </w:p>
        </w:tc>
        <w:tc>
          <w:tcPr>
            <w:tcW w:w="18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4"/>
        </w:trPr>
        <w:tc>
          <w:tcPr>
            <w:tcW w:w="6960" w:type="dxa"/>
            <w:vAlign w:val="bottom"/>
          </w:tcPr>
          <w:p>
            <w:pPr>
              <w:ind w:left="20"/>
              <w:spacing w:after="0"/>
              <w:rPr>
                <w:sz w:val="20"/>
                <w:szCs w:val="20"/>
                <w:color w:val="auto"/>
              </w:rPr>
            </w:pPr>
            <w:r>
              <w:rPr>
                <w:rFonts w:ascii="Arial" w:cs="Arial" w:eastAsia="Arial" w:hAnsi="Arial"/>
                <w:sz w:val="17"/>
                <w:szCs w:val="17"/>
                <w:color w:val="auto"/>
              </w:rPr>
              <w:t>Net earnings</w:t>
            </w:r>
          </w:p>
        </w:tc>
        <w:tc>
          <w:tcPr>
            <w:tcW w:w="1840" w:type="dxa"/>
            <w:vAlign w:val="bottom"/>
          </w:tcPr>
          <w:p>
            <w:pPr>
              <w:jc w:val="right"/>
              <w:ind w:right="217"/>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37"/>
              <w:spacing w:after="0"/>
              <w:rPr>
                <w:sz w:val="20"/>
                <w:szCs w:val="20"/>
                <w:color w:val="auto"/>
              </w:rPr>
            </w:pPr>
            <w:r>
              <w:rPr>
                <w:rFonts w:ascii="Arial" w:cs="Arial" w:eastAsia="Arial" w:hAnsi="Arial"/>
                <w:sz w:val="17"/>
                <w:szCs w:val="17"/>
                <w:color w:val="auto"/>
              </w:rPr>
              <w:t>409,880</w:t>
            </w:r>
          </w:p>
        </w:tc>
        <w:tc>
          <w:tcPr>
            <w:tcW w:w="440" w:type="dxa"/>
            <w:vAlign w:val="bottom"/>
          </w:tcPr>
          <w:p>
            <w:pPr>
              <w:jc w:val="right"/>
              <w:ind w:right="197"/>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329,701</w:t>
            </w:r>
          </w:p>
        </w:tc>
      </w:tr>
      <w:tr>
        <w:trPr>
          <w:trHeight w:val="218"/>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reconcile net earnings to net cash provided by operating activities:</w:t>
            </w:r>
          </w:p>
        </w:tc>
        <w:tc>
          <w:tcPr>
            <w:tcW w:w="18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4"/>
        </w:trPr>
        <w:tc>
          <w:tcPr>
            <w:tcW w:w="6960" w:type="dxa"/>
            <w:vAlign w:val="bottom"/>
          </w:tcPr>
          <w:p>
            <w:pPr>
              <w:ind w:left="140"/>
              <w:spacing w:after="0"/>
              <w:rPr>
                <w:sz w:val="20"/>
                <w:szCs w:val="20"/>
                <w:color w:val="auto"/>
              </w:rPr>
            </w:pPr>
            <w:r>
              <w:rPr>
                <w:rFonts w:ascii="Arial" w:cs="Arial" w:eastAsia="Arial" w:hAnsi="Arial"/>
                <w:sz w:val="17"/>
                <w:szCs w:val="17"/>
                <w:color w:val="auto"/>
              </w:rPr>
              <w:t>Non-cash income from finance affiliate</w:t>
            </w:r>
          </w:p>
        </w:tc>
        <w:tc>
          <w:tcPr>
            <w:tcW w:w="18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(5,704)</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(7,663)</w:t>
            </w:r>
          </w:p>
        </w:tc>
      </w:tr>
      <w:tr>
        <w:trPr>
          <w:trHeight w:val="218"/>
        </w:trPr>
        <w:tc>
          <w:tcPr>
            <w:tcW w:w="69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Distributions from finance affiliate, net</w:t>
            </w:r>
          </w:p>
        </w:tc>
        <w:tc>
          <w:tcPr>
            <w:tcW w:w="18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4,779</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12,066</w:t>
            </w:r>
          </w:p>
        </w:tc>
      </w:tr>
      <w:tr>
        <w:trPr>
          <w:trHeight w:val="214"/>
        </w:trPr>
        <w:tc>
          <w:tcPr>
            <w:tcW w:w="6960" w:type="dxa"/>
            <w:vAlign w:val="bottom"/>
          </w:tcPr>
          <w:p>
            <w:pPr>
              <w:ind w:left="140"/>
              <w:spacing w:after="0"/>
              <w:rPr>
                <w:sz w:val="20"/>
                <w:szCs w:val="20"/>
                <w:color w:val="auto"/>
              </w:rPr>
            </w:pPr>
            <w:r>
              <w:rPr>
                <w:rFonts w:ascii="Arial" w:cs="Arial" w:eastAsia="Arial" w:hAnsi="Arial"/>
                <w:sz w:val="17"/>
                <w:szCs w:val="17"/>
                <w:color w:val="auto"/>
              </w:rPr>
              <w:t>Depreciation of property, plant and equipment</w:t>
            </w:r>
          </w:p>
        </w:tc>
        <w:tc>
          <w:tcPr>
            <w:tcW w:w="1840" w:type="dxa"/>
            <w:vAlign w:val="bottom"/>
          </w:tcPr>
          <w:p>
            <w:pPr>
              <w:spacing w:after="0"/>
              <w:rPr>
                <w:sz w:val="18"/>
                <w:szCs w:val="18"/>
                <w:color w:val="auto"/>
              </w:rPr>
            </w:pPr>
          </w:p>
        </w:tc>
        <w:tc>
          <w:tcPr>
            <w:tcW w:w="1020" w:type="dxa"/>
            <w:vAlign w:val="bottom"/>
          </w:tcPr>
          <w:p>
            <w:pPr>
              <w:jc w:val="right"/>
              <w:ind w:right="37"/>
              <w:spacing w:after="0"/>
              <w:rPr>
                <w:sz w:val="20"/>
                <w:szCs w:val="20"/>
                <w:color w:val="auto"/>
              </w:rPr>
            </w:pPr>
            <w:r>
              <w:rPr>
                <w:rFonts w:ascii="Arial" w:cs="Arial" w:eastAsia="Arial" w:hAnsi="Arial"/>
                <w:sz w:val="17"/>
                <w:szCs w:val="17"/>
                <w:color w:val="auto"/>
              </w:rPr>
              <w:t>75,468</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76,108</w:t>
            </w:r>
          </w:p>
        </w:tc>
      </w:tr>
      <w:tr>
        <w:trPr>
          <w:trHeight w:val="218"/>
        </w:trPr>
        <w:tc>
          <w:tcPr>
            <w:tcW w:w="69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Amortization of other intangible assets</w:t>
            </w:r>
          </w:p>
        </w:tc>
        <w:tc>
          <w:tcPr>
            <w:tcW w:w="18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23,848</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19,507</w:t>
            </w:r>
          </w:p>
        </w:tc>
      </w:tr>
      <w:tr>
        <w:trPr>
          <w:trHeight w:val="214"/>
        </w:trPr>
        <w:tc>
          <w:tcPr>
            <w:tcW w:w="6960" w:type="dxa"/>
            <w:vAlign w:val="bottom"/>
          </w:tcPr>
          <w:p>
            <w:pPr>
              <w:ind w:left="140"/>
              <w:spacing w:after="0"/>
              <w:rPr>
                <w:sz w:val="20"/>
                <w:szCs w:val="20"/>
                <w:color w:val="auto"/>
              </w:rPr>
            </w:pPr>
            <w:r>
              <w:rPr>
                <w:rFonts w:ascii="Arial" w:cs="Arial" w:eastAsia="Arial" w:hAnsi="Arial"/>
                <w:sz w:val="17"/>
                <w:szCs w:val="17"/>
                <w:color w:val="auto"/>
              </w:rPr>
              <w:t>Fair value step-up adjustment to acquired inventory</w:t>
            </w:r>
          </w:p>
        </w:tc>
        <w:tc>
          <w:tcPr>
            <w:tcW w:w="1840" w:type="dxa"/>
            <w:vAlign w:val="bottom"/>
          </w:tcPr>
          <w:p>
            <w:pPr>
              <w:spacing w:after="0"/>
              <w:rPr>
                <w:sz w:val="18"/>
                <w:szCs w:val="18"/>
                <w:color w:val="auto"/>
              </w:rPr>
            </w:pPr>
          </w:p>
        </w:tc>
        <w:tc>
          <w:tcPr>
            <w:tcW w:w="102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3,951</w:t>
            </w:r>
          </w:p>
        </w:tc>
      </w:tr>
      <w:tr>
        <w:trPr>
          <w:trHeight w:val="218"/>
        </w:trPr>
        <w:tc>
          <w:tcPr>
            <w:tcW w:w="69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Stock-based compensation expense</w:t>
            </w:r>
          </w:p>
        </w:tc>
        <w:tc>
          <w:tcPr>
            <w:tcW w:w="18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21,809</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15,408</w:t>
            </w:r>
          </w:p>
        </w:tc>
      </w:tr>
      <w:tr>
        <w:trPr>
          <w:trHeight w:val="214"/>
        </w:trPr>
        <w:tc>
          <w:tcPr>
            <w:tcW w:w="6960" w:type="dxa"/>
            <w:vAlign w:val="bottom"/>
          </w:tcPr>
          <w:p>
            <w:pPr>
              <w:ind w:left="140"/>
              <w:spacing w:after="0"/>
              <w:rPr>
                <w:sz w:val="20"/>
                <w:szCs w:val="20"/>
                <w:color w:val="auto"/>
              </w:rPr>
            </w:pPr>
            <w:r>
              <w:rPr>
                <w:rFonts w:ascii="Arial" w:cs="Arial" w:eastAsia="Arial" w:hAnsi="Arial"/>
                <w:sz w:val="17"/>
                <w:szCs w:val="17"/>
                <w:color w:val="auto"/>
              </w:rPr>
              <w:t>Deferred income taxes</w:t>
            </w:r>
          </w:p>
        </w:tc>
        <w:tc>
          <w:tcPr>
            <w:tcW w:w="18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(22,899)</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2,269</w:t>
            </w:r>
          </w:p>
        </w:tc>
      </w:tr>
      <w:tr>
        <w:trPr>
          <w:trHeight w:val="218"/>
        </w:trPr>
        <w:tc>
          <w:tcPr>
            <w:tcW w:w="69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w:t>
            </w:r>
          </w:p>
        </w:tc>
        <w:tc>
          <w:tcPr>
            <w:tcW w:w="18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457</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492</w:t>
            </w:r>
          </w:p>
        </w:tc>
      </w:tr>
      <w:tr>
        <w:trPr>
          <w:trHeight w:val="214"/>
        </w:trPr>
        <w:tc>
          <w:tcPr>
            <w:tcW w:w="6960" w:type="dxa"/>
            <w:vAlign w:val="bottom"/>
          </w:tcPr>
          <w:p>
            <w:pPr>
              <w:ind w:left="20"/>
              <w:spacing w:after="0"/>
              <w:rPr>
                <w:sz w:val="20"/>
                <w:szCs w:val="20"/>
                <w:color w:val="auto"/>
              </w:rPr>
            </w:pPr>
            <w:r>
              <w:rPr>
                <w:rFonts w:ascii="Arial" w:cs="Arial" w:eastAsia="Arial" w:hAnsi="Arial"/>
                <w:sz w:val="17"/>
                <w:szCs w:val="17"/>
                <w:color w:val="auto"/>
              </w:rPr>
              <w:t>Changes in operating assets and liabilities, net of the effect of acquisitions:</w:t>
            </w:r>
          </w:p>
        </w:tc>
        <w:tc>
          <w:tcPr>
            <w:tcW w:w="1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8"/>
        </w:trPr>
        <w:tc>
          <w:tcPr>
            <w:tcW w:w="69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Receivables, net</w:t>
            </w:r>
          </w:p>
        </w:tc>
        <w:tc>
          <w:tcPr>
            <w:tcW w:w="18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(52,260)</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15,206</w:t>
            </w:r>
          </w:p>
        </w:tc>
      </w:tr>
      <w:tr>
        <w:trPr>
          <w:trHeight w:val="214"/>
        </w:trPr>
        <w:tc>
          <w:tcPr>
            <w:tcW w:w="6960" w:type="dxa"/>
            <w:vAlign w:val="bottom"/>
          </w:tcPr>
          <w:p>
            <w:pPr>
              <w:ind w:left="140"/>
              <w:spacing w:after="0"/>
              <w:rPr>
                <w:sz w:val="20"/>
                <w:szCs w:val="20"/>
                <w:color w:val="auto"/>
              </w:rPr>
            </w:pPr>
            <w:r>
              <w:rPr>
                <w:rFonts w:ascii="Arial" w:cs="Arial" w:eastAsia="Arial" w:hAnsi="Arial"/>
                <w:sz w:val="17"/>
                <w:szCs w:val="17"/>
                <w:color w:val="auto"/>
              </w:rPr>
              <w:t>Inventories, net</w:t>
            </w:r>
          </w:p>
        </w:tc>
        <w:tc>
          <w:tcPr>
            <w:tcW w:w="18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(98,266)</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20,963</w:t>
            </w:r>
          </w:p>
        </w:tc>
      </w:tr>
      <w:tr>
        <w:trPr>
          <w:trHeight w:val="218"/>
        </w:trPr>
        <w:tc>
          <w:tcPr>
            <w:tcW w:w="69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Prepaid expenses and other assets</w:t>
            </w:r>
          </w:p>
        </w:tc>
        <w:tc>
          <w:tcPr>
            <w:tcW w:w="18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2,953</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11,828</w:t>
            </w:r>
          </w:p>
        </w:tc>
      </w:tr>
      <w:tr>
        <w:trPr>
          <w:trHeight w:val="214"/>
        </w:trPr>
        <w:tc>
          <w:tcPr>
            <w:tcW w:w="69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Accounts payable, accrued liabilities, and other liabilities</w:t>
            </w:r>
          </w:p>
        </w:tc>
        <w:tc>
          <w:tcPr>
            <w:tcW w:w="18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195,404</w:t>
            </w: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39,538</w:t>
            </w:r>
          </w:p>
        </w:tc>
      </w:tr>
      <w:tr>
        <w:trPr>
          <w:trHeight w:val="209"/>
        </w:trPr>
        <w:tc>
          <w:tcPr>
            <w:tcW w:w="69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Net cash provided by operating activities</w:t>
            </w:r>
          </w:p>
        </w:tc>
        <w:tc>
          <w:tcPr>
            <w:tcW w:w="18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555,469</w:t>
            </w: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539,374</w:t>
            </w:r>
          </w:p>
        </w:tc>
      </w:tr>
      <w:tr>
        <w:trPr>
          <w:trHeight w:val="198"/>
        </w:trPr>
        <w:tc>
          <w:tcPr>
            <w:tcW w:w="69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investing activities:</w:t>
            </w:r>
          </w:p>
        </w:tc>
        <w:tc>
          <w:tcPr>
            <w:tcW w:w="18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4"/>
        </w:trPr>
        <w:tc>
          <w:tcPr>
            <w:tcW w:w="6960" w:type="dxa"/>
            <w:vAlign w:val="bottom"/>
          </w:tcPr>
          <w:p>
            <w:pPr>
              <w:ind w:left="140"/>
              <w:spacing w:after="0"/>
              <w:rPr>
                <w:sz w:val="20"/>
                <w:szCs w:val="20"/>
                <w:color w:val="auto"/>
              </w:rPr>
            </w:pPr>
            <w:r>
              <w:rPr>
                <w:rFonts w:ascii="Arial" w:cs="Arial" w:eastAsia="Arial" w:hAnsi="Arial"/>
                <w:sz w:val="17"/>
                <w:szCs w:val="17"/>
                <w:color w:val="auto"/>
              </w:rPr>
              <w:t>Purchases of property, plant and equipment</w:t>
            </w:r>
          </w:p>
        </w:tc>
        <w:tc>
          <w:tcPr>
            <w:tcW w:w="18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(104,012)</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(78,068)</w:t>
            </w:r>
          </w:p>
        </w:tc>
      </w:tr>
      <w:tr>
        <w:trPr>
          <w:trHeight w:val="218"/>
        </w:trPr>
        <w:tc>
          <w:tcPr>
            <w:tcW w:w="69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Business combinations, net of cash acquired</w:t>
            </w:r>
          </w:p>
        </w:tc>
        <w:tc>
          <w:tcPr>
            <w:tcW w:w="18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(24,883)</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(138,225)</w:t>
            </w:r>
          </w:p>
        </w:tc>
      </w:tr>
      <w:tr>
        <w:trPr>
          <w:trHeight w:val="214"/>
        </w:trPr>
        <w:tc>
          <w:tcPr>
            <w:tcW w:w="6960" w:type="dxa"/>
            <w:vAlign w:val="bottom"/>
          </w:tcPr>
          <w:p>
            <w:pPr>
              <w:ind w:left="140"/>
              <w:spacing w:after="0"/>
              <w:rPr>
                <w:sz w:val="20"/>
                <w:szCs w:val="20"/>
                <w:color w:val="auto"/>
              </w:rPr>
            </w:pPr>
            <w:r>
              <w:rPr>
                <w:rFonts w:ascii="Arial" w:cs="Arial" w:eastAsia="Arial" w:hAnsi="Arial"/>
                <w:sz w:val="17"/>
                <w:szCs w:val="17"/>
                <w:color w:val="auto"/>
              </w:rPr>
              <w:t>Asset acquisitions, net of cash acquired</w:t>
            </w:r>
          </w:p>
        </w:tc>
        <w:tc>
          <w:tcPr>
            <w:tcW w:w="18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(27,176)</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69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asset disposals</w:t>
            </w:r>
          </w:p>
        </w:tc>
        <w:tc>
          <w:tcPr>
            <w:tcW w:w="18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1,035</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w:t>
            </w:r>
          </w:p>
        </w:tc>
      </w:tr>
      <w:tr>
        <w:trPr>
          <w:trHeight w:val="214"/>
        </w:trPr>
        <w:tc>
          <w:tcPr>
            <w:tcW w:w="69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Proceeds from sale of a business</w:t>
            </w:r>
          </w:p>
        </w:tc>
        <w:tc>
          <w:tcPr>
            <w:tcW w:w="18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26,584</w:t>
            </w: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0"/>
        </w:trPr>
        <w:tc>
          <w:tcPr>
            <w:tcW w:w="69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Net cash used in investing activities</w:t>
            </w:r>
          </w:p>
        </w:tc>
        <w:tc>
          <w:tcPr>
            <w:tcW w:w="18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(128,452)</w:t>
            </w: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(216,077)</w:t>
            </w:r>
          </w:p>
        </w:tc>
      </w:tr>
      <w:tr>
        <w:trPr>
          <w:trHeight w:val="198"/>
        </w:trPr>
        <w:tc>
          <w:tcPr>
            <w:tcW w:w="69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financing activities:</w:t>
            </w:r>
          </w:p>
        </w:tc>
        <w:tc>
          <w:tcPr>
            <w:tcW w:w="18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4"/>
        </w:trPr>
        <w:tc>
          <w:tcPr>
            <w:tcW w:w="6960" w:type="dxa"/>
            <w:vAlign w:val="bottom"/>
          </w:tcPr>
          <w:p>
            <w:pPr>
              <w:ind w:left="140"/>
              <w:spacing w:after="0"/>
              <w:rPr>
                <w:sz w:val="20"/>
                <w:szCs w:val="20"/>
                <w:color w:val="auto"/>
              </w:rPr>
            </w:pPr>
            <w:r>
              <w:rPr>
                <w:rFonts w:ascii="Arial" w:cs="Arial" w:eastAsia="Arial" w:hAnsi="Arial"/>
                <w:sz w:val="17"/>
                <w:szCs w:val="17"/>
                <w:color w:val="auto"/>
              </w:rPr>
              <w:t>Borrowings under debt arrangements</w:t>
            </w:r>
          </w:p>
        </w:tc>
        <w:tc>
          <w:tcPr>
            <w:tcW w:w="1840" w:type="dxa"/>
            <w:vAlign w:val="bottom"/>
          </w:tcPr>
          <w:p>
            <w:pPr>
              <w:spacing w:after="0"/>
              <w:rPr>
                <w:sz w:val="18"/>
                <w:szCs w:val="18"/>
                <w:color w:val="auto"/>
              </w:rPr>
            </w:pPr>
          </w:p>
        </w:tc>
        <w:tc>
          <w:tcPr>
            <w:tcW w:w="1020" w:type="dxa"/>
            <w:vAlign w:val="bottom"/>
          </w:tcPr>
          <w:p>
            <w:pPr>
              <w:jc w:val="right"/>
              <w:ind w:right="37"/>
              <w:spacing w:after="0"/>
              <w:rPr>
                <w:sz w:val="20"/>
                <w:szCs w:val="20"/>
                <w:color w:val="auto"/>
              </w:rPr>
            </w:pPr>
            <w:r>
              <w:rPr>
                <w:rFonts w:ascii="Arial" w:cs="Arial" w:eastAsia="Arial" w:hAnsi="Arial"/>
                <w:sz w:val="17"/>
                <w:szCs w:val="17"/>
                <w:color w:val="auto"/>
              </w:rPr>
              <w:t>270,000</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636,025</w:t>
            </w:r>
          </w:p>
        </w:tc>
      </w:tr>
      <w:tr>
        <w:trPr>
          <w:trHeight w:val="218"/>
        </w:trPr>
        <w:tc>
          <w:tcPr>
            <w:tcW w:w="69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Repayments under debt arrangements</w:t>
            </w:r>
          </w:p>
        </w:tc>
        <w:tc>
          <w:tcPr>
            <w:tcW w:w="18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(370,000)</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(546,025)</w:t>
            </w:r>
          </w:p>
        </w:tc>
      </w:tr>
      <w:tr>
        <w:trPr>
          <w:trHeight w:val="214"/>
        </w:trPr>
        <w:tc>
          <w:tcPr>
            <w:tcW w:w="6960" w:type="dxa"/>
            <w:vAlign w:val="bottom"/>
          </w:tcPr>
          <w:p>
            <w:pPr>
              <w:ind w:left="140"/>
              <w:spacing w:after="0"/>
              <w:rPr>
                <w:sz w:val="20"/>
                <w:szCs w:val="20"/>
                <w:color w:val="auto"/>
              </w:rPr>
            </w:pPr>
            <w:r>
              <w:rPr>
                <w:rFonts w:ascii="Arial" w:cs="Arial" w:eastAsia="Arial" w:hAnsi="Arial"/>
                <w:sz w:val="17"/>
                <w:szCs w:val="17"/>
                <w:color w:val="auto"/>
              </w:rPr>
              <w:t>Proceeds from exercise of stock options</w:t>
            </w:r>
          </w:p>
        </w:tc>
        <w:tc>
          <w:tcPr>
            <w:tcW w:w="1840" w:type="dxa"/>
            <w:vAlign w:val="bottom"/>
          </w:tcPr>
          <w:p>
            <w:pPr>
              <w:spacing w:after="0"/>
              <w:rPr>
                <w:sz w:val="18"/>
                <w:szCs w:val="18"/>
                <w:color w:val="auto"/>
              </w:rPr>
            </w:pPr>
          </w:p>
        </w:tc>
        <w:tc>
          <w:tcPr>
            <w:tcW w:w="1020" w:type="dxa"/>
            <w:vAlign w:val="bottom"/>
          </w:tcPr>
          <w:p>
            <w:pPr>
              <w:jc w:val="right"/>
              <w:ind w:right="37"/>
              <w:spacing w:after="0"/>
              <w:rPr>
                <w:sz w:val="20"/>
                <w:szCs w:val="20"/>
                <w:color w:val="auto"/>
              </w:rPr>
            </w:pPr>
            <w:r>
              <w:rPr>
                <w:rFonts w:ascii="Arial" w:cs="Arial" w:eastAsia="Arial" w:hAnsi="Arial"/>
                <w:sz w:val="17"/>
                <w:szCs w:val="17"/>
                <w:color w:val="auto"/>
              </w:rPr>
              <w:t>13,100</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22,198</w:t>
            </w:r>
          </w:p>
        </w:tc>
      </w:tr>
      <w:tr>
        <w:trPr>
          <w:trHeight w:val="218"/>
        </w:trPr>
        <w:tc>
          <w:tcPr>
            <w:tcW w:w="69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Payments of withholding taxes for stock awards</w:t>
            </w:r>
          </w:p>
        </w:tc>
        <w:tc>
          <w:tcPr>
            <w:tcW w:w="18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(2,037)</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(2,146)</w:t>
            </w:r>
          </w:p>
        </w:tc>
      </w:tr>
      <w:tr>
        <w:trPr>
          <w:trHeight w:val="214"/>
        </w:trPr>
        <w:tc>
          <w:tcPr>
            <w:tcW w:w="6960" w:type="dxa"/>
            <w:vAlign w:val="bottom"/>
          </w:tcPr>
          <w:p>
            <w:pPr>
              <w:ind w:left="140"/>
              <w:spacing w:after="0"/>
              <w:rPr>
                <w:sz w:val="20"/>
                <w:szCs w:val="20"/>
                <w:color w:val="auto"/>
              </w:rPr>
            </w:pPr>
            <w:r>
              <w:rPr>
                <w:rFonts w:ascii="Arial" w:cs="Arial" w:eastAsia="Arial" w:hAnsi="Arial"/>
                <w:sz w:val="17"/>
                <w:szCs w:val="17"/>
                <w:color w:val="auto"/>
              </w:rPr>
              <w:t>Purchases of TTC common stock</w:t>
            </w:r>
          </w:p>
        </w:tc>
        <w:tc>
          <w:tcPr>
            <w:tcW w:w="18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(302,274)</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69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Dividends paid on TTC common stock</w:t>
            </w:r>
          </w:p>
        </w:tc>
        <w:tc>
          <w:tcPr>
            <w:tcW w:w="18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(112,440)</w:t>
            </w: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(107,698)</w:t>
            </w:r>
          </w:p>
        </w:tc>
      </w:tr>
      <w:tr>
        <w:trPr>
          <w:trHeight w:val="210"/>
        </w:trPr>
        <w:tc>
          <w:tcPr>
            <w:tcW w:w="696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Net cash (used in) provided by financing activities</w:t>
            </w:r>
          </w:p>
        </w:tc>
        <w:tc>
          <w:tcPr>
            <w:tcW w:w="18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(503,651)</w:t>
            </w: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2,354</w:t>
            </w:r>
          </w:p>
        </w:tc>
      </w:tr>
      <w:tr>
        <w:trPr>
          <w:trHeight w:val="198"/>
        </w:trPr>
        <w:tc>
          <w:tcPr>
            <w:tcW w:w="696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4"/>
        </w:trPr>
        <w:tc>
          <w:tcPr>
            <w:tcW w:w="69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Effect of exchange rates on cash and cash equivalents</w:t>
            </w:r>
          </w:p>
        </w:tc>
        <w:tc>
          <w:tcPr>
            <w:tcW w:w="18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2,354</w:t>
            </w: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2,413</w:t>
            </w:r>
          </w:p>
        </w:tc>
      </w:tr>
      <w:tr>
        <w:trPr>
          <w:trHeight w:val="198"/>
        </w:trPr>
        <w:tc>
          <w:tcPr>
            <w:tcW w:w="696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4"/>
        </w:trPr>
        <w:tc>
          <w:tcPr>
            <w:tcW w:w="69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Net (decrease) increase in cash and cash equivalents</w:t>
            </w:r>
          </w:p>
        </w:tc>
        <w:tc>
          <w:tcPr>
            <w:tcW w:w="18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(74,280)</w:t>
            </w: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328,064</w:t>
            </w:r>
          </w:p>
        </w:tc>
      </w:tr>
      <w:tr>
        <w:trPr>
          <w:trHeight w:val="210"/>
        </w:trPr>
        <w:tc>
          <w:tcPr>
            <w:tcW w:w="6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 as of the beginning of the fiscal period</w:t>
            </w:r>
          </w:p>
        </w:tc>
        <w:tc>
          <w:tcPr>
            <w:tcW w:w="18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479,892</w:t>
            </w: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151,828</w:t>
            </w:r>
          </w:p>
        </w:tc>
      </w:tr>
      <w:tr>
        <w:trPr>
          <w:trHeight w:val="209"/>
        </w:trPr>
        <w:tc>
          <w:tcPr>
            <w:tcW w:w="69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Cash and cash equivalents as of the end of the fiscal period</w:t>
            </w:r>
          </w:p>
        </w:tc>
        <w:tc>
          <w:tcPr>
            <w:tcW w:w="184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405,612</w:t>
            </w:r>
          </w:p>
        </w:tc>
        <w:tc>
          <w:tcPr>
            <w:tcW w:w="44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479,892</w:t>
            </w:r>
          </w:p>
        </w:tc>
      </w:tr>
      <w:tr>
        <w:trPr>
          <w:trHeight w:val="22"/>
        </w:trPr>
        <w:tc>
          <w:tcPr>
            <w:tcW w:w="69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827" w:right="339" w:bottom="1440" w:gutter="0" w:footer="0" w:header="0"/>
        </w:sectPr>
      </w:pPr>
    </w:p>
    <w:bookmarkStart w:id="13" w:name="page14"/>
    <w:bookmarkEnd w:id="13"/>
    <w:p>
      <w:pPr>
        <w:ind w:left="20"/>
        <w:spacing w:after="0"/>
        <w:rPr>
          <w:sz w:val="20"/>
          <w:szCs w:val="20"/>
          <w:color w:val="auto"/>
        </w:rPr>
      </w:pPr>
      <w:r>
        <w:rPr>
          <w:rFonts w:ascii="Arial" w:cs="Arial" w:eastAsia="Arial" w:hAnsi="Arial"/>
          <w:sz w:val="18"/>
          <w:szCs w:val="18"/>
          <w:color w:val="auto"/>
        </w:rPr>
        <w:t>10 - The Toro Company Reports Record Full-Year Fiscal 2021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TORO COMPANY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Reconciliation of Non-GAAP Financial Measures (Unaudited)</w:t>
      </w:r>
    </w:p>
    <w:p>
      <w:pPr>
        <w:jc w:val="center"/>
        <w:spacing w:after="0"/>
        <w:rPr>
          <w:sz w:val="20"/>
          <w:szCs w:val="20"/>
          <w:color w:val="auto"/>
        </w:rPr>
      </w:pPr>
      <w:r>
        <w:rPr>
          <w:rFonts w:ascii="Arial" w:cs="Arial" w:eastAsia="Arial" w:hAnsi="Arial"/>
          <w:sz w:val="20"/>
          <w:szCs w:val="20"/>
          <w:b w:val="1"/>
          <w:bCs w:val="1"/>
          <w:color w:val="auto"/>
        </w:rPr>
        <w:t>(Dollars in thousands, except per-share data)</w:t>
      </w:r>
    </w:p>
    <w:p>
      <w:pPr>
        <w:spacing w:after="0" w:line="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has provided financial measures that are not calculated or presented in accordance with United States ("U.S") generally accepted accounting principles ("GAAP") ("non-GAAP financial measures"), as information supplemental and in addition to the most directly comparable financial measures presented in the accompanying press release that are calculated and presented in accordance with U.S. GAAP. The company uses these non-GAAP financial measures in making operating decisions and assessing liquidity because the company believes they provide meaningful supplemental information regarding the company's core operational performance and cash flows, as a measure of the company's liquidity, and provide the company with a better understanding of how to allocate resources to both ongoing and prospective business initiatives. Additionally, these non-GAAP financial measures facilitate management's internal comparisons to both the company's historical operating results and to the company's competitors' operating results by factoring out potential differences caused by charges and benefits not related to the company's regular, ongoing business, including, without limitation, certain non-cash, large, and/or unpredictable charges and benefits; acquisitions or dispositions; legal judgments, settlements or other matters; and tax positions. The company believes that such non-GAAP financial measures, when considered in conjunction with the company's financial measures prepared in accordance with U.S. GAAP, provide investors with useful supplemental financial information to better understand the company's core operational performance and cash flows. These non-GAAP financial measures should not be considered superior to, as a substitute for, or as an alternative to, and should be considered in conjunction with, the most directly comparable U.S. GAAP financial measures presented in the accompanying press release. The non-GAAP financial measures presented in the accompanying press release may differ from similar measures used by other companies.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Performance Measures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provides a reconciliation of financial performance measures calculated and reported in accordance with U.S. GAAP to the most directly comparable non-GAAP financial performance measures included within the accompanying press release for the three and twelve month periods ended October 31, 2021 and October 31, 2020:</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7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3"/>
          </w:tcPr>
          <w:p>
            <w:pPr>
              <w:jc w:val="right"/>
              <w:ind w:right="837"/>
              <w:spacing w:after="0"/>
              <w:rPr>
                <w:sz w:val="20"/>
                <w:szCs w:val="20"/>
                <w:color w:val="auto"/>
              </w:rPr>
            </w:pPr>
            <w:r>
              <w:rPr>
                <w:rFonts w:ascii="Arial" w:cs="Arial" w:eastAsia="Arial" w:hAnsi="Arial"/>
                <w:sz w:val="17"/>
                <w:szCs w:val="17"/>
                <w:b w:val="1"/>
                <w:bCs w:val="1"/>
                <w:color w:val="auto"/>
              </w:rPr>
              <w:t>Three Months Ended</w:t>
            </w:r>
          </w:p>
        </w:tc>
        <w:tc>
          <w:tcPr>
            <w:tcW w:w="20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3"/>
          </w:tcPr>
          <w:p>
            <w:pPr>
              <w:jc w:val="right"/>
              <w:ind w:right="757"/>
              <w:spacing w:after="0"/>
              <w:rPr>
                <w:sz w:val="20"/>
                <w:szCs w:val="20"/>
                <w:color w:val="auto"/>
              </w:rPr>
            </w:pPr>
            <w:r>
              <w:rPr>
                <w:rFonts w:ascii="Arial" w:cs="Arial" w:eastAsia="Arial" w:hAnsi="Arial"/>
                <w:sz w:val="17"/>
                <w:szCs w:val="17"/>
                <w:b w:val="1"/>
                <w:bCs w:val="1"/>
                <w:color w:val="auto"/>
              </w:rPr>
              <w:t>Twelve Months Ended</w:t>
            </w:r>
          </w:p>
        </w:tc>
      </w:tr>
      <w:tr>
        <w:trPr>
          <w:trHeight w:val="212"/>
        </w:trPr>
        <w:tc>
          <w:tcPr>
            <w:tcW w:w="37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b w:val="1"/>
                <w:bCs w:val="1"/>
                <w:color w:val="auto"/>
                <w:w w:val="89"/>
              </w:rPr>
              <w:t>October 31, 2021</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b w:val="1"/>
                <w:bCs w:val="1"/>
                <w:color w:val="auto"/>
                <w:w w:val="89"/>
              </w:rPr>
              <w:t>October 31, 2020</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b w:val="1"/>
                <w:bCs w:val="1"/>
                <w:color w:val="auto"/>
                <w:w w:val="89"/>
              </w:rPr>
              <w:t>October 31, 2021</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b w:val="1"/>
                <w:bCs w:val="1"/>
                <w:color w:val="auto"/>
                <w:w w:val="91"/>
              </w:rPr>
              <w:t>October 31, 2020</w:t>
            </w:r>
          </w:p>
        </w:tc>
      </w:tr>
      <w:tr>
        <w:trPr>
          <w:trHeight w:val="209"/>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289,386</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300,395</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1,338,492</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1,189,774</w:t>
            </w:r>
          </w:p>
        </w:tc>
      </w:tr>
      <w:tr>
        <w:trPr>
          <w:trHeight w:val="216"/>
        </w:trPr>
        <w:tc>
          <w:tcPr>
            <w:tcW w:w="3780" w:type="dxa"/>
            <w:vAlign w:val="bottom"/>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1"/>
                <w:szCs w:val="21"/>
                <w:color w:val="auto"/>
                <w:vertAlign w:val="superscript"/>
              </w:rPr>
              <w:t>2</w:t>
            </w:r>
          </w:p>
        </w:tc>
        <w:tc>
          <w:tcPr>
            <w:tcW w:w="1000" w:type="dxa"/>
            <w:vAlign w:val="bottom"/>
          </w:tcPr>
          <w:p>
            <w:pPr>
              <w:spacing w:after="0"/>
              <w:rPr>
                <w:sz w:val="18"/>
                <w:szCs w:val="18"/>
                <w:color w:val="auto"/>
              </w:rPr>
            </w:pPr>
          </w:p>
        </w:tc>
        <w:tc>
          <w:tcPr>
            <w:tcW w:w="146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48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48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440" w:type="dxa"/>
            <w:vAlign w:val="bottom"/>
          </w:tcPr>
          <w:p>
            <w:pPr>
              <w:jc w:val="right"/>
              <w:ind w:right="117"/>
              <w:spacing w:after="0"/>
              <w:rPr>
                <w:sz w:val="20"/>
                <w:szCs w:val="20"/>
                <w:color w:val="auto"/>
              </w:rPr>
            </w:pPr>
            <w:r>
              <w:rPr>
                <w:rFonts w:ascii="Arial" w:cs="Arial" w:eastAsia="Arial" w:hAnsi="Arial"/>
                <w:sz w:val="17"/>
                <w:szCs w:val="17"/>
                <w:color w:val="auto"/>
              </w:rPr>
              <w:t>3,950</w:t>
            </w:r>
          </w:p>
        </w:tc>
      </w:tr>
      <w:tr>
        <w:trPr>
          <w:trHeight w:val="216"/>
        </w:trPr>
        <w:tc>
          <w:tcPr>
            <w:tcW w:w="3780" w:type="dxa"/>
            <w:vAlign w:val="bottom"/>
            <w:tcBorders>
              <w:bottom w:val="single" w:sz="8" w:color="auto"/>
            </w:tcBorders>
            <w:shd w:val="clear" w:color="auto" w:fill="CCEEFF"/>
          </w:tcPr>
          <w:p>
            <w:pPr>
              <w:ind w:left="140"/>
              <w:spacing w:after="0" w:line="216" w:lineRule="exact"/>
              <w:rPr>
                <w:sz w:val="20"/>
                <w:szCs w:val="20"/>
                <w:color w:val="auto"/>
              </w:rPr>
            </w:pPr>
            <w:r>
              <w:rPr>
                <w:rFonts w:ascii="Arial" w:cs="Arial" w:eastAsia="Arial" w:hAnsi="Arial"/>
                <w:sz w:val="17"/>
                <w:szCs w:val="17"/>
                <w:color w:val="auto"/>
              </w:rPr>
              <w:t>Management actions</w:t>
            </w:r>
            <w:r>
              <w:rPr>
                <w:rFonts w:ascii="Arial" w:cs="Arial" w:eastAsia="Arial" w:hAnsi="Arial"/>
                <w:sz w:val="21"/>
                <w:szCs w:val="21"/>
                <w:color w:val="auto"/>
                <w:vertAlign w:val="superscript"/>
              </w:rPr>
              <w:t>3</w:t>
            </w:r>
          </w:p>
        </w:tc>
        <w:tc>
          <w:tcPr>
            <w:tcW w:w="10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857</w:t>
            </w:r>
          </w:p>
        </w:tc>
      </w:tr>
      <w:tr>
        <w:trPr>
          <w:trHeight w:val="208"/>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Non-GAAP gross profit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289,386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300,395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1,338,492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1,194,581</w:t>
            </w:r>
          </w:p>
        </w:tc>
      </w:tr>
      <w:tr>
        <w:trPr>
          <w:trHeight w:val="144"/>
        </w:trPr>
        <w:tc>
          <w:tcPr>
            <w:tcW w:w="37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r>
      <w:tr>
        <w:trPr>
          <w:trHeight w:val="209"/>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margin</w:t>
            </w:r>
          </w:p>
        </w:tc>
        <w:tc>
          <w:tcPr>
            <w:tcW w:w="10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30.1 %</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35.7 %</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33.8 %</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35.2 %</w:t>
            </w:r>
          </w:p>
        </w:tc>
      </w:tr>
      <w:tr>
        <w:trPr>
          <w:trHeight w:val="216"/>
        </w:trPr>
        <w:tc>
          <w:tcPr>
            <w:tcW w:w="3780" w:type="dxa"/>
            <w:vAlign w:val="bottom"/>
            <w:tcBorders>
              <w:bottom w:val="single" w:sz="8" w:color="auto"/>
            </w:tcBorders>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1"/>
                <w:szCs w:val="21"/>
                <w:color w:val="auto"/>
                <w:vertAlign w:val="superscript"/>
              </w:rPr>
              <w:t>2</w:t>
            </w:r>
          </w:p>
        </w:tc>
        <w:tc>
          <w:tcPr>
            <w:tcW w:w="10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0.2 %</w:t>
            </w:r>
          </w:p>
        </w:tc>
      </w:tr>
      <w:tr>
        <w:trPr>
          <w:trHeight w:val="208"/>
        </w:trPr>
        <w:tc>
          <w:tcPr>
            <w:tcW w:w="3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Non-GAAP gross margin</w:t>
            </w:r>
          </w:p>
        </w:tc>
        <w:tc>
          <w:tcPr>
            <w:tcW w:w="10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30.1 %</w:t>
            </w: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35.7 %</w:t>
            </w: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33.8 %</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35.4 %</w:t>
            </w:r>
          </w:p>
        </w:tc>
      </w:tr>
      <w:tr>
        <w:trPr>
          <w:trHeight w:val="144"/>
        </w:trPr>
        <w:tc>
          <w:tcPr>
            <w:tcW w:w="37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r>
      <w:tr>
        <w:trPr>
          <w:trHeight w:val="210"/>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earnings</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74,160</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93,481</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518,280</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426,357</w:t>
            </w:r>
          </w:p>
        </w:tc>
      </w:tr>
      <w:tr>
        <w:trPr>
          <w:trHeight w:val="216"/>
        </w:trPr>
        <w:tc>
          <w:tcPr>
            <w:tcW w:w="3780" w:type="dxa"/>
            <w:vAlign w:val="bottom"/>
          </w:tcPr>
          <w:p>
            <w:pPr>
              <w:ind w:left="140"/>
              <w:spacing w:after="0" w:line="216" w:lineRule="exact"/>
              <w:rPr>
                <w:sz w:val="20"/>
                <w:szCs w:val="20"/>
                <w:color w:val="auto"/>
              </w:rPr>
            </w:pPr>
            <w:r>
              <w:rPr>
                <w:rFonts w:ascii="Arial" w:cs="Arial" w:eastAsia="Arial" w:hAnsi="Arial"/>
                <w:sz w:val="17"/>
                <w:szCs w:val="17"/>
                <w:color w:val="auto"/>
              </w:rPr>
              <w:t>Litigation settlements, net</w:t>
            </w:r>
            <w:r>
              <w:rPr>
                <w:rFonts w:ascii="Arial" w:cs="Arial" w:eastAsia="Arial" w:hAnsi="Arial"/>
                <w:sz w:val="21"/>
                <w:szCs w:val="21"/>
                <w:color w:val="auto"/>
                <w:vertAlign w:val="superscript"/>
              </w:rPr>
              <w:t>1</w:t>
            </w:r>
          </w:p>
        </w:tc>
        <w:tc>
          <w:tcPr>
            <w:tcW w:w="1000" w:type="dxa"/>
            <w:vAlign w:val="bottom"/>
          </w:tcPr>
          <w:p>
            <w:pPr>
              <w:spacing w:after="0"/>
              <w:rPr>
                <w:sz w:val="18"/>
                <w:szCs w:val="18"/>
                <w:color w:val="auto"/>
              </w:rPr>
            </w:pPr>
          </w:p>
        </w:tc>
        <w:tc>
          <w:tcPr>
            <w:tcW w:w="146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48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480" w:type="dxa"/>
            <w:vAlign w:val="bottom"/>
          </w:tcPr>
          <w:p>
            <w:pPr>
              <w:jc w:val="right"/>
              <w:ind w:right="117"/>
              <w:spacing w:after="0"/>
              <w:rPr>
                <w:sz w:val="20"/>
                <w:szCs w:val="20"/>
                <w:color w:val="auto"/>
              </w:rPr>
            </w:pPr>
            <w:r>
              <w:rPr>
                <w:rFonts w:ascii="Arial" w:cs="Arial" w:eastAsia="Arial" w:hAnsi="Arial"/>
                <w:sz w:val="17"/>
                <w:szCs w:val="17"/>
                <w:color w:val="auto"/>
              </w:rPr>
              <w:t>(11,325)</w:t>
            </w:r>
          </w:p>
        </w:tc>
        <w:tc>
          <w:tcPr>
            <w:tcW w:w="200" w:type="dxa"/>
            <w:vAlign w:val="bottom"/>
          </w:tcPr>
          <w:p>
            <w:pPr>
              <w:spacing w:after="0"/>
              <w:rPr>
                <w:sz w:val="18"/>
                <w:szCs w:val="18"/>
                <w:color w:val="auto"/>
              </w:rPr>
            </w:pPr>
          </w:p>
        </w:tc>
        <w:tc>
          <w:tcPr>
            <w:tcW w:w="1440" w:type="dxa"/>
            <w:vAlign w:val="bottom"/>
          </w:tcPr>
          <w:p>
            <w:pPr>
              <w:jc w:val="right"/>
              <w:ind w:right="117"/>
              <w:spacing w:after="0"/>
              <w:rPr>
                <w:sz w:val="20"/>
                <w:szCs w:val="20"/>
                <w:color w:val="auto"/>
              </w:rPr>
            </w:pPr>
            <w:r>
              <w:rPr>
                <w:rFonts w:ascii="Arial" w:cs="Arial" w:eastAsia="Arial" w:hAnsi="Arial"/>
                <w:sz w:val="17"/>
                <w:szCs w:val="17"/>
                <w:color w:val="auto"/>
              </w:rPr>
              <w:t>—</w:t>
            </w:r>
          </w:p>
        </w:tc>
      </w:tr>
      <w:tr>
        <w:trPr>
          <w:trHeight w:val="216"/>
        </w:trPr>
        <w:tc>
          <w:tcPr>
            <w:tcW w:w="3780" w:type="dxa"/>
            <w:vAlign w:val="bottom"/>
            <w:shd w:val="clear" w:color="auto" w:fill="CCEEFF"/>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1"/>
                <w:szCs w:val="21"/>
                <w:color w:val="auto"/>
                <w:vertAlign w:val="superscript"/>
              </w:rPr>
              <w:t>2</w:t>
            </w:r>
          </w:p>
        </w:tc>
        <w:tc>
          <w:tcPr>
            <w:tcW w:w="10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6,183</w:t>
            </w:r>
          </w:p>
        </w:tc>
      </w:tr>
      <w:tr>
        <w:trPr>
          <w:trHeight w:val="216"/>
        </w:trPr>
        <w:tc>
          <w:tcPr>
            <w:tcW w:w="3780" w:type="dxa"/>
            <w:vAlign w:val="bottom"/>
            <w:tcBorders>
              <w:bottom w:val="single" w:sz="8" w:color="auto"/>
            </w:tcBorders>
          </w:tcPr>
          <w:p>
            <w:pPr>
              <w:ind w:left="140"/>
              <w:spacing w:after="0" w:line="216" w:lineRule="exact"/>
              <w:rPr>
                <w:sz w:val="20"/>
                <w:szCs w:val="20"/>
                <w:color w:val="auto"/>
              </w:rPr>
            </w:pPr>
            <w:r>
              <w:rPr>
                <w:rFonts w:ascii="Arial" w:cs="Arial" w:eastAsia="Arial" w:hAnsi="Arial"/>
                <w:sz w:val="17"/>
                <w:szCs w:val="17"/>
                <w:color w:val="auto"/>
              </w:rPr>
              <w:t>Management actions</w:t>
            </w:r>
            <w:r>
              <w:rPr>
                <w:rFonts w:ascii="Arial" w:cs="Arial" w:eastAsia="Arial" w:hAnsi="Arial"/>
                <w:sz w:val="21"/>
                <w:szCs w:val="21"/>
                <w:color w:val="auto"/>
                <w:vertAlign w:val="superscript"/>
              </w:rPr>
              <w:t>3</w:t>
            </w:r>
          </w:p>
        </w:tc>
        <w:tc>
          <w:tcPr>
            <w:tcW w:w="10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857</w:t>
            </w:r>
          </w:p>
        </w:tc>
      </w:tr>
      <w:tr>
        <w:trPr>
          <w:trHeight w:val="208"/>
        </w:trPr>
        <w:tc>
          <w:tcPr>
            <w:tcW w:w="3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Non-GAAP operating earnings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74,160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93,481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506,955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433,397</w:t>
            </w:r>
          </w:p>
        </w:tc>
      </w:tr>
      <w:tr>
        <w:trPr>
          <w:trHeight w:val="144"/>
        </w:trPr>
        <w:tc>
          <w:tcPr>
            <w:tcW w:w="37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r>
      <w:tr>
        <w:trPr>
          <w:trHeight w:val="209"/>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before income taxes</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69,298</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88,567</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499,818</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407,070</w:t>
            </w:r>
          </w:p>
        </w:tc>
      </w:tr>
      <w:tr>
        <w:trPr>
          <w:trHeight w:val="216"/>
        </w:trPr>
        <w:tc>
          <w:tcPr>
            <w:tcW w:w="3780" w:type="dxa"/>
            <w:vAlign w:val="bottom"/>
          </w:tcPr>
          <w:p>
            <w:pPr>
              <w:ind w:left="140"/>
              <w:spacing w:after="0" w:line="216" w:lineRule="exact"/>
              <w:rPr>
                <w:sz w:val="20"/>
                <w:szCs w:val="20"/>
                <w:color w:val="auto"/>
              </w:rPr>
            </w:pPr>
            <w:r>
              <w:rPr>
                <w:rFonts w:ascii="Arial" w:cs="Arial" w:eastAsia="Arial" w:hAnsi="Arial"/>
                <w:sz w:val="17"/>
                <w:szCs w:val="17"/>
                <w:color w:val="auto"/>
              </w:rPr>
              <w:t>Litigation settlements, net</w:t>
            </w:r>
            <w:r>
              <w:rPr>
                <w:rFonts w:ascii="Arial" w:cs="Arial" w:eastAsia="Arial" w:hAnsi="Arial"/>
                <w:sz w:val="21"/>
                <w:szCs w:val="21"/>
                <w:color w:val="auto"/>
                <w:vertAlign w:val="superscript"/>
              </w:rPr>
              <w:t>1</w:t>
            </w:r>
          </w:p>
        </w:tc>
        <w:tc>
          <w:tcPr>
            <w:tcW w:w="1000" w:type="dxa"/>
            <w:vAlign w:val="bottom"/>
          </w:tcPr>
          <w:p>
            <w:pPr>
              <w:spacing w:after="0"/>
              <w:rPr>
                <w:sz w:val="18"/>
                <w:szCs w:val="18"/>
                <w:color w:val="auto"/>
              </w:rPr>
            </w:pPr>
          </w:p>
        </w:tc>
        <w:tc>
          <w:tcPr>
            <w:tcW w:w="146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48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480" w:type="dxa"/>
            <w:vAlign w:val="bottom"/>
          </w:tcPr>
          <w:p>
            <w:pPr>
              <w:jc w:val="right"/>
              <w:ind w:right="117"/>
              <w:spacing w:after="0"/>
              <w:rPr>
                <w:sz w:val="20"/>
                <w:szCs w:val="20"/>
                <w:color w:val="auto"/>
              </w:rPr>
            </w:pPr>
            <w:r>
              <w:rPr>
                <w:rFonts w:ascii="Arial" w:cs="Arial" w:eastAsia="Arial" w:hAnsi="Arial"/>
                <w:sz w:val="17"/>
                <w:szCs w:val="17"/>
                <w:color w:val="auto"/>
              </w:rPr>
              <w:t>(11,325)</w:t>
            </w:r>
          </w:p>
        </w:tc>
        <w:tc>
          <w:tcPr>
            <w:tcW w:w="200" w:type="dxa"/>
            <w:vAlign w:val="bottom"/>
          </w:tcPr>
          <w:p>
            <w:pPr>
              <w:spacing w:after="0"/>
              <w:rPr>
                <w:sz w:val="18"/>
                <w:szCs w:val="18"/>
                <w:color w:val="auto"/>
              </w:rPr>
            </w:pPr>
          </w:p>
        </w:tc>
        <w:tc>
          <w:tcPr>
            <w:tcW w:w="1440" w:type="dxa"/>
            <w:vAlign w:val="bottom"/>
          </w:tcPr>
          <w:p>
            <w:pPr>
              <w:jc w:val="right"/>
              <w:ind w:right="117"/>
              <w:spacing w:after="0"/>
              <w:rPr>
                <w:sz w:val="20"/>
                <w:szCs w:val="20"/>
                <w:color w:val="auto"/>
              </w:rPr>
            </w:pPr>
            <w:r>
              <w:rPr>
                <w:rFonts w:ascii="Arial" w:cs="Arial" w:eastAsia="Arial" w:hAnsi="Arial"/>
                <w:sz w:val="17"/>
                <w:szCs w:val="17"/>
                <w:color w:val="auto"/>
              </w:rPr>
              <w:t>—</w:t>
            </w:r>
          </w:p>
        </w:tc>
      </w:tr>
      <w:tr>
        <w:trPr>
          <w:trHeight w:val="216"/>
        </w:trPr>
        <w:tc>
          <w:tcPr>
            <w:tcW w:w="3780" w:type="dxa"/>
            <w:vAlign w:val="bottom"/>
            <w:shd w:val="clear" w:color="auto" w:fill="CCEEFF"/>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1"/>
                <w:szCs w:val="21"/>
                <w:color w:val="auto"/>
                <w:vertAlign w:val="superscript"/>
              </w:rPr>
              <w:t>2</w:t>
            </w:r>
          </w:p>
        </w:tc>
        <w:tc>
          <w:tcPr>
            <w:tcW w:w="10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6,183</w:t>
            </w:r>
          </w:p>
        </w:tc>
      </w:tr>
      <w:tr>
        <w:trPr>
          <w:trHeight w:val="216"/>
        </w:trPr>
        <w:tc>
          <w:tcPr>
            <w:tcW w:w="3780" w:type="dxa"/>
            <w:vAlign w:val="bottom"/>
            <w:tcBorders>
              <w:bottom w:val="single" w:sz="8" w:color="auto"/>
            </w:tcBorders>
          </w:tcPr>
          <w:p>
            <w:pPr>
              <w:ind w:left="140"/>
              <w:spacing w:after="0" w:line="216" w:lineRule="exact"/>
              <w:rPr>
                <w:sz w:val="20"/>
                <w:szCs w:val="20"/>
                <w:color w:val="auto"/>
              </w:rPr>
            </w:pPr>
            <w:r>
              <w:rPr>
                <w:rFonts w:ascii="Arial" w:cs="Arial" w:eastAsia="Arial" w:hAnsi="Arial"/>
                <w:sz w:val="17"/>
                <w:szCs w:val="17"/>
                <w:color w:val="auto"/>
              </w:rPr>
              <w:t>Management actions</w:t>
            </w:r>
            <w:r>
              <w:rPr>
                <w:rFonts w:ascii="Arial" w:cs="Arial" w:eastAsia="Arial" w:hAnsi="Arial"/>
                <w:sz w:val="21"/>
                <w:szCs w:val="21"/>
                <w:color w:val="auto"/>
                <w:vertAlign w:val="superscript"/>
              </w:rPr>
              <w:t>3</w:t>
            </w:r>
          </w:p>
        </w:tc>
        <w:tc>
          <w:tcPr>
            <w:tcW w:w="10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857</w:t>
            </w:r>
          </w:p>
        </w:tc>
      </w:tr>
      <w:tr>
        <w:trPr>
          <w:trHeight w:val="208"/>
        </w:trPr>
        <w:tc>
          <w:tcPr>
            <w:tcW w:w="3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Non-GAAP earnings before income taxes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69,298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88,567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488,493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414,110</w:t>
            </w:r>
          </w:p>
        </w:tc>
      </w:tr>
      <w:tr>
        <w:trPr>
          <w:trHeight w:val="144"/>
        </w:trPr>
        <w:tc>
          <w:tcPr>
            <w:tcW w:w="37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r>
      <w:tr>
        <w:trPr>
          <w:trHeight w:val="210"/>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earnings</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60,108</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72,196</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409,880</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329,701</w:t>
            </w:r>
          </w:p>
        </w:tc>
      </w:tr>
      <w:tr>
        <w:trPr>
          <w:trHeight w:val="216"/>
        </w:trPr>
        <w:tc>
          <w:tcPr>
            <w:tcW w:w="3780" w:type="dxa"/>
            <w:vAlign w:val="bottom"/>
          </w:tcPr>
          <w:p>
            <w:pPr>
              <w:ind w:left="140"/>
              <w:spacing w:after="0" w:line="216" w:lineRule="exact"/>
              <w:rPr>
                <w:sz w:val="20"/>
                <w:szCs w:val="20"/>
                <w:color w:val="auto"/>
              </w:rPr>
            </w:pPr>
            <w:r>
              <w:rPr>
                <w:rFonts w:ascii="Arial" w:cs="Arial" w:eastAsia="Arial" w:hAnsi="Arial"/>
                <w:sz w:val="17"/>
                <w:szCs w:val="17"/>
                <w:color w:val="auto"/>
              </w:rPr>
              <w:t>Litigation settlements, net</w:t>
            </w:r>
            <w:r>
              <w:rPr>
                <w:rFonts w:ascii="Arial" w:cs="Arial" w:eastAsia="Arial" w:hAnsi="Arial"/>
                <w:sz w:val="21"/>
                <w:szCs w:val="21"/>
                <w:color w:val="auto"/>
                <w:vertAlign w:val="superscript"/>
              </w:rPr>
              <w:t>1</w:t>
            </w:r>
          </w:p>
        </w:tc>
        <w:tc>
          <w:tcPr>
            <w:tcW w:w="1000" w:type="dxa"/>
            <w:vAlign w:val="bottom"/>
          </w:tcPr>
          <w:p>
            <w:pPr>
              <w:spacing w:after="0"/>
              <w:rPr>
                <w:sz w:val="18"/>
                <w:szCs w:val="18"/>
                <w:color w:val="auto"/>
              </w:rPr>
            </w:pPr>
          </w:p>
        </w:tc>
        <w:tc>
          <w:tcPr>
            <w:tcW w:w="1460" w:type="dxa"/>
            <w:vAlign w:val="bottom"/>
          </w:tcPr>
          <w:p>
            <w:pPr>
              <w:jc w:val="right"/>
              <w:ind w:right="137"/>
              <w:spacing w:after="0"/>
              <w:rPr>
                <w:sz w:val="20"/>
                <w:szCs w:val="20"/>
                <w:color w:val="auto"/>
              </w:rPr>
            </w:pPr>
            <w:r>
              <w:rPr>
                <w:rFonts w:ascii="Arial" w:cs="Arial" w:eastAsia="Arial" w:hAnsi="Arial"/>
                <w:sz w:val="17"/>
                <w:szCs w:val="17"/>
                <w:color w:val="auto"/>
              </w:rPr>
              <w:t>(75)</w:t>
            </w:r>
          </w:p>
        </w:tc>
        <w:tc>
          <w:tcPr>
            <w:tcW w:w="200" w:type="dxa"/>
            <w:vAlign w:val="bottom"/>
          </w:tcPr>
          <w:p>
            <w:pPr>
              <w:spacing w:after="0"/>
              <w:rPr>
                <w:sz w:val="18"/>
                <w:szCs w:val="18"/>
                <w:color w:val="auto"/>
              </w:rPr>
            </w:pPr>
          </w:p>
        </w:tc>
        <w:tc>
          <w:tcPr>
            <w:tcW w:w="148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480" w:type="dxa"/>
            <w:vAlign w:val="bottom"/>
          </w:tcPr>
          <w:p>
            <w:pPr>
              <w:jc w:val="right"/>
              <w:ind w:right="117"/>
              <w:spacing w:after="0"/>
              <w:rPr>
                <w:sz w:val="20"/>
                <w:szCs w:val="20"/>
                <w:color w:val="auto"/>
              </w:rPr>
            </w:pPr>
            <w:r>
              <w:rPr>
                <w:rFonts w:ascii="Arial" w:cs="Arial" w:eastAsia="Arial" w:hAnsi="Arial"/>
                <w:sz w:val="17"/>
                <w:szCs w:val="17"/>
                <w:color w:val="auto"/>
              </w:rPr>
              <w:t>(9,022)</w:t>
            </w:r>
          </w:p>
        </w:tc>
        <w:tc>
          <w:tcPr>
            <w:tcW w:w="200" w:type="dxa"/>
            <w:vAlign w:val="bottom"/>
          </w:tcPr>
          <w:p>
            <w:pPr>
              <w:spacing w:after="0"/>
              <w:rPr>
                <w:sz w:val="18"/>
                <w:szCs w:val="18"/>
                <w:color w:val="auto"/>
              </w:rPr>
            </w:pPr>
          </w:p>
        </w:tc>
        <w:tc>
          <w:tcPr>
            <w:tcW w:w="1440" w:type="dxa"/>
            <w:vAlign w:val="bottom"/>
          </w:tcPr>
          <w:p>
            <w:pPr>
              <w:jc w:val="right"/>
              <w:ind w:right="117"/>
              <w:spacing w:after="0"/>
              <w:rPr>
                <w:sz w:val="20"/>
                <w:szCs w:val="20"/>
                <w:color w:val="auto"/>
              </w:rPr>
            </w:pPr>
            <w:r>
              <w:rPr>
                <w:rFonts w:ascii="Arial" w:cs="Arial" w:eastAsia="Arial" w:hAnsi="Arial"/>
                <w:sz w:val="17"/>
                <w:szCs w:val="17"/>
                <w:color w:val="auto"/>
              </w:rPr>
              <w:t>—</w:t>
            </w:r>
          </w:p>
        </w:tc>
      </w:tr>
      <w:tr>
        <w:trPr>
          <w:trHeight w:val="216"/>
        </w:trPr>
        <w:tc>
          <w:tcPr>
            <w:tcW w:w="3780" w:type="dxa"/>
            <w:vAlign w:val="bottom"/>
            <w:shd w:val="clear" w:color="auto" w:fill="CCEEFF"/>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1"/>
                <w:szCs w:val="21"/>
                <w:color w:val="auto"/>
                <w:vertAlign w:val="superscript"/>
              </w:rPr>
              <w:t>2</w:t>
            </w:r>
          </w:p>
        </w:tc>
        <w:tc>
          <w:tcPr>
            <w:tcW w:w="10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99</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5,021</w:t>
            </w:r>
          </w:p>
        </w:tc>
      </w:tr>
      <w:tr>
        <w:trPr>
          <w:trHeight w:val="216"/>
        </w:trPr>
        <w:tc>
          <w:tcPr>
            <w:tcW w:w="3780" w:type="dxa"/>
            <w:vAlign w:val="bottom"/>
          </w:tcPr>
          <w:p>
            <w:pPr>
              <w:ind w:left="140"/>
              <w:spacing w:after="0" w:line="216" w:lineRule="exact"/>
              <w:rPr>
                <w:sz w:val="20"/>
                <w:szCs w:val="20"/>
                <w:color w:val="auto"/>
              </w:rPr>
            </w:pPr>
            <w:r>
              <w:rPr>
                <w:rFonts w:ascii="Arial" w:cs="Arial" w:eastAsia="Arial" w:hAnsi="Arial"/>
                <w:sz w:val="17"/>
                <w:szCs w:val="17"/>
                <w:color w:val="auto"/>
              </w:rPr>
              <w:t>Management actions</w:t>
            </w:r>
            <w:r>
              <w:rPr>
                <w:rFonts w:ascii="Arial" w:cs="Arial" w:eastAsia="Arial" w:hAnsi="Arial"/>
                <w:sz w:val="21"/>
                <w:szCs w:val="21"/>
                <w:color w:val="auto"/>
                <w:vertAlign w:val="superscript"/>
              </w:rPr>
              <w:t>3</w:t>
            </w:r>
          </w:p>
        </w:tc>
        <w:tc>
          <w:tcPr>
            <w:tcW w:w="1000" w:type="dxa"/>
            <w:vAlign w:val="bottom"/>
          </w:tcPr>
          <w:p>
            <w:pPr>
              <w:spacing w:after="0"/>
              <w:rPr>
                <w:sz w:val="18"/>
                <w:szCs w:val="18"/>
                <w:color w:val="auto"/>
              </w:rPr>
            </w:pPr>
          </w:p>
        </w:tc>
        <w:tc>
          <w:tcPr>
            <w:tcW w:w="146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480" w:type="dxa"/>
            <w:vAlign w:val="bottom"/>
          </w:tcPr>
          <w:p>
            <w:pPr>
              <w:jc w:val="right"/>
              <w:ind w:right="137"/>
              <w:spacing w:after="0"/>
              <w:rPr>
                <w:sz w:val="20"/>
                <w:szCs w:val="20"/>
                <w:color w:val="auto"/>
              </w:rPr>
            </w:pPr>
            <w:r>
              <w:rPr>
                <w:rFonts w:ascii="Arial" w:cs="Arial" w:eastAsia="Arial" w:hAnsi="Arial"/>
                <w:sz w:val="17"/>
                <w:szCs w:val="17"/>
                <w:color w:val="auto"/>
              </w:rPr>
              <w:t>(5)</w:t>
            </w:r>
          </w:p>
        </w:tc>
        <w:tc>
          <w:tcPr>
            <w:tcW w:w="200" w:type="dxa"/>
            <w:vAlign w:val="bottom"/>
          </w:tcPr>
          <w:p>
            <w:pPr>
              <w:spacing w:after="0"/>
              <w:rPr>
                <w:sz w:val="18"/>
                <w:szCs w:val="18"/>
                <w:color w:val="auto"/>
              </w:rPr>
            </w:pPr>
          </w:p>
        </w:tc>
        <w:tc>
          <w:tcPr>
            <w:tcW w:w="148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440" w:type="dxa"/>
            <w:vAlign w:val="bottom"/>
          </w:tcPr>
          <w:p>
            <w:pPr>
              <w:jc w:val="right"/>
              <w:ind w:right="117"/>
              <w:spacing w:after="0"/>
              <w:rPr>
                <w:sz w:val="20"/>
                <w:szCs w:val="20"/>
                <w:color w:val="auto"/>
              </w:rPr>
            </w:pPr>
            <w:r>
              <w:rPr>
                <w:rFonts w:ascii="Arial" w:cs="Arial" w:eastAsia="Arial" w:hAnsi="Arial"/>
                <w:sz w:val="17"/>
                <w:szCs w:val="17"/>
                <w:color w:val="auto"/>
              </w:rPr>
              <w:t>677</w:t>
            </w:r>
          </w:p>
        </w:tc>
      </w:tr>
      <w:tr>
        <w:trPr>
          <w:trHeight w:val="216"/>
        </w:trPr>
        <w:tc>
          <w:tcPr>
            <w:tcW w:w="3780" w:type="dxa"/>
            <w:vAlign w:val="bottom"/>
            <w:tcBorders>
              <w:bottom w:val="single" w:sz="8" w:color="auto"/>
            </w:tcBorders>
            <w:shd w:val="clear" w:color="auto" w:fill="CCEEFF"/>
          </w:tcPr>
          <w:p>
            <w:pPr>
              <w:ind w:left="140"/>
              <w:spacing w:after="0" w:line="216" w:lineRule="exact"/>
              <w:rPr>
                <w:sz w:val="20"/>
                <w:szCs w:val="20"/>
                <w:color w:val="auto"/>
              </w:rPr>
            </w:pPr>
            <w:r>
              <w:rPr>
                <w:rFonts w:ascii="Arial" w:cs="Arial" w:eastAsia="Arial" w:hAnsi="Arial"/>
                <w:sz w:val="17"/>
                <w:szCs w:val="17"/>
                <w:color w:val="auto"/>
              </w:rPr>
              <w:t>Tax impact of stock-based compensation</w:t>
            </w:r>
            <w:r>
              <w:rPr>
                <w:rFonts w:ascii="Arial" w:cs="Arial" w:eastAsia="Arial" w:hAnsi="Arial"/>
                <w:sz w:val="21"/>
                <w:szCs w:val="21"/>
                <w:color w:val="auto"/>
                <w:vertAlign w:val="superscript"/>
              </w:rPr>
              <w:t>4</w:t>
            </w:r>
          </w:p>
        </w:tc>
        <w:tc>
          <w:tcPr>
            <w:tcW w:w="10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(339)</w:t>
            </w: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(3,102)</w:t>
            </w: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(8,185)</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rPr>
              <w:t>(7,652)</w:t>
            </w:r>
          </w:p>
        </w:tc>
      </w:tr>
      <w:tr>
        <w:trPr>
          <w:trHeight w:val="208"/>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Non-GAAP net earnings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59,694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69,188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392,673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327,747</w:t>
            </w:r>
          </w:p>
        </w:tc>
      </w:tr>
    </w:tbl>
    <w:p>
      <w:pPr>
        <w:sectPr>
          <w:pgSz w:w="11900" w:h="16838" w:orient="portrait"/>
          <w:cols w:equalWidth="0" w:num="1">
            <w:col w:w="11240"/>
          </w:cols>
          <w:pgMar w:left="320" w:top="827" w:right="339" w:bottom="1440" w:gutter="0" w:footer="0" w:header="0"/>
        </w:sectPr>
      </w:pPr>
    </w:p>
    <w:bookmarkStart w:id="14" w:name="page15"/>
    <w:bookmarkEnd w:id="14"/>
    <w:p>
      <w:pPr>
        <w:ind w:left="20"/>
        <w:spacing w:after="0"/>
        <w:rPr>
          <w:sz w:val="20"/>
          <w:szCs w:val="20"/>
          <w:color w:val="auto"/>
        </w:rPr>
      </w:pPr>
      <w:r>
        <w:rPr>
          <w:rFonts w:ascii="Arial" w:cs="Arial" w:eastAsia="Arial" w:hAnsi="Arial"/>
          <w:sz w:val="18"/>
          <w:szCs w:val="18"/>
          <w:color w:val="auto"/>
        </w:rPr>
        <w:t>11 - The Toro Company Reports Record Full-Year Fiscal 2021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8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3"/>
          </w:tcPr>
          <w:p>
            <w:pPr>
              <w:jc w:val="right"/>
              <w:ind w:right="837"/>
              <w:spacing w:after="0"/>
              <w:rPr>
                <w:sz w:val="20"/>
                <w:szCs w:val="20"/>
                <w:color w:val="auto"/>
              </w:rPr>
            </w:pPr>
            <w:r>
              <w:rPr>
                <w:rFonts w:ascii="Arial" w:cs="Arial" w:eastAsia="Arial" w:hAnsi="Arial"/>
                <w:sz w:val="17"/>
                <w:szCs w:val="17"/>
                <w:b w:val="1"/>
                <w:bCs w:val="1"/>
                <w:color w:val="auto"/>
              </w:rPr>
              <w:t>Three Months Ended</w:t>
            </w:r>
          </w:p>
        </w:tc>
        <w:tc>
          <w:tcPr>
            <w:tcW w:w="2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3"/>
          </w:tcPr>
          <w:p>
            <w:pPr>
              <w:jc w:val="right"/>
              <w:ind w:right="737"/>
              <w:spacing w:after="0"/>
              <w:rPr>
                <w:sz w:val="20"/>
                <w:szCs w:val="20"/>
                <w:color w:val="auto"/>
              </w:rPr>
            </w:pPr>
            <w:r>
              <w:rPr>
                <w:rFonts w:ascii="Arial" w:cs="Arial" w:eastAsia="Arial" w:hAnsi="Arial"/>
                <w:sz w:val="17"/>
                <w:szCs w:val="17"/>
                <w:b w:val="1"/>
                <w:bCs w:val="1"/>
                <w:color w:val="auto"/>
              </w:rPr>
              <w:t>Twelve Months Ended</w:t>
            </w:r>
          </w:p>
        </w:tc>
      </w:tr>
      <w:tr>
        <w:trPr>
          <w:trHeight w:val="212"/>
        </w:trPr>
        <w:tc>
          <w:tcPr>
            <w:tcW w:w="38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b w:val="1"/>
                <w:bCs w:val="1"/>
                <w:color w:val="auto"/>
                <w:w w:val="89"/>
              </w:rPr>
              <w:t>October 31, 2021</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b w:val="1"/>
                <w:bCs w:val="1"/>
                <w:color w:val="auto"/>
                <w:w w:val="91"/>
              </w:rPr>
              <w:t>October 31, 2020</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b w:val="1"/>
                <w:bCs w:val="1"/>
                <w:color w:val="auto"/>
                <w:w w:val="89"/>
              </w:rPr>
              <w:t>October 31, 2021</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b w:val="1"/>
                <w:bCs w:val="1"/>
                <w:color w:val="auto"/>
                <w:w w:val="89"/>
              </w:rPr>
              <w:t>October 31, 2020</w:t>
            </w:r>
          </w:p>
        </w:tc>
      </w:tr>
      <w:tr>
        <w:trPr>
          <w:trHeight w:val="209"/>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earnings per diluted share</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0.56</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0.66</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3.78</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3.03</w:t>
            </w:r>
          </w:p>
        </w:tc>
      </w:tr>
      <w:tr>
        <w:trPr>
          <w:trHeight w:val="216"/>
        </w:trPr>
        <w:tc>
          <w:tcPr>
            <w:tcW w:w="3800" w:type="dxa"/>
            <w:vAlign w:val="bottom"/>
          </w:tcPr>
          <w:p>
            <w:pPr>
              <w:ind w:left="140"/>
              <w:spacing w:after="0" w:line="216" w:lineRule="exact"/>
              <w:rPr>
                <w:sz w:val="20"/>
                <w:szCs w:val="20"/>
                <w:color w:val="auto"/>
              </w:rPr>
            </w:pPr>
            <w:r>
              <w:rPr>
                <w:rFonts w:ascii="Arial" w:cs="Arial" w:eastAsia="Arial" w:hAnsi="Arial"/>
                <w:sz w:val="17"/>
                <w:szCs w:val="17"/>
                <w:color w:val="auto"/>
              </w:rPr>
              <w:t>Litigation settlements, net</w:t>
            </w:r>
            <w:r>
              <w:rPr>
                <w:rFonts w:ascii="Arial" w:cs="Arial" w:eastAsia="Arial" w:hAnsi="Arial"/>
                <w:sz w:val="21"/>
                <w:szCs w:val="21"/>
                <w:color w:val="auto"/>
                <w:vertAlign w:val="superscript"/>
              </w:rPr>
              <w:t>1</w:t>
            </w:r>
          </w:p>
        </w:tc>
        <w:tc>
          <w:tcPr>
            <w:tcW w:w="1000" w:type="dxa"/>
            <w:vAlign w:val="bottom"/>
          </w:tcPr>
          <w:p>
            <w:pPr>
              <w:spacing w:after="0"/>
              <w:rPr>
                <w:sz w:val="18"/>
                <w:szCs w:val="18"/>
                <w:color w:val="auto"/>
              </w:rPr>
            </w:pPr>
          </w:p>
        </w:tc>
        <w:tc>
          <w:tcPr>
            <w:tcW w:w="148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48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480" w:type="dxa"/>
            <w:vAlign w:val="bottom"/>
          </w:tcPr>
          <w:p>
            <w:pPr>
              <w:jc w:val="right"/>
              <w:ind w:right="137"/>
              <w:spacing w:after="0"/>
              <w:rPr>
                <w:sz w:val="20"/>
                <w:szCs w:val="20"/>
                <w:color w:val="auto"/>
              </w:rPr>
            </w:pPr>
            <w:r>
              <w:rPr>
                <w:rFonts w:ascii="Arial" w:cs="Arial" w:eastAsia="Arial" w:hAnsi="Arial"/>
                <w:sz w:val="17"/>
                <w:szCs w:val="17"/>
                <w:color w:val="auto"/>
              </w:rPr>
              <w:t>(0.08)</w:t>
            </w:r>
          </w:p>
        </w:tc>
        <w:tc>
          <w:tcPr>
            <w:tcW w:w="200" w:type="dxa"/>
            <w:vAlign w:val="bottom"/>
          </w:tcPr>
          <w:p>
            <w:pPr>
              <w:spacing w:after="0"/>
              <w:rPr>
                <w:sz w:val="18"/>
                <w:szCs w:val="18"/>
                <w:color w:val="auto"/>
              </w:rPr>
            </w:pPr>
          </w:p>
        </w:tc>
        <w:tc>
          <w:tcPr>
            <w:tcW w:w="1420" w:type="dxa"/>
            <w:vAlign w:val="bottom"/>
          </w:tcPr>
          <w:p>
            <w:pPr>
              <w:jc w:val="right"/>
              <w:ind w:right="117"/>
              <w:spacing w:after="0"/>
              <w:rPr>
                <w:sz w:val="20"/>
                <w:szCs w:val="20"/>
                <w:color w:val="auto"/>
              </w:rPr>
            </w:pPr>
            <w:r>
              <w:rPr>
                <w:rFonts w:ascii="Arial" w:cs="Arial" w:eastAsia="Arial" w:hAnsi="Arial"/>
                <w:sz w:val="17"/>
                <w:szCs w:val="17"/>
                <w:color w:val="auto"/>
              </w:rPr>
              <w:t>—</w:t>
            </w:r>
          </w:p>
        </w:tc>
      </w:tr>
      <w:tr>
        <w:trPr>
          <w:trHeight w:val="216"/>
        </w:trPr>
        <w:tc>
          <w:tcPr>
            <w:tcW w:w="3800" w:type="dxa"/>
            <w:vAlign w:val="bottom"/>
            <w:shd w:val="clear" w:color="auto" w:fill="CCEEFF"/>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1"/>
                <w:szCs w:val="21"/>
                <w:color w:val="auto"/>
                <w:vertAlign w:val="superscript"/>
              </w:rPr>
              <w:t>2</w:t>
            </w:r>
          </w:p>
        </w:tc>
        <w:tc>
          <w:tcPr>
            <w:tcW w:w="10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0.05</w:t>
            </w:r>
          </w:p>
        </w:tc>
      </w:tr>
      <w:tr>
        <w:trPr>
          <w:trHeight w:val="216"/>
        </w:trPr>
        <w:tc>
          <w:tcPr>
            <w:tcW w:w="3800" w:type="dxa"/>
            <w:vAlign w:val="bottom"/>
          </w:tcPr>
          <w:p>
            <w:pPr>
              <w:ind w:left="140"/>
              <w:spacing w:after="0" w:line="216" w:lineRule="exact"/>
              <w:rPr>
                <w:sz w:val="20"/>
                <w:szCs w:val="20"/>
                <w:color w:val="auto"/>
              </w:rPr>
            </w:pPr>
            <w:r>
              <w:rPr>
                <w:rFonts w:ascii="Arial" w:cs="Arial" w:eastAsia="Arial" w:hAnsi="Arial"/>
                <w:sz w:val="17"/>
                <w:szCs w:val="17"/>
                <w:color w:val="auto"/>
              </w:rPr>
              <w:t>Management actions</w:t>
            </w:r>
            <w:r>
              <w:rPr>
                <w:rFonts w:ascii="Arial" w:cs="Arial" w:eastAsia="Arial" w:hAnsi="Arial"/>
                <w:sz w:val="21"/>
                <w:szCs w:val="21"/>
                <w:color w:val="auto"/>
                <w:vertAlign w:val="superscript"/>
              </w:rPr>
              <w:t>3</w:t>
            </w:r>
          </w:p>
        </w:tc>
        <w:tc>
          <w:tcPr>
            <w:tcW w:w="1000" w:type="dxa"/>
            <w:vAlign w:val="bottom"/>
          </w:tcPr>
          <w:p>
            <w:pPr>
              <w:spacing w:after="0"/>
              <w:rPr>
                <w:sz w:val="18"/>
                <w:szCs w:val="18"/>
                <w:color w:val="auto"/>
              </w:rPr>
            </w:pPr>
          </w:p>
        </w:tc>
        <w:tc>
          <w:tcPr>
            <w:tcW w:w="148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48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48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420" w:type="dxa"/>
            <w:vAlign w:val="bottom"/>
          </w:tcPr>
          <w:p>
            <w:pPr>
              <w:jc w:val="right"/>
              <w:ind w:right="117"/>
              <w:spacing w:after="0"/>
              <w:rPr>
                <w:sz w:val="20"/>
                <w:szCs w:val="20"/>
                <w:color w:val="auto"/>
              </w:rPr>
            </w:pPr>
            <w:r>
              <w:rPr>
                <w:rFonts w:ascii="Arial" w:cs="Arial" w:eastAsia="Arial" w:hAnsi="Arial"/>
                <w:sz w:val="17"/>
                <w:szCs w:val="17"/>
                <w:color w:val="auto"/>
              </w:rPr>
              <w:t>0.01</w:t>
            </w:r>
          </w:p>
        </w:tc>
      </w:tr>
      <w:tr>
        <w:trPr>
          <w:trHeight w:val="216"/>
        </w:trPr>
        <w:tc>
          <w:tcPr>
            <w:tcW w:w="3800" w:type="dxa"/>
            <w:vAlign w:val="bottom"/>
            <w:tcBorders>
              <w:bottom w:val="single" w:sz="8" w:color="auto"/>
            </w:tcBorders>
            <w:shd w:val="clear" w:color="auto" w:fill="CCEEFF"/>
          </w:tcPr>
          <w:p>
            <w:pPr>
              <w:ind w:left="140"/>
              <w:spacing w:after="0" w:line="216" w:lineRule="exact"/>
              <w:rPr>
                <w:sz w:val="20"/>
                <w:szCs w:val="20"/>
                <w:color w:val="auto"/>
              </w:rPr>
            </w:pPr>
            <w:r>
              <w:rPr>
                <w:rFonts w:ascii="Arial" w:cs="Arial" w:eastAsia="Arial" w:hAnsi="Arial"/>
                <w:sz w:val="17"/>
                <w:szCs w:val="17"/>
                <w:color w:val="auto"/>
              </w:rPr>
              <w:t>Tax impact of stock-based compensation</w:t>
            </w:r>
            <w:r>
              <w:rPr>
                <w:rFonts w:ascii="Arial" w:cs="Arial" w:eastAsia="Arial" w:hAnsi="Arial"/>
                <w:sz w:val="21"/>
                <w:szCs w:val="21"/>
                <w:color w:val="auto"/>
                <w:vertAlign w:val="superscript"/>
              </w:rPr>
              <w:t>4</w:t>
            </w:r>
          </w:p>
        </w:tc>
        <w:tc>
          <w:tcPr>
            <w:tcW w:w="10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(0.02)</w:t>
            </w: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(0.08)</w:t>
            </w: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rPr>
              <w:t>(0.07)</w:t>
            </w:r>
          </w:p>
        </w:tc>
      </w:tr>
      <w:tr>
        <w:trPr>
          <w:trHeight w:val="208"/>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Non-GAAP net earnings per diluted share</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0.56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0.64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3.62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3.02</w:t>
            </w:r>
          </w:p>
        </w:tc>
      </w:tr>
      <w:tr>
        <w:trPr>
          <w:trHeight w:val="22"/>
        </w:trPr>
        <w:tc>
          <w:tcPr>
            <w:tcW w:w="38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28"/>
        </w:trPr>
        <w:tc>
          <w:tcPr>
            <w:tcW w:w="38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r>
      <w:tr>
        <w:trPr>
          <w:trHeight w:val="208"/>
        </w:trPr>
        <w:tc>
          <w:tcPr>
            <w:tcW w:w="3800" w:type="dxa"/>
            <w:vAlign w:val="bottom"/>
          </w:tcPr>
          <w:p>
            <w:pPr>
              <w:ind w:left="20"/>
              <w:spacing w:after="0"/>
              <w:rPr>
                <w:sz w:val="20"/>
                <w:szCs w:val="20"/>
                <w:color w:val="auto"/>
              </w:rPr>
            </w:pPr>
            <w:r>
              <w:rPr>
                <w:rFonts w:ascii="Arial" w:cs="Arial" w:eastAsia="Arial" w:hAnsi="Arial"/>
                <w:sz w:val="17"/>
                <w:szCs w:val="17"/>
                <w:color w:val="auto"/>
              </w:rPr>
              <w:t>Effective tax rate</w:t>
            </w:r>
          </w:p>
        </w:tc>
        <w:tc>
          <w:tcPr>
            <w:tcW w:w="10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13.3 %</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18.5 %</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18.0 %</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19.0 %</w:t>
            </w:r>
          </w:p>
        </w:tc>
      </w:tr>
      <w:tr>
        <w:trPr>
          <w:trHeight w:val="218"/>
        </w:trPr>
        <w:tc>
          <w:tcPr>
            <w:tcW w:w="3800" w:type="dxa"/>
            <w:vAlign w:val="bottom"/>
            <w:shd w:val="clear" w:color="auto" w:fill="CCEEFF"/>
          </w:tcPr>
          <w:p>
            <w:pPr>
              <w:ind w:left="140"/>
              <w:spacing w:after="0" w:line="218"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1"/>
                <w:szCs w:val="21"/>
                <w:color w:val="auto"/>
                <w:vertAlign w:val="superscript"/>
              </w:rPr>
              <w:t>2</w:t>
            </w:r>
          </w:p>
        </w:tc>
        <w:tc>
          <w:tcPr>
            <w:tcW w:w="10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r>
      <w:tr>
        <w:trPr>
          <w:trHeight w:val="216"/>
        </w:trPr>
        <w:tc>
          <w:tcPr>
            <w:tcW w:w="3800" w:type="dxa"/>
            <w:vAlign w:val="bottom"/>
            <w:tcBorders>
              <w:bottom w:val="single" w:sz="8" w:color="auto"/>
            </w:tcBorders>
          </w:tcPr>
          <w:p>
            <w:pPr>
              <w:ind w:left="140"/>
              <w:spacing w:after="0" w:line="216" w:lineRule="exact"/>
              <w:rPr>
                <w:sz w:val="20"/>
                <w:szCs w:val="20"/>
                <w:color w:val="auto"/>
              </w:rPr>
            </w:pPr>
            <w:r>
              <w:rPr>
                <w:rFonts w:ascii="Arial" w:cs="Arial" w:eastAsia="Arial" w:hAnsi="Arial"/>
                <w:sz w:val="17"/>
                <w:szCs w:val="17"/>
                <w:color w:val="auto"/>
              </w:rPr>
              <w:t>Tax impact of stock-based compensation</w:t>
            </w:r>
            <w:r>
              <w:rPr>
                <w:rFonts w:ascii="Arial" w:cs="Arial" w:eastAsia="Arial" w:hAnsi="Arial"/>
                <w:sz w:val="21"/>
                <w:szCs w:val="21"/>
                <w:color w:val="auto"/>
                <w:vertAlign w:val="superscript"/>
              </w:rPr>
              <w:t>4</w:t>
            </w:r>
          </w:p>
        </w:tc>
        <w:tc>
          <w:tcPr>
            <w:tcW w:w="10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0.6 %</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3.5 %</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1.6 %</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1.9 %</w:t>
            </w:r>
          </w:p>
        </w:tc>
      </w:tr>
      <w:tr>
        <w:trPr>
          <w:trHeight w:val="233"/>
        </w:trPr>
        <w:tc>
          <w:tcPr>
            <w:tcW w:w="3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Non-GAAP effective tax rate</w:t>
            </w:r>
          </w:p>
        </w:tc>
        <w:tc>
          <w:tcPr>
            <w:tcW w:w="10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13.9 %</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21.9 %</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19.6 %</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20.9 %</w:t>
            </w:r>
          </w:p>
        </w:tc>
      </w:tr>
      <w:tr>
        <w:trPr>
          <w:trHeight w:val="20"/>
        </w:trPr>
        <w:tc>
          <w:tcPr>
            <w:tcW w:w="38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both"/>
        <w:ind w:left="260" w:right="160" w:hanging="171"/>
        <w:spacing w:after="0" w:line="274" w:lineRule="auto"/>
        <w:tabs>
          <w:tab w:leader="none" w:pos="256"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On November 19, 2020, Exmark Manufacturing Company Incorporated ("Exmark"), a wholly-owned subsidiary of TTC, and Briggs &amp; Stratton Corporation ("BGG") entered into a settlement agreement ("Settlement Agreement") relating to the decade-long patent infringement litigation that Exmark originally filed in May 2010 against Briggs &amp; Stratton Power Products Group, LLC ("BSPPG"), a former wholly-owned subsidiary of BGG (Case No. 8:10CV187, U.S. District Court for the District of Nebraska) (the "Infringement Action"). The Settlement Agreement provided, among other things, that upon approval by the bankruptcy court, and such approval becoming final and nonappealable, BGG agreed to pay Exmark $33.65 million ("Settlement Amount"). During January 2021, the first quarter of fiscal 2021, the Settlement Amount was received by Exmark in connection with the settlement of the Infringement Action and at such time, the underlying events and contingencies associated with the gain contingency related to the Infringement Action were satisfied. As such, the company recognized in selling, general and administrative expense within the Consolidated Statements of Earnings during the first quarter of fiscal 2021 (i) the gain associated with the Infringement Action and</w:t>
      </w:r>
    </w:p>
    <w:p>
      <w:pPr>
        <w:spacing w:after="0" w:line="3" w:lineRule="exact"/>
        <w:rPr>
          <w:rFonts w:ascii="Arial" w:cs="Arial" w:eastAsia="Arial" w:hAnsi="Arial"/>
          <w:sz w:val="18"/>
          <w:szCs w:val="18"/>
          <w:color w:val="auto"/>
          <w:vertAlign w:val="superscript"/>
        </w:rPr>
      </w:pPr>
    </w:p>
    <w:p>
      <w:pPr>
        <w:jc w:val="both"/>
        <w:ind w:left="260" w:right="160" w:hanging="9"/>
        <w:spacing w:after="0" w:line="293" w:lineRule="auto"/>
        <w:tabs>
          <w:tab w:leader="none" w:pos="517" w:val="left"/>
        </w:tabs>
        <w:numPr>
          <w:ilvl w:val="1"/>
          <w:numId w:val="9"/>
        </w:numPr>
        <w:rPr>
          <w:rFonts w:ascii="Arial" w:cs="Arial" w:eastAsia="Arial" w:hAnsi="Arial"/>
          <w:sz w:val="14"/>
          <w:szCs w:val="14"/>
          <w:color w:val="auto"/>
        </w:rPr>
      </w:pPr>
      <w:r>
        <w:rPr>
          <w:rFonts w:ascii="Arial" w:cs="Arial" w:eastAsia="Arial" w:hAnsi="Arial"/>
          <w:sz w:val="14"/>
          <w:szCs w:val="14"/>
          <w:color w:val="auto"/>
        </w:rPr>
        <w:t>a corresponding expense related to the contingent fee arrangement with the company's external legal counsel customary in patent infringement cases equal to approximately 50 percent of the Settlement Amount. Additionally, during the third quarter of fiscal 2021, the company recorded a charge related to a legal settlement for a series of ongoing patent infringement disputes within selling, general and administrative expense in the Consolidated Statements of Earnings. Accordingly, litigation settlements, net represent the net amount recorded for the settlement of the Infringement Action and the charge incurred for the settlement of the patent infringement disputes for the fiscal year ended October 31, 2021. No amounts were recorded for litigation settlements during the fourth quarter of fiscal 2021.</w:t>
      </w:r>
    </w:p>
    <w:p>
      <w:pPr>
        <w:spacing w:after="0" w:line="56" w:lineRule="exact"/>
        <w:rPr>
          <w:sz w:val="20"/>
          <w:szCs w:val="20"/>
          <w:color w:val="auto"/>
        </w:rPr>
      </w:pPr>
    </w:p>
    <w:p>
      <w:pPr>
        <w:jc w:val="both"/>
        <w:ind w:left="260" w:right="160" w:hanging="171"/>
        <w:spacing w:after="0" w:line="236" w:lineRule="auto"/>
        <w:tabs>
          <w:tab w:leader="none" w:pos="35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On March 2, 2020, the company completed the acquisition of Venture Products, Inc. ("Venture Products") and on April 1, 2019, the company completed the acquisition of The Charles Machine Works, Inc. ("CMW"). Acquisition-related costs for the fiscal year ended October 31, 2020 represent transaction costs incurred for the acquisition of Venture Products, as well as integration costs and charges incurred for the take-down of the inventory fair value step-up amounts resulting from purchase accounting adjustments related to the acquisitions of Venture Products and CMW. No acquisition-related costs were incurred during the fourth quarter of fiscal 2020, the fourth quarter of fiscal 2021, or the fiscal year ended October 31, 2021.</w:t>
      </w:r>
    </w:p>
    <w:p>
      <w:pPr>
        <w:spacing w:after="0" w:line="92" w:lineRule="exact"/>
        <w:rPr>
          <w:sz w:val="20"/>
          <w:szCs w:val="20"/>
          <w:color w:val="auto"/>
        </w:rPr>
      </w:pPr>
    </w:p>
    <w:p>
      <w:pPr>
        <w:jc w:val="both"/>
        <w:ind w:left="260" w:right="180" w:hanging="171"/>
        <w:spacing w:after="0" w:line="233" w:lineRule="auto"/>
        <w:tabs>
          <w:tab w:leader="none" w:pos="283"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During the third quarter of fiscal 2019, the company announced the wind down of its Toro-branded large horizontal directional drill and riding trencher product line ("Toro underground wind down"). Management actions for the fiscal year ended October 31, 2020 represent inventory write-down charges incurred for the Toro underground wind down. No charges were incurred for the Toro underground wind down during the fourth quarter of fiscal 2020, the fourth quarter of fiscal 2021, or the fiscal year ended October 31, 2021.</w:t>
      </w:r>
    </w:p>
    <w:p>
      <w:pPr>
        <w:spacing w:after="0" w:line="94" w:lineRule="exact"/>
        <w:rPr>
          <w:sz w:val="20"/>
          <w:szCs w:val="20"/>
          <w:color w:val="auto"/>
        </w:rPr>
      </w:pPr>
    </w:p>
    <w:p>
      <w:pPr>
        <w:jc w:val="both"/>
        <w:ind w:left="260" w:right="160" w:hanging="171"/>
        <w:spacing w:after="0" w:line="236" w:lineRule="auto"/>
        <w:tabs>
          <w:tab w:leader="none" w:pos="283"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The accounting standards codification guidance governing employee stock-based compensation requires that any excess tax deduction for stock-based compensation be immediately recorded within income tax expense. Employee stock-based compensation activity, including the exercise of stock options under The Toro Company Amended and Restated 2010 Equity and Incentive Plan, can be unpredictable and can significantly impact the company's net earnings, net earnings per diluted share, and effective tax rate. These amounts represent the discrete tax benefits recorded as excess tax deductions for stock-based compensation during the three and twelve month periods ended October 31, 2021 and October 31, 2020.</w:t>
      </w:r>
    </w:p>
    <w:p>
      <w:pPr>
        <w:sectPr>
          <w:pgSz w:w="11900" w:h="16838" w:orient="portrait"/>
          <w:cols w:equalWidth="0" w:num="1">
            <w:col w:w="11240"/>
          </w:cols>
          <w:pgMar w:left="320" w:top="935" w:right="339" w:bottom="1440" w:gutter="0" w:footer="0" w:header="0"/>
        </w:sectPr>
      </w:pPr>
    </w:p>
    <w:bookmarkStart w:id="15" w:name="page16"/>
    <w:bookmarkEnd w:id="15"/>
    <w:p>
      <w:pPr>
        <w:ind w:left="180"/>
        <w:spacing w:after="0"/>
        <w:rPr>
          <w:sz w:val="20"/>
          <w:szCs w:val="20"/>
          <w:color w:val="auto"/>
        </w:rPr>
      </w:pPr>
      <w:r>
        <w:rPr>
          <w:rFonts w:ascii="Arial" w:cs="Arial" w:eastAsia="Arial" w:hAnsi="Arial"/>
          <w:sz w:val="18"/>
          <w:szCs w:val="18"/>
          <w:color w:val="auto"/>
        </w:rPr>
        <w:t>12 - The Toro Company Reports Record Full-Year Fiscal 2021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6350</wp:posOffset>
            </wp:positionV>
            <wp:extent cx="6926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Liquidity Measures</w:t>
      </w:r>
    </w:p>
    <w:p>
      <w:pPr>
        <w:spacing w:after="0" w:line="17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defines non-GAAP free cash flow as net cash provided by operating activities less purchases of property, plant and equipment. Non-GAAP free cash flow conversion percentage represents non-GAAP free cash flow as a percentage of net earnings. The company considers non-GAAP free cash flow and non-GAAP free cash flow conversion percentage to be liquidity measures that provide useful information to management and investors about the company's ability to convert net earnings into cash resources that can be used to pursue opportunities to enhance shareholder value, fund ongoing and prospective business initiatives, and strengthen the company's Consolidated Balance Sheets, after reinvesting in necessary capital expenditures required to maintain and grow the company's business. The following table provides a reconciliation of net cash provided by operating activities, the most directly comparable GAAP financial measure, to non-GAAP free cash flow for the fiscal years ended October 31, 2021 and October 31, 2020:</w:t>
      </w:r>
    </w:p>
    <w:p>
      <w:pPr>
        <w:spacing w:after="0" w:line="95" w:lineRule="exact"/>
        <w:rPr>
          <w:sz w:val="20"/>
          <w:szCs w:val="20"/>
          <w:color w:val="auto"/>
        </w:rPr>
      </w:pPr>
    </w:p>
    <w:p>
      <w:pPr>
        <w:ind w:left="8680"/>
        <w:spacing w:after="0"/>
        <w:rPr>
          <w:sz w:val="20"/>
          <w:szCs w:val="20"/>
          <w:color w:val="auto"/>
        </w:rPr>
      </w:pPr>
      <w:r>
        <w:rPr>
          <w:rFonts w:ascii="Arial" w:cs="Arial" w:eastAsia="Arial" w:hAnsi="Arial"/>
          <w:sz w:val="17"/>
          <w:szCs w:val="17"/>
          <w:b w:val="1"/>
          <w:bCs w:val="1"/>
          <w:color w:val="auto"/>
        </w:rPr>
        <w:t>Twelve Months Ended</w:t>
      </w:r>
    </w:p>
    <w:p>
      <w:pPr>
        <w:spacing w:after="0" w:line="21"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55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(Dollars in thousands)</w:t>
            </w:r>
          </w:p>
        </w:tc>
        <w:tc>
          <w:tcPr>
            <w:tcW w:w="228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7"/>
                <w:szCs w:val="17"/>
                <w:b w:val="1"/>
                <w:bCs w:val="1"/>
                <w:color w:val="auto"/>
                <w:w w:val="89"/>
              </w:rPr>
              <w:t>October 31, 2021</w:t>
            </w:r>
          </w:p>
        </w:tc>
        <w:tc>
          <w:tcPr>
            <w:tcW w:w="20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7"/>
                <w:szCs w:val="17"/>
                <w:b w:val="1"/>
                <w:bCs w:val="1"/>
                <w:color w:val="auto"/>
                <w:w w:val="89"/>
              </w:rPr>
              <w:t>October 31, 2020</w:t>
            </w:r>
          </w:p>
        </w:tc>
      </w:tr>
      <w:tr>
        <w:trPr>
          <w:trHeight w:val="209"/>
        </w:trPr>
        <w:tc>
          <w:tcPr>
            <w:tcW w:w="5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2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555,469</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539,374</w:t>
            </w:r>
          </w:p>
        </w:tc>
      </w:tr>
      <w:tr>
        <w:trPr>
          <w:trHeight w:val="214"/>
        </w:trPr>
        <w:tc>
          <w:tcPr>
            <w:tcW w:w="55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Less: Purchases of property, plant and equipment</w:t>
            </w:r>
          </w:p>
        </w:tc>
        <w:tc>
          <w:tcPr>
            <w:tcW w:w="2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104,012</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78,068</w:t>
            </w:r>
          </w:p>
        </w:tc>
      </w:tr>
      <w:tr>
        <w:trPr>
          <w:trHeight w:val="211"/>
        </w:trPr>
        <w:tc>
          <w:tcPr>
            <w:tcW w:w="5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Non-GAAP free cash flow</w:t>
            </w:r>
          </w:p>
        </w:tc>
        <w:tc>
          <w:tcPr>
            <w:tcW w:w="2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451,457</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461,306</w:t>
            </w:r>
          </w:p>
        </w:tc>
      </w:tr>
      <w:tr>
        <w:trPr>
          <w:trHeight w:val="214"/>
        </w:trPr>
        <w:tc>
          <w:tcPr>
            <w:tcW w:w="55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Net earnings</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409,880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329,701</w:t>
            </w:r>
          </w:p>
        </w:tc>
      </w:tr>
      <w:tr>
        <w:trPr>
          <w:trHeight w:val="234"/>
        </w:trPr>
        <w:tc>
          <w:tcPr>
            <w:tcW w:w="55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Non-GAAP free cash flow conversion percentage</w:t>
            </w:r>
          </w:p>
        </w:tc>
        <w:tc>
          <w:tcPr>
            <w:tcW w:w="2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110.1 %</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139.9 %</w:t>
            </w:r>
          </w:p>
        </w:tc>
      </w:tr>
      <w:tr>
        <w:trPr>
          <w:trHeight w:val="20"/>
        </w:trPr>
        <w:tc>
          <w:tcPr>
            <w:tcW w:w="5560" w:type="dxa"/>
            <w:vAlign w:val="bottom"/>
            <w:tcBorders>
              <w:top w:val="single" w:sz="8" w:color="CCEEFF"/>
              <w:bottom w:val="single" w:sz="8" w:color="auto"/>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auto"/>
        </w:rPr>
        <w:t>###</w:t>
      </w:r>
    </w:p>
    <w:sectPr>
      <w:pgSz w:w="11900" w:h="16838" w:orient="portrait"/>
      <w:cols w:equalWidth="0" w:num="1">
        <w:col w:w="11240"/>
      </w:cols>
      <w:pgMar w:left="320" w:top="9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952"/>
    </w:lvl>
  </w:abstractNum>
  <w:abstractNum w:abstractNumId="2">
    <w:nsid w:val="79E2A9E3"/>
    <w:multiLevelType w:val="hybridMultilevel"/>
    <w:lvl w:ilvl="0">
      <w:lvlJc w:val="left"/>
      <w:lvlText w:val="(%1)"/>
      <w:numFmt w:val="decimal"/>
      <w:start w:val="952"/>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bullet"/>
      <w:start w:val="1"/>
    </w:lvl>
    <w:lvl w:ilvl="1">
      <w:lvlJc w:val="left"/>
      <w:lvlText w:val="(%2)"/>
      <w:numFmt w:val="lowerRoman"/>
      <w:start w:val="2"/>
    </w:lvl>
  </w:abstractNum>
  <w:abstractNum w:abstractNumId="9">
    <w:nsid w:val="1F16E9E8"/>
    <w:multiLevelType w:val="hybridMultilevel"/>
    <w:lvl w:ilvl="0">
      <w:lvlJc w:val="left"/>
      <w:lvlText w:val="2"/>
      <w:numFmt w:val="bullet"/>
      <w:start w:val="1"/>
    </w:lvl>
  </w:abstractNum>
  <w:abstractNum w:abstractNumId="10">
    <w:nsid w:val="1190CDE7"/>
    <w:multiLevelType w:val="hybridMultilevel"/>
    <w:lvl w:ilvl="0">
      <w:lvlJc w:val="left"/>
      <w:lvlText w:val="3"/>
      <w:numFmt w:val="bullet"/>
      <w:start w:val="1"/>
    </w:lvl>
  </w:abstractNum>
  <w:abstractNum w:abstractNumId="11">
    <w:nsid w:val="66EF438D"/>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2021-12-15T07:48:36Z</dcterms:created>
  <dcterms:modified xsi:type="dcterms:W3CDTF">2021-12-15T07:48:36Z</dcterms:modified>
</cp:coreProperties>
</file>