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4029075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80"/>
            <w:col w:w="8580"/>
          </w:cols>
          <w:pgMar w:left="460" w:top="224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Baab Jason P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8111 LYNDALE AVE S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TTC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07/31/2023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Strategy, Corp Dev &amp; Sust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7,870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7,870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and become non-forfeitable in three equal annual installments commencing on the first anniversary of the July 31, 2023 grant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4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4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8590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2023-08-02T14:16:33Z</dcterms:created>
  <dcterms:modified xsi:type="dcterms:W3CDTF">2023-08-02T14:16:33Z</dcterms:modified>
</cp:coreProperties>
</file>