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157480</wp:posOffset>
            </wp:positionH>
            <wp:positionV relativeFrom="page">
              <wp:posOffset>560705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0"/>
          <w:szCs w:val="30"/>
          <w:b w:val="1"/>
          <w:bCs w:val="1"/>
          <w:color w:val="auto"/>
        </w:rPr>
        <w:t>FORM 8-K</w:t>
      </w:r>
    </w:p>
    <w:p>
      <w:pPr>
        <w:spacing w:after="0" w:line="1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20, 2018</w:t>
      </w:r>
    </w:p>
    <w:p>
      <w:pPr>
        <w:spacing w:after="0" w:line="3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THE TORO COMPANY</w:t>
      </w:r>
    </w:p>
    <w:p>
      <w:pPr>
        <w:spacing w:after="0" w:line="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0" w:lineRule="exact"/>
        <w:rPr>
          <w:sz w:val="24"/>
          <w:szCs w:val="24"/>
          <w:color w:val="auto"/>
        </w:rPr>
      </w:pPr>
    </w:p>
    <w:p>
      <w:pPr>
        <w:spacing w:after="0" w:line="301" w:lineRule="exact"/>
        <w:rPr>
          <w:sz w:val="24"/>
          <w:szCs w:val="24"/>
          <w:color w:val="auto"/>
        </w:rPr>
      </w:pPr>
    </w:p>
    <w:tbl>
      <w:tblPr>
        <w:tblLayout w:type="fixed"/>
        <w:tblInd w:w="800" w:type="dxa"/>
        <w:tblCellMar>
          <w:top w:w="0" w:type="dxa"/>
          <w:left w:w="0" w:type="dxa"/>
          <w:bottom w:w="0" w:type="dxa"/>
          <w:right w:w="0" w:type="dxa"/>
        </w:tblCellMar>
      </w:tblPr>
      <w:tr>
        <w:trPr>
          <w:trHeight w:val="262"/>
        </w:trPr>
        <w:tc>
          <w:tcPr>
            <w:tcW w:w="3860" w:type="dxa"/>
            <w:vAlign w:val="bottom"/>
            <w:gridSpan w:val="4"/>
          </w:tcPr>
          <w:p>
            <w:pPr>
              <w:jc w:val="center"/>
              <w:ind w:right="1540"/>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3220" w:type="dxa"/>
            <w:vAlign w:val="bottom"/>
          </w:tcPr>
          <w:p>
            <w:pPr>
              <w:jc w:val="right"/>
              <w:ind w:right="1727"/>
              <w:spacing w:after="0"/>
              <w:rPr>
                <w:sz w:val="20"/>
                <w:szCs w:val="20"/>
                <w:color w:val="auto"/>
              </w:rPr>
            </w:pPr>
            <w:r>
              <w:rPr>
                <w:rFonts w:ascii="Times New Roman" w:cs="Times New Roman" w:eastAsia="Times New Roman" w:hAnsi="Times New Roman"/>
                <w:sz w:val="20"/>
                <w:szCs w:val="20"/>
                <w:b w:val="1"/>
                <w:bCs w:val="1"/>
                <w:color w:val="auto"/>
              </w:rPr>
              <w:t>1-8649</w:t>
            </w:r>
          </w:p>
        </w:tc>
        <w:tc>
          <w:tcPr>
            <w:tcW w:w="2980" w:type="dxa"/>
            <w:vAlign w:val="bottom"/>
            <w:gridSpan w:val="4"/>
          </w:tcPr>
          <w:p>
            <w:pPr>
              <w:jc w:val="right"/>
              <w:ind w:right="840"/>
              <w:spacing w:after="0"/>
              <w:rPr>
                <w:sz w:val="20"/>
                <w:szCs w:val="20"/>
                <w:color w:val="auto"/>
              </w:rPr>
            </w:pPr>
            <w:r>
              <w:rPr>
                <w:rFonts w:ascii="Times New Roman" w:cs="Times New Roman" w:eastAsia="Times New Roman" w:hAnsi="Times New Roman"/>
                <w:sz w:val="20"/>
                <w:szCs w:val="20"/>
                <w:b w:val="1"/>
                <w:bCs w:val="1"/>
                <w:color w:val="auto"/>
              </w:rPr>
              <w:t>41-0580470</w:t>
            </w:r>
          </w:p>
        </w:tc>
      </w:tr>
      <w:tr>
        <w:trPr>
          <w:trHeight w:val="245"/>
        </w:trPr>
        <w:tc>
          <w:tcPr>
            <w:tcW w:w="3860" w:type="dxa"/>
            <w:vAlign w:val="bottom"/>
            <w:gridSpan w:val="4"/>
          </w:tcPr>
          <w:p>
            <w:pPr>
              <w:jc w:val="center"/>
              <w:ind w:right="1560"/>
              <w:spacing w:after="0"/>
              <w:rPr>
                <w:sz w:val="20"/>
                <w:szCs w:val="20"/>
                <w:color w:val="auto"/>
              </w:rPr>
            </w:pPr>
            <w:r>
              <w:rPr>
                <w:rFonts w:ascii="Times New Roman" w:cs="Times New Roman" w:eastAsia="Times New Roman" w:hAnsi="Times New Roman"/>
                <w:sz w:val="16"/>
                <w:szCs w:val="16"/>
                <w:color w:val="auto"/>
              </w:rPr>
              <w:t>(State of Incorporation)</w:t>
            </w:r>
          </w:p>
        </w:tc>
        <w:tc>
          <w:tcPr>
            <w:tcW w:w="3220" w:type="dxa"/>
            <w:vAlign w:val="bottom"/>
          </w:tcPr>
          <w:p>
            <w:pPr>
              <w:jc w:val="center"/>
              <w:ind w:right="887"/>
              <w:spacing w:after="0"/>
              <w:rPr>
                <w:sz w:val="20"/>
                <w:szCs w:val="20"/>
                <w:color w:val="auto"/>
              </w:rPr>
            </w:pPr>
            <w:r>
              <w:rPr>
                <w:rFonts w:ascii="Times New Roman" w:cs="Times New Roman" w:eastAsia="Times New Roman" w:hAnsi="Times New Roman"/>
                <w:sz w:val="16"/>
                <w:szCs w:val="16"/>
                <w:color w:val="auto"/>
              </w:rPr>
              <w:t>(Commission File Number)</w:t>
            </w:r>
          </w:p>
        </w:tc>
        <w:tc>
          <w:tcPr>
            <w:tcW w:w="300" w:type="dxa"/>
            <w:vAlign w:val="bottom"/>
          </w:tcPr>
          <w:p>
            <w:pPr>
              <w:spacing w:after="0"/>
              <w:rPr>
                <w:sz w:val="21"/>
                <w:szCs w:val="21"/>
                <w:color w:val="auto"/>
              </w:rPr>
            </w:pPr>
          </w:p>
        </w:tc>
        <w:tc>
          <w:tcPr>
            <w:tcW w:w="26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(I.R.S. Employer Identification Number)</w:t>
            </w:r>
          </w:p>
        </w:tc>
      </w:tr>
      <w:tr>
        <w:trPr>
          <w:trHeight w:val="776"/>
        </w:trPr>
        <w:tc>
          <w:tcPr>
            <w:tcW w:w="780" w:type="dxa"/>
            <w:vAlign w:val="bottom"/>
          </w:tcPr>
          <w:p>
            <w:pPr>
              <w:spacing w:after="0"/>
              <w:rPr>
                <w:sz w:val="24"/>
                <w:szCs w:val="24"/>
                <w:color w:val="auto"/>
              </w:rPr>
            </w:pPr>
          </w:p>
        </w:tc>
        <w:tc>
          <w:tcPr>
            <w:tcW w:w="3080" w:type="dxa"/>
            <w:vAlign w:val="bottom"/>
            <w:gridSpan w:val="3"/>
          </w:tcPr>
          <w:p>
            <w:pPr>
              <w:jc w:val="center"/>
              <w:ind w:right="560"/>
              <w:spacing w:after="0"/>
              <w:rPr>
                <w:sz w:val="20"/>
                <w:szCs w:val="20"/>
                <w:color w:val="auto"/>
              </w:rPr>
            </w:pPr>
            <w:r>
              <w:rPr>
                <w:rFonts w:ascii="Times New Roman" w:cs="Times New Roman" w:eastAsia="Times New Roman" w:hAnsi="Times New Roman"/>
                <w:sz w:val="20"/>
                <w:szCs w:val="20"/>
                <w:b w:val="1"/>
                <w:bCs w:val="1"/>
                <w:color w:val="auto"/>
                <w:w w:val="96"/>
              </w:rPr>
              <w:t>8111 Lyndale Avenue South</w:t>
            </w:r>
          </w:p>
        </w:tc>
        <w:tc>
          <w:tcPr>
            <w:tcW w:w="3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2580" w:type="dxa"/>
            <w:vAlign w:val="bottom"/>
            <w:tcBorders>
              <w:bottom w:val="single" w:sz="8" w:color="auto"/>
            </w:tcBorders>
            <w:gridSpan w:val="2"/>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Bloomington, Minnesota</w:t>
            </w:r>
          </w:p>
        </w:tc>
        <w:tc>
          <w:tcPr>
            <w:tcW w:w="5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bottom w:val="single" w:sz="8" w:color="auto"/>
            </w:tcBorders>
            <w:gridSpan w:val="2"/>
          </w:tcPr>
          <w:p>
            <w:pPr>
              <w:jc w:val="right"/>
              <w:ind w:right="140"/>
              <w:spacing w:after="0" w:line="216" w:lineRule="exact"/>
              <w:rPr>
                <w:sz w:val="20"/>
                <w:szCs w:val="20"/>
                <w:color w:val="auto"/>
              </w:rPr>
            </w:pPr>
            <w:r>
              <w:rPr>
                <w:rFonts w:ascii="Times New Roman" w:cs="Times New Roman" w:eastAsia="Times New Roman" w:hAnsi="Times New Roman"/>
                <w:sz w:val="20"/>
                <w:szCs w:val="20"/>
                <w:b w:val="1"/>
                <w:bCs w:val="1"/>
                <w:color w:val="auto"/>
              </w:rPr>
              <w:t>55420</w:t>
            </w:r>
          </w:p>
        </w:tc>
        <w:tc>
          <w:tcPr>
            <w:tcW w:w="1900" w:type="dxa"/>
            <w:vAlign w:val="bottom"/>
          </w:tcPr>
          <w:p>
            <w:pPr>
              <w:spacing w:after="0"/>
              <w:rPr>
                <w:sz w:val="18"/>
                <w:szCs w:val="18"/>
                <w:color w:val="auto"/>
              </w:rPr>
            </w:pPr>
          </w:p>
        </w:tc>
      </w:tr>
      <w:tr>
        <w:trPr>
          <w:trHeight w:val="256"/>
        </w:trPr>
        <w:tc>
          <w:tcPr>
            <w:tcW w:w="3860" w:type="dxa"/>
            <w:vAlign w:val="bottom"/>
            <w:gridSpan w:val="4"/>
          </w:tcPr>
          <w:p>
            <w:pPr>
              <w:jc w:val="center"/>
              <w:ind w:left="185"/>
              <w:spacing w:after="0"/>
              <w:rPr>
                <w:sz w:val="20"/>
                <w:szCs w:val="20"/>
                <w:color w:val="auto"/>
              </w:rPr>
            </w:pPr>
            <w:r>
              <w:rPr>
                <w:rFonts w:ascii="Times New Roman" w:cs="Times New Roman" w:eastAsia="Times New Roman" w:hAnsi="Times New Roman"/>
                <w:sz w:val="20"/>
                <w:szCs w:val="20"/>
                <w:color w:val="auto"/>
                <w:w w:val="98"/>
              </w:rPr>
              <w:t>(Address of principal executive offices)</w:t>
            </w:r>
          </w:p>
        </w:tc>
        <w:tc>
          <w:tcPr>
            <w:tcW w:w="3220" w:type="dxa"/>
            <w:vAlign w:val="bottom"/>
          </w:tcPr>
          <w:p>
            <w:pPr>
              <w:spacing w:after="0"/>
              <w:rPr>
                <w:sz w:val="22"/>
                <w:szCs w:val="22"/>
                <w:color w:val="auto"/>
              </w:rPr>
            </w:pPr>
          </w:p>
        </w:tc>
        <w:tc>
          <w:tcPr>
            <w:tcW w:w="2980" w:type="dxa"/>
            <w:vAlign w:val="bottom"/>
            <w:gridSpan w:val="4"/>
          </w:tcPr>
          <w:p>
            <w:pPr>
              <w:ind w:left="260"/>
              <w:spacing w:after="0"/>
              <w:rPr>
                <w:sz w:val="20"/>
                <w:szCs w:val="20"/>
                <w:color w:val="auto"/>
              </w:rPr>
            </w:pPr>
            <w:r>
              <w:rPr>
                <w:rFonts w:ascii="Times New Roman" w:cs="Times New Roman" w:eastAsia="Times New Roman" w:hAnsi="Times New Roman"/>
                <w:sz w:val="20"/>
                <w:szCs w:val="20"/>
                <w:color w:val="auto"/>
              </w:rPr>
              <w:t>(Zip Code)</w:t>
            </w:r>
          </w:p>
        </w:tc>
      </w:tr>
      <w:tr>
        <w:trPr>
          <w:trHeight w:val="581"/>
        </w:trPr>
        <w:tc>
          <w:tcPr>
            <w:tcW w:w="7080" w:type="dxa"/>
            <w:vAlign w:val="bottom"/>
            <w:gridSpan w:val="5"/>
          </w:tcPr>
          <w:p>
            <w:pPr>
              <w:jc w:val="center"/>
              <w:ind w:right="2867"/>
              <w:spacing w:after="0"/>
              <w:rPr>
                <w:sz w:val="20"/>
                <w:szCs w:val="20"/>
                <w:color w:val="auto"/>
              </w:rPr>
            </w:pPr>
            <w:r>
              <w:rPr>
                <w:rFonts w:ascii="Times New Roman" w:cs="Times New Roman" w:eastAsia="Times New Roman" w:hAnsi="Times New Roman"/>
                <w:sz w:val="20"/>
                <w:szCs w:val="20"/>
                <w:color w:val="auto"/>
                <w:w w:val="98"/>
              </w:rPr>
              <w:t>Registrant’s telephone number, including area code:</w:t>
            </w:r>
          </w:p>
        </w:tc>
        <w:tc>
          <w:tcPr>
            <w:tcW w:w="2980" w:type="dxa"/>
            <w:vAlign w:val="bottom"/>
            <w:gridSpan w:val="4"/>
          </w:tcPr>
          <w:p>
            <w:pPr>
              <w:jc w:val="right"/>
              <w:ind w:right="1720"/>
              <w:spacing w:after="0"/>
              <w:rPr>
                <w:sz w:val="20"/>
                <w:szCs w:val="20"/>
                <w:color w:val="auto"/>
              </w:rPr>
            </w:pPr>
            <w:r>
              <w:rPr>
                <w:rFonts w:ascii="Times New Roman" w:cs="Times New Roman" w:eastAsia="Times New Roman" w:hAnsi="Times New Roman"/>
                <w:sz w:val="18"/>
                <w:szCs w:val="18"/>
                <w:b w:val="1"/>
                <w:bCs w:val="1"/>
                <w:color w:val="auto"/>
              </w:rPr>
              <w:t>(952) 888-8801</w:t>
            </w:r>
          </w:p>
        </w:tc>
      </w:tr>
      <w:tr>
        <w:trPr>
          <w:trHeight w:val="608"/>
        </w:trPr>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20" w:type="dxa"/>
            <w:vAlign w:val="bottom"/>
          </w:tcPr>
          <w:p>
            <w:pPr>
              <w:jc w:val="center"/>
              <w:ind w:right="1007"/>
              <w:spacing w:after="0"/>
              <w:rPr>
                <w:sz w:val="20"/>
                <w:szCs w:val="20"/>
                <w:color w:val="auto"/>
              </w:rPr>
            </w:pPr>
            <w:r>
              <w:rPr>
                <w:rFonts w:ascii="Times New Roman" w:cs="Times New Roman" w:eastAsia="Times New Roman" w:hAnsi="Times New Roman"/>
                <w:sz w:val="20"/>
                <w:szCs w:val="20"/>
                <w:color w:val="auto"/>
                <w:w w:val="97"/>
              </w:rPr>
              <w:t>Not Applicable</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
        </w:trPr>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7"/>
        </w:trPr>
        <w:tc>
          <w:tcPr>
            <w:tcW w:w="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680" w:type="dxa"/>
            <w:vAlign w:val="bottom"/>
            <w:gridSpan w:val="3"/>
          </w:tcPr>
          <w:p>
            <w:pPr>
              <w:jc w:val="center"/>
              <w:ind w:left="27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00" w:type="dxa"/>
            <w:vAlign w:val="bottom"/>
          </w:tcPr>
          <w:p>
            <w:pPr>
              <w:spacing w:after="0"/>
              <w:rPr>
                <w:sz w:val="18"/>
                <w:szCs w:val="18"/>
                <w:color w:val="auto"/>
              </w:rPr>
            </w:pPr>
          </w:p>
        </w:tc>
      </w:tr>
    </w:tbl>
    <w:p>
      <w:pPr>
        <w:spacing w:after="0" w:line="375" w:lineRule="exact"/>
        <w:rPr>
          <w:sz w:val="24"/>
          <w:szCs w:val="24"/>
          <w:color w:val="auto"/>
        </w:rPr>
      </w:pPr>
    </w:p>
    <w:p>
      <w:pPr>
        <w:jc w:val="center"/>
        <w:ind w:left="300"/>
        <w:spacing w:after="0" w:line="233"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120" w:hanging="112"/>
        <w:spacing w:after="0"/>
        <w:tabs>
          <w:tab w:leader="none" w:pos="1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Written communications pursuant to Rule 425 under the Securities Act (17 CFR 230.425)</w:t>
      </w:r>
    </w:p>
    <w:p>
      <w:pPr>
        <w:spacing w:after="0" w:line="121" w:lineRule="exact"/>
        <w:rPr>
          <w:rFonts w:ascii="Times New Roman" w:cs="Times New Roman" w:eastAsia="Times New Roman" w:hAnsi="Times New Roman"/>
          <w:sz w:val="20"/>
          <w:szCs w:val="20"/>
          <w:color w:val="auto"/>
        </w:rPr>
      </w:pPr>
    </w:p>
    <w:p>
      <w:pPr>
        <w:ind w:left="120" w:hanging="112"/>
        <w:spacing w:after="0"/>
        <w:tabs>
          <w:tab w:leader="none" w:pos="1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Soliciting material pursuant to Rule 14a-12 under the Exchange Act (17 CFR 240.14a-12)</w:t>
      </w:r>
    </w:p>
    <w:p>
      <w:pPr>
        <w:spacing w:after="0" w:line="121" w:lineRule="exact"/>
        <w:rPr>
          <w:rFonts w:ascii="Times New Roman" w:cs="Times New Roman" w:eastAsia="Times New Roman" w:hAnsi="Times New Roman"/>
          <w:sz w:val="20"/>
          <w:szCs w:val="20"/>
          <w:color w:val="auto"/>
        </w:rPr>
      </w:pPr>
    </w:p>
    <w:p>
      <w:pPr>
        <w:ind w:left="120" w:hanging="112"/>
        <w:spacing w:after="0"/>
        <w:tabs>
          <w:tab w:leader="none" w:pos="1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Pre-commencement communications pursuant to Rule 14d-2(b) under the Exchange Act (17 CFR 240.14d-2(b))</w:t>
      </w:r>
    </w:p>
    <w:p>
      <w:pPr>
        <w:spacing w:after="0" w:line="121" w:lineRule="exact"/>
        <w:rPr>
          <w:rFonts w:ascii="Times New Roman" w:cs="Times New Roman" w:eastAsia="Times New Roman" w:hAnsi="Times New Roman"/>
          <w:sz w:val="20"/>
          <w:szCs w:val="20"/>
          <w:color w:val="auto"/>
        </w:rPr>
      </w:pPr>
    </w:p>
    <w:p>
      <w:pPr>
        <w:ind w:left="120" w:hanging="112"/>
        <w:spacing w:after="0"/>
        <w:tabs>
          <w:tab w:leader="none" w:pos="1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Pre-commencement communications pursuant to Rule 13e-4(c) under the Exchange Act (17 CFR 240.13e-4(c))</w:t>
      </w:r>
    </w:p>
    <w:p>
      <w:pPr>
        <w:spacing w:after="0" w:line="162" w:lineRule="exact"/>
        <w:rPr>
          <w:sz w:val="24"/>
          <w:szCs w:val="24"/>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0" w:lineRule="exact"/>
        <w:rPr>
          <w:sz w:val="20"/>
          <w:szCs w:val="20"/>
          <w:color w:val="auto"/>
        </w:rPr>
      </w:pPr>
      <w:r>
        <w:rPr>
          <w:rFonts w:ascii="Times New Roman" w:cs="Times New Roman" w:eastAsia="Times New Roman" w:hAnsi="Times New Roman"/>
          <w:sz w:val="20"/>
          <w:szCs w:val="20"/>
          <w:color w:val="auto"/>
        </w:rPr>
        <w:t xml:space="preserve">Emerging growth company </w:t>
      </w:r>
      <w:r>
        <w:rPr>
          <w:rFonts w:ascii="MS PGothic" w:cs="MS PGothic" w:eastAsia="MS PGothic" w:hAnsi="MS PGothic"/>
          <w:sz w:val="20"/>
          <w:szCs w:val="20"/>
          <w:color w:val="auto"/>
        </w:rPr>
        <w:t>☐</w:t>
      </w:r>
    </w:p>
    <w:p>
      <w:pPr>
        <w:spacing w:after="0" w:line="215" w:lineRule="exact"/>
        <w:rPr>
          <w:sz w:val="24"/>
          <w:szCs w:val="24"/>
          <w:color w:val="auto"/>
        </w:rPr>
      </w:pPr>
    </w:p>
    <w:p>
      <w:pPr>
        <w:ind w:right="300"/>
        <w:spacing w:after="0" w:line="254" w:lineRule="exact"/>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347"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Section 5—Corporate Governance and Management</w:t>
      </w:r>
    </w:p>
    <w:p>
      <w:pPr>
        <w:spacing w:after="0" w:line="22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5.07</w:t>
      </w:r>
      <w:r>
        <w:rPr>
          <w:sz w:val="20"/>
          <w:szCs w:val="20"/>
          <w:color w:val="auto"/>
        </w:rPr>
        <w:tab/>
      </w:r>
      <w:r>
        <w:rPr>
          <w:rFonts w:ascii="Times New Roman" w:cs="Times New Roman" w:eastAsia="Times New Roman" w:hAnsi="Times New Roman"/>
          <w:sz w:val="19"/>
          <w:szCs w:val="19"/>
          <w:b w:val="1"/>
          <w:bCs w:val="1"/>
          <w:color w:val="auto"/>
        </w:rPr>
        <w:t>Submission of Matters to a Vote of Security Holders.</w:t>
      </w:r>
    </w:p>
    <w:p>
      <w:pPr>
        <w:spacing w:after="0" w:line="233"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The Toro Company (the “Company”) held its 2018 Annual Meeting of Shareholders on March 20, 2018. The final results of the shareholder vote on the business brought before the meeting were as follows:</w:t>
      </w: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Against/</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Broker</w:t>
            </w:r>
          </w:p>
        </w:tc>
        <w:tc>
          <w:tcPr>
            <w:tcW w:w="0" w:type="dxa"/>
            <w:vAlign w:val="bottom"/>
          </w:tcPr>
          <w:p>
            <w:pPr>
              <w:spacing w:after="0"/>
              <w:rPr>
                <w:sz w:val="1"/>
                <w:szCs w:val="1"/>
                <w:color w:val="auto"/>
              </w:rPr>
            </w:pPr>
          </w:p>
        </w:tc>
      </w:tr>
      <w:tr>
        <w:trPr>
          <w:trHeight w:val="234"/>
        </w:trPr>
        <w:tc>
          <w:tcPr>
            <w:tcW w:w="5460" w:type="dxa"/>
            <w:vAlign w:val="bottom"/>
          </w:tcPr>
          <w:p>
            <w:pPr>
              <w:spacing w:after="0"/>
              <w:rPr>
                <w:sz w:val="20"/>
                <w:szCs w:val="20"/>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5"/>
              </w:rPr>
              <w:t>For</w:t>
            </w: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Withheld</w:t>
            </w:r>
          </w:p>
        </w:tc>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Abstain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Non-Votes</w:t>
            </w:r>
          </w:p>
        </w:tc>
        <w:tc>
          <w:tcPr>
            <w:tcW w:w="0" w:type="dxa"/>
            <w:vAlign w:val="bottom"/>
          </w:tcPr>
          <w:p>
            <w:pPr>
              <w:spacing w:after="0"/>
              <w:rPr>
                <w:sz w:val="1"/>
                <w:szCs w:val="1"/>
                <w:color w:val="auto"/>
              </w:rPr>
            </w:pPr>
          </w:p>
        </w:tc>
      </w:tr>
      <w:tr>
        <w:trPr>
          <w:trHeight w:val="27"/>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Proposal One—Election of four directors, each to serve for a term</w:t>
            </w:r>
          </w:p>
        </w:tc>
        <w:tc>
          <w:tcPr>
            <w:tcW w:w="12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46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of three years ending at the Company’s 2021 Annual Meeting</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of Shareholders</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Janet K. Cooper</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85,852,502</w:t>
            </w:r>
          </w:p>
        </w:tc>
        <w:tc>
          <w:tcPr>
            <w:tcW w:w="3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1,965,615</w:t>
            </w:r>
          </w:p>
        </w:tc>
        <w:tc>
          <w:tcPr>
            <w:tcW w:w="340" w:type="dxa"/>
            <w:vAlign w:val="bottom"/>
          </w:tcPr>
          <w:p>
            <w:pPr>
              <w:spacing w:after="0"/>
              <w:rPr>
                <w:sz w:val="24"/>
                <w:szCs w:val="24"/>
                <w:color w:val="auto"/>
              </w:rPr>
            </w:pPr>
          </w:p>
        </w:tc>
        <w:tc>
          <w:tcPr>
            <w:tcW w:w="14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9,491,732</w:t>
            </w:r>
          </w:p>
        </w:tc>
        <w:tc>
          <w:tcPr>
            <w:tcW w:w="0" w:type="dxa"/>
            <w:vAlign w:val="bottom"/>
          </w:tcPr>
          <w:p>
            <w:pPr>
              <w:spacing w:after="0"/>
              <w:rPr>
                <w:sz w:val="1"/>
                <w:szCs w:val="1"/>
                <w:color w:val="auto"/>
              </w:rPr>
            </w:pPr>
          </w:p>
        </w:tc>
      </w:tr>
      <w:tr>
        <w:trPr>
          <w:trHeight w:val="270"/>
        </w:trPr>
        <w:tc>
          <w:tcPr>
            <w:tcW w:w="5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Gary L. Ellis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86,411,422</w:t>
            </w:r>
          </w:p>
        </w:tc>
        <w:tc>
          <w:tcPr>
            <w:tcW w:w="36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1,406,695</w:t>
            </w:r>
          </w:p>
        </w:tc>
        <w:tc>
          <w:tcPr>
            <w:tcW w:w="340" w:type="dxa"/>
            <w:vAlign w:val="bottom"/>
          </w:tcPr>
          <w:p>
            <w:pPr>
              <w:spacing w:after="0"/>
              <w:rPr>
                <w:sz w:val="23"/>
                <w:szCs w:val="23"/>
                <w:color w:val="auto"/>
              </w:rPr>
            </w:pPr>
          </w:p>
        </w:tc>
        <w:tc>
          <w:tcPr>
            <w:tcW w:w="14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9,491,732</w:t>
            </w:r>
          </w:p>
        </w:tc>
        <w:tc>
          <w:tcPr>
            <w:tcW w:w="0" w:type="dxa"/>
            <w:vAlign w:val="bottom"/>
          </w:tcPr>
          <w:p>
            <w:pPr>
              <w:spacing w:after="0"/>
              <w:rPr>
                <w:sz w:val="1"/>
                <w:szCs w:val="1"/>
                <w:color w:val="auto"/>
              </w:rPr>
            </w:pPr>
          </w:p>
        </w:tc>
      </w:tr>
      <w:tr>
        <w:trPr>
          <w:trHeight w:val="270"/>
        </w:trPr>
        <w:tc>
          <w:tcPr>
            <w:tcW w:w="5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Gregg W. Steinhafel</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84,949,290</w:t>
            </w:r>
          </w:p>
        </w:tc>
        <w:tc>
          <w:tcPr>
            <w:tcW w:w="36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2,868,827</w:t>
            </w:r>
          </w:p>
        </w:tc>
        <w:tc>
          <w:tcPr>
            <w:tcW w:w="340" w:type="dxa"/>
            <w:vAlign w:val="bottom"/>
          </w:tcPr>
          <w:p>
            <w:pPr>
              <w:spacing w:after="0"/>
              <w:rPr>
                <w:sz w:val="23"/>
                <w:szCs w:val="23"/>
                <w:color w:val="auto"/>
              </w:rPr>
            </w:pPr>
          </w:p>
        </w:tc>
        <w:tc>
          <w:tcPr>
            <w:tcW w:w="14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9,491,732</w:t>
            </w:r>
          </w:p>
        </w:tc>
        <w:tc>
          <w:tcPr>
            <w:tcW w:w="0" w:type="dxa"/>
            <w:vAlign w:val="bottom"/>
          </w:tcPr>
          <w:p>
            <w:pPr>
              <w:spacing w:after="0"/>
              <w:rPr>
                <w:sz w:val="1"/>
                <w:szCs w:val="1"/>
                <w:color w:val="auto"/>
              </w:rPr>
            </w:pPr>
          </w:p>
        </w:tc>
      </w:tr>
      <w:tr>
        <w:trPr>
          <w:trHeight w:val="270"/>
        </w:trPr>
        <w:tc>
          <w:tcPr>
            <w:tcW w:w="5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Michael G. Vale, Ph.D.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86,759,339</w:t>
            </w:r>
          </w:p>
        </w:tc>
        <w:tc>
          <w:tcPr>
            <w:tcW w:w="36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1,058,778</w:t>
            </w:r>
          </w:p>
        </w:tc>
        <w:tc>
          <w:tcPr>
            <w:tcW w:w="340" w:type="dxa"/>
            <w:vAlign w:val="bottom"/>
          </w:tcPr>
          <w:p>
            <w:pPr>
              <w:spacing w:after="0"/>
              <w:rPr>
                <w:sz w:val="23"/>
                <w:szCs w:val="23"/>
                <w:color w:val="auto"/>
              </w:rPr>
            </w:pPr>
          </w:p>
        </w:tc>
        <w:tc>
          <w:tcPr>
            <w:tcW w:w="14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9,491,732</w:t>
            </w:r>
          </w:p>
        </w:tc>
        <w:tc>
          <w:tcPr>
            <w:tcW w:w="0" w:type="dxa"/>
            <w:vAlign w:val="bottom"/>
          </w:tcPr>
          <w:p>
            <w:pPr>
              <w:spacing w:after="0"/>
              <w:rPr>
                <w:sz w:val="1"/>
                <w:szCs w:val="1"/>
                <w:color w:val="auto"/>
              </w:rPr>
            </w:pPr>
          </w:p>
        </w:tc>
      </w:tr>
      <w:tr>
        <w:trPr>
          <w:trHeight w:val="477"/>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Two—Ratification of the selection of KPMG LLP as the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95,896,753</w:t>
            </w:r>
          </w:p>
        </w:tc>
        <w:tc>
          <w:tcPr>
            <w:tcW w:w="3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971,938</w:t>
            </w:r>
          </w:p>
        </w:tc>
        <w:tc>
          <w:tcPr>
            <w:tcW w:w="340" w:type="dxa"/>
            <w:vAlign w:val="bottom"/>
          </w:tcPr>
          <w:p>
            <w:pPr>
              <w:spacing w:after="0"/>
              <w:rPr>
                <w:sz w:val="24"/>
                <w:szCs w:val="24"/>
                <w:color w:val="auto"/>
              </w:rPr>
            </w:pPr>
          </w:p>
        </w:tc>
        <w:tc>
          <w:tcPr>
            <w:tcW w:w="1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441,158</w:t>
            </w:r>
          </w:p>
        </w:tc>
        <w:tc>
          <w:tcPr>
            <w:tcW w:w="220" w:type="dxa"/>
            <w:vAlign w:val="bottom"/>
          </w:tcPr>
          <w:p>
            <w:pPr>
              <w:spacing w:after="0"/>
              <w:rPr>
                <w:sz w:val="24"/>
                <w:szCs w:val="24"/>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Company’s independent registered public accounting firm for</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the Company’s fiscal year ending October 31, 2018</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Three—Advisory approval of executive compensation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83,896,681</w:t>
            </w:r>
          </w:p>
        </w:tc>
        <w:tc>
          <w:tcPr>
            <w:tcW w:w="3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3,027,020</w:t>
            </w:r>
          </w:p>
        </w:tc>
        <w:tc>
          <w:tcPr>
            <w:tcW w:w="340" w:type="dxa"/>
            <w:vAlign w:val="bottom"/>
          </w:tcPr>
          <w:p>
            <w:pPr>
              <w:spacing w:after="0"/>
              <w:rPr>
                <w:sz w:val="24"/>
                <w:szCs w:val="24"/>
                <w:color w:val="auto"/>
              </w:rPr>
            </w:pPr>
          </w:p>
        </w:tc>
        <w:tc>
          <w:tcPr>
            <w:tcW w:w="1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894,416</w:t>
            </w:r>
          </w:p>
        </w:tc>
        <w:tc>
          <w:tcPr>
            <w:tcW w:w="2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9,491,732</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Each of the directors in Proposal One was elected by the Company’s shareholders by the required vote and each of Proposals Two and Three was approved by the Company’s shareholders by the required vote.</w:t>
      </w:r>
    </w:p>
    <w:p>
      <w:pPr>
        <w:spacing w:after="0" w:line="173"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Regarding the Company’s other directors, (i) each of Robert C. Buhrmaster, Richard M. Olson, James C. O’Rourke and Christopher A. Twomey continue to serve as a director for a term ending at the Company’s 2019 Annual Meeting of Shareholders; and (ii) each of Jeffrey M. Ettinger, Katherine J. Harless, and D. Christian Koch continue to serve as a director for a term ending at the Company’s 2020 Annual Meeting of Shareholders.</w:t>
      </w:r>
    </w:p>
    <w:p>
      <w:pPr>
        <w:sectPr>
          <w:pgSz w:w="11900" w:h="16838" w:orient="portrait"/>
          <w:cols w:equalWidth="0" w:num="1">
            <w:col w:w="11400"/>
          </w:cols>
          <w:pgMar w:left="240" w:top="356" w:right="25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20"/>
          <w:szCs w:val="20"/>
          <w:color w:val="auto"/>
        </w:rPr>
        <w:t>SIGNATURES</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33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color w:val="auto"/>
        </w:rPr>
        <w:t>THE TORO COMPANY</w:t>
      </w:r>
    </w:p>
    <w:p>
      <w:pPr>
        <w:spacing w:after="0" w:line="2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color w:val="auto"/>
        </w:rPr>
        <w:t>(Registrant)</w:t>
      </w:r>
    </w:p>
    <w:p>
      <w:pPr>
        <w:spacing w:after="0" w:line="356" w:lineRule="exact"/>
        <w:rPr>
          <w:sz w:val="20"/>
          <w:szCs w:val="20"/>
          <w:color w:val="auto"/>
        </w:rPr>
      </w:pPr>
    </w:p>
    <w:p>
      <w:pPr>
        <w:ind w:left="5740" w:right="3600" w:hanging="5992"/>
        <w:spacing w:after="0" w:line="311" w:lineRule="auto"/>
        <w:tabs>
          <w:tab w:leader="none" w:pos="5720" w:val="left"/>
        </w:tabs>
        <w:rPr>
          <w:sz w:val="20"/>
          <w:szCs w:val="20"/>
          <w:color w:val="auto"/>
        </w:rPr>
      </w:pPr>
      <w:r>
        <w:rPr>
          <w:rFonts w:ascii="Times New Roman" w:cs="Times New Roman" w:eastAsia="Times New Roman" w:hAnsi="Times New Roman"/>
          <w:sz w:val="20"/>
          <w:szCs w:val="20"/>
          <w:color w:val="auto"/>
        </w:rPr>
        <w:t>Date: March 23, 2018</w:t>
      </w:r>
      <w:r>
        <w:rPr>
          <w:sz w:val="20"/>
          <w:szCs w:val="20"/>
          <w:color w:val="auto"/>
        </w:rPr>
        <w:tab/>
      </w: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Timothy P. Dordell</w:t>
      </w:r>
      <w:r>
        <w:rPr>
          <w:rFonts w:ascii="Times New Roman" w:cs="Times New Roman" w:eastAsia="Times New Roman" w:hAnsi="Times New Roman"/>
          <w:sz w:val="19"/>
          <w:szCs w:val="19"/>
          <w:color w:val="auto"/>
        </w:rPr>
        <w:t xml:space="preserve"> Timothy P. Dordell</w:t>
      </w:r>
    </w:p>
    <w:p>
      <w:pPr>
        <w:spacing w:after="0" w:line="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color w:val="auto"/>
        </w:rPr>
        <w:t>Vice President, Secretary and General Counsel</w:t>
      </w:r>
    </w:p>
    <w:sectPr>
      <w:pgSz w:w="11900" w:h="16838" w:orient="portrait"/>
      <w:cols w:equalWidth="0" w:num="1">
        <w:col w:w="11380"/>
      </w:cols>
      <w:pgMar w:left="240" w:top="36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2019-12-05T13:28:10Z</dcterms:created>
  <dcterms:modified xsi:type="dcterms:W3CDTF">2019-12-05T13:28:10Z</dcterms:modified>
</cp:coreProperties>
</file>