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369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Stinson Mark B</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05/28/2010</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543" w:type="dxa"/>
        <w:tblCellMar>
          <w:top w:w="0" w:type="dxa"/>
          <w:left w:w="0" w:type="dxa"/>
          <w:bottom w:w="0" w:type="dxa"/>
          <w:right w:w="0" w:type="dxa"/>
        </w:tblCellMar>
      </w:tblPr>
      <w:tr>
        <w:trPr>
          <w:trHeight w:val="180"/>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5"/>
                <w:szCs w:val="15"/>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1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83"/>
        <w:spacing w:after="0"/>
        <w:rPr>
          <w:sz w:val="20"/>
          <w:szCs w:val="20"/>
          <w:color w:val="auto"/>
        </w:rPr>
      </w:pPr>
      <w:r>
        <w:rPr>
          <w:rFonts w:ascii="Times New Roman" w:cs="Times New Roman" w:eastAsia="Times New Roman" w:hAnsi="Times New Roman"/>
          <w:sz w:val="18"/>
          <w:szCs w:val="18"/>
          <w:color w:val="0000FF"/>
        </w:rPr>
        <w:t>GM, Exmark</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0000FF"/>
              </w:rPr>
              <w:t>05/28/2010</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0000FF"/>
              </w:rPr>
              <w:t>M</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4,500</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760" w:type="dxa"/>
            <w:vAlign w:val="bottom"/>
          </w:tcPr>
          <w:p>
            <w:pPr>
              <w:jc w:val="center"/>
              <w:ind w:right="5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24.16</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12,917</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8"/>
                <w:szCs w:val="18"/>
                <w:color w:val="0000FF"/>
              </w:rPr>
              <w:t>05/28/2010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4,500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54.047</w:t>
            </w:r>
            <w:r>
              <w:rPr>
                <w:rFonts w:ascii="Times New Roman" w:cs="Times New Roman" w:eastAsia="Times New Roman" w:hAnsi="Times New Roman"/>
                <w:sz w:val="22"/>
                <w:szCs w:val="22"/>
                <w:color w:val="008000"/>
                <w:w w:val="93"/>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8,417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1"/>
              </w:rPr>
              <w:t>1,023.085</w:t>
            </w:r>
            <w:r>
              <w:rPr>
                <w:rFonts w:ascii="Times New Roman" w:cs="Times New Roman" w:eastAsia="Times New Roman" w:hAnsi="Times New Roman"/>
                <w:sz w:val="22"/>
                <w:szCs w:val="22"/>
                <w:color w:val="008000"/>
                <w:w w:val="91"/>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0000FF"/>
                <w:w w:val="99"/>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vMerge w:val="restart"/>
          </w:tcPr>
          <w:p>
            <w:pPr>
              <w:ind w:left="100"/>
              <w:spacing w:after="0" w:line="324" w:lineRule="exact"/>
              <w:rPr>
                <w:sz w:val="20"/>
                <w:szCs w:val="20"/>
                <w:color w:val="auto"/>
              </w:rPr>
            </w:pPr>
            <w:r>
              <w:rPr>
                <w:rFonts w:ascii="Times New Roman" w:cs="Times New Roman" w:eastAsia="Times New Roman" w:hAnsi="Times New Roman"/>
                <w:sz w:val="14"/>
                <w:szCs w:val="14"/>
                <w:color w:val="0000FF"/>
              </w:rPr>
              <w:t xml:space="preserve">Common   </w:t>
            </w:r>
            <w:r>
              <w:rPr>
                <w:rFonts w:ascii="Times New Roman" w:cs="Times New Roman" w:eastAsia="Times New Roman" w:hAnsi="Times New Roman"/>
                <w:sz w:val="35"/>
                <w:szCs w:val="35"/>
                <w:color w:val="0000FF"/>
                <w:vertAlign w:val="subscript"/>
              </w:rPr>
              <w:t>4,500</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ind w:left="2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24.16</w:t>
            </w:r>
          </w:p>
        </w:tc>
        <w:tc>
          <w:tcPr>
            <w:tcW w:w="11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0000FF"/>
              </w:rPr>
              <w:t>05/28/2010</w:t>
            </w:r>
          </w:p>
        </w:tc>
        <w:tc>
          <w:tcPr>
            <w:tcW w:w="114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4"/>
                <w:szCs w:val="14"/>
                <w:color w:val="0000FF"/>
              </w:rPr>
              <w:t>4,500</w:t>
            </w:r>
          </w:p>
        </w:tc>
        <w:tc>
          <w:tcPr>
            <w:tcW w:w="8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0000FF"/>
              </w:rPr>
              <w:t>12/04/2004</w:t>
            </w:r>
          </w:p>
        </w:tc>
        <w:tc>
          <w:tcPr>
            <w:tcW w:w="8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0000FF"/>
              </w:rPr>
              <w:t>12/04/2013</w:t>
            </w:r>
          </w:p>
        </w:tc>
        <w:tc>
          <w:tcPr>
            <w:tcW w:w="1320" w:type="dxa"/>
            <w:vAlign w:val="bottom"/>
            <w:gridSpan w:val="3"/>
            <w:vMerge w:val="continue"/>
          </w:tcPr>
          <w:p>
            <w:pPr>
              <w:spacing w:after="0"/>
              <w:rPr>
                <w:sz w:val="11"/>
                <w:szCs w:val="11"/>
                <w:color w:val="auto"/>
              </w:rPr>
            </w:pPr>
          </w:p>
        </w:tc>
        <w:tc>
          <w:tcPr>
            <w:tcW w:w="760" w:type="dxa"/>
            <w:vAlign w:val="bottom"/>
          </w:tcPr>
          <w:p>
            <w:pPr>
              <w:ind w:left="26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4"/>
                <w:szCs w:val="14"/>
                <w:color w:val="0000FF"/>
              </w:rPr>
              <w:t>2,500</w:t>
            </w:r>
          </w:p>
        </w:tc>
        <w:tc>
          <w:tcPr>
            <w:tcW w:w="60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$53.84 to $54.15,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28" w:lineRule="exact"/>
        <w:rPr>
          <w:rFonts w:ascii="Times New Roman" w:cs="Times New Roman" w:eastAsia="Times New Roman" w:hAnsi="Times New Roman"/>
          <w:sz w:val="14"/>
          <w:szCs w:val="14"/>
          <w:color w:val="008000"/>
        </w:rPr>
      </w:pPr>
    </w:p>
    <w:p>
      <w:pPr>
        <w:ind w:left="40" w:right="6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following shares of common stock acquired by the reporting person since the date of his last report: 7.277 shares acquired under the dividend reinvestment feature of The Toro Company Investment, Savings &amp; ESOP (IS&amp;ESOP); and 57.863 shares acquired through issuer annual investment fund contributions to the IS&amp;ESOP.</w:t>
      </w:r>
    </w:p>
    <w:p>
      <w:pPr>
        <w:spacing w:after="0" w:line="16"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06/02/2010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8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2019-12-17T00:22:41Z</dcterms:created>
  <dcterms:modified xsi:type="dcterms:W3CDTF">2019-12-17T00:22:41Z</dcterms:modified>
</cp:coreProperties>
</file>