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4850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07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86"/>
              <w:spacing w:after="0"/>
              <w:rPr>
                <w:sz w:val="20"/>
                <w:szCs w:val="20"/>
                <w:color w:val="auto"/>
              </w:rPr>
            </w:pPr>
            <w:r>
              <w:rPr>
                <w:rFonts w:ascii="Arial" w:cs="Arial" w:eastAsia="Arial" w:hAnsi="Arial"/>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11/01/2021</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Arial" w:cs="Arial" w:eastAsia="Arial" w:hAnsi="Arial"/>
                <w:sz w:val="33"/>
                <w:szCs w:val="33"/>
                <w:color w:val="0000FF"/>
                <w:w w:val="75"/>
                <w:vertAlign w:val="subscript"/>
              </w:rPr>
              <w:t>717</w:t>
            </w:r>
            <w:r>
              <w:rPr>
                <w:rFonts w:ascii="Arial" w:cs="Arial" w:eastAsia="Arial" w:hAnsi="Arial"/>
                <w:sz w:val="11"/>
                <w:szCs w:val="11"/>
                <w:color w:val="008000"/>
                <w:w w:val="75"/>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jc w:val="center"/>
              <w:ind w:right="142"/>
              <w:spacing w:after="0"/>
              <w:rPr>
                <w:sz w:val="20"/>
                <w:szCs w:val="20"/>
                <w:color w:val="auto"/>
              </w:rPr>
            </w:pPr>
            <w:r>
              <w:rPr>
                <w:rFonts w:ascii="Arial" w:cs="Arial" w:eastAsia="Arial" w:hAnsi="Arial"/>
                <w:sz w:val="17"/>
                <w:szCs w:val="17"/>
                <w:color w:val="0000FF"/>
              </w:rPr>
              <w:t>4,472.042</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182"/>
              <w:spacing w:after="0"/>
              <w:rPr>
                <w:sz w:val="20"/>
                <w:szCs w:val="20"/>
                <w:color w:val="auto"/>
              </w:rPr>
            </w:pPr>
            <w:r>
              <w:rPr>
                <w:rFonts w:ascii="Arial" w:cs="Arial" w:eastAsia="Arial" w:hAnsi="Arial"/>
                <w:sz w:val="17"/>
                <w:szCs w:val="17"/>
                <w:color w:val="0000FF"/>
              </w:rPr>
              <w:t>54,162.042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97.52</w:t>
            </w:r>
          </w:p>
        </w:tc>
        <w:tc>
          <w:tcPr>
            <w:tcW w:w="980" w:type="dxa"/>
            <w:vAlign w:val="bottom"/>
          </w:tcPr>
          <w:p>
            <w:pPr>
              <w:jc w:val="right"/>
              <w:ind w:right="161"/>
              <w:spacing w:after="0"/>
              <w:rPr>
                <w:sz w:val="20"/>
                <w:szCs w:val="20"/>
                <w:color w:val="auto"/>
              </w:rPr>
            </w:pPr>
            <w:r>
              <w:rPr>
                <w:rFonts w:ascii="Arial" w:cs="Arial" w:eastAsia="Arial" w:hAnsi="Arial"/>
                <w:sz w:val="13"/>
                <w:szCs w:val="13"/>
                <w:color w:val="0000FF"/>
              </w:rPr>
              <w:t>11/01/2021</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line="189" w:lineRule="exact"/>
              <w:rPr>
                <w:sz w:val="20"/>
                <w:szCs w:val="20"/>
                <w:color w:val="auto"/>
              </w:rPr>
            </w:pPr>
            <w:r>
              <w:rPr>
                <w:rFonts w:ascii="Arial" w:cs="Arial" w:eastAsia="Arial" w:hAnsi="Arial"/>
                <w:sz w:val="13"/>
                <w:szCs w:val="13"/>
                <w:color w:val="0000FF"/>
              </w:rPr>
              <w:t>2,435</w:t>
            </w:r>
            <w:r>
              <w:rPr>
                <w:rFonts w:ascii="Arial" w:cs="Arial" w:eastAsia="Arial" w:hAnsi="Arial"/>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20"/>
                <w:szCs w:val="20"/>
                <w:color w:val="auto"/>
              </w:rPr>
            </w:pPr>
            <w:r>
              <w:rPr>
                <w:rFonts w:ascii="Arial" w:cs="Arial" w:eastAsia="Arial" w:hAnsi="Arial"/>
                <w:sz w:val="13"/>
                <w:szCs w:val="13"/>
                <w:color w:val="0000FF"/>
              </w:rPr>
              <w:t>11/01/2031</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ind w:right="36"/>
              <w:spacing w:after="0" w:line="189" w:lineRule="exact"/>
              <w:rPr>
                <w:sz w:val="20"/>
                <w:szCs w:val="20"/>
                <w:color w:val="auto"/>
              </w:rPr>
            </w:pPr>
            <w:r>
              <w:rPr>
                <w:rFonts w:ascii="Arial" w:cs="Arial" w:eastAsia="Arial" w:hAnsi="Arial"/>
                <w:sz w:val="17"/>
                <w:szCs w:val="17"/>
                <w:color w:val="0000FF"/>
                <w:w w:val="93"/>
              </w:rPr>
              <w:t>2,435</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ind w:left="260"/>
              <w:spacing w:after="0"/>
              <w:rPr>
                <w:sz w:val="20"/>
                <w:szCs w:val="20"/>
                <w:color w:val="auto"/>
              </w:rPr>
            </w:pPr>
            <w:r>
              <w:rPr>
                <w:rFonts w:ascii="Arial" w:cs="Arial" w:eastAsia="Arial" w:hAnsi="Arial"/>
                <w:sz w:val="13"/>
                <w:szCs w:val="13"/>
                <w:color w:val="0000FF"/>
                <w:w w:val="85"/>
              </w:rPr>
              <w:t>2,435</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Arial" w:cs="Arial" w:eastAsia="Arial" w:hAnsi="Arial"/>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6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27.386 common stock units acquired by the reporting person since the date of her last report under the dividend reinvestment feature of the Deferred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 which was November 1, 2021.</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4"/>
              </w:rPr>
              <w:t>11/03/2021</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2021-11-03T08:30:51Z</dcterms:created>
  <dcterms:modified xsi:type="dcterms:W3CDTF">2021-11-03T08:30:51Z</dcterms:modified>
</cp:coreProperties>
</file>