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hanging="196"/>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5" w:lineRule="exact"/>
        <w:rPr>
          <w:rFonts w:ascii="Courier New" w:cs="Courier New" w:eastAsia="Courier New" w:hAnsi="Courier New"/>
          <w:sz w:val="16"/>
          <w:szCs w:val="16"/>
          <w:color w:val="auto"/>
        </w:rPr>
      </w:pPr>
    </w:p>
    <w:p>
      <w:pPr>
        <w:ind w:left="344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UNITED STATES</w:t>
      </w:r>
    </w:p>
    <w:p>
      <w:pPr>
        <w:spacing w:after="0" w:line="196"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ind w:left="2940"/>
        <w:spacing w:after="0"/>
        <w:tabs>
          <w:tab w:leader="none" w:pos="474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96"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FORM 10-Q</w:t>
      </w:r>
    </w:p>
    <w:p>
      <w:pPr>
        <w:spacing w:after="0" w:line="4" w:lineRule="exact"/>
        <w:rPr>
          <w:sz w:val="24"/>
          <w:szCs w:val="24"/>
          <w:color w:val="auto"/>
        </w:rPr>
      </w:pPr>
    </w:p>
    <w:p>
      <w:pPr>
        <w:ind w:left="2940" w:right="2639" w:hanging="2431"/>
        <w:spacing w:after="0" w:line="239" w:lineRule="auto"/>
        <w:tabs>
          <w:tab w:leader="none" w:pos="71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Quarterly Report Pursuant to Section 13 or 15(d) of the Securities Exchange Act of 1934</w:t>
      </w:r>
    </w:p>
    <w:p>
      <w:pPr>
        <w:spacing w:after="0" w:line="3" w:lineRule="exact"/>
        <w:rPr>
          <w:sz w:val="24"/>
          <w:szCs w:val="24"/>
          <w:color w:val="auto"/>
        </w:rPr>
      </w:pPr>
    </w:p>
    <w:p>
      <w:pPr>
        <w:ind w:left="1420"/>
        <w:spacing w:after="0"/>
        <w:rPr>
          <w:sz w:val="20"/>
          <w:szCs w:val="20"/>
          <w:color w:val="auto"/>
        </w:rPr>
      </w:pPr>
      <w:r>
        <w:rPr>
          <w:rFonts w:ascii="Courier New" w:cs="Courier New" w:eastAsia="Courier New" w:hAnsi="Courier New"/>
          <w:sz w:val="17"/>
          <w:szCs w:val="17"/>
          <w:color w:val="auto"/>
        </w:rPr>
        <w:t>For the Quarterly Period Ended</w:t>
      </w:r>
    </w:p>
    <w:p>
      <w:pPr>
        <w:spacing w:after="0" w:line="196" w:lineRule="exact"/>
        <w:rPr>
          <w:sz w:val="24"/>
          <w:szCs w:val="24"/>
          <w:color w:val="auto"/>
        </w:rPr>
      </w:pPr>
    </w:p>
    <w:p>
      <w:pPr>
        <w:ind w:left="3940"/>
        <w:spacing w:after="0"/>
        <w:rPr>
          <w:sz w:val="20"/>
          <w:szCs w:val="20"/>
          <w:color w:val="auto"/>
        </w:rPr>
      </w:pPr>
      <w:r>
        <w:rPr>
          <w:rFonts w:ascii="Courier New" w:cs="Courier New" w:eastAsia="Courier New" w:hAnsi="Courier New"/>
          <w:sz w:val="17"/>
          <w:szCs w:val="17"/>
          <w:color w:val="auto"/>
        </w:rPr>
        <w:t>OR</w:t>
      </w:r>
    </w:p>
    <w:p>
      <w:pPr>
        <w:spacing w:after="0" w:line="199" w:lineRule="exact"/>
        <w:rPr>
          <w:sz w:val="24"/>
          <w:szCs w:val="24"/>
          <w:color w:val="auto"/>
        </w:rPr>
      </w:pPr>
    </w:p>
    <w:p>
      <w:pPr>
        <w:ind w:left="3040" w:right="2539" w:hanging="2531"/>
        <w:spacing w:after="0" w:line="239" w:lineRule="auto"/>
        <w:tabs>
          <w:tab w:leader="none" w:pos="91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Transition Report Pursuant to Section 13 or 15(d) of the Securities Exchange Act of 1934</w:t>
      </w:r>
    </w:p>
    <w:p>
      <w:pPr>
        <w:spacing w:after="0" w:line="3" w:lineRule="exact"/>
        <w:rPr>
          <w:sz w:val="24"/>
          <w:szCs w:val="24"/>
          <w:color w:val="auto"/>
        </w:rPr>
      </w:pPr>
    </w:p>
    <w:p>
      <w:pPr>
        <w:ind w:left="1420"/>
        <w:spacing w:after="0"/>
        <w:rPr>
          <w:sz w:val="20"/>
          <w:szCs w:val="20"/>
          <w:color w:val="auto"/>
        </w:rPr>
      </w:pPr>
      <w:r>
        <w:rPr>
          <w:rFonts w:ascii="Courier New" w:cs="Courier New" w:eastAsia="Courier New" w:hAnsi="Courier New"/>
          <w:sz w:val="17"/>
          <w:szCs w:val="17"/>
          <w:color w:val="auto"/>
        </w:rPr>
        <w:t>For the transition period from August 1, 1995 to October 31, 1995</w:t>
      </w:r>
    </w:p>
    <w:p>
      <w:pPr>
        <w:spacing w:after="0" w:line="2" w:lineRule="exact"/>
        <w:rPr>
          <w:sz w:val="24"/>
          <w:szCs w:val="24"/>
          <w:color w:val="auto"/>
        </w:rPr>
      </w:pPr>
    </w:p>
    <w:p>
      <w:pPr>
        <w:ind w:left="4560"/>
        <w:spacing w:after="0"/>
        <w:tabs>
          <w:tab w:leader="none" w:pos="63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196" w:lineRule="exact"/>
        <w:rPr>
          <w:sz w:val="24"/>
          <w:szCs w:val="24"/>
          <w:color w:val="auto"/>
        </w:rPr>
      </w:pPr>
    </w:p>
    <w:p>
      <w:pPr>
        <w:ind w:left="4040"/>
        <w:spacing w:after="0"/>
        <w:tabs>
          <w:tab w:leader="none" w:pos="6460" w:val="left"/>
        </w:tabs>
        <w:rPr>
          <w:sz w:val="20"/>
          <w:szCs w:val="20"/>
          <w:color w:val="auto"/>
        </w:rPr>
      </w:pPr>
      <w:r>
        <w:rPr>
          <w:rFonts w:ascii="Courier New" w:cs="Courier New" w:eastAsia="Courier New" w:hAnsi="Courier New"/>
          <w:sz w:val="17"/>
          <w:szCs w:val="17"/>
          <w:color w:val="auto"/>
        </w:rPr>
        <w:t>Commission File Number</w:t>
      </w:r>
      <w:r>
        <w:rPr>
          <w:sz w:val="20"/>
          <w:szCs w:val="20"/>
          <w:color w:val="auto"/>
        </w:rPr>
        <w:tab/>
      </w:r>
      <w:r>
        <w:rPr>
          <w:rFonts w:ascii="Courier New" w:cs="Courier New" w:eastAsia="Courier New" w:hAnsi="Courier New"/>
          <w:sz w:val="16"/>
          <w:szCs w:val="16"/>
          <w:color w:val="auto"/>
        </w:rPr>
        <w:t>1-8649</w:t>
      </w:r>
    </w:p>
    <w:p>
      <w:pPr>
        <w:spacing w:after="0" w:line="2" w:lineRule="exact"/>
        <w:rPr>
          <w:sz w:val="24"/>
          <w:szCs w:val="24"/>
          <w:color w:val="auto"/>
        </w:rPr>
      </w:pPr>
    </w:p>
    <w:p>
      <w:pPr>
        <w:ind w:left="64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385"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THE TORO COMPANY</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829" w:right="1440" w:bottom="1440" w:gutter="0" w:footer="0" w:header="0"/>
        </w:sectPr>
      </w:pPr>
    </w:p>
    <w:p>
      <w:pPr>
        <w:spacing w:after="0" w:line="391" w:lineRule="exact"/>
        <w:rPr>
          <w:sz w:val="24"/>
          <w:szCs w:val="24"/>
          <w:color w:val="auto"/>
        </w:rPr>
      </w:pPr>
    </w:p>
    <w:p>
      <w:pPr>
        <w:jc w:val="center"/>
        <w:ind w:right="78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jc w:val="center"/>
        <w:ind w:right="78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7"/>
          <w:szCs w:val="17"/>
          <w:color w:val="auto"/>
        </w:rPr>
        <w:t>41-0580470</w:t>
      </w:r>
    </w:p>
    <w:p>
      <w:pPr>
        <w:spacing w:after="0" w:line="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3220" w:space="720"/>
            <w:col w:w="6279"/>
          </w:cols>
          <w:pgMar w:left="240" w:top="829" w:right="1440" w:bottom="1440" w:gutter="0" w:footer="0" w:header="0"/>
          <w:type w:val="continuous"/>
        </w:sectPr>
      </w:pPr>
    </w:p>
    <w:p>
      <w:pPr>
        <w:spacing w:after="0" w:line="200" w:lineRule="exact"/>
        <w:rPr>
          <w:sz w:val="24"/>
          <w:szCs w:val="24"/>
          <w:color w:val="auto"/>
        </w:rPr>
      </w:pPr>
    </w:p>
    <w:p>
      <w:pPr>
        <w:jc w:val="center"/>
        <w:ind w:right="2019"/>
        <w:spacing w:after="0"/>
        <w:rPr>
          <w:sz w:val="20"/>
          <w:szCs w:val="20"/>
          <w:color w:val="auto"/>
        </w:rPr>
      </w:pPr>
      <w:r>
        <w:rPr>
          <w:rFonts w:ascii="Courier New" w:cs="Courier New" w:eastAsia="Courier New" w:hAnsi="Courier New"/>
          <w:sz w:val="17"/>
          <w:szCs w:val="17"/>
          <w:color w:val="auto"/>
        </w:rPr>
        <w:t>8111 LYNDALE AVENUE SOUTH</w:t>
      </w:r>
    </w:p>
    <w:p>
      <w:pPr>
        <w:spacing w:after="0" w:line="2" w:lineRule="exact"/>
        <w:rPr>
          <w:sz w:val="24"/>
          <w:szCs w:val="24"/>
          <w:color w:val="auto"/>
        </w:rPr>
      </w:pPr>
    </w:p>
    <w:p>
      <w:pPr>
        <w:ind w:left="2640"/>
        <w:spacing w:after="0"/>
        <w:tabs>
          <w:tab w:leader="none" w:pos="5040" w:val="left"/>
        </w:tabs>
        <w:rPr>
          <w:sz w:val="20"/>
          <w:szCs w:val="20"/>
          <w:color w:val="auto"/>
        </w:rPr>
      </w:pPr>
      <w:r>
        <w:rPr>
          <w:rFonts w:ascii="Courier New" w:cs="Courier New" w:eastAsia="Courier New" w:hAnsi="Courier New"/>
          <w:sz w:val="17"/>
          <w:szCs w:val="17"/>
          <w:color w:val="auto"/>
        </w:rPr>
        <w:t>BLOOMINGTON, MINNESOTA</w:t>
      </w:r>
      <w:r>
        <w:rPr>
          <w:sz w:val="20"/>
          <w:szCs w:val="20"/>
          <w:color w:val="auto"/>
        </w:rPr>
        <w:tab/>
      </w:r>
      <w:r>
        <w:rPr>
          <w:rFonts w:ascii="Courier New" w:cs="Courier New" w:eastAsia="Courier New" w:hAnsi="Courier New"/>
          <w:sz w:val="16"/>
          <w:szCs w:val="16"/>
          <w:color w:val="auto"/>
        </w:rPr>
        <w:t>55420</w:t>
      </w:r>
    </w:p>
    <w:p>
      <w:pPr>
        <w:spacing w:after="0" w:line="2" w:lineRule="exact"/>
        <w:rPr>
          <w:sz w:val="24"/>
          <w:szCs w:val="24"/>
          <w:color w:val="auto"/>
        </w:rPr>
      </w:pPr>
    </w:p>
    <w:p>
      <w:pPr>
        <w:ind w:left="2440"/>
        <w:spacing w:after="0"/>
        <w:rPr>
          <w:sz w:val="20"/>
          <w:szCs w:val="20"/>
          <w:color w:val="auto"/>
        </w:rPr>
      </w:pPr>
      <w:r>
        <w:rPr>
          <w:rFonts w:ascii="Courier New" w:cs="Courier New" w:eastAsia="Courier New" w:hAnsi="Courier New"/>
          <w:sz w:val="17"/>
          <w:szCs w:val="17"/>
          <w:color w:val="auto"/>
        </w:rPr>
        <w:t>TELEPHONE NUMBER: (612) 888-8801</w:t>
      </w:r>
    </w:p>
    <w:p>
      <w:pPr>
        <w:spacing w:after="0" w:line="393" w:lineRule="exact"/>
        <w:rPr>
          <w:sz w:val="24"/>
          <w:szCs w:val="24"/>
          <w:color w:val="auto"/>
        </w:rPr>
      </w:pPr>
    </w:p>
    <w:p>
      <w:pPr>
        <w:ind w:left="1920" w:right="2639" w:hanging="1920"/>
        <w:spacing w:after="0" w:line="239" w:lineRule="auto"/>
        <w:rPr>
          <w:sz w:val="20"/>
          <w:szCs w:val="20"/>
          <w:color w:val="auto"/>
        </w:rPr>
      </w:pPr>
      <w:r>
        <w:rPr>
          <w:rFonts w:ascii="Courier New" w:cs="Courier New" w:eastAsia="Courier New" w:hAnsi="Courier New"/>
          <w:sz w:val="17"/>
          <w:szCs w:val="17"/>
          <w:color w:val="auto"/>
        </w:rPr>
        <w:t>(Address, including zip code, and telephone number, including area code, of registrant's principal executive offices)</w:t>
      </w:r>
    </w:p>
    <w:p>
      <w:pPr>
        <w:spacing w:after="0" w:line="198" w:lineRule="exact"/>
        <w:rPr>
          <w:sz w:val="24"/>
          <w:szCs w:val="24"/>
          <w:color w:val="auto"/>
        </w:rPr>
      </w:pPr>
    </w:p>
    <w:p>
      <w:pPr>
        <w:ind w:left="2120"/>
        <w:spacing w:after="0"/>
        <w:rPr>
          <w:sz w:val="20"/>
          <w:szCs w:val="20"/>
          <w:color w:val="auto"/>
        </w:rPr>
      </w:pPr>
      <w:r>
        <w:rPr>
          <w:rFonts w:ascii="Courier New" w:cs="Courier New" w:eastAsia="Courier New" w:hAnsi="Courier New"/>
          <w:sz w:val="17"/>
          <w:szCs w:val="17"/>
          <w:color w:val="auto"/>
        </w:rPr>
        <w:t>Former fiscal year ended July 31, 1995</w:t>
      </w:r>
    </w:p>
    <w:p>
      <w:pPr>
        <w:spacing w:after="0" w:line="393" w:lineRule="exact"/>
        <w:rPr>
          <w:sz w:val="24"/>
          <w:szCs w:val="24"/>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829" w:right="1440" w:bottom="1440" w:gutter="0" w:footer="0" w:header="0"/>
          <w:type w:val="continuous"/>
        </w:sectPr>
      </w:pPr>
    </w:p>
    <w:p>
      <w:pPr>
        <w:spacing w:after="0" w:line="394" w:lineRule="exact"/>
        <w:rPr>
          <w:sz w:val="24"/>
          <w:szCs w:val="24"/>
          <w:color w:val="auto"/>
        </w:rPr>
      </w:pPr>
    </w:p>
    <w:p>
      <w:pPr>
        <w:ind w:left="182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11" w:lineRule="exact"/>
        <w:rPr>
          <w:sz w:val="24"/>
          <w:szCs w:val="24"/>
          <w:color w:val="auto"/>
        </w:rPr>
      </w:pPr>
    </w:p>
    <w:p>
      <w:pPr>
        <w:sectPr>
          <w:pgSz w:w="11900" w:h="16838" w:orient="portrait"/>
          <w:cols w:equalWidth="0" w:num="3">
            <w:col w:w="2120" w:space="420"/>
            <w:col w:w="280" w:space="720"/>
            <w:col w:w="6679"/>
          </w:cols>
          <w:pgMar w:left="240" w:top="829" w:right="1440" w:bottom="1440" w:gutter="0" w:footer="0" w:header="0"/>
          <w:type w:val="continuous"/>
        </w:sect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4"/>
          <w:szCs w:val="24"/>
          <w:color w:val="auto"/>
        </w:rPr>
      </w:pPr>
    </w:p>
    <w:p>
      <w:pPr>
        <w:sectPr>
          <w:pgSz w:w="11900" w:h="16838" w:orient="portrait"/>
          <w:cols w:equalWidth="0" w:num="2">
            <w:col w:w="3320" w:space="720"/>
            <w:col w:w="6179"/>
          </w:cols>
          <w:pgMar w:left="240" w:top="829" w:right="1440" w:bottom="1440" w:gutter="0" w:footer="0" w:header="0"/>
          <w:type w:val="continuous"/>
        </w:sectPr>
      </w:pPr>
    </w:p>
    <w:p>
      <w:pPr>
        <w:ind w:right="2639"/>
        <w:spacing w:after="0" w:line="239" w:lineRule="auto"/>
        <w:rPr>
          <w:sz w:val="20"/>
          <w:szCs w:val="20"/>
          <w:color w:val="auto"/>
        </w:rPr>
      </w:pPr>
      <w:r>
        <w:rPr>
          <w:rFonts w:ascii="Courier New" w:cs="Courier New" w:eastAsia="Courier New" w:hAnsi="Courier New"/>
          <w:sz w:val="17"/>
          <w:szCs w:val="17"/>
          <w:color w:val="auto"/>
        </w:rPr>
        <w:t>The number of shares of Common Stock outstanding as of October 31, 1995 was 12,167,835.</w:t>
      </w: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829" w:right="1440" w:bottom="1440" w:gutter="0" w:footer="0" w:header="0"/>
          <w:type w:val="continuous"/>
        </w:sectPr>
      </w:pPr>
    </w:p>
    <w:bookmarkStart w:id="1" w:name="page2"/>
    <w:bookmarkEnd w:id="1"/>
    <w:p>
      <w:pPr>
        <w:jc w:val="center"/>
        <w:ind w:right="2119"/>
        <w:spacing w:after="0"/>
        <w:rPr>
          <w:sz w:val="20"/>
          <w:szCs w:val="20"/>
          <w:color w:val="auto"/>
        </w:rPr>
      </w:pPr>
      <w:r>
        <w:rPr>
          <w:rFonts w:ascii="Courier New" w:cs="Courier New" w:eastAsia="Courier New" w:hAnsi="Courier New"/>
          <w:sz w:val="17"/>
          <w:szCs w:val="17"/>
          <w:color w:val="auto"/>
        </w:rPr>
        <w:t>THE TORO COMPANY</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499"/>
        <w:spacing w:after="0"/>
        <w:rPr>
          <w:sz w:val="20"/>
          <w:szCs w:val="20"/>
          <w:color w:val="auto"/>
        </w:rPr>
      </w:pPr>
      <w:r>
        <w:rPr>
          <w:rFonts w:ascii="Courier New" w:cs="Courier New" w:eastAsia="Courier New" w:hAnsi="Courier New"/>
          <w:sz w:val="17"/>
          <w:szCs w:val="17"/>
          <w:color w:val="auto"/>
        </w:rPr>
        <w:t>Page Number</w:t>
      </w:r>
    </w:p>
    <w:p>
      <w:pPr>
        <w:spacing w:after="0" w:line="4" w:lineRule="exact"/>
        <w:rPr>
          <w:sz w:val="20"/>
          <w:szCs w:val="20"/>
          <w:color w:val="auto"/>
        </w:rPr>
      </w:pPr>
    </w:p>
    <w:p>
      <w:pPr>
        <w:ind w:left="8600"/>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Condensed Consolidated Statements of Earnings and</w:t>
      </w:r>
    </w:p>
    <w:p>
      <w:pPr>
        <w:spacing w:after="0" w:line="2"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Retained Earnings (Unaudited) -</w:t>
      </w:r>
    </w:p>
    <w:p>
      <w:pPr>
        <w:spacing w:after="0" w:line="2" w:lineRule="exact"/>
        <w:rPr>
          <w:sz w:val="20"/>
          <w:szCs w:val="20"/>
          <w:color w:val="auto"/>
        </w:rPr>
      </w:pPr>
    </w:p>
    <w:p>
      <w:pPr>
        <w:ind w:left="1220"/>
        <w:spacing w:after="0"/>
        <w:tabs>
          <w:tab w:leader="none" w:pos="9380" w:val="left"/>
        </w:tabs>
        <w:rPr>
          <w:sz w:val="20"/>
          <w:szCs w:val="20"/>
          <w:color w:val="auto"/>
        </w:rPr>
      </w:pPr>
      <w:r>
        <w:rPr>
          <w:rFonts w:ascii="Courier New" w:cs="Courier New" w:eastAsia="Courier New" w:hAnsi="Courier New"/>
          <w:sz w:val="17"/>
          <w:szCs w:val="17"/>
          <w:color w:val="auto"/>
        </w:rPr>
        <w:t>Three Months Ended October 31, 1995 and October 28, 1994 . . . . . . . . . . .</w:t>
      </w:r>
      <w:r>
        <w:rPr>
          <w:sz w:val="20"/>
          <w:szCs w:val="20"/>
          <w:color w:val="auto"/>
        </w:rPr>
        <w:tab/>
      </w:r>
      <w:r>
        <w:rPr>
          <w:rFonts w:ascii="Courier New" w:cs="Courier New" w:eastAsia="Courier New" w:hAnsi="Courier New"/>
          <w:sz w:val="16"/>
          <w:szCs w:val="16"/>
          <w:color w:val="auto"/>
        </w:rPr>
        <w:t>3</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Condensed Consolidated Balance Sheets -</w:t>
      </w:r>
    </w:p>
    <w:p>
      <w:pPr>
        <w:spacing w:after="0" w:line="2" w:lineRule="exact"/>
        <w:rPr>
          <w:sz w:val="20"/>
          <w:szCs w:val="20"/>
          <w:color w:val="auto"/>
        </w:rPr>
      </w:pPr>
    </w:p>
    <w:p>
      <w:pPr>
        <w:ind w:left="1220"/>
        <w:spacing w:after="0"/>
        <w:tabs>
          <w:tab w:leader="none" w:pos="9380" w:val="left"/>
        </w:tabs>
        <w:rPr>
          <w:sz w:val="20"/>
          <w:szCs w:val="20"/>
          <w:color w:val="auto"/>
        </w:rPr>
      </w:pPr>
      <w:r>
        <w:rPr>
          <w:rFonts w:ascii="Courier New" w:cs="Courier New" w:eastAsia="Courier New" w:hAnsi="Courier New"/>
          <w:sz w:val="17"/>
          <w:szCs w:val="17"/>
          <w:color w:val="auto"/>
        </w:rPr>
        <w:t>October 31, 1995, October 28, 1994 and July 31, 1995 . . . . . . . . . . . . .</w:t>
      </w:r>
      <w:r>
        <w:rPr>
          <w:sz w:val="20"/>
          <w:szCs w:val="20"/>
          <w:color w:val="auto"/>
        </w:rPr>
        <w:tab/>
      </w:r>
      <w:r>
        <w:rPr>
          <w:rFonts w:ascii="Courier New" w:cs="Courier New" w:eastAsia="Courier New" w:hAnsi="Courier New"/>
          <w:sz w:val="16"/>
          <w:szCs w:val="16"/>
          <w:color w:val="auto"/>
        </w:rPr>
        <w:t>4</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Consolidated Statements of Cash Flows (Unaudited) -</w:t>
      </w:r>
    </w:p>
    <w:p>
      <w:pPr>
        <w:spacing w:after="0" w:line="2" w:lineRule="exact"/>
        <w:rPr>
          <w:sz w:val="20"/>
          <w:szCs w:val="20"/>
          <w:color w:val="auto"/>
        </w:rPr>
      </w:pPr>
    </w:p>
    <w:p>
      <w:pPr>
        <w:ind w:left="1220"/>
        <w:spacing w:after="0"/>
        <w:tabs>
          <w:tab w:leader="none" w:pos="9380" w:val="left"/>
        </w:tabs>
        <w:rPr>
          <w:sz w:val="20"/>
          <w:szCs w:val="20"/>
          <w:color w:val="auto"/>
        </w:rPr>
      </w:pPr>
      <w:r>
        <w:rPr>
          <w:rFonts w:ascii="Courier New" w:cs="Courier New" w:eastAsia="Courier New" w:hAnsi="Courier New"/>
          <w:sz w:val="17"/>
          <w:szCs w:val="17"/>
          <w:color w:val="auto"/>
        </w:rPr>
        <w:t>Three Months Ended October 31, 1995 and October 28, 1994 . . . . . . . . . . .</w:t>
      </w:r>
      <w:r>
        <w:rPr>
          <w:sz w:val="20"/>
          <w:szCs w:val="20"/>
          <w:color w:val="auto"/>
        </w:rPr>
        <w:tab/>
      </w:r>
      <w:r>
        <w:rPr>
          <w:rFonts w:ascii="Courier New" w:cs="Courier New" w:eastAsia="Courier New" w:hAnsi="Courier New"/>
          <w:sz w:val="16"/>
          <w:szCs w:val="16"/>
          <w:color w:val="auto"/>
        </w:rPr>
        <w:t>5</w:t>
      </w:r>
    </w:p>
    <w:p>
      <w:pPr>
        <w:spacing w:after="0" w:line="196" w:lineRule="exact"/>
        <w:rPr>
          <w:sz w:val="20"/>
          <w:szCs w:val="20"/>
          <w:color w:val="auto"/>
        </w:rPr>
      </w:pPr>
    </w:p>
    <w:p>
      <w:pPr>
        <w:ind w:left="1020"/>
        <w:spacing w:after="0"/>
        <w:tabs>
          <w:tab w:leader="none" w:pos="9380" w:val="left"/>
        </w:tabs>
        <w:rPr>
          <w:sz w:val="20"/>
          <w:szCs w:val="20"/>
          <w:color w:val="auto"/>
        </w:rPr>
      </w:pPr>
      <w:r>
        <w:rPr>
          <w:rFonts w:ascii="Courier New" w:cs="Courier New" w:eastAsia="Courier New" w:hAnsi="Courier New"/>
          <w:sz w:val="17"/>
          <w:szCs w:val="17"/>
          <w:color w:val="auto"/>
        </w:rPr>
        <w:t>Notes to Condensed Consolidated Financial Statements (Unaudited) . . . . . . . .</w:t>
      </w:r>
      <w:r>
        <w:rPr>
          <w:sz w:val="20"/>
          <w:szCs w:val="20"/>
          <w:color w:val="auto"/>
        </w:rPr>
        <w:tab/>
      </w:r>
      <w:r>
        <w:rPr>
          <w:rFonts w:ascii="Courier New" w:cs="Courier New" w:eastAsia="Courier New" w:hAnsi="Courier New"/>
          <w:sz w:val="16"/>
          <w:szCs w:val="16"/>
          <w:color w:val="auto"/>
        </w:rPr>
        <w:t>6</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Management's Discussion and Analysis of Financial</w:t>
      </w:r>
    </w:p>
    <w:p>
      <w:pPr>
        <w:spacing w:after="0" w:line="2" w:lineRule="exact"/>
        <w:rPr>
          <w:sz w:val="20"/>
          <w:szCs w:val="20"/>
          <w:color w:val="auto"/>
        </w:rPr>
      </w:pPr>
    </w:p>
    <w:p>
      <w:pPr>
        <w:ind w:left="1220"/>
        <w:spacing w:after="0"/>
        <w:tabs>
          <w:tab w:leader="none" w:pos="9280" w:val="left"/>
        </w:tabs>
        <w:rPr>
          <w:sz w:val="20"/>
          <w:szCs w:val="20"/>
          <w:color w:val="auto"/>
        </w:rPr>
      </w:pPr>
      <w:r>
        <w:rPr>
          <w:rFonts w:ascii="Courier New" w:cs="Courier New" w:eastAsia="Courier New" w:hAnsi="Courier New"/>
          <w:sz w:val="17"/>
          <w:szCs w:val="17"/>
          <w:color w:val="auto"/>
        </w:rPr>
        <w:t>Condition and Results of Operations. . . . . . . . . . . . . . . . . . . . . .</w:t>
      </w:r>
      <w:r>
        <w:rPr>
          <w:sz w:val="20"/>
          <w:szCs w:val="20"/>
          <w:color w:val="auto"/>
        </w:rPr>
        <w:tab/>
      </w:r>
      <w:r>
        <w:rPr>
          <w:rFonts w:ascii="Courier New" w:cs="Courier New" w:eastAsia="Courier New" w:hAnsi="Courier New"/>
          <w:sz w:val="16"/>
          <w:szCs w:val="16"/>
          <w:color w:val="auto"/>
        </w:rPr>
        <w:t>7-8</w:t>
      </w:r>
    </w:p>
    <w:p>
      <w:pPr>
        <w:spacing w:after="0" w:line="391"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393" w:lineRule="exact"/>
        <w:rPr>
          <w:sz w:val="20"/>
          <w:szCs w:val="20"/>
          <w:color w:val="auto"/>
        </w:rPr>
      </w:pPr>
    </w:p>
    <w:p>
      <w:pPr>
        <w:jc w:val="right"/>
        <w:ind w:left="1020" w:right="719"/>
        <w:spacing w:after="0" w:line="527" w:lineRule="auto"/>
        <w:rPr>
          <w:sz w:val="20"/>
          <w:szCs w:val="20"/>
          <w:color w:val="auto"/>
        </w:rPr>
      </w:pPr>
      <w:r>
        <w:rPr>
          <w:rFonts w:ascii="Courier New" w:cs="Courier New" w:eastAsia="Courier New" w:hAnsi="Courier New"/>
          <w:sz w:val="16"/>
          <w:szCs w:val="16"/>
          <w:color w:val="auto"/>
        </w:rPr>
        <w:t>Item 6  Exhibits and Reports on Form 8-K . . . . . . . . . . . . . . . . . . . .   9 Exhibit 11  Computation of Earnings per Common Share . . . . . . . . . . . . .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891" w:right="1440" w:bottom="1440" w:gutter="0" w:footer="0" w:header="0"/>
        </w:sectPr>
      </w:pPr>
    </w:p>
    <w:bookmarkStart w:id="2" w:name="page3"/>
    <w:bookmarkEnd w:id="2"/>
    <w:p>
      <w:pPr>
        <w:ind w:left="2640"/>
        <w:spacing w:after="0"/>
        <w:rPr>
          <w:sz w:val="20"/>
          <w:szCs w:val="20"/>
          <w:color w:val="auto"/>
        </w:rPr>
      </w:pPr>
      <w:r>
        <w:rPr>
          <w:rFonts w:ascii="Courier New" w:cs="Courier New" w:eastAsia="Courier New" w:hAnsi="Courier New"/>
          <w:sz w:val="17"/>
          <w:szCs w:val="17"/>
          <w:color w:val="auto"/>
        </w:rPr>
        <w:t>PART I. FINANCIAL INFORMATION</w:t>
      </w:r>
    </w:p>
    <w:p>
      <w:pPr>
        <w:spacing w:after="0" w:line="196"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THE TORO COMPANY AND SUBSIDIARIES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CONDENSED CONSOLIDATED STATEMENTS OF EARNINGS AND RETAINED EARNINGS (UNAUDITED)</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380"/>
        <w:spacing w:after="0"/>
        <w:rPr>
          <w:sz w:val="20"/>
          <w:szCs w:val="20"/>
          <w:color w:val="auto"/>
        </w:rPr>
      </w:pPr>
      <w:r>
        <w:rPr>
          <w:rFonts w:ascii="Courier New" w:cs="Courier New" w:eastAsia="Courier New" w:hAnsi="Courier New"/>
          <w:sz w:val="17"/>
          <w:szCs w:val="17"/>
          <w:color w:val="auto"/>
        </w:rPr>
        <w:t>Three Months Ended</w:t>
      </w:r>
    </w:p>
    <w:p>
      <w:pPr>
        <w:spacing w:after="0" w:line="2"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60" w:type="dxa"/>
            <w:vAlign w:val="bottom"/>
          </w:tcPr>
          <w:p>
            <w:pPr>
              <w:spacing w:after="0"/>
              <w:rPr>
                <w:sz w:val="16"/>
                <w:szCs w:val="16"/>
                <w:color w:val="auto"/>
              </w:rPr>
            </w:pPr>
          </w:p>
        </w:tc>
        <w:tc>
          <w:tcPr>
            <w:tcW w:w="15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October 31,</w:t>
            </w:r>
          </w:p>
        </w:tc>
        <w:tc>
          <w:tcPr>
            <w:tcW w:w="3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7"/>
              </w:rPr>
              <w:t>October 28,</w:t>
            </w:r>
          </w:p>
        </w:tc>
      </w:tr>
      <w:tr>
        <w:trPr>
          <w:trHeight w:val="194"/>
        </w:trPr>
        <w:tc>
          <w:tcPr>
            <w:tcW w:w="5660" w:type="dxa"/>
            <w:vAlign w:val="bottom"/>
          </w:tcPr>
          <w:p>
            <w:pPr>
              <w:spacing w:after="0"/>
              <w:rPr>
                <w:sz w:val="16"/>
                <w:szCs w:val="16"/>
                <w:color w:val="auto"/>
              </w:rPr>
            </w:pPr>
          </w:p>
        </w:tc>
        <w:tc>
          <w:tcPr>
            <w:tcW w:w="152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1995</w:t>
            </w:r>
          </w:p>
        </w:tc>
        <w:tc>
          <w:tcPr>
            <w:tcW w:w="300" w:type="dxa"/>
            <w:vAlign w:val="bottom"/>
          </w:tcPr>
          <w:p>
            <w:pPr>
              <w:spacing w:after="0"/>
              <w:rPr>
                <w:sz w:val="16"/>
                <w:szCs w:val="16"/>
                <w:color w:val="auto"/>
              </w:rPr>
            </w:pPr>
          </w:p>
        </w:tc>
        <w:tc>
          <w:tcPr>
            <w:tcW w:w="12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1994</w:t>
            </w:r>
          </w:p>
        </w:tc>
      </w:tr>
      <w:tr>
        <w:trPr>
          <w:trHeight w:val="194"/>
        </w:trPr>
        <w:tc>
          <w:tcPr>
            <w:tcW w:w="71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5660" w:type="dxa"/>
            <w:vAlign w:val="bottom"/>
          </w:tcPr>
          <w:p>
            <w:pPr>
              <w:spacing w:after="0"/>
              <w:rPr>
                <w:sz w:val="20"/>
                <w:szCs w:val="20"/>
                <w:color w:val="auto"/>
              </w:rPr>
            </w:pPr>
            <w:r>
              <w:rPr>
                <w:rFonts w:ascii="Courier New" w:cs="Courier New" w:eastAsia="Courier New" w:hAnsi="Courier New"/>
                <w:sz w:val="17"/>
                <w:szCs w:val="17"/>
                <w:color w:val="auto"/>
              </w:rPr>
              <w:t>Net sales. . . . . . . . . . . . . . . . . . . . . . .$</w:t>
            </w:r>
          </w:p>
        </w:tc>
        <w:tc>
          <w:tcPr>
            <w:tcW w:w="1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192,278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205,704</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Cost of sales. . . . . . . . . . . . . . . . . . . . .</w:t>
            </w:r>
          </w:p>
        </w:tc>
        <w:tc>
          <w:tcPr>
            <w:tcW w:w="1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120,575</w:t>
            </w:r>
          </w:p>
        </w:tc>
        <w:tc>
          <w:tcPr>
            <w:tcW w:w="3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129,639</w:t>
            </w:r>
          </w:p>
        </w:tc>
      </w:tr>
      <w:tr>
        <w:trPr>
          <w:trHeight w:val="194"/>
        </w:trPr>
        <w:tc>
          <w:tcPr>
            <w:tcW w:w="71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660" w:type="dxa"/>
            <w:vAlign w:val="bottom"/>
          </w:tcPr>
          <w:p>
            <w:pPr>
              <w:ind w:left="400"/>
              <w:spacing w:after="0"/>
              <w:rPr>
                <w:sz w:val="20"/>
                <w:szCs w:val="20"/>
                <w:color w:val="auto"/>
              </w:rPr>
            </w:pPr>
            <w:r>
              <w:rPr>
                <w:rFonts w:ascii="Courier New" w:cs="Courier New" w:eastAsia="Courier New" w:hAnsi="Courier New"/>
                <w:sz w:val="17"/>
                <w:szCs w:val="17"/>
                <w:color w:val="auto"/>
              </w:rPr>
              <w:t>Gross profit . . . . . . . . . . . . . . . . . . .</w:t>
            </w:r>
          </w:p>
        </w:tc>
        <w:tc>
          <w:tcPr>
            <w:tcW w:w="1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71,703</w:t>
            </w:r>
          </w:p>
        </w:tc>
        <w:tc>
          <w:tcPr>
            <w:tcW w:w="3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76,065</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 . . . . .</w:t>
            </w:r>
          </w:p>
        </w:tc>
        <w:tc>
          <w:tcPr>
            <w:tcW w:w="1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65,048</w:t>
            </w:r>
          </w:p>
        </w:tc>
        <w:tc>
          <w:tcPr>
            <w:tcW w:w="3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62,677</w:t>
            </w:r>
          </w:p>
        </w:tc>
      </w:tr>
      <w:tr>
        <w:trPr>
          <w:trHeight w:val="194"/>
        </w:trPr>
        <w:tc>
          <w:tcPr>
            <w:tcW w:w="71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660" w:type="dxa"/>
            <w:vAlign w:val="bottom"/>
          </w:tcPr>
          <w:p>
            <w:pPr>
              <w:ind w:left="400"/>
              <w:spacing w:after="0"/>
              <w:rPr>
                <w:sz w:val="20"/>
                <w:szCs w:val="20"/>
                <w:color w:val="auto"/>
              </w:rPr>
            </w:pPr>
            <w:r>
              <w:rPr>
                <w:rFonts w:ascii="Courier New" w:cs="Courier New" w:eastAsia="Courier New" w:hAnsi="Courier New"/>
                <w:sz w:val="17"/>
                <w:szCs w:val="17"/>
                <w:color w:val="auto"/>
              </w:rPr>
              <w:t>Earnings from operations . . . . . . . . . . . . .</w:t>
            </w:r>
          </w:p>
        </w:tc>
        <w:tc>
          <w:tcPr>
            <w:tcW w:w="1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6,655</w:t>
            </w:r>
          </w:p>
        </w:tc>
        <w:tc>
          <w:tcPr>
            <w:tcW w:w="3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13,388</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Interest expense . . . . . . . . . . . . . . . . . . .</w:t>
            </w:r>
          </w:p>
        </w:tc>
        <w:tc>
          <w:tcPr>
            <w:tcW w:w="1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2,532</w:t>
            </w:r>
          </w:p>
        </w:tc>
        <w:tc>
          <w:tcPr>
            <w:tcW w:w="3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2,480</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Other income, net. . . . . . . . . . . . . . . . . . .</w:t>
            </w:r>
          </w:p>
        </w:tc>
        <w:tc>
          <w:tcPr>
            <w:tcW w:w="15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(2,483)</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(2,929)</w:t>
            </w:r>
          </w:p>
        </w:tc>
      </w:tr>
      <w:tr>
        <w:trPr>
          <w:trHeight w:val="194"/>
        </w:trPr>
        <w:tc>
          <w:tcPr>
            <w:tcW w:w="71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660" w:type="dxa"/>
            <w:vAlign w:val="bottom"/>
          </w:tcPr>
          <w:p>
            <w:pPr>
              <w:ind w:left="400"/>
              <w:spacing w:after="0"/>
              <w:rPr>
                <w:sz w:val="20"/>
                <w:szCs w:val="20"/>
                <w:color w:val="auto"/>
              </w:rPr>
            </w:pPr>
            <w:r>
              <w:rPr>
                <w:rFonts w:ascii="Courier New" w:cs="Courier New" w:eastAsia="Courier New" w:hAnsi="Courier New"/>
                <w:sz w:val="17"/>
                <w:szCs w:val="17"/>
                <w:color w:val="auto"/>
              </w:rPr>
              <w:t>Earnings before income taxes . . . . . . . . . . .</w:t>
            </w:r>
          </w:p>
        </w:tc>
        <w:tc>
          <w:tcPr>
            <w:tcW w:w="1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6,606</w:t>
            </w:r>
          </w:p>
        </w:tc>
        <w:tc>
          <w:tcPr>
            <w:tcW w:w="3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13,837</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Provision for income taxes . . . . . . . . . . . . . .</w:t>
            </w:r>
          </w:p>
        </w:tc>
        <w:tc>
          <w:tcPr>
            <w:tcW w:w="1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2,609</w:t>
            </w:r>
          </w:p>
        </w:tc>
        <w:tc>
          <w:tcPr>
            <w:tcW w:w="300" w:type="dxa"/>
            <w:vAlign w:val="bottom"/>
          </w:tcPr>
          <w:p>
            <w:pPr>
              <w:spacing w:after="0"/>
              <w:rPr>
                <w:sz w:val="16"/>
                <w:szCs w:val="16"/>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5,535</w:t>
            </w:r>
          </w:p>
        </w:tc>
      </w:tr>
      <w:tr>
        <w:trPr>
          <w:trHeight w:val="194"/>
        </w:trPr>
        <w:tc>
          <w:tcPr>
            <w:tcW w:w="71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660" w:type="dxa"/>
            <w:vAlign w:val="bottom"/>
          </w:tcPr>
          <w:p>
            <w:pPr>
              <w:ind w:left="400"/>
              <w:spacing w:after="0"/>
              <w:rPr>
                <w:sz w:val="20"/>
                <w:szCs w:val="20"/>
                <w:color w:val="auto"/>
              </w:rPr>
            </w:pPr>
            <w:r>
              <w:rPr>
                <w:rFonts w:ascii="Courier New" w:cs="Courier New" w:eastAsia="Courier New" w:hAnsi="Courier New"/>
                <w:sz w:val="17"/>
                <w:szCs w:val="17"/>
                <w:color w:val="auto"/>
              </w:rPr>
              <w:t>Net earnings . . . . . . . . . . . . . . . . . . .$</w:t>
            </w:r>
          </w:p>
        </w:tc>
        <w:tc>
          <w:tcPr>
            <w:tcW w:w="1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3,997</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8,302</w:t>
            </w:r>
          </w:p>
        </w:tc>
      </w:tr>
      <w:tr>
        <w:trPr>
          <w:trHeight w:val="389"/>
        </w:trPr>
        <w:tc>
          <w:tcPr>
            <w:tcW w:w="5660" w:type="dxa"/>
            <w:vAlign w:val="bottom"/>
          </w:tcPr>
          <w:p>
            <w:pPr>
              <w:spacing w:after="0"/>
              <w:rPr>
                <w:sz w:val="20"/>
                <w:szCs w:val="20"/>
                <w:color w:val="auto"/>
              </w:rPr>
            </w:pPr>
            <w:r>
              <w:rPr>
                <w:rFonts w:ascii="Courier New" w:cs="Courier New" w:eastAsia="Courier New" w:hAnsi="Courier New"/>
                <w:sz w:val="17"/>
                <w:szCs w:val="17"/>
                <w:color w:val="auto"/>
              </w:rPr>
              <w:t>Retained earnings at beginning of period . . . . . . .</w:t>
            </w:r>
          </w:p>
        </w:tc>
        <w:tc>
          <w:tcPr>
            <w:tcW w:w="1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140,353</w:t>
            </w:r>
          </w:p>
        </w:tc>
        <w:tc>
          <w:tcPr>
            <w:tcW w:w="30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109,688</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Dividends on common stock of $0.12 per share . . . . .</w:t>
            </w:r>
          </w:p>
        </w:tc>
        <w:tc>
          <w:tcPr>
            <w:tcW w:w="15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(1,459)</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(1,508)</w:t>
            </w:r>
          </w:p>
        </w:tc>
      </w:tr>
      <w:tr>
        <w:trPr>
          <w:trHeight w:val="194"/>
        </w:trPr>
        <w:tc>
          <w:tcPr>
            <w:tcW w:w="71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Retained earnings at end of period . . . . . . . . . .$</w:t>
            </w:r>
          </w:p>
        </w:tc>
        <w:tc>
          <w:tcPr>
            <w:tcW w:w="1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142,891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116,482</w:t>
            </w:r>
          </w:p>
        </w:tc>
      </w:tr>
      <w:tr>
        <w:trPr>
          <w:trHeight w:val="194"/>
        </w:trPr>
        <w:tc>
          <w:tcPr>
            <w:tcW w:w="71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71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5660" w:type="dxa"/>
            <w:vAlign w:val="bottom"/>
          </w:tcPr>
          <w:p>
            <w:pPr>
              <w:spacing w:after="0"/>
              <w:rPr>
                <w:sz w:val="20"/>
                <w:szCs w:val="20"/>
                <w:color w:val="auto"/>
              </w:rPr>
            </w:pPr>
            <w:r>
              <w:rPr>
                <w:rFonts w:ascii="Courier New" w:cs="Courier New" w:eastAsia="Courier New" w:hAnsi="Courier New"/>
                <w:sz w:val="17"/>
                <w:szCs w:val="17"/>
                <w:color w:val="auto"/>
              </w:rPr>
              <w:t>Net earnings per share of common stock and</w:t>
            </w: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4"/>
        </w:trPr>
        <w:tc>
          <w:tcPr>
            <w:tcW w:w="5660" w:type="dxa"/>
            <w:vAlign w:val="bottom"/>
          </w:tcPr>
          <w:p>
            <w:pPr>
              <w:ind w:left="400"/>
              <w:spacing w:after="0"/>
              <w:rPr>
                <w:sz w:val="20"/>
                <w:szCs w:val="20"/>
                <w:color w:val="auto"/>
              </w:rPr>
            </w:pPr>
            <w:r>
              <w:rPr>
                <w:rFonts w:ascii="Courier New" w:cs="Courier New" w:eastAsia="Courier New" w:hAnsi="Courier New"/>
                <w:sz w:val="17"/>
                <w:szCs w:val="17"/>
                <w:color w:val="auto"/>
              </w:rPr>
              <w:t>common stock equivalent. . . . . . . . . . . . . .$</w:t>
            </w:r>
          </w:p>
        </w:tc>
        <w:tc>
          <w:tcPr>
            <w:tcW w:w="15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0.32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0.64</w:t>
            </w:r>
          </w:p>
        </w:tc>
      </w:tr>
      <w:tr>
        <w:trPr>
          <w:trHeight w:val="194"/>
        </w:trPr>
        <w:tc>
          <w:tcPr>
            <w:tcW w:w="71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71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38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891" w:right="1440" w:bottom="1440" w:gutter="0" w:footer="0" w:header="0"/>
        </w:sectPr>
      </w:pPr>
    </w:p>
    <w:bookmarkStart w:id="3" w:name="page4"/>
    <w:bookmarkEnd w:id="3"/>
    <w:p>
      <w:pPr>
        <w:jc w:val="center"/>
        <w:ind w:right="3320"/>
        <w:spacing w:after="0"/>
        <w:rPr>
          <w:sz w:val="20"/>
          <w:szCs w:val="20"/>
          <w:color w:val="auto"/>
        </w:rPr>
      </w:pPr>
      <w:r>
        <w:rPr>
          <w:rFonts w:ascii="Courier New" w:cs="Courier New" w:eastAsia="Courier New" w:hAnsi="Courier New"/>
          <w:sz w:val="17"/>
          <w:szCs w:val="17"/>
          <w:color w:val="auto"/>
        </w:rPr>
        <w:t>THE TORO COMPANY AND SUBSIDIARIES</w:t>
      </w:r>
    </w:p>
    <w:p>
      <w:pPr>
        <w:spacing w:after="0" w:line="2"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2"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7"/>
          <w:szCs w:val="17"/>
          <w:color w:val="auto"/>
        </w:rPr>
        <w:t>(DOLLARS 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4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(Unaudited)</w:t>
            </w:r>
          </w:p>
        </w:tc>
        <w:tc>
          <w:tcPr>
            <w:tcW w:w="460" w:type="dxa"/>
            <w:vAlign w:val="bottom"/>
          </w:tcPr>
          <w:p>
            <w:pPr>
              <w:spacing w:after="0"/>
              <w:rPr>
                <w:sz w:val="16"/>
                <w:szCs w:val="16"/>
                <w:color w:val="auto"/>
              </w:rPr>
            </w:pPr>
          </w:p>
        </w:tc>
        <w:tc>
          <w:tcPr>
            <w:tcW w:w="1620" w:type="dxa"/>
            <w:vAlign w:val="bottom"/>
          </w:tcPr>
          <w:p>
            <w:pPr>
              <w:jc w:val="right"/>
              <w:ind w:right="436"/>
              <w:spacing w:after="0"/>
              <w:rPr>
                <w:sz w:val="20"/>
                <w:szCs w:val="20"/>
                <w:color w:val="auto"/>
              </w:rPr>
            </w:pPr>
            <w:r>
              <w:rPr>
                <w:rFonts w:ascii="Courier New" w:cs="Courier New" w:eastAsia="Courier New" w:hAnsi="Courier New"/>
                <w:sz w:val="17"/>
                <w:szCs w:val="17"/>
                <w:color w:val="auto"/>
                <w:w w:val="96"/>
              </w:rPr>
              <w:t>(Unaudited)</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774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1620" w:type="dxa"/>
            <w:vAlign w:val="bottom"/>
          </w:tcPr>
          <w:p>
            <w:pPr>
              <w:jc w:val="right"/>
              <w:ind w:right="436"/>
              <w:spacing w:after="0"/>
              <w:rPr>
                <w:sz w:val="20"/>
                <w:szCs w:val="20"/>
                <w:color w:val="auto"/>
              </w:rPr>
            </w:pPr>
            <w:r>
              <w:rPr>
                <w:rFonts w:ascii="Courier New" w:cs="Courier New" w:eastAsia="Courier New" w:hAnsi="Courier New"/>
                <w:sz w:val="17"/>
                <w:szCs w:val="17"/>
                <w:color w:val="auto"/>
                <w:w w:val="96"/>
              </w:rPr>
              <w:t>-----------</w:t>
            </w: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774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October 31,</w:t>
            </w:r>
          </w:p>
        </w:tc>
        <w:tc>
          <w:tcPr>
            <w:tcW w:w="460" w:type="dxa"/>
            <w:vAlign w:val="bottom"/>
          </w:tcPr>
          <w:p>
            <w:pPr>
              <w:spacing w:after="0"/>
              <w:rPr>
                <w:sz w:val="16"/>
                <w:szCs w:val="16"/>
                <w:color w:val="auto"/>
              </w:rPr>
            </w:pPr>
          </w:p>
        </w:tc>
        <w:tc>
          <w:tcPr>
            <w:tcW w:w="1620" w:type="dxa"/>
            <w:vAlign w:val="bottom"/>
          </w:tcPr>
          <w:p>
            <w:pPr>
              <w:jc w:val="right"/>
              <w:ind w:right="436"/>
              <w:spacing w:after="0"/>
              <w:rPr>
                <w:sz w:val="20"/>
                <w:szCs w:val="20"/>
                <w:color w:val="auto"/>
              </w:rPr>
            </w:pPr>
            <w:r>
              <w:rPr>
                <w:rFonts w:ascii="Courier New" w:cs="Courier New" w:eastAsia="Courier New" w:hAnsi="Courier New"/>
                <w:sz w:val="17"/>
                <w:szCs w:val="17"/>
                <w:color w:val="auto"/>
                <w:w w:val="96"/>
              </w:rPr>
              <w:t>October 28,</w:t>
            </w:r>
          </w:p>
        </w:tc>
        <w:tc>
          <w:tcPr>
            <w:tcW w:w="540" w:type="dxa"/>
            <w:vAlign w:val="bottom"/>
          </w:tcPr>
          <w:p>
            <w:pPr>
              <w:spacing w:after="0"/>
              <w:rPr>
                <w:sz w:val="16"/>
                <w:szCs w:val="16"/>
                <w:color w:val="auto"/>
              </w:rPr>
            </w:pPr>
          </w:p>
        </w:tc>
        <w:tc>
          <w:tcPr>
            <w:tcW w:w="11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July 31,</w:t>
            </w:r>
          </w:p>
        </w:tc>
      </w:tr>
      <w:tr>
        <w:trPr>
          <w:trHeight w:val="194"/>
        </w:trPr>
        <w:tc>
          <w:tcPr>
            <w:tcW w:w="6480" w:type="dxa"/>
            <w:vAlign w:val="bottom"/>
          </w:tcPr>
          <w:p>
            <w:pPr>
              <w:spacing w:after="0"/>
              <w:rPr>
                <w:sz w:val="16"/>
                <w:szCs w:val="16"/>
                <w:color w:val="auto"/>
              </w:rPr>
            </w:pPr>
          </w:p>
        </w:tc>
        <w:tc>
          <w:tcPr>
            <w:tcW w:w="1260" w:type="dxa"/>
            <w:vAlign w:val="bottom"/>
          </w:tcPr>
          <w:p>
            <w:pPr>
              <w:jc w:val="right"/>
              <w:ind w:right="776"/>
              <w:spacing w:after="0"/>
              <w:rPr>
                <w:sz w:val="20"/>
                <w:szCs w:val="20"/>
                <w:color w:val="auto"/>
              </w:rPr>
            </w:pPr>
            <w:r>
              <w:rPr>
                <w:rFonts w:ascii="Courier New" w:cs="Courier New" w:eastAsia="Courier New" w:hAnsi="Courier New"/>
                <w:sz w:val="17"/>
                <w:szCs w:val="17"/>
                <w:color w:val="auto"/>
                <w:w w:val="93"/>
              </w:rPr>
              <w:t>1995</w:t>
            </w:r>
          </w:p>
        </w:tc>
        <w:tc>
          <w:tcPr>
            <w:tcW w:w="460" w:type="dxa"/>
            <w:vAlign w:val="bottom"/>
          </w:tcPr>
          <w:p>
            <w:pPr>
              <w:spacing w:after="0"/>
              <w:rPr>
                <w:sz w:val="16"/>
                <w:szCs w:val="16"/>
                <w:color w:val="auto"/>
              </w:rPr>
            </w:pPr>
          </w:p>
        </w:tc>
        <w:tc>
          <w:tcPr>
            <w:tcW w:w="1620" w:type="dxa"/>
            <w:vAlign w:val="bottom"/>
          </w:tcPr>
          <w:p>
            <w:pPr>
              <w:jc w:val="right"/>
              <w:ind w:right="836"/>
              <w:spacing w:after="0"/>
              <w:rPr>
                <w:sz w:val="20"/>
                <w:szCs w:val="20"/>
                <w:color w:val="auto"/>
              </w:rPr>
            </w:pPr>
            <w:r>
              <w:rPr>
                <w:rFonts w:ascii="Courier New" w:cs="Courier New" w:eastAsia="Courier New" w:hAnsi="Courier New"/>
                <w:sz w:val="17"/>
                <w:szCs w:val="17"/>
                <w:color w:val="auto"/>
              </w:rPr>
              <w:t>1994</w:t>
            </w:r>
          </w:p>
        </w:tc>
        <w:tc>
          <w:tcPr>
            <w:tcW w:w="54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1995</w:t>
            </w:r>
          </w:p>
        </w:tc>
      </w:tr>
      <w:tr>
        <w:trPr>
          <w:trHeight w:val="194"/>
        </w:trPr>
        <w:tc>
          <w:tcPr>
            <w:tcW w:w="774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4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Cash and cash equivalents. . . . .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7,702</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12,402</w:t>
            </w: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11,924</w:t>
            </w: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Receivables (net). . . . . . . .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198,816</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199,910</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210,125</w:t>
            </w: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Inventories. . . . . . . . . . .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145,862</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132,854</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123,720</w:t>
            </w: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Other current assets . . . . . .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33,879</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28,219</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35,841</w:t>
            </w:r>
          </w:p>
        </w:tc>
      </w:tr>
      <w:tr>
        <w:trPr>
          <w:trHeight w:val="194"/>
        </w:trPr>
        <w:tc>
          <w:tcPr>
            <w:tcW w:w="774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ind w:left="620"/>
              <w:spacing w:after="0"/>
              <w:rPr>
                <w:sz w:val="20"/>
                <w:szCs w:val="20"/>
                <w:color w:val="auto"/>
              </w:rPr>
            </w:pPr>
            <w:r>
              <w:rPr>
                <w:rFonts w:ascii="Courier New" w:cs="Courier New" w:eastAsia="Courier New" w:hAnsi="Courier New"/>
                <w:sz w:val="17"/>
                <w:szCs w:val="17"/>
                <w:color w:val="auto"/>
              </w:rPr>
              <w:t>Total current assets . . .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386,259</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373,385</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381,610</w:t>
            </w:r>
          </w:p>
        </w:tc>
      </w:tr>
      <w:tr>
        <w:trPr>
          <w:trHeight w:val="194"/>
        </w:trPr>
        <w:tc>
          <w:tcPr>
            <w:tcW w:w="774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48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211,681</w:t>
            </w:r>
          </w:p>
        </w:tc>
        <w:tc>
          <w:tcPr>
            <w:tcW w:w="460" w:type="dxa"/>
            <w:vAlign w:val="bottom"/>
          </w:tcPr>
          <w:p>
            <w:pPr>
              <w:spacing w:after="0"/>
              <w:rPr>
                <w:sz w:val="24"/>
                <w:szCs w:val="24"/>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189,672</w:t>
            </w:r>
          </w:p>
        </w:tc>
        <w:tc>
          <w:tcPr>
            <w:tcW w:w="540" w:type="dxa"/>
            <w:vAlign w:val="bottom"/>
          </w:tcPr>
          <w:p>
            <w:pPr>
              <w:spacing w:after="0"/>
              <w:rPr>
                <w:sz w:val="24"/>
                <w:szCs w:val="24"/>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208,621</w:t>
            </w:r>
          </w:p>
        </w:tc>
      </w:tr>
      <w:tr>
        <w:trPr>
          <w:trHeight w:val="194"/>
        </w:trPr>
        <w:tc>
          <w:tcPr>
            <w:tcW w:w="6480" w:type="dxa"/>
            <w:vAlign w:val="bottom"/>
          </w:tcPr>
          <w:p>
            <w:pPr>
              <w:ind w:left="620"/>
              <w:spacing w:after="0"/>
              <w:rPr>
                <w:sz w:val="20"/>
                <w:szCs w:val="20"/>
                <w:color w:val="auto"/>
              </w:rPr>
            </w:pPr>
            <w:r>
              <w:rPr>
                <w:rFonts w:ascii="Courier New" w:cs="Courier New" w:eastAsia="Courier New" w:hAnsi="Courier New"/>
                <w:sz w:val="17"/>
                <w:szCs w:val="17"/>
                <w:color w:val="auto"/>
              </w:rPr>
              <w:t>Less accumulated depreciation and amortization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141,726</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129,735</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138,550</w:t>
            </w:r>
          </w:p>
        </w:tc>
      </w:tr>
      <w:tr>
        <w:trPr>
          <w:trHeight w:val="194"/>
        </w:trPr>
        <w:tc>
          <w:tcPr>
            <w:tcW w:w="774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69,955</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59,937</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70,071</w:t>
            </w: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Other assets . . . . . . . . . .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16,439</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18,243</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16,634</w:t>
            </w:r>
          </w:p>
        </w:tc>
      </w:tr>
      <w:tr>
        <w:trPr>
          <w:trHeight w:val="194"/>
        </w:trPr>
        <w:tc>
          <w:tcPr>
            <w:tcW w:w="774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ind w:left="620"/>
              <w:spacing w:after="0"/>
              <w:rPr>
                <w:sz w:val="20"/>
                <w:szCs w:val="20"/>
                <w:color w:val="auto"/>
              </w:rPr>
            </w:pPr>
            <w:r>
              <w:rPr>
                <w:rFonts w:ascii="Courier New" w:cs="Courier New" w:eastAsia="Courier New" w:hAnsi="Courier New"/>
                <w:sz w:val="17"/>
                <w:szCs w:val="17"/>
                <w:color w:val="auto"/>
              </w:rPr>
              <w:t>Total assets . . . . . . .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472,653</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451,565</w:t>
            </w: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468,315</w:t>
            </w:r>
          </w:p>
        </w:tc>
      </w:tr>
      <w:tr>
        <w:trPr>
          <w:trHeight w:val="194"/>
        </w:trPr>
        <w:tc>
          <w:tcPr>
            <w:tcW w:w="774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774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48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Current portion of long-term debt.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15,334</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21,055</w:t>
            </w: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16,090</w:t>
            </w: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Short-term borrowing . . . . . .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41,575</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22,535</w:t>
            </w: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Accounts payable . . . . . . . .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51,052</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37,473</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41,072</w:t>
            </w: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Other accrued liabilities. . . .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113,212</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138,659</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132,962</w:t>
            </w:r>
          </w:p>
        </w:tc>
      </w:tr>
      <w:tr>
        <w:trPr>
          <w:trHeight w:val="194"/>
        </w:trPr>
        <w:tc>
          <w:tcPr>
            <w:tcW w:w="774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ind w:left="620"/>
              <w:spacing w:after="0"/>
              <w:rPr>
                <w:sz w:val="20"/>
                <w:szCs w:val="20"/>
                <w:color w:val="auto"/>
              </w:rPr>
            </w:pPr>
            <w:r>
              <w:rPr>
                <w:rFonts w:ascii="Courier New" w:cs="Courier New" w:eastAsia="Courier New" w:hAnsi="Courier New"/>
                <w:sz w:val="17"/>
                <w:szCs w:val="17"/>
                <w:color w:val="auto"/>
              </w:rPr>
              <w:t>Total current liabilities.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221,173</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197,187</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212,659</w:t>
            </w:r>
          </w:p>
        </w:tc>
      </w:tr>
      <w:tr>
        <w:trPr>
          <w:trHeight w:val="194"/>
        </w:trPr>
        <w:tc>
          <w:tcPr>
            <w:tcW w:w="774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480" w:type="dxa"/>
            <w:vAlign w:val="bottom"/>
          </w:tcPr>
          <w:p>
            <w:pPr>
              <w:spacing w:after="0"/>
              <w:rPr>
                <w:sz w:val="20"/>
                <w:szCs w:val="20"/>
                <w:color w:val="auto"/>
              </w:rPr>
            </w:pPr>
            <w:r>
              <w:rPr>
                <w:rFonts w:ascii="Courier New" w:cs="Courier New" w:eastAsia="Courier New" w:hAnsi="Courier New"/>
                <w:sz w:val="17"/>
                <w:szCs w:val="17"/>
                <w:color w:val="auto"/>
              </w:rPr>
              <w:t>Long-term debt, less current portion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53,365</w:t>
            </w:r>
          </w:p>
        </w:tc>
        <w:tc>
          <w:tcPr>
            <w:tcW w:w="460" w:type="dxa"/>
            <w:vAlign w:val="bottom"/>
          </w:tcPr>
          <w:p>
            <w:pPr>
              <w:spacing w:after="0"/>
              <w:rPr>
                <w:sz w:val="24"/>
                <w:szCs w:val="24"/>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70,399</w:t>
            </w:r>
          </w:p>
        </w:tc>
        <w:tc>
          <w:tcPr>
            <w:tcW w:w="540" w:type="dxa"/>
            <w:vAlign w:val="bottom"/>
          </w:tcPr>
          <w:p>
            <w:pPr>
              <w:spacing w:after="0"/>
              <w:rPr>
                <w:sz w:val="24"/>
                <w:szCs w:val="24"/>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64,935</w:t>
            </w:r>
          </w:p>
        </w:tc>
      </w:tr>
      <w:tr>
        <w:trPr>
          <w:trHeight w:val="194"/>
        </w:trPr>
        <w:tc>
          <w:tcPr>
            <w:tcW w:w="6480" w:type="dxa"/>
            <w:vAlign w:val="bottom"/>
          </w:tcPr>
          <w:p>
            <w:pPr>
              <w:spacing w:after="0"/>
              <w:rPr>
                <w:sz w:val="20"/>
                <w:szCs w:val="20"/>
                <w:color w:val="auto"/>
              </w:rPr>
            </w:pPr>
            <w:r>
              <w:rPr>
                <w:rFonts w:ascii="Courier New" w:cs="Courier New" w:eastAsia="Courier New" w:hAnsi="Courier New"/>
                <w:sz w:val="17"/>
                <w:szCs w:val="17"/>
                <w:color w:val="auto"/>
              </w:rPr>
              <w:t>Other long-term liabilities. . .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7,223</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5,250</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5,250</w:t>
            </w:r>
          </w:p>
        </w:tc>
      </w:tr>
      <w:tr>
        <w:trPr>
          <w:trHeight w:val="389"/>
        </w:trPr>
        <w:tc>
          <w:tcPr>
            <w:tcW w:w="6480" w:type="dxa"/>
            <w:vAlign w:val="bottom"/>
          </w:tcPr>
          <w:p>
            <w:pPr>
              <w:spacing w:after="0"/>
              <w:rPr>
                <w:sz w:val="20"/>
                <w:szCs w:val="20"/>
                <w:color w:val="auto"/>
              </w:rPr>
            </w:pPr>
            <w:r>
              <w:rPr>
                <w:rFonts w:ascii="Courier New" w:cs="Courier New" w:eastAsia="Courier New" w:hAnsi="Courier New"/>
                <w:sz w:val="17"/>
                <w:szCs w:val="17"/>
                <w:color w:val="auto"/>
              </w:rPr>
              <w:t>Common stockholders' equity:</w:t>
            </w: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6480" w:type="dxa"/>
            <w:vAlign w:val="bottom"/>
          </w:tcPr>
          <w:p>
            <w:pPr>
              <w:ind w:left="300"/>
              <w:spacing w:after="0"/>
              <w:rPr>
                <w:sz w:val="20"/>
                <w:szCs w:val="20"/>
                <w:color w:val="auto"/>
              </w:rPr>
            </w:pPr>
            <w:r>
              <w:rPr>
                <w:rFonts w:ascii="Courier New" w:cs="Courier New" w:eastAsia="Courier New" w:hAnsi="Courier New"/>
                <w:sz w:val="17"/>
                <w:szCs w:val="17"/>
                <w:color w:val="auto"/>
              </w:rPr>
              <w:t>Common stock par value $1.00,</w:t>
            </w: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ind w:left="620"/>
              <w:spacing w:after="0"/>
              <w:rPr>
                <w:sz w:val="20"/>
                <w:szCs w:val="20"/>
                <w:color w:val="auto"/>
              </w:rPr>
            </w:pPr>
            <w:r>
              <w:rPr>
                <w:rFonts w:ascii="Courier New" w:cs="Courier New" w:eastAsia="Courier New" w:hAnsi="Courier New"/>
                <w:sz w:val="17"/>
                <w:szCs w:val="17"/>
                <w:color w:val="auto"/>
              </w:rPr>
              <w:t>authorized 35,000,000 shares; issued and</w:t>
            </w: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ind w:left="620"/>
              <w:spacing w:after="0"/>
              <w:rPr>
                <w:sz w:val="20"/>
                <w:szCs w:val="20"/>
                <w:color w:val="auto"/>
              </w:rPr>
            </w:pPr>
            <w:r>
              <w:rPr>
                <w:rFonts w:ascii="Courier New" w:cs="Courier New" w:eastAsia="Courier New" w:hAnsi="Courier New"/>
                <w:sz w:val="17"/>
                <w:szCs w:val="17"/>
                <w:color w:val="auto"/>
              </w:rPr>
              <w:t>outstanding 12,167,835 shares at October</w:t>
            </w: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ind w:left="620"/>
              <w:spacing w:after="0"/>
              <w:rPr>
                <w:sz w:val="20"/>
                <w:szCs w:val="20"/>
                <w:color w:val="auto"/>
              </w:rPr>
            </w:pPr>
            <w:r>
              <w:rPr>
                <w:rFonts w:ascii="Courier New" w:cs="Courier New" w:eastAsia="Courier New" w:hAnsi="Courier New"/>
                <w:sz w:val="17"/>
                <w:szCs w:val="17"/>
                <w:color w:val="auto"/>
              </w:rPr>
              <w:t>31, 1995 (net of 674,490 treasury shares),</w:t>
            </w: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ind w:left="620"/>
              <w:spacing w:after="0"/>
              <w:rPr>
                <w:sz w:val="20"/>
                <w:szCs w:val="20"/>
                <w:color w:val="auto"/>
              </w:rPr>
            </w:pPr>
            <w:r>
              <w:rPr>
                <w:rFonts w:ascii="Courier New" w:cs="Courier New" w:eastAsia="Courier New" w:hAnsi="Courier New"/>
                <w:sz w:val="17"/>
                <w:szCs w:val="17"/>
                <w:color w:val="auto"/>
              </w:rPr>
              <w:t>12,720,343 shares at October 28,</w:t>
            </w: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ind w:left="620"/>
              <w:spacing w:after="0"/>
              <w:rPr>
                <w:sz w:val="20"/>
                <w:szCs w:val="20"/>
                <w:color w:val="auto"/>
              </w:rPr>
            </w:pPr>
            <w:r>
              <w:rPr>
                <w:rFonts w:ascii="Courier New" w:cs="Courier New" w:eastAsia="Courier New" w:hAnsi="Courier New"/>
                <w:sz w:val="17"/>
                <w:szCs w:val="17"/>
                <w:color w:val="auto"/>
              </w:rPr>
              <w:t>1994 (net of 2,975 treasury shares),</w:t>
            </w: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ind w:left="620"/>
              <w:spacing w:after="0"/>
              <w:rPr>
                <w:sz w:val="20"/>
                <w:szCs w:val="20"/>
                <w:color w:val="auto"/>
              </w:rPr>
            </w:pPr>
            <w:r>
              <w:rPr>
                <w:rFonts w:ascii="Courier New" w:cs="Courier New" w:eastAsia="Courier New" w:hAnsi="Courier New"/>
                <w:sz w:val="17"/>
                <w:szCs w:val="17"/>
                <w:color w:val="auto"/>
              </w:rPr>
              <w:t>and 12,039,776 shares at July 31, 1995</w:t>
            </w: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ind w:left="620"/>
              <w:spacing w:after="0"/>
              <w:rPr>
                <w:sz w:val="20"/>
                <w:szCs w:val="20"/>
                <w:color w:val="auto"/>
              </w:rPr>
            </w:pPr>
            <w:r>
              <w:rPr>
                <w:rFonts w:ascii="Courier New" w:cs="Courier New" w:eastAsia="Courier New" w:hAnsi="Courier New"/>
                <w:sz w:val="17"/>
                <w:szCs w:val="17"/>
                <w:color w:val="auto"/>
              </w:rPr>
              <w:t>(net of 802,549 treasury shares)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12,168</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12,720</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12,040</w:t>
            </w:r>
          </w:p>
        </w:tc>
      </w:tr>
      <w:tr>
        <w:trPr>
          <w:trHeight w:val="194"/>
        </w:trPr>
        <w:tc>
          <w:tcPr>
            <w:tcW w:w="6480" w:type="dxa"/>
            <w:vAlign w:val="bottom"/>
          </w:tcPr>
          <w:p>
            <w:pPr>
              <w:ind w:left="300"/>
              <w:spacing w:after="0"/>
              <w:rPr>
                <w:sz w:val="20"/>
                <w:szCs w:val="20"/>
                <w:color w:val="auto"/>
              </w:rPr>
            </w:pPr>
            <w:r>
              <w:rPr>
                <w:rFonts w:ascii="Courier New" w:cs="Courier New" w:eastAsia="Courier New" w:hAnsi="Courier New"/>
                <w:sz w:val="17"/>
                <w:szCs w:val="17"/>
                <w:color w:val="auto"/>
              </w:rPr>
              <w:t>Additional paid-in capital. .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35,712</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52,374</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33,145</w:t>
            </w:r>
          </w:p>
        </w:tc>
      </w:tr>
      <w:tr>
        <w:trPr>
          <w:trHeight w:val="194"/>
        </w:trPr>
        <w:tc>
          <w:tcPr>
            <w:tcW w:w="6480" w:type="dxa"/>
            <w:vAlign w:val="bottom"/>
          </w:tcPr>
          <w:p>
            <w:pPr>
              <w:ind w:left="300"/>
              <w:spacing w:after="0"/>
              <w:rPr>
                <w:sz w:val="20"/>
                <w:szCs w:val="20"/>
                <w:color w:val="auto"/>
              </w:rPr>
            </w:pPr>
            <w:r>
              <w:rPr>
                <w:rFonts w:ascii="Courier New" w:cs="Courier New" w:eastAsia="Courier New" w:hAnsi="Courier New"/>
                <w:sz w:val="17"/>
                <w:szCs w:val="17"/>
                <w:color w:val="auto"/>
              </w:rPr>
              <w:t>Retained earnings . . . . . .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142,891</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116,482</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140,353</w:t>
            </w:r>
          </w:p>
        </w:tc>
      </w:tr>
      <w:tr>
        <w:trPr>
          <w:trHeight w:val="194"/>
        </w:trPr>
        <w:tc>
          <w:tcPr>
            <w:tcW w:w="6480" w:type="dxa"/>
            <w:vAlign w:val="bottom"/>
          </w:tcPr>
          <w:p>
            <w:pPr>
              <w:ind w:left="300"/>
              <w:spacing w:after="0"/>
              <w:rPr>
                <w:sz w:val="20"/>
                <w:szCs w:val="20"/>
                <w:color w:val="auto"/>
              </w:rPr>
            </w:pPr>
            <w:r>
              <w:rPr>
                <w:rFonts w:ascii="Courier New" w:cs="Courier New" w:eastAsia="Courier New" w:hAnsi="Courier New"/>
                <w:sz w:val="17"/>
                <w:szCs w:val="17"/>
                <w:color w:val="auto"/>
              </w:rPr>
              <w:t>Foreign currency translation adjustment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121</w:t>
            </w:r>
          </w:p>
        </w:tc>
        <w:tc>
          <w:tcPr>
            <w:tcW w:w="460" w:type="dxa"/>
            <w:vAlign w:val="bottom"/>
          </w:tcPr>
          <w:p>
            <w:pPr>
              <w:spacing w:after="0"/>
              <w:rPr>
                <w:sz w:val="16"/>
                <w:szCs w:val="16"/>
                <w:color w:val="auto"/>
              </w:rPr>
            </w:pPr>
          </w:p>
        </w:tc>
        <w:tc>
          <w:tcPr>
            <w:tcW w:w="16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(235)</w:t>
            </w:r>
          </w:p>
        </w:tc>
        <w:tc>
          <w:tcPr>
            <w:tcW w:w="5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(67)</w:t>
            </w:r>
          </w:p>
        </w:tc>
      </w:tr>
      <w:tr>
        <w:trPr>
          <w:trHeight w:val="194"/>
        </w:trPr>
        <w:tc>
          <w:tcPr>
            <w:tcW w:w="774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spacing w:after="0"/>
              <w:rPr>
                <w:sz w:val="16"/>
                <w:szCs w:val="16"/>
                <w:color w:val="auto"/>
              </w:rPr>
            </w:pP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190,892</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181,341</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185,471</w:t>
            </w:r>
          </w:p>
        </w:tc>
      </w:tr>
      <w:tr>
        <w:trPr>
          <w:trHeight w:val="194"/>
        </w:trPr>
        <w:tc>
          <w:tcPr>
            <w:tcW w:w="6480" w:type="dxa"/>
            <w:vAlign w:val="bottom"/>
          </w:tcPr>
          <w:p>
            <w:pPr>
              <w:ind w:left="300"/>
              <w:spacing w:after="0"/>
              <w:rPr>
                <w:sz w:val="20"/>
                <w:szCs w:val="20"/>
                <w:color w:val="auto"/>
              </w:rPr>
            </w:pPr>
            <w:r>
              <w:rPr>
                <w:rFonts w:ascii="Courier New" w:cs="Courier New" w:eastAsia="Courier New" w:hAnsi="Courier New"/>
                <w:sz w:val="17"/>
                <w:szCs w:val="17"/>
                <w:color w:val="auto"/>
              </w:rPr>
              <w:t>Receivable from ESOP. . . . . . .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6"/>
                <w:szCs w:val="16"/>
                <w:color w:val="auto"/>
              </w:rPr>
            </w:pPr>
          </w:p>
        </w:tc>
        <w:tc>
          <w:tcPr>
            <w:tcW w:w="16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(2,612)</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774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ind w:left="300"/>
              <w:spacing w:after="0"/>
              <w:rPr>
                <w:sz w:val="20"/>
                <w:szCs w:val="20"/>
                <w:color w:val="auto"/>
              </w:rPr>
            </w:pPr>
            <w:r>
              <w:rPr>
                <w:rFonts w:ascii="Courier New" w:cs="Courier New" w:eastAsia="Courier New" w:hAnsi="Courier New"/>
                <w:sz w:val="17"/>
                <w:szCs w:val="17"/>
                <w:color w:val="auto"/>
              </w:rPr>
              <w:t>Total common stockholders' equity . . . . . . . . . .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190,892</w:t>
            </w:r>
          </w:p>
        </w:tc>
        <w:tc>
          <w:tcPr>
            <w:tcW w:w="460" w:type="dxa"/>
            <w:vAlign w:val="bottom"/>
          </w:tcPr>
          <w:p>
            <w:pPr>
              <w:spacing w:after="0"/>
              <w:rPr>
                <w:sz w:val="16"/>
                <w:szCs w:val="16"/>
                <w:color w:val="auto"/>
              </w:rPr>
            </w:pP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178,729</w:t>
            </w:r>
          </w:p>
        </w:tc>
        <w:tc>
          <w:tcPr>
            <w:tcW w:w="5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185,471</w:t>
            </w:r>
          </w:p>
        </w:tc>
      </w:tr>
      <w:tr>
        <w:trPr>
          <w:trHeight w:val="194"/>
        </w:trPr>
        <w:tc>
          <w:tcPr>
            <w:tcW w:w="774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ind w:left="620"/>
              <w:spacing w:after="0"/>
              <w:rPr>
                <w:sz w:val="20"/>
                <w:szCs w:val="20"/>
                <w:color w:val="auto"/>
              </w:rPr>
            </w:pPr>
            <w:r>
              <w:rPr>
                <w:rFonts w:ascii="Courier New" w:cs="Courier New" w:eastAsia="Courier New" w:hAnsi="Courier New"/>
                <w:sz w:val="17"/>
                <w:szCs w:val="17"/>
                <w:color w:val="auto"/>
              </w:rPr>
              <w:t>Total liabilities and common stockholders' equity. . .$</w:t>
            </w:r>
          </w:p>
        </w:tc>
        <w:tc>
          <w:tcPr>
            <w:tcW w:w="12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472,653</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451,565</w:t>
            </w:r>
          </w:p>
        </w:tc>
        <w:tc>
          <w:tcPr>
            <w:tcW w:w="5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468,315</w:t>
            </w:r>
          </w:p>
        </w:tc>
      </w:tr>
      <w:tr>
        <w:trPr>
          <w:trHeight w:val="194"/>
        </w:trPr>
        <w:tc>
          <w:tcPr>
            <w:tcW w:w="774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7740" w:type="dxa"/>
            <w:vAlign w:val="bottom"/>
            <w:gridSpan w:val="2"/>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20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38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697" w:right="139" w:bottom="1440" w:gutter="0" w:footer="0" w:header="0"/>
        </w:sectPr>
      </w:pPr>
    </w:p>
    <w:bookmarkStart w:id="4" w:name="page5"/>
    <w:bookmarkEnd w:id="4"/>
    <w:p>
      <w:pPr>
        <w:jc w:val="center"/>
        <w:ind w:right="2019"/>
        <w:spacing w:after="0"/>
        <w:rPr>
          <w:sz w:val="20"/>
          <w:szCs w:val="20"/>
          <w:color w:val="auto"/>
        </w:rPr>
      </w:pPr>
      <w:r>
        <w:rPr>
          <w:rFonts w:ascii="Courier New" w:cs="Courier New" w:eastAsia="Courier New" w:hAnsi="Courier New"/>
          <w:sz w:val="17"/>
          <w:szCs w:val="17"/>
          <w:color w:val="auto"/>
        </w:rPr>
        <w:t>THE TORO COMPANY AND SUBSIDIARIES</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CONSOLIDATED STATEMENTS OF CASH FLOWS (UNAUDITED)</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860"/>
        <w:spacing w:after="0"/>
        <w:rPr>
          <w:sz w:val="20"/>
          <w:szCs w:val="20"/>
          <w:color w:val="auto"/>
        </w:rPr>
      </w:pPr>
      <w:r>
        <w:rPr>
          <w:rFonts w:ascii="Courier New" w:cs="Courier New" w:eastAsia="Courier New" w:hAnsi="Courier New"/>
          <w:sz w:val="17"/>
          <w:szCs w:val="17"/>
          <w:color w:val="auto"/>
        </w:rPr>
        <w:t>Three Months Ended</w:t>
      </w:r>
    </w:p>
    <w:p>
      <w:pPr>
        <w:spacing w:after="0" w:line="4" w:lineRule="exact"/>
        <w:rPr>
          <w:sz w:val="20"/>
          <w:szCs w:val="20"/>
          <w:color w:val="auto"/>
        </w:rPr>
      </w:pPr>
    </w:p>
    <w:p>
      <w:pPr>
        <w:ind w:left="55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8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October 31,</w:t>
            </w:r>
          </w:p>
        </w:tc>
        <w:tc>
          <w:tcPr>
            <w:tcW w:w="13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October 28,</w:t>
            </w:r>
          </w:p>
        </w:tc>
      </w:tr>
      <w:tr>
        <w:trPr>
          <w:trHeight w:val="194"/>
        </w:trPr>
        <w:tc>
          <w:tcPr>
            <w:tcW w:w="5760" w:type="dxa"/>
            <w:vAlign w:val="bottom"/>
          </w:tcPr>
          <w:p>
            <w:pPr>
              <w:spacing w:after="0"/>
              <w:rPr>
                <w:sz w:val="16"/>
                <w:szCs w:val="16"/>
                <w:color w:val="auto"/>
              </w:rPr>
            </w:pPr>
          </w:p>
        </w:tc>
        <w:tc>
          <w:tcPr>
            <w:tcW w:w="112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1995</w:t>
            </w:r>
          </w:p>
        </w:tc>
        <w:tc>
          <w:tcPr>
            <w:tcW w:w="400" w:type="dxa"/>
            <w:vAlign w:val="bottom"/>
          </w:tcPr>
          <w:p>
            <w:pPr>
              <w:spacing w:after="0"/>
              <w:rPr>
                <w:sz w:val="16"/>
                <w:szCs w:val="16"/>
                <w:color w:val="auto"/>
              </w:rPr>
            </w:pPr>
          </w:p>
        </w:tc>
        <w:tc>
          <w:tcPr>
            <w:tcW w:w="9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1994</w:t>
            </w:r>
          </w:p>
        </w:tc>
      </w:tr>
      <w:tr>
        <w:trPr>
          <w:trHeight w:val="194"/>
        </w:trPr>
        <w:tc>
          <w:tcPr>
            <w:tcW w:w="688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5760" w:type="dxa"/>
            <w:vAlign w:val="bottom"/>
          </w:tcPr>
          <w:p>
            <w:pPr>
              <w:jc w:val="right"/>
              <w:ind w:right="1936"/>
              <w:spacing w:after="0"/>
              <w:rPr>
                <w:sz w:val="20"/>
                <w:szCs w:val="20"/>
                <w:color w:val="auto"/>
              </w:rPr>
            </w:pPr>
            <w:r>
              <w:rPr>
                <w:rFonts w:ascii="Courier New" w:cs="Courier New" w:eastAsia="Courier New" w:hAnsi="Courier New"/>
                <w:sz w:val="17"/>
                <w:szCs w:val="17"/>
                <w:color w:val="auto"/>
                <w:w w:val="98"/>
              </w:rPr>
              <w:t>Cash flows from operating activities: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4"/>
        </w:trPr>
        <w:tc>
          <w:tcPr>
            <w:tcW w:w="5760" w:type="dxa"/>
            <w:vAlign w:val="bottom"/>
          </w:tcPr>
          <w:p>
            <w:pPr>
              <w:ind w:left="300"/>
              <w:spacing w:after="0"/>
              <w:rPr>
                <w:sz w:val="20"/>
                <w:szCs w:val="20"/>
                <w:color w:val="auto"/>
              </w:rPr>
            </w:pPr>
            <w:r>
              <w:rPr>
                <w:rFonts w:ascii="Courier New" w:cs="Courier New" w:eastAsia="Courier New" w:hAnsi="Courier New"/>
                <w:sz w:val="17"/>
                <w:szCs w:val="17"/>
                <w:color w:val="auto"/>
              </w:rPr>
              <w:t>Net earnings. . . . . . . . . . . . . . . . . . . . $</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3,997</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8,302</w:t>
            </w:r>
          </w:p>
        </w:tc>
      </w:tr>
      <w:tr>
        <w:trPr>
          <w:trHeight w:val="194"/>
        </w:trPr>
        <w:tc>
          <w:tcPr>
            <w:tcW w:w="5760" w:type="dxa"/>
            <w:vAlign w:val="bottom"/>
          </w:tcPr>
          <w:p>
            <w:pPr>
              <w:ind w:left="400"/>
              <w:spacing w:after="0"/>
              <w:rPr>
                <w:sz w:val="20"/>
                <w:szCs w:val="20"/>
                <w:color w:val="auto"/>
              </w:rPr>
            </w:pPr>
            <w:r>
              <w:rPr>
                <w:rFonts w:ascii="Courier New" w:cs="Courier New" w:eastAsia="Courier New" w:hAnsi="Courier New"/>
                <w:sz w:val="17"/>
                <w:szCs w:val="17"/>
                <w:color w:val="auto"/>
              </w:rPr>
              <w:t>Adjustments to reconcile net earnings to net cash</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5760" w:type="dxa"/>
            <w:vAlign w:val="bottom"/>
          </w:tcPr>
          <w:p>
            <w:pPr>
              <w:jc w:val="right"/>
              <w:ind w:right="2036"/>
              <w:spacing w:after="0"/>
              <w:rPr>
                <w:sz w:val="20"/>
                <w:szCs w:val="20"/>
                <w:color w:val="auto"/>
              </w:rPr>
            </w:pPr>
            <w:r>
              <w:rPr>
                <w:rFonts w:ascii="Courier New" w:cs="Courier New" w:eastAsia="Courier New" w:hAnsi="Courier New"/>
                <w:sz w:val="17"/>
                <w:szCs w:val="17"/>
                <w:color w:val="auto"/>
              </w:rPr>
              <w:t>used in operating activities: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Provision for depreciation and amortization. . . .</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3,590</w:t>
            </w:r>
          </w:p>
        </w:tc>
        <w:tc>
          <w:tcPr>
            <w:tcW w:w="4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3,959</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Gain on disposal of property, plant and equipment.</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w:t>
            </w:r>
          </w:p>
        </w:tc>
        <w:tc>
          <w:tcPr>
            <w:tcW w:w="400" w:type="dxa"/>
            <w:vAlign w:val="bottom"/>
          </w:tcPr>
          <w:p>
            <w:pPr>
              <w:spacing w:after="0"/>
              <w:rPr>
                <w:sz w:val="16"/>
                <w:szCs w:val="16"/>
                <w:color w:val="auto"/>
              </w:rPr>
            </w:pPr>
          </w:p>
        </w:tc>
        <w:tc>
          <w:tcPr>
            <w:tcW w:w="920" w:type="dxa"/>
            <w:vAlign w:val="bottom"/>
          </w:tcPr>
          <w:p>
            <w:pPr>
              <w:ind w:left="300"/>
              <w:spacing w:after="0"/>
              <w:rPr>
                <w:sz w:val="20"/>
                <w:szCs w:val="20"/>
                <w:color w:val="auto"/>
              </w:rPr>
            </w:pPr>
            <w:r>
              <w:rPr>
                <w:rFonts w:ascii="Courier New" w:cs="Courier New" w:eastAsia="Courier New" w:hAnsi="Courier New"/>
                <w:sz w:val="17"/>
                <w:szCs w:val="17"/>
                <w:color w:val="auto"/>
              </w:rPr>
              <w:t>(21)</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Deferred income taxes. . . . . . . . . . . . . . .</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194</w:t>
            </w:r>
          </w:p>
        </w:tc>
        <w:tc>
          <w:tcPr>
            <w:tcW w:w="400" w:type="dxa"/>
            <w:vAlign w:val="bottom"/>
          </w:tcPr>
          <w:p>
            <w:pPr>
              <w:spacing w:after="0"/>
              <w:rPr>
                <w:sz w:val="16"/>
                <w:szCs w:val="16"/>
                <w:color w:val="auto"/>
              </w:rPr>
            </w:pPr>
          </w:p>
        </w:tc>
        <w:tc>
          <w:tcPr>
            <w:tcW w:w="92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r>
      <w:tr>
        <w:trPr>
          <w:trHeight w:val="194"/>
        </w:trPr>
        <w:tc>
          <w:tcPr>
            <w:tcW w:w="5760" w:type="dxa"/>
            <w:vAlign w:val="bottom"/>
          </w:tcPr>
          <w:p>
            <w:pPr>
              <w:ind w:left="40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Receivables (net). . . . . . . . . . . . . . .</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13,640</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(16,227)</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Inventories. . . . . . . . . . . . . . . . . .</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(22,142)</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(14,090)</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Other current assets . . . . . . . . . . . . .</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1,962</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(2,402)</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Accounts payable and accrued expenses. . . . .</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(9,770)</w:t>
            </w:r>
          </w:p>
        </w:tc>
        <w:tc>
          <w:tcPr>
            <w:tcW w:w="4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8,008</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Accrued income taxes . . . . . . . . . . . . .</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(288)</w:t>
            </w:r>
          </w:p>
        </w:tc>
      </w:tr>
      <w:tr>
        <w:trPr>
          <w:trHeight w:val="194"/>
        </w:trPr>
        <w:tc>
          <w:tcPr>
            <w:tcW w:w="68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Net cash used in operating activities. . .</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(8,563)</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(12,759)</w:t>
            </w:r>
          </w:p>
        </w:tc>
      </w:tr>
      <w:tr>
        <w:trPr>
          <w:trHeight w:val="194"/>
        </w:trPr>
        <w:tc>
          <w:tcPr>
            <w:tcW w:w="68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5760" w:type="dxa"/>
            <w:vAlign w:val="bottom"/>
          </w:tcPr>
          <w:p>
            <w:pPr>
              <w:ind w:left="300"/>
              <w:spacing w:after="0"/>
              <w:rPr>
                <w:sz w:val="20"/>
                <w:szCs w:val="20"/>
                <w:color w:val="auto"/>
              </w:rPr>
            </w:pPr>
            <w:r>
              <w:rPr>
                <w:rFonts w:ascii="Courier New" w:cs="Courier New" w:eastAsia="Courier New" w:hAnsi="Courier New"/>
                <w:sz w:val="17"/>
                <w:szCs w:val="17"/>
                <w:color w:val="auto"/>
              </w:rPr>
              <w:t>Cash flows from investing activities: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Purchases of property, plant and equipment . . . .</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(3,302)</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(4,721)</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Proceeds from asset disposals. . . . . . . . . . .</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43</w:t>
            </w:r>
          </w:p>
        </w:tc>
        <w:tc>
          <w:tcPr>
            <w:tcW w:w="4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(Increase) decrease in other assets. . . . . . . .</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(180)</w:t>
            </w:r>
          </w:p>
        </w:tc>
        <w:tc>
          <w:tcPr>
            <w:tcW w:w="4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1,710</w:t>
            </w:r>
          </w:p>
        </w:tc>
      </w:tr>
      <w:tr>
        <w:trPr>
          <w:trHeight w:val="194"/>
        </w:trPr>
        <w:tc>
          <w:tcPr>
            <w:tcW w:w="68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Net cash used in investing activities. . .</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(3,439)</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(2,975)</w:t>
            </w:r>
          </w:p>
        </w:tc>
      </w:tr>
      <w:tr>
        <w:trPr>
          <w:trHeight w:val="194"/>
        </w:trPr>
        <w:tc>
          <w:tcPr>
            <w:tcW w:w="68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5760" w:type="dxa"/>
            <w:vAlign w:val="bottom"/>
          </w:tcPr>
          <w:p>
            <w:pPr>
              <w:ind w:left="300"/>
              <w:spacing w:after="0"/>
              <w:rPr>
                <w:sz w:val="20"/>
                <w:szCs w:val="20"/>
                <w:color w:val="auto"/>
              </w:rPr>
            </w:pPr>
            <w:r>
              <w:rPr>
                <w:rFonts w:ascii="Courier New" w:cs="Courier New" w:eastAsia="Courier New" w:hAnsi="Courier New"/>
                <w:sz w:val="17"/>
                <w:szCs w:val="17"/>
                <w:color w:val="auto"/>
              </w:rPr>
              <w:t>Cash flows from financing activities: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Decrease in sale of receivables. . . . . . . . . .</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(2,331)</w:t>
            </w:r>
          </w:p>
        </w:tc>
        <w:tc>
          <w:tcPr>
            <w:tcW w:w="4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Increase in short-term borrowing . . . . . . . . .</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19,040</w:t>
            </w:r>
          </w:p>
        </w:tc>
        <w:tc>
          <w:tcPr>
            <w:tcW w:w="4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Repayments of long-term debt . . . . . . . . . . .</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(12,326)</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(9,871)</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Change in other long-term liabilities. . . . . . .</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1,973</w:t>
            </w:r>
          </w:p>
        </w:tc>
        <w:tc>
          <w:tcPr>
            <w:tcW w:w="4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Proceeds from sale of common stock . . . . . . . .</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3,586</w:t>
            </w:r>
          </w:p>
        </w:tc>
        <w:tc>
          <w:tcPr>
            <w:tcW w:w="4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4,203</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Purchases of common stock. . . . . . . . . . . . .</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(891)</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(1,090)</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Dividends on common stock. . . . . . . . . . . . .</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(1,459)</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(1,508)</w:t>
            </w:r>
          </w:p>
        </w:tc>
      </w:tr>
      <w:tr>
        <w:trPr>
          <w:trHeight w:val="194"/>
        </w:trPr>
        <w:tc>
          <w:tcPr>
            <w:tcW w:w="68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57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Net cash provided by (used in) financing</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activities. . . . . . . . . . . . . . . .</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7,592</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(8,266)</w:t>
            </w:r>
          </w:p>
        </w:tc>
      </w:tr>
      <w:tr>
        <w:trPr>
          <w:trHeight w:val="194"/>
        </w:trPr>
        <w:tc>
          <w:tcPr>
            <w:tcW w:w="68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Foreign currency translation adjustment . . . . . .</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188</w:t>
            </w:r>
          </w:p>
        </w:tc>
        <w:tc>
          <w:tcPr>
            <w:tcW w:w="400" w:type="dxa"/>
            <w:vAlign w:val="bottom"/>
          </w:tcPr>
          <w:p>
            <w:pPr>
              <w:spacing w:after="0"/>
              <w:rPr>
                <w:sz w:val="24"/>
                <w:szCs w:val="24"/>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171</w:t>
            </w:r>
          </w:p>
        </w:tc>
      </w:tr>
      <w:tr>
        <w:trPr>
          <w:trHeight w:val="194"/>
        </w:trPr>
        <w:tc>
          <w:tcPr>
            <w:tcW w:w="68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Net decrease in cash and cash equivalents . . . . .</w:t>
            </w:r>
          </w:p>
        </w:tc>
        <w:tc>
          <w:tcPr>
            <w:tcW w:w="11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(4,222)</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(23,829)</w:t>
            </w:r>
          </w:p>
        </w:tc>
      </w:tr>
      <w:tr>
        <w:trPr>
          <w:trHeight w:val="194"/>
        </w:trPr>
        <w:tc>
          <w:tcPr>
            <w:tcW w:w="57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Cash and cash equivalents at beginning of period. .</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11,924</w:t>
            </w:r>
          </w:p>
        </w:tc>
        <w:tc>
          <w:tcPr>
            <w:tcW w:w="4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36,231</w:t>
            </w:r>
          </w:p>
        </w:tc>
      </w:tr>
      <w:tr>
        <w:trPr>
          <w:trHeight w:val="194"/>
        </w:trPr>
        <w:tc>
          <w:tcPr>
            <w:tcW w:w="68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5760" w:type="dxa"/>
            <w:vAlign w:val="bottom"/>
          </w:tcPr>
          <w:p>
            <w:pPr>
              <w:ind w:left="300"/>
              <w:spacing w:after="0"/>
              <w:rPr>
                <w:sz w:val="20"/>
                <w:szCs w:val="20"/>
                <w:color w:val="auto"/>
              </w:rPr>
            </w:pPr>
            <w:r>
              <w:rPr>
                <w:rFonts w:ascii="Courier New" w:cs="Courier New" w:eastAsia="Courier New" w:hAnsi="Courier New"/>
                <w:sz w:val="17"/>
                <w:szCs w:val="17"/>
                <w:color w:val="auto"/>
              </w:rPr>
              <w:t>Cash and cash equivalents at end of period. . . . .$</w:t>
            </w:r>
          </w:p>
        </w:tc>
        <w:tc>
          <w:tcPr>
            <w:tcW w:w="11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7,702</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12,402</w:t>
            </w:r>
          </w:p>
        </w:tc>
      </w:tr>
      <w:tr>
        <w:trPr>
          <w:trHeight w:val="194"/>
        </w:trPr>
        <w:tc>
          <w:tcPr>
            <w:tcW w:w="68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88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38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97" w:right="1440" w:bottom="1440" w:gutter="0" w:footer="0" w:header="0"/>
        </w:sectPr>
      </w:pPr>
    </w:p>
    <w:bookmarkStart w:id="5" w:name="page6"/>
    <w:bookmarkEnd w:id="5"/>
    <w:p>
      <w:pPr>
        <w:jc w:val="center"/>
        <w:ind w:right="2119"/>
        <w:spacing w:after="0" w:line="241" w:lineRule="auto"/>
        <w:rPr>
          <w:sz w:val="20"/>
          <w:szCs w:val="20"/>
          <w:color w:val="auto"/>
        </w:rPr>
      </w:pPr>
      <w:r>
        <w:rPr>
          <w:rFonts w:ascii="Courier New" w:cs="Courier New" w:eastAsia="Courier New" w:hAnsi="Courier New"/>
          <w:sz w:val="17"/>
          <w:szCs w:val="17"/>
          <w:color w:val="auto"/>
        </w:rPr>
        <w:t>THE TORO COMPANY AND SUBSIDIARIES NOTES TO CONDENSED CONSOLIDATED FINANCIAL STATEMENTS (UNAUDITED) OCTOBER 31, 1995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BASIS OF PRESENTATION</w:t>
      </w:r>
    </w:p>
    <w:p>
      <w:pPr>
        <w:spacing w:after="0" w:line="199" w:lineRule="exact"/>
        <w:rPr>
          <w:sz w:val="20"/>
          <w:szCs w:val="20"/>
          <w:color w:val="auto"/>
        </w:rPr>
      </w:pPr>
    </w:p>
    <w:p>
      <w:pPr>
        <w:ind w:right="2219"/>
        <w:spacing w:after="0" w:line="258" w:lineRule="auto"/>
        <w:rPr>
          <w:sz w:val="20"/>
          <w:szCs w:val="20"/>
          <w:color w:val="auto"/>
        </w:rPr>
      </w:pPr>
      <w:r>
        <w:rPr>
          <w:rFonts w:ascii="Courier New" w:cs="Courier New" w:eastAsia="Courier New" w:hAnsi="Courier New"/>
          <w:sz w:val="16"/>
          <w:szCs w:val="16"/>
          <w:color w:val="auto"/>
        </w:rPr>
        <w:t>The accompanying consolidated financial statements for the three month transition period ended October 31, 1995 have been prepared by the company without audit, pursuant to the rules and regulations of the Securities and Exchange Commission. In the opinion of the company, these consolidated financial statements contain all adjustments (consisting of only normal recurring adjustments) necessary to present fairly the consolidated financial position of the company as of October 31, 1995, and the consolidated results of the company's operations and their cash flows for the three month transition period ended October 31, 1995. The company's business is seasonal. Operating results for the three month period ended October 31, 1995 are not necessarily indicative of the results that may be expected for a full fiscal year.</w:t>
      </w:r>
    </w:p>
    <w:p>
      <w:pPr>
        <w:spacing w:after="0" w:line="190" w:lineRule="exact"/>
        <w:rPr>
          <w:sz w:val="20"/>
          <w:szCs w:val="20"/>
          <w:color w:val="auto"/>
        </w:rPr>
      </w:pPr>
    </w:p>
    <w:p>
      <w:pPr>
        <w:ind w:right="2119"/>
        <w:spacing w:after="0" w:line="259" w:lineRule="auto"/>
        <w:rPr>
          <w:sz w:val="20"/>
          <w:szCs w:val="20"/>
          <w:color w:val="auto"/>
        </w:rPr>
      </w:pPr>
      <w:r>
        <w:rPr>
          <w:rFonts w:ascii="Courier New" w:cs="Courier New" w:eastAsia="Courier New" w:hAnsi="Courier New"/>
          <w:sz w:val="16"/>
          <w:szCs w:val="16"/>
          <w:color w:val="auto"/>
        </w:rPr>
        <w:t>The accompanying consolidated financial statements and notes should be read in conjunction with the company's annual financial statements filed with the Annual Report on Form 10-K. The three months ended October 31, 1995 comprise the three month ("transition period") resulting from a recent change in the company's year end from July 31 to October 31. On November 1, 1995 the company started a new fiscal year and will begin reporting quarterly and annually on that basis.</w:t>
      </w:r>
    </w:p>
    <w:p>
      <w:pPr>
        <w:spacing w:after="0" w:line="188" w:lineRule="exact"/>
        <w:rPr>
          <w:sz w:val="20"/>
          <w:szCs w:val="20"/>
          <w:color w:val="auto"/>
        </w:rPr>
      </w:pPr>
    </w:p>
    <w:p>
      <w:pPr>
        <w:ind w:right="2439"/>
        <w:spacing w:after="0" w:line="239" w:lineRule="auto"/>
        <w:rPr>
          <w:sz w:val="20"/>
          <w:szCs w:val="20"/>
          <w:color w:val="auto"/>
        </w:rPr>
      </w:pPr>
      <w:r>
        <w:rPr>
          <w:rFonts w:ascii="Courier New" w:cs="Courier New" w:eastAsia="Courier New" w:hAnsi="Courier New"/>
          <w:sz w:val="17"/>
          <w:szCs w:val="17"/>
          <w:color w:val="auto"/>
        </w:rPr>
        <w:t>Certain prior year amounts have been reclassified to conform with the current year presentation.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INVENTORIES</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The majority of all inventories are valued at the lower of cost or net realizable value with cost determined by the last-in, first-out (LIFO) method. Had the first-in, first-out (FIFO) method of cost determination been used, inventories would have been $24,841,000 and $19,204,000 higher than reported at October 31, 1995, and 1994, respectively. Under the FIFO method, work-in-process inventories were $86,285,000 and $71,958,000 and finished goods inventories were $84,418,000 and $80,100,000 at October 31, 1995, and 1994, respectively.</w:t>
      </w:r>
    </w:p>
    <w:p>
      <w:pPr>
        <w:spacing w:after="0" w:line="200" w:lineRule="exact"/>
        <w:rPr>
          <w:sz w:val="20"/>
          <w:szCs w:val="20"/>
          <w:color w:val="auto"/>
        </w:rPr>
      </w:pPr>
    </w:p>
    <w:p>
      <w:pPr>
        <w:spacing w:after="0" w:line="39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894" w:right="1440" w:bottom="1440" w:gutter="0" w:footer="0" w:header="0"/>
        </w:sectPr>
      </w:pPr>
    </w:p>
    <w:bookmarkStart w:id="6" w:name="page7"/>
    <w:bookmarkEnd w:id="6"/>
    <w:p>
      <w:pPr>
        <w:jc w:val="center"/>
        <w:ind w:right="2019"/>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AND RESULTS OF OPERATIONS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sets forth sales by product line.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w:t>
            </w: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Ended</w:t>
            </w:r>
          </w:p>
        </w:tc>
        <w:tc>
          <w:tcPr>
            <w:tcW w:w="1020" w:type="dxa"/>
            <w:vAlign w:val="bottom"/>
          </w:tcPr>
          <w:p>
            <w:pPr>
              <w:spacing w:after="0"/>
              <w:rPr>
                <w:sz w:val="16"/>
                <w:szCs w:val="16"/>
                <w:color w:val="auto"/>
              </w:rPr>
            </w:pPr>
          </w:p>
        </w:tc>
      </w:tr>
      <w:tr>
        <w:trPr>
          <w:trHeight w:val="194"/>
        </w:trPr>
        <w:tc>
          <w:tcPr>
            <w:tcW w:w="8600" w:type="dxa"/>
            <w:vAlign w:val="bottom"/>
            <w:gridSpan w:val="6"/>
          </w:tcPr>
          <w:p>
            <w:pPr>
              <w:ind w:left="384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50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OCTOBER 31,</w:t>
            </w: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October 28,</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4140" w:type="dxa"/>
            <w:vAlign w:val="bottom"/>
          </w:tcPr>
          <w:p>
            <w:pPr>
              <w:spacing w:after="0"/>
              <w:rPr>
                <w:sz w:val="16"/>
                <w:szCs w:val="16"/>
                <w:color w:val="auto"/>
              </w:rPr>
            </w:pPr>
          </w:p>
        </w:tc>
        <w:tc>
          <w:tcPr>
            <w:tcW w:w="920" w:type="dxa"/>
            <w:vAlign w:val="bottom"/>
          </w:tcPr>
          <w:p>
            <w:pPr>
              <w:jc w:val="right"/>
              <w:ind w:right="416"/>
              <w:spacing w:after="0"/>
              <w:rPr>
                <w:sz w:val="20"/>
                <w:szCs w:val="20"/>
                <w:color w:val="auto"/>
              </w:rPr>
            </w:pPr>
            <w:r>
              <w:rPr>
                <w:rFonts w:ascii="Courier New" w:cs="Courier New" w:eastAsia="Courier New" w:hAnsi="Courier New"/>
                <w:sz w:val="17"/>
                <w:szCs w:val="17"/>
                <w:color w:val="auto"/>
                <w:w w:val="97"/>
              </w:rPr>
              <w:t>1995</w:t>
            </w:r>
          </w:p>
        </w:tc>
        <w:tc>
          <w:tcPr>
            <w:tcW w:w="13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1994</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Change</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Change</w:t>
            </w:r>
          </w:p>
        </w:tc>
      </w:tr>
      <w:tr>
        <w:trPr>
          <w:trHeight w:val="194"/>
        </w:trPr>
        <w:tc>
          <w:tcPr>
            <w:tcW w:w="5060" w:type="dxa"/>
            <w:vAlign w:val="bottom"/>
            <w:gridSpan w:val="2"/>
          </w:tcPr>
          <w:p>
            <w:pPr>
              <w:ind w:left="3840"/>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4140" w:type="dxa"/>
            <w:vAlign w:val="bottom"/>
          </w:tcPr>
          <w:p>
            <w:pPr>
              <w:spacing w:after="0"/>
              <w:rPr>
                <w:sz w:val="20"/>
                <w:szCs w:val="20"/>
                <w:color w:val="auto"/>
              </w:rPr>
            </w:pPr>
            <w:r>
              <w:rPr>
                <w:rFonts w:ascii="Courier New" w:cs="Courier New" w:eastAsia="Courier New" w:hAnsi="Courier New"/>
                <w:sz w:val="17"/>
                <w:szCs w:val="17"/>
                <w:color w:val="auto"/>
              </w:rPr>
              <w:t>Consumer products. . . . . . . . . . . $</w:t>
            </w: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105,932</w:t>
            </w: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$ 126,756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(20,824)</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(16.4)%</w:t>
            </w:r>
          </w:p>
        </w:tc>
      </w:tr>
      <w:tr>
        <w:trPr>
          <w:trHeight w:val="194"/>
        </w:trPr>
        <w:tc>
          <w:tcPr>
            <w:tcW w:w="4140" w:type="dxa"/>
            <w:vAlign w:val="bottom"/>
          </w:tcPr>
          <w:p>
            <w:pPr>
              <w:spacing w:after="0"/>
              <w:rPr>
                <w:sz w:val="20"/>
                <w:szCs w:val="20"/>
                <w:color w:val="auto"/>
              </w:rPr>
            </w:pPr>
            <w:r>
              <w:rPr>
                <w:rFonts w:ascii="Courier New" w:cs="Courier New" w:eastAsia="Courier New" w:hAnsi="Courier New"/>
                <w:sz w:val="17"/>
                <w:szCs w:val="17"/>
                <w:color w:val="auto"/>
              </w:rPr>
              <w:t>Commercial products. . . . . . . . . .</w:t>
            </w: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54,125</w:t>
            </w: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48,656</w:t>
            </w:r>
          </w:p>
        </w:tc>
        <w:tc>
          <w:tcPr>
            <w:tcW w:w="24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5,469</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11.2</w:t>
            </w:r>
          </w:p>
        </w:tc>
      </w:tr>
      <w:tr>
        <w:trPr>
          <w:trHeight w:val="194"/>
        </w:trPr>
        <w:tc>
          <w:tcPr>
            <w:tcW w:w="4140" w:type="dxa"/>
            <w:vAlign w:val="bottom"/>
          </w:tcPr>
          <w:p>
            <w:pPr>
              <w:spacing w:after="0"/>
              <w:rPr>
                <w:sz w:val="20"/>
                <w:szCs w:val="20"/>
                <w:color w:val="auto"/>
              </w:rPr>
            </w:pPr>
            <w:r>
              <w:rPr>
                <w:rFonts w:ascii="Courier New" w:cs="Courier New" w:eastAsia="Courier New" w:hAnsi="Courier New"/>
                <w:sz w:val="17"/>
                <w:szCs w:val="17"/>
                <w:color w:val="auto"/>
              </w:rPr>
              <w:t>Irrigation products. . . . . . . . . .</w:t>
            </w: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32,221</w:t>
            </w: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30,292</w:t>
            </w:r>
          </w:p>
        </w:tc>
        <w:tc>
          <w:tcPr>
            <w:tcW w:w="24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1,929</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6.4</w:t>
            </w:r>
          </w:p>
        </w:tc>
      </w:tr>
      <w:tr>
        <w:trPr>
          <w:trHeight w:val="194"/>
        </w:trPr>
        <w:tc>
          <w:tcPr>
            <w:tcW w:w="50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spacing w:after="0"/>
              <w:rPr>
                <w:sz w:val="16"/>
                <w:szCs w:val="16"/>
                <w:color w:val="auto"/>
              </w:rPr>
            </w:pPr>
          </w:p>
        </w:tc>
      </w:tr>
      <w:tr>
        <w:trPr>
          <w:trHeight w:val="194"/>
        </w:trPr>
        <w:tc>
          <w:tcPr>
            <w:tcW w:w="4140" w:type="dxa"/>
            <w:vAlign w:val="bottom"/>
          </w:tcPr>
          <w:p>
            <w:pPr>
              <w:ind w:left="200"/>
              <w:spacing w:after="0"/>
              <w:rPr>
                <w:sz w:val="20"/>
                <w:szCs w:val="20"/>
                <w:color w:val="auto"/>
              </w:rPr>
            </w:pPr>
            <w:r>
              <w:rPr>
                <w:rFonts w:ascii="Courier New" w:cs="Courier New" w:eastAsia="Courier New" w:hAnsi="Courier New"/>
                <w:sz w:val="17"/>
                <w:szCs w:val="17"/>
                <w:color w:val="auto"/>
              </w:rPr>
              <w:t>Total *. . . . . . . . . . . . . . . $</w:t>
            </w: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192,278</w:t>
            </w: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$ 205,704</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(13,426)</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(6.5)</w:t>
            </w:r>
          </w:p>
        </w:tc>
      </w:tr>
      <w:tr>
        <w:trPr>
          <w:trHeight w:val="194"/>
        </w:trPr>
        <w:tc>
          <w:tcPr>
            <w:tcW w:w="50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spacing w:after="0"/>
              <w:rPr>
                <w:sz w:val="16"/>
                <w:szCs w:val="16"/>
                <w:color w:val="auto"/>
              </w:rPr>
            </w:pPr>
          </w:p>
        </w:tc>
      </w:tr>
      <w:tr>
        <w:trPr>
          <w:trHeight w:val="194"/>
        </w:trPr>
        <w:tc>
          <w:tcPr>
            <w:tcW w:w="50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spacing w:after="0"/>
              <w:rPr>
                <w:sz w:val="16"/>
                <w:szCs w:val="16"/>
                <w:color w:val="auto"/>
              </w:rPr>
            </w:pPr>
          </w:p>
        </w:tc>
      </w:tr>
      <w:tr>
        <w:trPr>
          <w:trHeight w:val="389"/>
        </w:trPr>
        <w:tc>
          <w:tcPr>
            <w:tcW w:w="4140" w:type="dxa"/>
            <w:vAlign w:val="bottom"/>
          </w:tcPr>
          <w:p>
            <w:pPr>
              <w:spacing w:after="0"/>
              <w:rPr>
                <w:sz w:val="20"/>
                <w:szCs w:val="20"/>
                <w:color w:val="auto"/>
              </w:rPr>
            </w:pPr>
            <w:r>
              <w:rPr>
                <w:rFonts w:ascii="Courier New" w:cs="Courier New" w:eastAsia="Courier New" w:hAnsi="Courier New"/>
                <w:sz w:val="17"/>
                <w:szCs w:val="17"/>
                <w:color w:val="auto"/>
              </w:rPr>
              <w:t>* Includes international sales of. . . $</w:t>
            </w: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20,935</w:t>
            </w: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23,740</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(2,805)</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(11.8)%</w:t>
            </w:r>
          </w:p>
        </w:tc>
      </w:tr>
    </w:tbl>
    <w:p>
      <w:pPr>
        <w:spacing w:after="0" w:line="393"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Worldwide net sales for the three months ended October 31, 1995, of $192.3 million decreased by $13.4 million from the prior year primarily as a result of decreased sales of snow removal equipment. Sales of snow removal equipment for the quarter ended October 31, 1994 were extraordinary because of the exceptional sales in the prior year. The decline in the quarter was offset partially by an increase in commercial and irrigation product sales. The increase in commercial product sales was the result of new product introductions, golf course openings, increased sales of equipment to landscape contractors and increased sales in the municipal markets. Irrigation sales increased because of new product introductions and increased demand for do-it-yourself products. International sales included in the table above declined from the prior year because of a temporary business interruption in the irrigation product line as a result of distribution changes as well as decreased sales of snow removal equipment.</w:t>
      </w:r>
    </w:p>
    <w:p>
      <w:pPr>
        <w:spacing w:after="0" w:line="18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Gross profit of $71.7 million decreased $4.4 million from the prior year because of the decline in sales. As a percent of sales, gross profit for the period ended October 31, 1995 was 37.3% compared with 37.0% for the period ended October 28, 1994 because of increased sales of commercial and irrigation products which was offset by reduced sales of snow removal equipment.</w:t>
      </w:r>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7"/>
          <w:szCs w:val="17"/>
          <w:color w:val="auto"/>
        </w:rPr>
        <w:t>Selling General and Administrative Expense</w:t>
      </w:r>
    </w:p>
    <w:p>
      <w:pPr>
        <w:spacing w:after="0" w:line="4"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w:t>
      </w:r>
    </w:p>
    <w:p>
      <w:pPr>
        <w:spacing w:after="0" w:line="13" w:lineRule="exact"/>
        <w:rPr>
          <w:sz w:val="20"/>
          <w:szCs w:val="20"/>
          <w:color w:val="auto"/>
        </w:rPr>
      </w:pPr>
    </w:p>
    <w:p>
      <w:pPr>
        <w:ind w:left="1820" w:right="1419" w:firstLine="2831"/>
        <w:spacing w:after="0" w:line="239" w:lineRule="auto"/>
        <w:rPr>
          <w:sz w:val="20"/>
          <w:szCs w:val="20"/>
          <w:color w:val="auto"/>
        </w:rPr>
      </w:pPr>
      <w:r>
        <w:rPr>
          <w:rFonts w:ascii="Courier New" w:cs="Courier New" w:eastAsia="Courier New" w:hAnsi="Courier New"/>
          <w:sz w:val="17"/>
          <w:szCs w:val="17"/>
          <w:color w:val="auto"/>
        </w:rPr>
        <w:t>OCT 31, % OF NET Oct 28, % of Net S G &amp; A 1995 SALES 1994 Sales</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tbl>
      <w:tblPr>
        <w:tblLayout w:type="fixed"/>
        <w:tblInd w:w="1520" w:type="dxa"/>
        <w:tblCellMar>
          <w:top w:w="0" w:type="dxa"/>
          <w:left w:w="0" w:type="dxa"/>
          <w:bottom w:w="0" w:type="dxa"/>
          <w:right w:w="0" w:type="dxa"/>
        </w:tblCellMar>
      </w:tblPr>
      <w:tr>
        <w:trPr>
          <w:trHeight w:val="193"/>
        </w:trPr>
        <w:tc>
          <w:tcPr>
            <w:tcW w:w="2680" w:type="dxa"/>
            <w:vAlign w:val="bottom"/>
          </w:tcPr>
          <w:p>
            <w:pPr>
              <w:spacing w:after="0"/>
              <w:rPr>
                <w:sz w:val="20"/>
                <w:szCs w:val="20"/>
                <w:color w:val="auto"/>
              </w:rPr>
            </w:pPr>
            <w:r>
              <w:rPr>
                <w:rFonts w:ascii="Courier New" w:cs="Courier New" w:eastAsia="Courier New" w:hAnsi="Courier New"/>
                <w:sz w:val="17"/>
                <w:szCs w:val="17"/>
                <w:color w:val="auto"/>
              </w:rPr>
              <w:t>Administrative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24.0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12.5</w:t>
            </w:r>
          </w:p>
        </w:tc>
        <w:tc>
          <w:tcPr>
            <w:tcW w:w="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20.8</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10.1%</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Sales and Marketing</w:t>
            </w:r>
          </w:p>
        </w:tc>
        <w:tc>
          <w:tcPr>
            <w:tcW w:w="40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20.6</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10.7</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23.8</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11.6</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Warranty</w:t>
            </w:r>
          </w:p>
        </w:tc>
        <w:tc>
          <w:tcPr>
            <w:tcW w:w="40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6.6</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5.7</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Distributor/Dealer</w:t>
            </w:r>
          </w:p>
        </w:tc>
        <w:tc>
          <w:tcPr>
            <w:tcW w:w="40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2.0</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Financing</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Research and Development</w:t>
            </w:r>
          </w:p>
        </w:tc>
        <w:tc>
          <w:tcPr>
            <w:tcW w:w="40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6.9</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6.0</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2.9</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Warehousing</w:t>
            </w:r>
          </w:p>
        </w:tc>
        <w:tc>
          <w:tcPr>
            <w:tcW w:w="40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3.2</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1.7</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2.9</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w:t>
            </w:r>
          </w:p>
        </w:tc>
      </w:tr>
      <w:tr>
        <w:trPr>
          <w:trHeight w:val="194"/>
        </w:trPr>
        <w:tc>
          <w:tcPr>
            <w:tcW w:w="2680" w:type="dxa"/>
            <w:vAlign w:val="bottom"/>
          </w:tcPr>
          <w:p>
            <w:pPr>
              <w:spacing w:after="0"/>
              <w:rPr>
                <w:sz w:val="20"/>
                <w:szCs w:val="20"/>
                <w:color w:val="auto"/>
              </w:rPr>
            </w:pPr>
            <w:r>
              <w:rPr>
                <w:rFonts w:ascii="Courier New" w:cs="Courier New" w:eastAsia="Courier New" w:hAnsi="Courier New"/>
                <w:sz w:val="17"/>
                <w:szCs w:val="17"/>
                <w:color w:val="auto"/>
              </w:rPr>
              <w:t>Service/Quality</w:t>
            </w:r>
          </w:p>
        </w:tc>
        <w:tc>
          <w:tcPr>
            <w:tcW w:w="40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0.8</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1.5</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0.7</w:t>
            </w:r>
          </w:p>
        </w:tc>
      </w:tr>
      <w:tr>
        <w:trPr>
          <w:trHeight w:val="194"/>
        </w:trPr>
        <w:tc>
          <w:tcPr>
            <w:tcW w:w="2680" w:type="dxa"/>
            <w:vAlign w:val="bottom"/>
          </w:tcPr>
          <w:p>
            <w:pPr>
              <w:jc w:val="right"/>
              <w:ind w:right="1576"/>
              <w:spacing w:after="0"/>
              <w:rPr>
                <w:sz w:val="20"/>
                <w:szCs w:val="20"/>
                <w:color w:val="auto"/>
              </w:rPr>
            </w:pPr>
            <w:r>
              <w:rPr>
                <w:rFonts w:ascii="Courier New" w:cs="Courier New" w:eastAsia="Courier New" w:hAnsi="Courier New"/>
                <w:sz w:val="17"/>
                <w:szCs w:val="17"/>
                <w:color w:val="auto"/>
              </w:rPr>
              <w:t>Assurance</w:t>
            </w:r>
          </w:p>
        </w:tc>
        <w:tc>
          <w:tcPr>
            <w:tcW w:w="400" w:type="dxa"/>
            <w:vAlign w:val="bottom"/>
          </w:tcPr>
          <w:p>
            <w:pPr>
              <w:spacing w:after="0"/>
              <w:rPr>
                <w:sz w:val="16"/>
                <w:szCs w:val="16"/>
                <w:color w:val="auto"/>
              </w:rPr>
            </w:pP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6"/>
                <w:szCs w:val="16"/>
                <w:color w:val="auto"/>
              </w:rPr>
            </w:pPr>
          </w:p>
        </w:tc>
        <w:tc>
          <w:tcPr>
            <w:tcW w:w="8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2680" w:type="dxa"/>
            <w:vAlign w:val="bottom"/>
          </w:tcPr>
          <w:p>
            <w:pPr>
              <w:jc w:val="right"/>
              <w:ind w:right="1576"/>
              <w:spacing w:after="0"/>
              <w:rPr>
                <w:sz w:val="20"/>
                <w:szCs w:val="20"/>
                <w:color w:val="auto"/>
              </w:rPr>
            </w:pPr>
            <w:r>
              <w:rPr>
                <w:rFonts w:ascii="Courier New" w:cs="Courier New" w:eastAsia="Courier New" w:hAnsi="Courier New"/>
                <w:sz w:val="17"/>
                <w:szCs w:val="17"/>
                <w:color w:val="auto"/>
              </w:rPr>
              <w:t>Total</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65.0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33.8</w:t>
            </w:r>
          </w:p>
        </w:tc>
        <w:tc>
          <w:tcPr>
            <w:tcW w:w="4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62.7</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30.5%</w:t>
            </w:r>
          </w:p>
        </w:tc>
      </w:tr>
    </w:tbl>
    <w:p>
      <w:pPr>
        <w:spacing w:after="0" w:line="393"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Selling, General and Administrative Expense (S G &amp; A) increased $2.3 million from the prior year and as a percent of sales increased to 33.8%. Administrative expense increased from the prior year as the company continues its implementation of a company-wide information system as well as an overall increase in spending. Warranty increased from the prior year as a result of a change in the sales mix of products. Research and development expenditures are above the prior year reflecting the company's continued commitment to product innovation. These increases were offset partially by a decrease in sales and marketing expense primarily because of reduced sales.</w:t>
      </w:r>
    </w:p>
    <w:p>
      <w:pPr>
        <w:spacing w:after="0" w:line="20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7" w:right="1440" w:bottom="411"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9" w:lineRule="exact"/>
        <w:rPr>
          <w:sz w:val="20"/>
          <w:szCs w:val="20"/>
          <w:color w:val="auto"/>
        </w:rPr>
      </w:pPr>
    </w:p>
    <w:p>
      <w:pPr>
        <w:ind w:right="2119"/>
        <w:spacing w:after="0" w:line="259" w:lineRule="auto"/>
        <w:rPr>
          <w:sz w:val="20"/>
          <w:szCs w:val="20"/>
          <w:color w:val="auto"/>
        </w:rPr>
      </w:pPr>
      <w:r>
        <w:rPr>
          <w:rFonts w:ascii="Courier New" w:cs="Courier New" w:eastAsia="Courier New" w:hAnsi="Courier New"/>
          <w:sz w:val="16"/>
          <w:szCs w:val="16"/>
          <w:color w:val="auto"/>
        </w:rPr>
        <w:t>The company's business is seasonal. Historically, accounts receivable balances increase throughout the winter months as a result of extended payment terms made available to the company's customers and decrease in late spring when payments become due. The company's peak borrowing usually occurs in late winter/early spring. The seasonal working capital requirements of the business are financed primarily with short-term debt. Management believes that the combination of funds available through its existing financing options, coupled with forecasted cash flows, will provide the capital resources for its anticipated needs.</w:t>
      </w:r>
    </w:p>
    <w:p>
      <w:pPr>
        <w:spacing w:after="0" w:line="185"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Total assets as of October 31, 1995 were $472.7 million, up $21.1 million from October 28, 1994. The primary increases occurred in inventory and property, plant and equipment. Inventory increased from the prior year because of an extended manufacturing cycle and seasonal preparation for production of commercial and irrigation products. Property, plant and equipment increased compared with the prior year because of spending on a variety of projects such as increased tooling and an addition to the Windom, Minnesota manufacturing facility.</w:t>
      </w:r>
    </w:p>
    <w:p>
      <w:pPr>
        <w:spacing w:after="0" w:line="203"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Short-term borrowing is $41.6 million at October 31, 1995, reflecting the company's cash management strategy of utilizing short-term borrowing as a means of reducing long-term debt instruments with higher interest rates as well as funding for the company's working capital needs.</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Equity increased $12.1 million compared with the prior year. Retained earnings increased because of earnings growth. This was offset by a decrease in additional paid in capital because of the purchase of the company's stock. The company acquired $26.2 million in Toro stock in 1995 to take advantage of market conditions. The stock will be used for a variety of company purposes.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STRUCTURE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1620" w:type="dxa"/>
            <w:vAlign w:val="bottom"/>
          </w:tcPr>
          <w:p>
            <w:pPr>
              <w:jc w:val="center"/>
              <w:ind w:left="636"/>
              <w:spacing w:after="0"/>
              <w:rPr>
                <w:sz w:val="20"/>
                <w:szCs w:val="20"/>
                <w:color w:val="auto"/>
              </w:rPr>
            </w:pPr>
            <w:r>
              <w:rPr>
                <w:rFonts w:ascii="Courier New" w:cs="Courier New" w:eastAsia="Courier New" w:hAnsi="Courier New"/>
                <w:sz w:val="17"/>
                <w:szCs w:val="17"/>
                <w:color w:val="auto"/>
                <w:w w:val="97"/>
              </w:rPr>
              <w:t>[GRAPH]</w:t>
            </w:r>
          </w:p>
        </w:tc>
        <w:tc>
          <w:tcPr>
            <w:tcW w:w="1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20" w:type="dxa"/>
            <w:vAlign w:val="bottom"/>
          </w:tcPr>
          <w:p>
            <w:pPr>
              <w:jc w:val="center"/>
              <w:ind w:right="836"/>
              <w:spacing w:after="0"/>
              <w:rPr>
                <w:sz w:val="20"/>
                <w:szCs w:val="20"/>
                <w:color w:val="auto"/>
              </w:rPr>
            </w:pPr>
            <w:r>
              <w:rPr>
                <w:rFonts w:ascii="Courier New" w:cs="Courier New" w:eastAsia="Courier New" w:hAnsi="Courier New"/>
                <w:sz w:val="17"/>
                <w:szCs w:val="17"/>
                <w:color w:val="auto"/>
                <w:w w:val="97"/>
              </w:rPr>
              <w:t>[GRAPH]</w:t>
            </w:r>
          </w:p>
        </w:tc>
      </w:tr>
      <w:tr>
        <w:trPr>
          <w:trHeight w:val="194"/>
        </w:trPr>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TOTAL DEBT</w:t>
            </w:r>
          </w:p>
        </w:tc>
        <w:tc>
          <w:tcPr>
            <w:tcW w:w="1480" w:type="dxa"/>
            <w:vAlign w:val="bottom"/>
          </w:tcPr>
          <w:p>
            <w:pPr>
              <w:spacing w:after="0"/>
              <w:rPr>
                <w:sz w:val="16"/>
                <w:szCs w:val="16"/>
                <w:color w:val="auto"/>
              </w:rPr>
            </w:pPr>
          </w:p>
        </w:tc>
        <w:tc>
          <w:tcPr>
            <w:tcW w:w="3280" w:type="dxa"/>
            <w:vAlign w:val="bottom"/>
            <w:gridSpan w:val="2"/>
          </w:tcPr>
          <w:p>
            <w:pPr>
              <w:jc w:val="center"/>
              <w:ind w:left="456"/>
              <w:spacing w:after="0"/>
              <w:rPr>
                <w:sz w:val="20"/>
                <w:szCs w:val="20"/>
                <w:color w:val="auto"/>
              </w:rPr>
            </w:pPr>
            <w:r>
              <w:rPr>
                <w:rFonts w:ascii="Courier New" w:cs="Courier New" w:eastAsia="Courier New" w:hAnsi="Courier New"/>
                <w:sz w:val="17"/>
                <w:szCs w:val="17"/>
                <w:color w:val="auto"/>
                <w:w w:val="99"/>
              </w:rPr>
              <w:t>TOTAL DEBT TO TOTAL CAPITAL</w:t>
            </w:r>
          </w:p>
        </w:tc>
      </w:tr>
      <w:tr>
        <w:trPr>
          <w:trHeight w:val="194"/>
        </w:trPr>
        <w:tc>
          <w:tcPr>
            <w:tcW w:w="3100" w:type="dxa"/>
            <w:vAlign w:val="bottom"/>
            <w:gridSpan w:val="2"/>
          </w:tcPr>
          <w:p>
            <w:pPr>
              <w:jc w:val="center"/>
              <w:ind w:right="676"/>
              <w:spacing w:after="0"/>
              <w:rPr>
                <w:sz w:val="20"/>
                <w:szCs w:val="20"/>
                <w:color w:val="auto"/>
              </w:rPr>
            </w:pPr>
            <w:r>
              <w:rPr>
                <w:rFonts w:ascii="Courier New" w:cs="Courier New" w:eastAsia="Courier New" w:hAnsi="Courier New"/>
                <w:sz w:val="17"/>
                <w:szCs w:val="17"/>
                <w:color w:val="auto"/>
                <w:w w:val="98"/>
              </w:rPr>
              <w:t>(IN MILLIONS)</w:t>
            </w:r>
          </w:p>
        </w:tc>
        <w:tc>
          <w:tcPr>
            <w:tcW w:w="1460" w:type="dxa"/>
            <w:vAlign w:val="bottom"/>
          </w:tcPr>
          <w:p>
            <w:pPr>
              <w:spacing w:after="0"/>
              <w:rPr>
                <w:sz w:val="16"/>
                <w:szCs w:val="16"/>
                <w:color w:val="auto"/>
              </w:rPr>
            </w:pPr>
          </w:p>
        </w:tc>
        <w:tc>
          <w:tcPr>
            <w:tcW w:w="1820" w:type="dxa"/>
            <w:vAlign w:val="bottom"/>
          </w:tcPr>
          <w:p>
            <w:pPr>
              <w:jc w:val="center"/>
              <w:ind w:right="836"/>
              <w:spacing w:after="0"/>
              <w:rPr>
                <w:sz w:val="20"/>
                <w:szCs w:val="20"/>
                <w:color w:val="auto"/>
              </w:rPr>
            </w:pPr>
            <w:r>
              <w:rPr>
                <w:rFonts w:ascii="Courier New" w:cs="Courier New" w:eastAsia="Courier New" w:hAnsi="Courier New"/>
                <w:sz w:val="17"/>
                <w:szCs w:val="17"/>
                <w:color w:val="auto"/>
                <w:w w:val="97"/>
              </w:rPr>
              <w:t>(PERCENT)</w:t>
            </w:r>
          </w:p>
        </w:tc>
      </w:tr>
      <w:tr>
        <w:trPr>
          <w:trHeight w:val="389"/>
        </w:trPr>
        <w:tc>
          <w:tcPr>
            <w:tcW w:w="1620" w:type="dxa"/>
            <w:vAlign w:val="bottom"/>
          </w:tcPr>
          <w:p>
            <w:pPr>
              <w:jc w:val="right"/>
              <w:ind w:right="616"/>
              <w:spacing w:after="0"/>
              <w:rPr>
                <w:sz w:val="20"/>
                <w:szCs w:val="20"/>
                <w:color w:val="auto"/>
              </w:rPr>
            </w:pPr>
            <w:r>
              <w:rPr>
                <w:rFonts w:ascii="Courier New" w:cs="Courier New" w:eastAsia="Courier New" w:hAnsi="Courier New"/>
                <w:sz w:val="17"/>
                <w:szCs w:val="17"/>
                <w:color w:val="auto"/>
                <w:w w:val="97"/>
              </w:rPr>
              <w:t>28-Oct-94</w:t>
            </w:r>
          </w:p>
        </w:tc>
        <w:tc>
          <w:tcPr>
            <w:tcW w:w="1480" w:type="dxa"/>
            <w:vAlign w:val="bottom"/>
          </w:tcPr>
          <w:p>
            <w:pPr>
              <w:jc w:val="center"/>
              <w:ind w:right="476"/>
              <w:spacing w:after="0"/>
              <w:rPr>
                <w:sz w:val="20"/>
                <w:szCs w:val="20"/>
                <w:color w:val="auto"/>
              </w:rPr>
            </w:pPr>
            <w:r>
              <w:rPr>
                <w:rFonts w:ascii="Courier New" w:cs="Courier New" w:eastAsia="Courier New" w:hAnsi="Courier New"/>
                <w:sz w:val="17"/>
                <w:szCs w:val="17"/>
                <w:color w:val="auto"/>
              </w:rPr>
              <w:t>31-Oct-95</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28-Oct-94</w:t>
            </w:r>
          </w:p>
        </w:tc>
        <w:tc>
          <w:tcPr>
            <w:tcW w:w="1820" w:type="dxa"/>
            <w:vAlign w:val="bottom"/>
          </w:tcPr>
          <w:p>
            <w:pPr>
              <w:jc w:val="right"/>
              <w:spacing w:after="0"/>
              <w:rPr>
                <w:sz w:val="20"/>
                <w:szCs w:val="20"/>
                <w:color w:val="auto"/>
              </w:rPr>
            </w:pPr>
            <w:r>
              <w:rPr>
                <w:rFonts w:ascii="Courier New" w:cs="Courier New" w:eastAsia="Courier New" w:hAnsi="Courier New"/>
                <w:sz w:val="17"/>
                <w:szCs w:val="17"/>
                <w:color w:val="auto"/>
              </w:rPr>
              <w:t>31-Oct-95</w:t>
            </w:r>
          </w:p>
        </w:tc>
      </w:tr>
      <w:tr>
        <w:trPr>
          <w:trHeight w:val="389"/>
        </w:trPr>
        <w:tc>
          <w:tcPr>
            <w:tcW w:w="162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91.5</w:t>
            </w:r>
          </w:p>
        </w:tc>
        <w:tc>
          <w:tcPr>
            <w:tcW w:w="148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110.3</w:t>
            </w:r>
          </w:p>
        </w:tc>
        <w:tc>
          <w:tcPr>
            <w:tcW w:w="14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33.8</w:t>
            </w:r>
          </w:p>
        </w:tc>
        <w:tc>
          <w:tcPr>
            <w:tcW w:w="1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36.6</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FLOWS</w:t>
      </w:r>
    </w:p>
    <w:p>
      <w:pPr>
        <w:spacing w:after="0" w:line="199" w:lineRule="exact"/>
        <w:rPr>
          <w:sz w:val="20"/>
          <w:szCs w:val="20"/>
          <w:color w:val="auto"/>
        </w:rPr>
      </w:pPr>
    </w:p>
    <w:p>
      <w:pPr>
        <w:ind w:right="2319"/>
        <w:spacing w:after="0"/>
        <w:rPr>
          <w:sz w:val="20"/>
          <w:szCs w:val="20"/>
          <w:color w:val="auto"/>
        </w:rPr>
      </w:pPr>
      <w:r>
        <w:rPr>
          <w:rFonts w:ascii="Courier New" w:cs="Courier New" w:eastAsia="Courier New" w:hAnsi="Courier New"/>
          <w:sz w:val="17"/>
          <w:szCs w:val="17"/>
          <w:color w:val="auto"/>
        </w:rPr>
        <w:t>Cash used in operating activities was primarily to support an increase in inventory from year end and payments of accounts payable and accrued expenses. This was offset by increased collection of account receivables.</w:t>
      </w:r>
    </w:p>
    <w:p>
      <w:pPr>
        <w:spacing w:after="0" w:line="200" w:lineRule="exact"/>
        <w:rPr>
          <w:sz w:val="20"/>
          <w:szCs w:val="20"/>
          <w:color w:val="auto"/>
        </w:rPr>
      </w:pPr>
    </w:p>
    <w:p>
      <w:pPr>
        <w:ind w:right="2539"/>
        <w:spacing w:after="0" w:line="239" w:lineRule="auto"/>
        <w:rPr>
          <w:sz w:val="20"/>
          <w:szCs w:val="20"/>
          <w:color w:val="auto"/>
        </w:rPr>
      </w:pPr>
      <w:r>
        <w:rPr>
          <w:rFonts w:ascii="Courier New" w:cs="Courier New" w:eastAsia="Courier New" w:hAnsi="Courier New"/>
          <w:sz w:val="17"/>
          <w:szCs w:val="17"/>
          <w:color w:val="auto"/>
        </w:rPr>
        <w:t>Net cash used in investment activities was the result of spending related to company improvement projects.</w:t>
      </w:r>
    </w:p>
    <w:p>
      <w:pPr>
        <w:spacing w:after="0" w:line="200" w:lineRule="exact"/>
        <w:rPr>
          <w:sz w:val="20"/>
          <w:szCs w:val="20"/>
          <w:color w:val="auto"/>
        </w:rPr>
      </w:pPr>
    </w:p>
    <w:p>
      <w:pPr>
        <w:ind w:right="2119"/>
        <w:spacing w:after="0"/>
        <w:rPr>
          <w:sz w:val="20"/>
          <w:szCs w:val="20"/>
          <w:color w:val="auto"/>
        </w:rPr>
      </w:pPr>
      <w:r>
        <w:rPr>
          <w:rFonts w:ascii="Courier New" w:cs="Courier New" w:eastAsia="Courier New" w:hAnsi="Courier New"/>
          <w:sz w:val="17"/>
          <w:szCs w:val="17"/>
          <w:color w:val="auto"/>
        </w:rPr>
        <w:t>Net cash provided by financing activities was the result of proceeds from short-term borrowing used for a variety of purposes, including reduction of long-term debt.</w:t>
      </w:r>
    </w:p>
    <w:p>
      <w:pPr>
        <w:spacing w:after="0" w:line="39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891" w:right="1440" w:bottom="1440" w:gutter="0" w:footer="0" w:header="0"/>
        </w:sectPr>
      </w:pPr>
    </w:p>
    <w:bookmarkStart w:id="8" w:name="page9"/>
    <w:bookmarkEnd w:id="8"/>
    <w:p>
      <w:pPr>
        <w:ind w:left="2440"/>
        <w:spacing w:after="0"/>
        <w:tabs>
          <w:tab w:leader="none" w:pos="342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3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6" w:lineRule="exact"/>
        <w:rPr>
          <w:sz w:val="20"/>
          <w:szCs w:val="20"/>
          <w:color w:val="auto"/>
        </w:rPr>
      </w:pPr>
    </w:p>
    <w:p>
      <w:pPr>
        <w:ind w:left="1020" w:hanging="511"/>
        <w:spacing w:after="0"/>
        <w:tabs>
          <w:tab w:leader="none" w:pos="10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 11  Computation of Earnings per Common Share</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 27  Financial Data Schedule</w:t>
      </w:r>
    </w:p>
    <w:p>
      <w:pPr>
        <w:spacing w:after="0" w:line="196" w:lineRule="exact"/>
        <w:rPr>
          <w:rFonts w:ascii="Courier New" w:cs="Courier New" w:eastAsia="Courier New" w:hAnsi="Courier New"/>
          <w:sz w:val="17"/>
          <w:szCs w:val="17"/>
          <w:color w:val="auto"/>
        </w:rPr>
      </w:pPr>
    </w:p>
    <w:p>
      <w:pPr>
        <w:ind w:left="10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Summarized financial data; electronic filing only.</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198" w:lineRule="exact"/>
        <w:rPr>
          <w:rFonts w:ascii="Courier New" w:cs="Courier New" w:eastAsia="Courier New" w:hAnsi="Courier New"/>
          <w:sz w:val="17"/>
          <w:szCs w:val="17"/>
          <w:color w:val="auto"/>
        </w:rPr>
      </w:pPr>
    </w:p>
    <w:p>
      <w:pPr>
        <w:ind w:left="1020" w:right="21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filed Form 8-K on November 14, 1995. On November 2, 1995, following receipt of approval from the Internal Revenue Service, The Toro Company decided to change its fiscal year end from July 31 to October 31.</w:t>
      </w:r>
    </w:p>
    <w:p>
      <w:pPr>
        <w:spacing w:after="0" w:line="39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jc w:val="both"/>
        <w:ind w:right="2939"/>
        <w:spacing w:after="0"/>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7"/>
          <w:szCs w:val="17"/>
          <w:color w:val="auto"/>
        </w:rPr>
        <w:t>THE TORO COMPANY</w:t>
      </w:r>
    </w:p>
    <w:p>
      <w:pPr>
        <w:spacing w:after="0" w:line="2"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7"/>
          <w:szCs w:val="17"/>
          <w:color w:val="auto"/>
        </w:rPr>
        <w:t>(Registrant)</w:t>
      </w:r>
    </w:p>
    <w:p>
      <w:pPr>
        <w:spacing w:after="0" w:line="391"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By /s/ Gerald T. Knight</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Gerald T. Knight</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Vice President, Finance</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Chief Financial Officer</w:t>
      </w:r>
    </w:p>
    <w:p>
      <w:pPr>
        <w:spacing w:after="0" w:line="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(principal financial officer)</w:t>
      </w:r>
    </w:p>
    <w:p>
      <w:pPr>
        <w:spacing w:after="0" w:line="39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6"/>
          <w:szCs w:val="16"/>
          <w:color w:val="auto"/>
        </w:rPr>
        <w:t>December 15, 1995</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891" w:right="1440" w:bottom="1440" w:gutter="0" w:footer="0" w:header="0"/>
        </w:sectPr>
      </w:pPr>
    </w:p>
    <w:bookmarkStart w:id="9" w:name="page10"/>
    <w:bookmarkEnd w:id="9"/>
    <w:p>
      <w:pPr>
        <w:ind w:left="7080"/>
        <w:spacing w:after="0"/>
        <w:rPr>
          <w:sz w:val="20"/>
          <w:szCs w:val="20"/>
          <w:color w:val="auto"/>
        </w:rPr>
      </w:pPr>
      <w:r>
        <w:rPr>
          <w:rFonts w:ascii="Courier New" w:cs="Courier New" w:eastAsia="Courier New" w:hAnsi="Courier New"/>
          <w:sz w:val="17"/>
          <w:szCs w:val="17"/>
          <w:color w:val="auto"/>
        </w:rPr>
        <w:t>Exhibit 11</w:t>
      </w:r>
    </w:p>
    <w:p>
      <w:pPr>
        <w:spacing w:after="0" w:line="391"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THE TORO COMPANY AND SUBSIDIARIES</w:t>
      </w:r>
    </w:p>
    <w:p>
      <w:pPr>
        <w:spacing w:after="0" w:line="2"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COMPUTATION OF EARNINGS PER COMMON SHARE</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20" w:type="dxa"/>
            <w:vAlign w:val="bottom"/>
            <w:gridSpan w:val="3"/>
          </w:tcPr>
          <w:p>
            <w:pPr>
              <w:jc w:val="right"/>
              <w:ind w:right="416"/>
              <w:spacing w:after="0"/>
              <w:rPr>
                <w:sz w:val="20"/>
                <w:szCs w:val="20"/>
                <w:color w:val="auto"/>
              </w:rPr>
            </w:pPr>
            <w:r>
              <w:rPr>
                <w:rFonts w:ascii="Courier New" w:cs="Courier New" w:eastAsia="Courier New" w:hAnsi="Courier New"/>
                <w:sz w:val="17"/>
                <w:szCs w:val="17"/>
                <w:color w:val="auto"/>
              </w:rPr>
              <w:t>Three Months Ended</w:t>
            </w:r>
          </w:p>
        </w:tc>
      </w:tr>
      <w:tr>
        <w:trPr>
          <w:trHeight w:val="194"/>
        </w:trPr>
        <w:tc>
          <w:tcPr>
            <w:tcW w:w="6480" w:type="dxa"/>
            <w:vAlign w:val="bottom"/>
          </w:tcPr>
          <w:p>
            <w:pPr>
              <w:spacing w:after="0"/>
              <w:rPr>
                <w:sz w:val="16"/>
                <w:szCs w:val="16"/>
                <w:color w:val="auto"/>
              </w:rPr>
            </w:pPr>
          </w:p>
        </w:tc>
        <w:tc>
          <w:tcPr>
            <w:tcW w:w="31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October 31,</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October 28,</w:t>
            </w:r>
          </w:p>
        </w:tc>
      </w:tr>
      <w:tr>
        <w:trPr>
          <w:trHeight w:val="194"/>
        </w:trPr>
        <w:tc>
          <w:tcPr>
            <w:tcW w:w="6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1995</w:t>
            </w:r>
          </w:p>
        </w:tc>
        <w:tc>
          <w:tcPr>
            <w:tcW w:w="24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1994</w:t>
            </w:r>
          </w:p>
        </w:tc>
      </w:tr>
      <w:tr>
        <w:trPr>
          <w:trHeight w:val="194"/>
        </w:trPr>
        <w:tc>
          <w:tcPr>
            <w:tcW w:w="6480" w:type="dxa"/>
            <w:vAlign w:val="bottom"/>
          </w:tcPr>
          <w:p>
            <w:pPr>
              <w:spacing w:after="0"/>
              <w:rPr>
                <w:sz w:val="16"/>
                <w:szCs w:val="16"/>
                <w:color w:val="auto"/>
              </w:rPr>
            </w:pPr>
          </w:p>
        </w:tc>
        <w:tc>
          <w:tcPr>
            <w:tcW w:w="1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480" w:type="dxa"/>
            <w:vAlign w:val="bottom"/>
          </w:tcPr>
          <w:p>
            <w:pPr>
              <w:spacing w:after="0"/>
              <w:rPr>
                <w:sz w:val="20"/>
                <w:szCs w:val="20"/>
                <w:color w:val="auto"/>
              </w:rPr>
            </w:pPr>
            <w:r>
              <w:rPr>
                <w:rFonts w:ascii="Courier New" w:cs="Courier New" w:eastAsia="Courier New" w:hAnsi="Courier New"/>
                <w:sz w:val="17"/>
                <w:szCs w:val="17"/>
                <w:color w:val="auto"/>
              </w:rPr>
              <w:t>Net earnings . . . . . . . . . . . . . . . . . . . . . . . . .</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3,997</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8,302</w:t>
            </w:r>
          </w:p>
        </w:tc>
      </w:tr>
      <w:tr>
        <w:trPr>
          <w:trHeight w:val="194"/>
        </w:trPr>
        <w:tc>
          <w:tcPr>
            <w:tcW w:w="6480" w:type="dxa"/>
            <w:vAlign w:val="bottom"/>
          </w:tcPr>
          <w:p>
            <w:pPr>
              <w:spacing w:after="0"/>
              <w:rPr>
                <w:sz w:val="16"/>
                <w:szCs w:val="16"/>
                <w:color w:val="auto"/>
              </w:rPr>
            </w:pPr>
          </w:p>
        </w:tc>
        <w:tc>
          <w:tcPr>
            <w:tcW w:w="1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spacing w:after="0"/>
              <w:rPr>
                <w:sz w:val="16"/>
                <w:szCs w:val="16"/>
                <w:color w:val="auto"/>
              </w:rPr>
            </w:pPr>
          </w:p>
        </w:tc>
        <w:tc>
          <w:tcPr>
            <w:tcW w:w="1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583"/>
        </w:trPr>
        <w:tc>
          <w:tcPr>
            <w:tcW w:w="6480" w:type="dxa"/>
            <w:vAlign w:val="bottom"/>
          </w:tcPr>
          <w:p>
            <w:pPr>
              <w:spacing w:after="0"/>
              <w:rPr>
                <w:sz w:val="20"/>
                <w:szCs w:val="20"/>
                <w:color w:val="auto"/>
              </w:rPr>
            </w:pPr>
            <w:r>
              <w:rPr>
                <w:rFonts w:ascii="Courier New" w:cs="Courier New" w:eastAsia="Courier New" w:hAnsi="Courier New"/>
                <w:sz w:val="17"/>
                <w:szCs w:val="17"/>
                <w:color w:val="auto"/>
              </w:rPr>
              <w:t>Primary:</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6480" w:type="dxa"/>
            <w:vAlign w:val="bottom"/>
          </w:tcPr>
          <w:p>
            <w:pPr>
              <w:ind w:left="400"/>
              <w:spacing w:after="0"/>
              <w:rPr>
                <w:sz w:val="20"/>
                <w:szCs w:val="20"/>
                <w:color w:val="auto"/>
              </w:rPr>
            </w:pPr>
            <w:r>
              <w:rPr>
                <w:rFonts w:ascii="Courier New" w:cs="Courier New" w:eastAsia="Courier New" w:hAnsi="Courier New"/>
                <w:sz w:val="17"/>
                <w:szCs w:val="17"/>
                <w:color w:val="auto"/>
              </w:rPr>
              <w:t>Shares of common stock and common</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ind w:left="400"/>
              <w:spacing w:after="0"/>
              <w:rPr>
                <w:sz w:val="20"/>
                <w:szCs w:val="20"/>
                <w:color w:val="auto"/>
              </w:rPr>
            </w:pPr>
            <w:r>
              <w:rPr>
                <w:rFonts w:ascii="Courier New" w:cs="Courier New" w:eastAsia="Courier New" w:hAnsi="Courier New"/>
                <w:sz w:val="17"/>
                <w:szCs w:val="17"/>
                <w:color w:val="auto"/>
              </w:rPr>
              <w:t>stock equivalents: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ind w:left="920"/>
              <w:spacing w:after="0"/>
              <w:rPr>
                <w:sz w:val="20"/>
                <w:szCs w:val="20"/>
                <w:color w:val="auto"/>
              </w:rPr>
            </w:pPr>
            <w:r>
              <w:rPr>
                <w:rFonts w:ascii="Courier New" w:cs="Courier New" w:eastAsia="Courier New" w:hAnsi="Courier New"/>
                <w:sz w:val="17"/>
                <w:szCs w:val="17"/>
                <w:color w:val="auto"/>
              </w:rPr>
              <w:t>Weighted average number of common shares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outstanding . . . . . . . . . . . . . . . . . .</w:t>
            </w:r>
          </w:p>
        </w:tc>
        <w:tc>
          <w:tcPr>
            <w:tcW w:w="400" w:type="dxa"/>
            <w:vAlign w:val="bottom"/>
          </w:tcPr>
          <w:p>
            <w:pPr>
              <w:spacing w:after="0"/>
              <w:rPr>
                <w:sz w:val="16"/>
                <w:szCs w:val="16"/>
                <w:color w:val="auto"/>
              </w:rPr>
            </w:pP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12,117,815</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12,585,681</w:t>
            </w:r>
          </w:p>
        </w:tc>
      </w:tr>
      <w:tr>
        <w:trPr>
          <w:trHeight w:val="194"/>
        </w:trPr>
        <w:tc>
          <w:tcPr>
            <w:tcW w:w="6480" w:type="dxa"/>
            <w:vAlign w:val="bottom"/>
          </w:tcPr>
          <w:p>
            <w:pPr>
              <w:ind w:left="920"/>
              <w:spacing w:after="0"/>
              <w:rPr>
                <w:sz w:val="20"/>
                <w:szCs w:val="20"/>
                <w:color w:val="auto"/>
              </w:rPr>
            </w:pPr>
            <w:r>
              <w:rPr>
                <w:rFonts w:ascii="Courier New" w:cs="Courier New" w:eastAsia="Courier New" w:hAnsi="Courier New"/>
                <w:sz w:val="17"/>
                <w:szCs w:val="17"/>
                <w:color w:val="auto"/>
              </w:rPr>
              <w:t>Dilutive effect of outstanding</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stock options (1) . . . . . . . . . . . . . . .</w:t>
            </w:r>
          </w:p>
        </w:tc>
        <w:tc>
          <w:tcPr>
            <w:tcW w:w="400" w:type="dxa"/>
            <w:vAlign w:val="bottom"/>
          </w:tcPr>
          <w:p>
            <w:pPr>
              <w:spacing w:after="0"/>
              <w:rPr>
                <w:sz w:val="16"/>
                <w:szCs w:val="16"/>
                <w:color w:val="auto"/>
              </w:rPr>
            </w:pP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424,225</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453,494</w:t>
            </w:r>
          </w:p>
        </w:tc>
      </w:tr>
      <w:tr>
        <w:trPr>
          <w:trHeight w:val="194"/>
        </w:trPr>
        <w:tc>
          <w:tcPr>
            <w:tcW w:w="6480" w:type="dxa"/>
            <w:vAlign w:val="bottom"/>
          </w:tcPr>
          <w:p>
            <w:pPr>
              <w:spacing w:after="0"/>
              <w:rPr>
                <w:sz w:val="16"/>
                <w:szCs w:val="16"/>
                <w:color w:val="auto"/>
              </w:rPr>
            </w:pPr>
          </w:p>
        </w:tc>
        <w:tc>
          <w:tcPr>
            <w:tcW w:w="1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12,542,040</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13,039,175</w:t>
            </w:r>
          </w:p>
        </w:tc>
      </w:tr>
      <w:tr>
        <w:trPr>
          <w:trHeight w:val="194"/>
        </w:trPr>
        <w:tc>
          <w:tcPr>
            <w:tcW w:w="6480" w:type="dxa"/>
            <w:vAlign w:val="bottom"/>
          </w:tcPr>
          <w:p>
            <w:pPr>
              <w:spacing w:after="0"/>
              <w:rPr>
                <w:sz w:val="16"/>
                <w:szCs w:val="16"/>
                <w:color w:val="auto"/>
              </w:rPr>
            </w:pPr>
          </w:p>
        </w:tc>
        <w:tc>
          <w:tcPr>
            <w:tcW w:w="1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ind w:left="400"/>
              <w:spacing w:after="0"/>
              <w:rPr>
                <w:sz w:val="20"/>
                <w:szCs w:val="20"/>
                <w:color w:val="auto"/>
              </w:rPr>
            </w:pPr>
            <w:r>
              <w:rPr>
                <w:rFonts w:ascii="Courier New" w:cs="Courier New" w:eastAsia="Courier New" w:hAnsi="Courier New"/>
                <w:sz w:val="17"/>
                <w:szCs w:val="17"/>
                <w:color w:val="auto"/>
              </w:rPr>
              <w:t>Net earnings per share of common stock</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and common stock equivalent . . . . . . . . . . . .</w:t>
            </w:r>
          </w:p>
        </w:tc>
        <w:tc>
          <w:tcPr>
            <w:tcW w:w="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0.32</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0.64</w:t>
            </w:r>
          </w:p>
        </w:tc>
      </w:tr>
      <w:tr>
        <w:trPr>
          <w:trHeight w:val="194"/>
        </w:trPr>
        <w:tc>
          <w:tcPr>
            <w:tcW w:w="6480" w:type="dxa"/>
            <w:vAlign w:val="bottom"/>
          </w:tcPr>
          <w:p>
            <w:pPr>
              <w:spacing w:after="0"/>
              <w:rPr>
                <w:sz w:val="16"/>
                <w:szCs w:val="16"/>
                <w:color w:val="auto"/>
              </w:rPr>
            </w:pPr>
          </w:p>
        </w:tc>
        <w:tc>
          <w:tcPr>
            <w:tcW w:w="1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spacing w:after="0"/>
              <w:rPr>
                <w:sz w:val="16"/>
                <w:szCs w:val="16"/>
                <w:color w:val="auto"/>
              </w:rPr>
            </w:pPr>
          </w:p>
        </w:tc>
        <w:tc>
          <w:tcPr>
            <w:tcW w:w="1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480" w:type="dxa"/>
            <w:vAlign w:val="bottom"/>
          </w:tcPr>
          <w:p>
            <w:pPr>
              <w:spacing w:after="0"/>
              <w:rPr>
                <w:sz w:val="20"/>
                <w:szCs w:val="20"/>
                <w:color w:val="auto"/>
              </w:rPr>
            </w:pPr>
            <w:r>
              <w:rPr>
                <w:rFonts w:ascii="Courier New" w:cs="Courier New" w:eastAsia="Courier New" w:hAnsi="Courier New"/>
                <w:sz w:val="17"/>
                <w:szCs w:val="17"/>
                <w:color w:val="auto"/>
              </w:rPr>
              <w:t>Fully Diluted:</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6480" w:type="dxa"/>
            <w:vAlign w:val="bottom"/>
          </w:tcPr>
          <w:p>
            <w:pPr>
              <w:ind w:left="400"/>
              <w:spacing w:after="0"/>
              <w:rPr>
                <w:sz w:val="20"/>
                <w:szCs w:val="20"/>
                <w:color w:val="auto"/>
              </w:rPr>
            </w:pPr>
            <w:r>
              <w:rPr>
                <w:rFonts w:ascii="Courier New" w:cs="Courier New" w:eastAsia="Courier New" w:hAnsi="Courier New"/>
                <w:sz w:val="17"/>
                <w:szCs w:val="17"/>
                <w:color w:val="auto"/>
              </w:rPr>
              <w:t>Shares of common stock and common</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ind w:left="400"/>
              <w:spacing w:after="0"/>
              <w:rPr>
                <w:sz w:val="20"/>
                <w:szCs w:val="20"/>
                <w:color w:val="auto"/>
              </w:rPr>
            </w:pPr>
            <w:r>
              <w:rPr>
                <w:rFonts w:ascii="Courier New" w:cs="Courier New" w:eastAsia="Courier New" w:hAnsi="Courier New"/>
                <w:sz w:val="17"/>
                <w:szCs w:val="17"/>
                <w:color w:val="auto"/>
              </w:rPr>
              <w:t>stock equivalents: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ind w:left="920"/>
              <w:spacing w:after="0"/>
              <w:rPr>
                <w:sz w:val="20"/>
                <w:szCs w:val="20"/>
                <w:color w:val="auto"/>
              </w:rPr>
            </w:pPr>
            <w:r>
              <w:rPr>
                <w:rFonts w:ascii="Courier New" w:cs="Courier New" w:eastAsia="Courier New" w:hAnsi="Courier New"/>
                <w:sz w:val="17"/>
                <w:szCs w:val="17"/>
                <w:color w:val="auto"/>
              </w:rPr>
              <w:t>Weighted average number of common shares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outstanding . . . . . . . . . . . . . . . . . .</w:t>
            </w:r>
          </w:p>
        </w:tc>
        <w:tc>
          <w:tcPr>
            <w:tcW w:w="400" w:type="dxa"/>
            <w:vAlign w:val="bottom"/>
          </w:tcPr>
          <w:p>
            <w:pPr>
              <w:spacing w:after="0"/>
              <w:rPr>
                <w:sz w:val="16"/>
                <w:szCs w:val="16"/>
                <w:color w:val="auto"/>
              </w:rPr>
            </w:pP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12,117,815</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12,585,681</w:t>
            </w:r>
          </w:p>
        </w:tc>
      </w:tr>
      <w:tr>
        <w:trPr>
          <w:trHeight w:val="194"/>
        </w:trPr>
        <w:tc>
          <w:tcPr>
            <w:tcW w:w="6480" w:type="dxa"/>
            <w:vAlign w:val="bottom"/>
          </w:tcPr>
          <w:p>
            <w:pPr>
              <w:ind w:left="920"/>
              <w:spacing w:after="0"/>
              <w:rPr>
                <w:sz w:val="20"/>
                <w:szCs w:val="20"/>
                <w:color w:val="auto"/>
              </w:rPr>
            </w:pPr>
            <w:r>
              <w:rPr>
                <w:rFonts w:ascii="Courier New" w:cs="Courier New" w:eastAsia="Courier New" w:hAnsi="Courier New"/>
                <w:sz w:val="17"/>
                <w:szCs w:val="17"/>
                <w:color w:val="auto"/>
              </w:rPr>
              <w:t>Dilutive effect of outstanding</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64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stock options (2) . . . . . . . . . . . . . . .</w:t>
            </w:r>
          </w:p>
        </w:tc>
        <w:tc>
          <w:tcPr>
            <w:tcW w:w="400" w:type="dxa"/>
            <w:vAlign w:val="bottom"/>
          </w:tcPr>
          <w:p>
            <w:pPr>
              <w:spacing w:after="0"/>
              <w:rPr>
                <w:sz w:val="16"/>
                <w:szCs w:val="16"/>
                <w:color w:val="auto"/>
              </w:rPr>
            </w:pP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424,225</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556,272</w:t>
            </w:r>
          </w:p>
        </w:tc>
      </w:tr>
      <w:tr>
        <w:trPr>
          <w:trHeight w:val="194"/>
        </w:trPr>
        <w:tc>
          <w:tcPr>
            <w:tcW w:w="6480" w:type="dxa"/>
            <w:vAlign w:val="bottom"/>
          </w:tcPr>
          <w:p>
            <w:pPr>
              <w:spacing w:after="0"/>
              <w:rPr>
                <w:sz w:val="16"/>
                <w:szCs w:val="16"/>
                <w:color w:val="auto"/>
              </w:rPr>
            </w:pPr>
          </w:p>
        </w:tc>
        <w:tc>
          <w:tcPr>
            <w:tcW w:w="1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12,542,040</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13,141,953</w:t>
            </w:r>
          </w:p>
        </w:tc>
      </w:tr>
      <w:tr>
        <w:trPr>
          <w:trHeight w:val="194"/>
        </w:trPr>
        <w:tc>
          <w:tcPr>
            <w:tcW w:w="6480" w:type="dxa"/>
            <w:vAlign w:val="bottom"/>
          </w:tcPr>
          <w:p>
            <w:pPr>
              <w:spacing w:after="0"/>
              <w:rPr>
                <w:sz w:val="16"/>
                <w:szCs w:val="16"/>
                <w:color w:val="auto"/>
              </w:rPr>
            </w:pPr>
          </w:p>
        </w:tc>
        <w:tc>
          <w:tcPr>
            <w:tcW w:w="1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480" w:type="dxa"/>
            <w:vAlign w:val="bottom"/>
          </w:tcPr>
          <w:p>
            <w:pPr>
              <w:ind w:left="400"/>
              <w:spacing w:after="0"/>
              <w:rPr>
                <w:sz w:val="20"/>
                <w:szCs w:val="20"/>
                <w:color w:val="auto"/>
              </w:rPr>
            </w:pPr>
            <w:r>
              <w:rPr>
                <w:rFonts w:ascii="Courier New" w:cs="Courier New" w:eastAsia="Courier New" w:hAnsi="Courier New"/>
                <w:sz w:val="17"/>
                <w:szCs w:val="17"/>
                <w:color w:val="auto"/>
              </w:rPr>
              <w:t>Net earnings per share of common stock</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648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and common stock equivalent . . . . . . . . . . . .</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0.32</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0.63</w:t>
            </w:r>
          </w:p>
        </w:tc>
      </w:tr>
      <w:tr>
        <w:trPr>
          <w:trHeight w:val="194"/>
        </w:trPr>
        <w:tc>
          <w:tcPr>
            <w:tcW w:w="6480" w:type="dxa"/>
            <w:vAlign w:val="bottom"/>
          </w:tcPr>
          <w:p>
            <w:pPr>
              <w:spacing w:after="0"/>
              <w:rPr>
                <w:sz w:val="16"/>
                <w:szCs w:val="16"/>
                <w:color w:val="auto"/>
              </w:rPr>
            </w:pPr>
          </w:p>
        </w:tc>
        <w:tc>
          <w:tcPr>
            <w:tcW w:w="1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480" w:type="dxa"/>
            <w:vAlign w:val="bottom"/>
          </w:tcPr>
          <w:p>
            <w:pPr>
              <w:spacing w:after="0"/>
              <w:rPr>
                <w:sz w:val="16"/>
                <w:szCs w:val="16"/>
                <w:color w:val="auto"/>
              </w:rPr>
            </w:pPr>
          </w:p>
        </w:tc>
        <w:tc>
          <w:tcPr>
            <w:tcW w:w="17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7" w:lineRule="exact"/>
        <w:rPr>
          <w:sz w:val="20"/>
          <w:szCs w:val="20"/>
          <w:color w:val="auto"/>
        </w:rPr>
      </w:pPr>
    </w:p>
    <w:p>
      <w:pPr>
        <w:ind w:left="400" w:right="2439" w:hanging="295"/>
        <w:spacing w:after="0" w:line="263" w:lineRule="auto"/>
        <w:tabs>
          <w:tab w:leader="none" w:pos="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stock options and options exercised in the current period are converted to common stock equivalents by the treasury stock method using the average market price of the company's stock during each period.</w:t>
      </w:r>
    </w:p>
    <w:p>
      <w:pPr>
        <w:spacing w:after="0" w:line="181" w:lineRule="exact"/>
        <w:rPr>
          <w:rFonts w:ascii="Courier New" w:cs="Courier New" w:eastAsia="Courier New" w:hAnsi="Courier New"/>
          <w:sz w:val="16"/>
          <w:szCs w:val="16"/>
          <w:color w:val="auto"/>
        </w:rPr>
      </w:pPr>
    </w:p>
    <w:p>
      <w:pPr>
        <w:ind w:left="400" w:right="2739" w:hanging="295"/>
        <w:spacing w:after="0" w:line="241" w:lineRule="auto"/>
        <w:tabs>
          <w:tab w:leader="none" w:pos="4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Outstanding stock options and options exercised in the current period are converted to common stock equivalents by the treasury stock method using the greater of the average market price or the period-end market price of the company's stock during each period.</w:t>
      </w:r>
    </w:p>
    <w:p>
      <w:pPr>
        <w:spacing w:after="0" w:line="200" w:lineRule="exact"/>
        <w:rPr>
          <w:sz w:val="20"/>
          <w:szCs w:val="20"/>
          <w:color w:val="auto"/>
        </w:rPr>
      </w:pPr>
    </w:p>
    <w:p>
      <w:pPr>
        <w:spacing w:after="0" w:line="385"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528" w:right="1440"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ind w:left="100"/>
        <w:spacing w:after="0"/>
        <w:rPr>
          <w:sz w:val="20"/>
          <w:szCs w:val="20"/>
          <w:color w:val="auto"/>
        </w:rPr>
      </w:pPr>
      <w:r>
        <w:rPr>
          <w:rFonts w:ascii="Courier New" w:cs="Courier New" w:eastAsia="Courier New" w:hAnsi="Courier New"/>
          <w:sz w:val="17"/>
          <w:szCs w:val="17"/>
          <w:color w:val="auto"/>
        </w:rPr>
        <w:t>5</w:t>
      </w:r>
    </w:p>
    <w:p>
      <w:pPr>
        <w:spacing w:after="0" w:line="199" w:lineRule="exact"/>
        <w:rPr>
          <w:sz w:val="20"/>
          <w:szCs w:val="20"/>
          <w:color w:val="auto"/>
        </w:rPr>
      </w:pPr>
    </w:p>
    <w:p>
      <w:pPr>
        <w:ind w:left="20" w:right="3019"/>
        <w:spacing w:after="0" w:line="261"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CONDENSED CONSOLIDATED STATEMENT OF EARNINGS AND RETAINED EARNINGS, THE CONDENSED CONSOLIDATED BALANCE SHEET AND EXHIBIT 11, AND IS QUALIFIED IN ITS ENTIRETY BY REFERENCE TO SUCH FINANCIAL STATEMENTS.</w:t>
      </w:r>
    </w:p>
    <w:p>
      <w:pPr>
        <w:spacing w:after="0" w:line="18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1,000</w:t>
      </w:r>
    </w:p>
    <w:p>
      <w:pPr>
        <w:spacing w:after="0" w:line="391"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3-MOS</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JUL-31-1995</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AUG-01-1995</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OCT-31-1995</w:t>
      </w:r>
    </w:p>
    <w:p>
      <w:pPr>
        <w:spacing w:after="0" w:line="2"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7,702</w:t>
      </w:r>
    </w:p>
    <w:p>
      <w:pPr>
        <w:spacing w:after="0" w:line="2"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198,816</w:t>
      </w:r>
    </w:p>
    <w:p>
      <w:pPr>
        <w:spacing w:after="0" w:line="2"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145,862</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386,259</w:t>
      </w:r>
    </w:p>
    <w:p>
      <w:pPr>
        <w:spacing w:after="0" w:line="2"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211,681</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141,726</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472,653</w:t>
      </w:r>
    </w:p>
    <w:p>
      <w:pPr>
        <w:spacing w:after="0" w:line="2"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221,173</w:t>
      </w:r>
    </w:p>
    <w:p>
      <w:pPr>
        <w:spacing w:after="0" w:line="2"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68,699</w:t>
      </w:r>
    </w:p>
    <w:p>
      <w:pPr>
        <w:spacing w:after="0" w:line="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12,168</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178,724</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472,653</w:t>
      </w:r>
    </w:p>
    <w:p>
      <w:pPr>
        <w:spacing w:after="0" w:line="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192,278</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192,278</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120,575</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65,048</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(2,483)</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2,532</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6,606</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2,609</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3,997</w:t>
      </w:r>
    </w:p>
    <w:p>
      <w:pPr>
        <w:spacing w:after="0" w:line="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0</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3,997</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0.32</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0.32</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 LONG-TERM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DOES NOT INCLUDE ADDITIONAL PAID-IN-CAPITAL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INCOME -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INCLUDED IN QUARTERLY FINANCIAL INFORMATION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TOTAL NET RECEIVABLES</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upperLetter"/>
      <w:start w:val="24"/>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2019-12-13T13:58:36Z</dcterms:created>
  <dcterms:modified xsi:type="dcterms:W3CDTF">2019-12-13T13:58:36Z</dcterms:modified>
</cp:coreProperties>
</file>