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340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340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WOLFE STEPHEN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06/17/2010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VP, Finance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4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720" w:type="dxa"/>
            <w:vAlign w:val="bottom"/>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4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6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4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tcPr>
          <w:p>
            <w:pPr>
              <w:jc w:val="right"/>
              <w:ind w:right="88"/>
              <w:spacing w:after="0"/>
              <w:rPr>
                <w:sz w:val="20"/>
                <w:szCs w:val="20"/>
                <w:color w:val="auto"/>
              </w:rPr>
            </w:pPr>
            <w:r>
              <w:rPr>
                <w:rFonts w:ascii="Arial" w:cs="Arial" w:eastAsia="Arial" w:hAnsi="Arial"/>
                <w:sz w:val="18"/>
                <w:szCs w:val="18"/>
                <w:color w:val="0000FF"/>
              </w:rPr>
              <w:t>06/17/2010</w:t>
            </w:r>
          </w:p>
        </w:tc>
        <w:tc>
          <w:tcPr>
            <w:tcW w:w="114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4"/>
                <w:szCs w:val="14"/>
                <w:color w:val="0000FF"/>
              </w:rPr>
              <w:t>M</w:t>
            </w:r>
          </w:p>
        </w:tc>
        <w:tc>
          <w:tcPr>
            <w:tcW w:w="740" w:type="dxa"/>
            <w:vAlign w:val="bottom"/>
          </w:tcPr>
          <w:p>
            <w:pPr>
              <w:jc w:val="right"/>
              <w:ind w:right="68"/>
              <w:spacing w:after="0"/>
              <w:rPr>
                <w:sz w:val="20"/>
                <w:szCs w:val="20"/>
                <w:color w:val="auto"/>
              </w:rPr>
            </w:pPr>
            <w:r>
              <w:rPr>
                <w:rFonts w:ascii="Arial" w:cs="Arial" w:eastAsia="Arial" w:hAnsi="Arial"/>
                <w:sz w:val="18"/>
                <w:szCs w:val="18"/>
                <w:color w:val="0000FF"/>
              </w:rPr>
              <w:t>1,292</w:t>
            </w:r>
          </w:p>
        </w:tc>
        <w:tc>
          <w:tcPr>
            <w:tcW w:w="54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860" w:type="dxa"/>
            <w:vAlign w:val="bottom"/>
          </w:tcPr>
          <w:p>
            <w:pPr>
              <w:jc w:val="center"/>
              <w:ind w:right="4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8.4063</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1,292</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46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tcBorders>
              <w:bottom w:val="single" w:sz="8" w:color="2C2C2C"/>
            </w:tcBorders>
          </w:tcPr>
          <w:p>
            <w:pPr>
              <w:jc w:val="right"/>
              <w:ind w:right="88"/>
              <w:spacing w:after="0"/>
              <w:rPr>
                <w:sz w:val="20"/>
                <w:szCs w:val="20"/>
                <w:color w:val="auto"/>
              </w:rPr>
            </w:pPr>
            <w:r>
              <w:rPr>
                <w:rFonts w:ascii="Arial" w:cs="Arial" w:eastAsia="Arial" w:hAnsi="Arial"/>
                <w:sz w:val="18"/>
                <w:szCs w:val="18"/>
                <w:color w:val="0000FF"/>
              </w:rPr>
              <w:t>06/17/2010</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right"/>
              <w:ind w:right="68"/>
              <w:spacing w:after="0"/>
              <w:rPr>
                <w:sz w:val="20"/>
                <w:szCs w:val="20"/>
                <w:color w:val="auto"/>
              </w:rPr>
            </w:pPr>
            <w:r>
              <w:rPr>
                <w:rFonts w:ascii="Arial" w:cs="Arial" w:eastAsia="Arial" w:hAnsi="Arial"/>
                <w:sz w:val="18"/>
                <w:szCs w:val="18"/>
                <w:color w:val="0000FF"/>
              </w:rPr>
              <w:t>1,292</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54.941</w:t>
            </w:r>
            <w:r>
              <w:rPr>
                <w:rFonts w:ascii="Arial" w:cs="Arial" w:eastAsia="Arial" w:hAnsi="Arial"/>
                <w:sz w:val="22"/>
                <w:szCs w:val="22"/>
                <w:color w:val="008000"/>
                <w:w w:val="93"/>
                <w:vertAlign w:val="superscript"/>
              </w:rPr>
              <w:t>(1)</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216"/>
        </w:trPr>
        <w:tc>
          <w:tcPr>
            <w:tcW w:w="246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57,026</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rPr>
              <w:t>For</w:t>
            </w:r>
          </w:p>
        </w:tc>
        <w:tc>
          <w:tcPr>
            <w:tcW w:w="0" w:type="dxa"/>
            <w:vAlign w:val="bottom"/>
          </w:tcPr>
          <w:p>
            <w:pPr>
              <w:spacing w:after="0"/>
              <w:rPr>
                <w:sz w:val="1"/>
                <w:szCs w:val="1"/>
                <w:color w:val="auto"/>
              </w:rPr>
            </w:pPr>
          </w:p>
        </w:tc>
      </w:tr>
      <w:tr>
        <w:trPr>
          <w:trHeight w:val="114"/>
        </w:trPr>
        <w:tc>
          <w:tcPr>
            <w:tcW w:w="246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0000FF"/>
              </w:rPr>
              <w:t>Reporting</w:t>
            </w: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500"/>
        <w:spacing w:after="0"/>
        <w:rPr>
          <w:sz w:val="20"/>
          <w:szCs w:val="20"/>
          <w:color w:val="auto"/>
        </w:rPr>
      </w:pPr>
      <w:r>
        <w:rPr>
          <w:rFonts w:ascii="Arial" w:cs="Arial" w:eastAsia="Arial" w:hAnsi="Arial"/>
          <w:sz w:val="18"/>
          <w:szCs w:val="18"/>
          <w:color w:val="0000FF"/>
        </w:rPr>
        <w:t>Person</w:t>
      </w:r>
    </w:p>
    <w:p>
      <w:pPr>
        <w:spacing w:after="0" w:line="138"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The Toro</w:t>
      </w:r>
    </w:p>
    <w:p>
      <w:pPr>
        <w:spacing w:after="0" w:line="15"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Company</w:t>
      </w:r>
    </w:p>
    <w:p>
      <w:pPr>
        <w:ind w:left="80"/>
        <w:spacing w:after="0"/>
        <w:tabs>
          <w:tab w:leader="none" w:pos="8420" w:val="left"/>
          <w:tab w:leader="none" w:pos="9920" w:val="left"/>
          <w:tab w:leader="none" w:pos="10480" w:val="left"/>
        </w:tabs>
        <w:rPr>
          <w:sz w:val="20"/>
          <w:szCs w:val="20"/>
          <w:color w:val="auto"/>
        </w:rPr>
      </w:pPr>
      <w:r>
        <w:rPr>
          <w:rFonts w:ascii="Arial" w:cs="Arial" w:eastAsia="Arial" w:hAnsi="Arial"/>
          <w:sz w:val="18"/>
          <w:szCs w:val="18"/>
          <w:color w:val="0000FF"/>
        </w:rPr>
        <w:t>Common Stock</w:t>
      </w:r>
      <w:r>
        <w:rPr>
          <w:sz w:val="20"/>
          <w:szCs w:val="20"/>
          <w:color w:val="auto"/>
        </w:rPr>
        <w:tab/>
      </w:r>
      <w:r>
        <w:rPr>
          <w:rFonts w:ascii="Arial" w:cs="Arial" w:eastAsia="Arial" w:hAnsi="Arial"/>
          <w:sz w:val="18"/>
          <w:szCs w:val="18"/>
          <w:color w:val="0000FF"/>
        </w:rPr>
        <w:t>28,441.471</w:t>
      </w:r>
      <w:r>
        <w:rPr>
          <w:rFonts w:ascii="Arial" w:cs="Arial" w:eastAsia="Arial" w:hAnsi="Arial"/>
          <w:sz w:val="22"/>
          <w:szCs w:val="22"/>
          <w:color w:val="008000"/>
          <w:vertAlign w:val="superscript"/>
        </w:rPr>
        <w:t>(2)</w:t>
      </w:r>
      <w:r>
        <w:rPr>
          <w:sz w:val="20"/>
          <w:szCs w:val="20"/>
          <w:color w:val="auto"/>
        </w:rPr>
        <w:tab/>
      </w:r>
      <w:r>
        <w:rPr>
          <w:rFonts w:ascii="Arial" w:cs="Arial" w:eastAsia="Arial" w:hAnsi="Arial"/>
          <w:sz w:val="18"/>
          <w:szCs w:val="18"/>
          <w:color w:val="0000FF"/>
        </w:rPr>
        <w:t>I</w:t>
      </w:r>
      <w:r>
        <w:rPr>
          <w:sz w:val="20"/>
          <w:szCs w:val="20"/>
          <w:color w:val="auto"/>
        </w:rPr>
        <w:tab/>
      </w:r>
      <w:r>
        <w:rPr>
          <w:rFonts w:ascii="Arial" w:cs="Arial" w:eastAsia="Arial" w:hAnsi="Arial"/>
          <w:sz w:val="15"/>
          <w:szCs w:val="15"/>
          <w:color w:val="0000FF"/>
        </w:rPr>
        <w:t>Investment,</w:t>
      </w:r>
    </w:p>
    <w:p>
      <w:pPr>
        <w:spacing w:after="0" w:line="1"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Savings &amp;</w:t>
      </w:r>
    </w:p>
    <w:p>
      <w:pPr>
        <w:spacing w:after="0" w:line="1"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ESOP</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51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Units</w:t>
            </w:r>
          </w:p>
        </w:tc>
        <w:tc>
          <w:tcPr>
            <w:tcW w:w="4480" w:type="dxa"/>
            <w:vAlign w:val="bottom"/>
            <w:tcBorders>
              <w:bottom w:val="single" w:sz="8" w:color="2C2C2C"/>
            </w:tcBorders>
          </w:tcPr>
          <w:p>
            <w:pPr>
              <w:jc w:val="right"/>
              <w:ind w:right="172"/>
              <w:spacing w:after="0"/>
              <w:rPr>
                <w:sz w:val="20"/>
                <w:szCs w:val="20"/>
                <w:color w:val="auto"/>
              </w:rPr>
            </w:pPr>
            <w:r>
              <w:rPr>
                <w:rFonts w:ascii="Arial" w:cs="Arial" w:eastAsia="Arial" w:hAnsi="Arial"/>
                <w:sz w:val="18"/>
                <w:szCs w:val="18"/>
                <w:color w:val="0000FF"/>
              </w:rPr>
              <w:t>24,749.969</w:t>
            </w:r>
            <w:r>
              <w:rPr>
                <w:rFonts w:ascii="Arial" w:cs="Arial" w:eastAsia="Arial" w:hAnsi="Arial"/>
                <w:sz w:val="22"/>
                <w:szCs w:val="22"/>
                <w:color w:val="008000"/>
                <w:vertAlign w:val="superscript"/>
              </w:rPr>
              <w:t>(3)</w:t>
            </w:r>
          </w:p>
        </w:tc>
        <w:tc>
          <w:tcPr>
            <w:tcW w:w="17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51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Matching Units</w:t>
            </w:r>
          </w:p>
        </w:tc>
        <w:tc>
          <w:tcPr>
            <w:tcW w:w="4480" w:type="dxa"/>
            <w:vAlign w:val="bottom"/>
            <w:tcBorders>
              <w:bottom w:val="single" w:sz="8" w:color="2C2C2C"/>
            </w:tcBorders>
          </w:tcPr>
          <w:p>
            <w:pPr>
              <w:jc w:val="right"/>
              <w:ind w:right="172"/>
              <w:spacing w:after="0"/>
              <w:rPr>
                <w:sz w:val="20"/>
                <w:szCs w:val="20"/>
                <w:color w:val="auto"/>
              </w:rPr>
            </w:pPr>
            <w:r>
              <w:rPr>
                <w:rFonts w:ascii="Arial" w:cs="Arial" w:eastAsia="Arial" w:hAnsi="Arial"/>
                <w:sz w:val="18"/>
                <w:szCs w:val="18"/>
                <w:color w:val="0000FF"/>
              </w:rPr>
              <w:t>12,374.958</w:t>
            </w:r>
            <w:r>
              <w:rPr>
                <w:rFonts w:ascii="Arial" w:cs="Arial" w:eastAsia="Arial" w:hAnsi="Arial"/>
                <w:sz w:val="22"/>
                <w:szCs w:val="22"/>
                <w:color w:val="008000"/>
                <w:vertAlign w:val="superscript"/>
              </w:rPr>
              <w:t>(4)</w:t>
            </w:r>
          </w:p>
        </w:tc>
        <w:tc>
          <w:tcPr>
            <w:tcW w:w="17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51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Performance Share Units</w:t>
            </w:r>
          </w:p>
        </w:tc>
        <w:tc>
          <w:tcPr>
            <w:tcW w:w="4480" w:type="dxa"/>
            <w:vAlign w:val="bottom"/>
            <w:tcBorders>
              <w:bottom w:val="single" w:sz="8" w:color="2C2C2C"/>
            </w:tcBorders>
          </w:tcPr>
          <w:p>
            <w:pPr>
              <w:jc w:val="right"/>
              <w:ind w:right="172"/>
              <w:spacing w:after="0"/>
              <w:rPr>
                <w:sz w:val="20"/>
                <w:szCs w:val="20"/>
                <w:color w:val="auto"/>
              </w:rPr>
            </w:pPr>
            <w:r>
              <w:rPr>
                <w:rFonts w:ascii="Arial" w:cs="Arial" w:eastAsia="Arial" w:hAnsi="Arial"/>
                <w:sz w:val="18"/>
                <w:szCs w:val="18"/>
                <w:color w:val="0000FF"/>
              </w:rPr>
              <w:t>209,739.88</w:t>
            </w:r>
            <w:r>
              <w:rPr>
                <w:rFonts w:ascii="Arial" w:cs="Arial" w:eastAsia="Arial" w:hAnsi="Arial"/>
                <w:sz w:val="22"/>
                <w:szCs w:val="22"/>
                <w:color w:val="008000"/>
                <w:vertAlign w:val="superscript"/>
              </w:rPr>
              <w:t>(5)</w:t>
            </w:r>
          </w:p>
        </w:tc>
        <w:tc>
          <w:tcPr>
            <w:tcW w:w="17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5120" w:type="dxa"/>
            <w:vAlign w:val="bottom"/>
            <w:tcBorders>
              <w:top w:val="single" w:sz="8" w:color="808080"/>
            </w:tcBorders>
            <w:shd w:val="clear" w:color="auto" w:fill="2C2C2C"/>
          </w:tcPr>
          <w:p>
            <w:pPr>
              <w:spacing w:after="0" w:line="20" w:lineRule="exact"/>
              <w:rPr>
                <w:sz w:val="1"/>
                <w:szCs w:val="1"/>
                <w:color w:val="auto"/>
              </w:rPr>
            </w:pPr>
          </w:p>
        </w:tc>
        <w:tc>
          <w:tcPr>
            <w:tcW w:w="4480" w:type="dxa"/>
            <w:vAlign w:val="bottom"/>
            <w:tcBorders>
              <w:top w:val="single" w:sz="8" w:color="808080"/>
            </w:tcBorders>
            <w:shd w:val="clear" w:color="auto" w:fill="2C2C2C"/>
          </w:tcPr>
          <w:p>
            <w:pPr>
              <w:spacing w:after="0" w:line="20" w:lineRule="exact"/>
              <w:rPr>
                <w:sz w:val="1"/>
                <w:szCs w:val="1"/>
                <w:color w:val="auto"/>
              </w:rPr>
            </w:pPr>
          </w:p>
        </w:tc>
        <w:tc>
          <w:tcPr>
            <w:tcW w:w="1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Incentive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1,292</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tcPr>
          <w:p>
            <w:pPr>
              <w:ind w:left="2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8.4063</w:t>
            </w:r>
          </w:p>
        </w:tc>
        <w:tc>
          <w:tcPr>
            <w:tcW w:w="1140" w:type="dxa"/>
            <w:vAlign w:val="bottom"/>
          </w:tcPr>
          <w:p>
            <w:pPr>
              <w:jc w:val="right"/>
              <w:ind w:right="198"/>
              <w:spacing w:after="0" w:line="133" w:lineRule="exact"/>
              <w:rPr>
                <w:sz w:val="20"/>
                <w:szCs w:val="20"/>
                <w:color w:val="auto"/>
              </w:rPr>
            </w:pPr>
            <w:r>
              <w:rPr>
                <w:rFonts w:ascii="Arial" w:cs="Arial" w:eastAsia="Arial" w:hAnsi="Arial"/>
                <w:sz w:val="14"/>
                <w:szCs w:val="14"/>
                <w:color w:val="0000FF"/>
              </w:rPr>
              <w:t>06/17/2010</w:t>
            </w:r>
          </w:p>
        </w:tc>
        <w:tc>
          <w:tcPr>
            <w:tcW w:w="114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33" w:lineRule="exact"/>
              <w:rPr>
                <w:sz w:val="20"/>
                <w:szCs w:val="20"/>
                <w:color w:val="auto"/>
              </w:rPr>
            </w:pPr>
            <w:r>
              <w:rPr>
                <w:rFonts w:ascii="Arial" w:cs="Arial" w:eastAsia="Arial" w:hAnsi="Arial"/>
                <w:sz w:val="14"/>
                <w:szCs w:val="14"/>
                <w:color w:val="0000FF"/>
              </w:rPr>
              <w:t>1,292</w:t>
            </w:r>
          </w:p>
        </w:tc>
        <w:tc>
          <w:tcPr>
            <w:tcW w:w="820" w:type="dxa"/>
            <w:vAlign w:val="bottom"/>
          </w:tcPr>
          <w:p>
            <w:pPr>
              <w:ind w:left="100"/>
              <w:spacing w:after="0" w:line="133" w:lineRule="exact"/>
              <w:rPr>
                <w:sz w:val="20"/>
                <w:szCs w:val="20"/>
                <w:color w:val="auto"/>
              </w:rPr>
            </w:pPr>
            <w:r>
              <w:rPr>
                <w:rFonts w:ascii="Arial" w:cs="Arial" w:eastAsia="Arial" w:hAnsi="Arial"/>
                <w:sz w:val="14"/>
                <w:szCs w:val="14"/>
                <w:color w:val="0000FF"/>
                <w:w w:val="99"/>
              </w:rPr>
              <w:t>12/05/2000</w:t>
            </w:r>
          </w:p>
        </w:tc>
        <w:tc>
          <w:tcPr>
            <w:tcW w:w="760" w:type="dxa"/>
            <w:vAlign w:val="bottom"/>
          </w:tcPr>
          <w:p>
            <w:pPr>
              <w:ind w:left="80"/>
              <w:spacing w:after="0" w:line="133" w:lineRule="exact"/>
              <w:rPr>
                <w:sz w:val="20"/>
                <w:szCs w:val="20"/>
                <w:color w:val="auto"/>
              </w:rPr>
            </w:pPr>
            <w:r>
              <w:rPr>
                <w:rFonts w:ascii="Arial" w:cs="Arial" w:eastAsia="Arial" w:hAnsi="Arial"/>
                <w:sz w:val="14"/>
                <w:szCs w:val="14"/>
                <w:color w:val="0000FF"/>
                <w:w w:val="94"/>
              </w:rPr>
              <w:t>12/05/2010</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3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460"/>
              <w:spacing w:after="0" w:line="133" w:lineRule="exact"/>
              <w:rPr>
                <w:sz w:val="20"/>
                <w:szCs w:val="20"/>
                <w:color w:val="auto"/>
              </w:rPr>
            </w:pPr>
            <w:r>
              <w:rPr>
                <w:rFonts w:ascii="Arial" w:cs="Arial" w:eastAsia="Arial" w:hAnsi="Arial"/>
                <w:sz w:val="14"/>
                <w:szCs w:val="14"/>
                <w:color w:val="0000FF"/>
              </w:rPr>
              <w:t>0</w:t>
            </w:r>
          </w:p>
        </w:tc>
        <w:tc>
          <w:tcPr>
            <w:tcW w:w="76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$55.94 to $54.9424, inclusive. The reporting person undertakes to provide to The Toro Company, any security holder of The Toro Company,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213.882 shares acquired under the dividend reinvestment feature of The Toro Company Investment, Savings &amp; ESOP (IS&amp;ESOP); and 73.021 shares acquired through issuer annual investment fund contributions to the IS&amp;ESOP.</w:t>
      </w:r>
    </w:p>
    <w:p>
      <w:pPr>
        <w:spacing w:after="0" w:line="30"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186.88 Common Stock Units acquired by the reporting person under the dividend reinvestment feature of The Toro Company Deferred Compensation Plan for Officers since the date of his last report.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93.44 Matching Units acquired by the reporting person under the dividend reinvestment feature of The Toro Company Deferred Compensation Plan for Officers since the date of his last report.</w:t>
      </w:r>
    </w:p>
    <w:p>
      <w:pPr>
        <w:spacing w:after="0" w:line="64" w:lineRule="exact"/>
        <w:rPr>
          <w:rFonts w:ascii="Arial" w:cs="Arial" w:eastAsia="Arial" w:hAnsi="Arial"/>
          <w:sz w:val="12"/>
          <w:szCs w:val="12"/>
          <w:color w:val="008000"/>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1,583.678 Performance Share Units acquired by the reporting person under the dividend reinvestment feature of The Toro Company Deferred Compensation Plan for Officers since the date of his last report.</w:t>
      </w:r>
    </w:p>
    <w:p>
      <w:pPr>
        <w:sectPr>
          <w:pgSz w:w="11900" w:h="16838" w:orient="portrait"/>
          <w:cols w:equalWidth="0" w:num="1">
            <w:col w:w="11520"/>
          </w:cols>
          <w:pgMar w:left="240" w:top="226" w:right="139" w:bottom="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Amy E. Dahl,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37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5"/>
          <w:szCs w:val="15"/>
          <w:color w:val="0000FF"/>
        </w:rPr>
        <w:t>06/18/2010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ectPr>
          <w:pgSz w:w="11900" w:h="16838" w:orient="portrait"/>
          <w:cols w:equalWidth="0" w:num="2">
            <w:col w:w="8980" w:space="180"/>
            <w:col w:w="2360"/>
          </w:cols>
          <w:pgMar w:left="240" w:top="226" w:right="139" w:bottom="0" w:gutter="0" w:footer="0" w:header="0"/>
          <w:type w:val="continuous"/>
        </w:sectPr>
      </w:pPr>
    </w:p>
    <w:bookmarkStart w:id="1" w:name="page2"/>
    <w:bookmarkEnd w:id="1"/>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6714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2019-12-17T00:27:12Z</dcterms:created>
  <dcterms:modified xsi:type="dcterms:W3CDTF">2019-12-17T00:27:12Z</dcterms:modified>
</cp:coreProperties>
</file>