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80" w:hanging="170"/>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5"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51"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46" w:lineRule="exact"/>
        <w:rPr>
          <w:sz w:val="24"/>
          <w:szCs w:val="24"/>
          <w:color w:val="auto"/>
        </w:rPr>
      </w:pPr>
    </w:p>
    <w:p>
      <w:pPr>
        <w:ind w:left="2020"/>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66" w:lineRule="exact"/>
        <w:rPr>
          <w:sz w:val="24"/>
          <w:szCs w:val="24"/>
          <w:color w:val="auto"/>
        </w:rPr>
      </w:pPr>
    </w:p>
    <w:p>
      <w:pPr>
        <w:ind w:left="2540"/>
        <w:spacing w:after="0"/>
        <w:tabs>
          <w:tab w:leader="none" w:pos="4100" w:val="left"/>
        </w:tabs>
        <w:rPr>
          <w:sz w:val="20"/>
          <w:szCs w:val="20"/>
          <w:color w:val="auto"/>
        </w:rPr>
      </w:pPr>
      <w:r>
        <w:rPr>
          <w:rFonts w:ascii="Courier New" w:cs="Courier New" w:eastAsia="Courier New" w:hAnsi="Courier New"/>
          <w:sz w:val="15"/>
          <w:szCs w:val="15"/>
          <w:color w:val="auto"/>
        </w:rPr>
        <w:t>WASHINGTON, D.C.</w:t>
      </w:r>
      <w:r>
        <w:rPr>
          <w:sz w:val="20"/>
          <w:szCs w:val="20"/>
          <w:color w:val="auto"/>
        </w:rPr>
        <w:tab/>
      </w:r>
      <w:r>
        <w:rPr>
          <w:rFonts w:ascii="Courier New" w:cs="Courier New" w:eastAsia="Courier New" w:hAnsi="Courier New"/>
          <w:sz w:val="14"/>
          <w:szCs w:val="14"/>
          <w:color w:val="auto"/>
        </w:rPr>
        <w:t>20549</w:t>
      </w:r>
    </w:p>
    <w:p>
      <w:pPr>
        <w:spacing w:after="0" w:line="335" w:lineRule="exact"/>
        <w:rPr>
          <w:sz w:val="24"/>
          <w:szCs w:val="24"/>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335"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FORM 10-Q</w:t>
      </w:r>
    </w:p>
    <w:p>
      <w:pPr>
        <w:spacing w:after="0" w:line="166" w:lineRule="exact"/>
        <w:rPr>
          <w:sz w:val="24"/>
          <w:szCs w:val="24"/>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335"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Quarterly Report Under Section 13 or 15(d)</w:t>
      </w:r>
    </w:p>
    <w:p>
      <w:pPr>
        <w:spacing w:after="0" w:line="24"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of the Securities Exchange Act of 1934</w:t>
      </w:r>
    </w:p>
    <w:p>
      <w:pPr>
        <w:spacing w:after="0" w:line="140" w:lineRule="exact"/>
        <w:rPr>
          <w:sz w:val="24"/>
          <w:szCs w:val="24"/>
          <w:color w:val="auto"/>
        </w:rPr>
      </w:pPr>
    </w:p>
    <w:p>
      <w:pPr>
        <w:ind w:left="620"/>
        <w:spacing w:after="0"/>
        <w:rPr>
          <w:sz w:val="20"/>
          <w:szCs w:val="20"/>
          <w:color w:val="auto"/>
        </w:rPr>
      </w:pPr>
      <w:r>
        <w:rPr>
          <w:rFonts w:ascii="Courier New" w:cs="Courier New" w:eastAsia="Courier New" w:hAnsi="Courier New"/>
          <w:sz w:val="15"/>
          <w:szCs w:val="15"/>
          <w:color w:val="auto"/>
        </w:rPr>
        <w:t>For the Quarter Ended APRIL 28, 1995 Commission File Number 1-8649</w:t>
      </w:r>
    </w:p>
    <w:p>
      <w:pPr>
        <w:spacing w:after="0" w:line="335"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THE TORO COMPANY</w:t>
      </w:r>
    </w:p>
    <w:p>
      <w:pPr>
        <w:spacing w:after="0" w:line="24"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39"/>
          </w:cols>
          <w:pgMar w:left="220" w:top="542" w:right="1440" w:bottom="1440" w:gutter="0" w:footer="0" w:header="0"/>
        </w:sectPr>
      </w:pPr>
    </w:p>
    <w:p>
      <w:pPr>
        <w:spacing w:after="0" w:line="309" w:lineRule="exact"/>
        <w:rPr>
          <w:sz w:val="24"/>
          <w:szCs w:val="24"/>
          <w:color w:val="auto"/>
        </w:rPr>
      </w:pPr>
    </w:p>
    <w:p>
      <w:pPr>
        <w:ind w:left="880"/>
        <w:spacing w:after="0"/>
        <w:rPr>
          <w:sz w:val="20"/>
          <w:szCs w:val="20"/>
          <w:color w:val="auto"/>
        </w:rPr>
      </w:pPr>
      <w:r>
        <w:rPr>
          <w:rFonts w:ascii="Courier New" w:cs="Courier New" w:eastAsia="Courier New" w:hAnsi="Courier New"/>
          <w:sz w:val="15"/>
          <w:szCs w:val="15"/>
          <w:color w:val="auto"/>
        </w:rPr>
        <w:t>DELAWARE</w:t>
      </w:r>
    </w:p>
    <w:p>
      <w:pPr>
        <w:spacing w:after="0" w:line="24"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(State of Incorporation)</w:t>
      </w:r>
    </w:p>
    <w:p>
      <w:pPr>
        <w:spacing w:after="0" w:line="20" w:lineRule="exact"/>
        <w:rPr>
          <w:sz w:val="24"/>
          <w:szCs w:val="24"/>
          <w:color w:val="auto"/>
        </w:rPr>
      </w:pPr>
      <w:r>
        <w:rPr>
          <w:sz w:val="24"/>
          <w:szCs w:val="24"/>
          <w:color w:val="auto"/>
        </w:rPr>
        <w:br w:type="column"/>
      </w:r>
    </w:p>
    <w:p>
      <w:pPr>
        <w:spacing w:after="0" w:line="289" w:lineRule="exact"/>
        <w:rPr>
          <w:sz w:val="24"/>
          <w:szCs w:val="24"/>
          <w:color w:val="auto"/>
        </w:rPr>
      </w:pPr>
    </w:p>
    <w:p>
      <w:pPr>
        <w:jc w:val="center"/>
        <w:ind w:right="3679"/>
        <w:spacing w:after="0"/>
        <w:rPr>
          <w:sz w:val="20"/>
          <w:szCs w:val="20"/>
          <w:color w:val="auto"/>
        </w:rPr>
      </w:pPr>
      <w:r>
        <w:rPr>
          <w:rFonts w:ascii="Courier New" w:cs="Courier New" w:eastAsia="Courier New" w:hAnsi="Courier New"/>
          <w:sz w:val="15"/>
          <w:szCs w:val="15"/>
          <w:color w:val="auto"/>
        </w:rPr>
        <w:t>41-0580470</w:t>
      </w:r>
    </w:p>
    <w:p>
      <w:pPr>
        <w:spacing w:after="0" w:line="24" w:lineRule="exact"/>
        <w:rPr>
          <w:sz w:val="24"/>
          <w:szCs w:val="24"/>
          <w:color w:val="auto"/>
        </w:rPr>
      </w:pPr>
    </w:p>
    <w:p>
      <w:pPr>
        <w:jc w:val="center"/>
        <w:ind w:right="3759"/>
        <w:spacing w:after="0"/>
        <w:rPr>
          <w:sz w:val="20"/>
          <w:szCs w:val="20"/>
          <w:color w:val="auto"/>
        </w:rPr>
      </w:pPr>
      <w:r>
        <w:rPr>
          <w:rFonts w:ascii="Courier New" w:cs="Courier New" w:eastAsia="Courier New" w:hAnsi="Courier New"/>
          <w:sz w:val="14"/>
          <w:szCs w:val="14"/>
          <w:color w:val="auto"/>
        </w:rPr>
        <w:t>(I.R.S. Employer Identification Number)</w:t>
      </w:r>
    </w:p>
    <w:p>
      <w:pPr>
        <w:spacing w:after="0" w:line="200" w:lineRule="exact"/>
        <w:rPr>
          <w:sz w:val="24"/>
          <w:szCs w:val="24"/>
          <w:color w:val="auto"/>
        </w:rPr>
      </w:pPr>
    </w:p>
    <w:p>
      <w:pPr>
        <w:sectPr>
          <w:pgSz w:w="11900" w:h="16838" w:orient="portrait"/>
          <w:cols w:equalWidth="0" w:num="2">
            <w:col w:w="2540" w:space="540"/>
            <w:col w:w="7159"/>
          </w:cols>
          <w:pgMar w:left="220" w:top="542" w:right="1440" w:bottom="1440" w:gutter="0" w:footer="0" w:header="0"/>
          <w:type w:val="continuous"/>
        </w:sectPr>
      </w:pPr>
    </w:p>
    <w:p>
      <w:pPr>
        <w:spacing w:after="0" w:line="120" w:lineRule="exact"/>
        <w:rPr>
          <w:sz w:val="24"/>
          <w:szCs w:val="24"/>
          <w:color w:val="auto"/>
        </w:rPr>
      </w:pPr>
    </w:p>
    <w:p>
      <w:pPr>
        <w:ind w:left="2460"/>
        <w:spacing w:after="0"/>
        <w:rPr>
          <w:sz w:val="20"/>
          <w:szCs w:val="20"/>
          <w:color w:val="auto"/>
        </w:rPr>
      </w:pPr>
      <w:r>
        <w:rPr>
          <w:rFonts w:ascii="Courier New" w:cs="Courier New" w:eastAsia="Courier New" w:hAnsi="Courier New"/>
          <w:sz w:val="15"/>
          <w:szCs w:val="15"/>
          <w:color w:val="auto"/>
        </w:rPr>
        <w:t>8111 LYNDALE AVENUE SOUTH</w:t>
      </w:r>
    </w:p>
    <w:p>
      <w:pPr>
        <w:spacing w:after="0" w:line="23" w:lineRule="exact"/>
        <w:rPr>
          <w:sz w:val="24"/>
          <w:szCs w:val="24"/>
          <w:color w:val="auto"/>
        </w:rPr>
      </w:pPr>
    </w:p>
    <w:p>
      <w:pPr>
        <w:ind w:left="2280"/>
        <w:spacing w:after="0"/>
        <w:tabs>
          <w:tab w:leader="none" w:pos="4360" w:val="left"/>
        </w:tabs>
        <w:rPr>
          <w:sz w:val="20"/>
          <w:szCs w:val="20"/>
          <w:color w:val="auto"/>
        </w:rPr>
      </w:pPr>
      <w:r>
        <w:rPr>
          <w:rFonts w:ascii="Courier New" w:cs="Courier New" w:eastAsia="Courier New" w:hAnsi="Courier New"/>
          <w:sz w:val="15"/>
          <w:szCs w:val="15"/>
          <w:color w:val="auto"/>
        </w:rPr>
        <w:t>BLOOMINGTON, MINNESOTA</w:t>
      </w:r>
      <w:r>
        <w:rPr>
          <w:sz w:val="20"/>
          <w:szCs w:val="20"/>
          <w:color w:val="auto"/>
        </w:rPr>
        <w:tab/>
      </w:r>
      <w:r>
        <w:rPr>
          <w:rFonts w:ascii="Courier New" w:cs="Courier New" w:eastAsia="Courier New" w:hAnsi="Courier New"/>
          <w:sz w:val="14"/>
          <w:szCs w:val="14"/>
          <w:color w:val="auto"/>
        </w:rPr>
        <w:t>55420</w:t>
      </w:r>
    </w:p>
    <w:p>
      <w:pPr>
        <w:ind w:left="2100"/>
        <w:spacing w:after="0"/>
        <w:rPr>
          <w:sz w:val="20"/>
          <w:szCs w:val="20"/>
          <w:color w:val="auto"/>
        </w:rPr>
      </w:pPr>
      <w:r>
        <w:rPr>
          <w:rFonts w:ascii="Courier New" w:cs="Courier New" w:eastAsia="Courier New" w:hAnsi="Courier New"/>
          <w:sz w:val="15"/>
          <w:szCs w:val="15"/>
          <w:color w:val="auto"/>
        </w:rPr>
        <w:t>TELEPHONE NUMBER: (612) 888-8801</w:t>
      </w:r>
    </w:p>
    <w:p>
      <w:pPr>
        <w:spacing w:after="0" w:line="200" w:lineRule="exact"/>
        <w:rPr>
          <w:sz w:val="24"/>
          <w:szCs w:val="24"/>
          <w:color w:val="auto"/>
        </w:rPr>
      </w:pPr>
    </w:p>
    <w:p>
      <w:pPr>
        <w:spacing w:after="0" w:line="277" w:lineRule="exact"/>
        <w:rPr>
          <w:sz w:val="24"/>
          <w:szCs w:val="24"/>
          <w:color w:val="auto"/>
        </w:rPr>
      </w:pPr>
    </w:p>
    <w:p>
      <w:pPr>
        <w:ind w:left="540" w:right="3239" w:hanging="86"/>
        <w:spacing w:after="0" w:line="344" w:lineRule="auto"/>
        <w:rPr>
          <w:sz w:val="20"/>
          <w:szCs w:val="20"/>
          <w:color w:val="auto"/>
        </w:rPr>
      </w:pPr>
      <w:r>
        <w:rPr>
          <w:rFonts w:ascii="Courier New" w:cs="Courier New" w:eastAsia="Courier New" w:hAnsi="Courier New"/>
          <w:sz w:val="15"/>
          <w:szCs w:val="15"/>
          <w:color w:val="auto"/>
        </w:rPr>
        <w:t>(Address, including zip code, and telephone number, including area code, of registrant's principal executive offices)</w:t>
      </w:r>
    </w:p>
    <w:p>
      <w:pPr>
        <w:spacing w:after="0" w:line="17" w:lineRule="exact"/>
        <w:rPr>
          <w:sz w:val="24"/>
          <w:szCs w:val="24"/>
          <w:color w:val="auto"/>
        </w:rPr>
      </w:pPr>
    </w:p>
    <w:p>
      <w:pPr>
        <w:ind w:left="220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39"/>
          </w:cols>
          <w:pgMar w:left="220" w:top="542" w:right="1440" w:bottom="1440" w:gutter="0" w:footer="0" w:header="0"/>
          <w:type w:val="continuous"/>
        </w:sectPr>
      </w:pP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Indicate by check mark whether the registrant (1) has filed all reports required</w:t>
      </w:r>
    </w:p>
    <w:p>
      <w:pPr>
        <w:spacing w:after="0" w:line="8"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to be filed by Section 13</w:t>
            </w:r>
          </w:p>
        </w:tc>
        <w:tc>
          <w:tcPr>
            <w:tcW w:w="4160" w:type="dxa"/>
            <w:vAlign w:val="bottom"/>
            <w:gridSpan w:val="3"/>
          </w:tcPr>
          <w:p>
            <w:pPr>
              <w:spacing w:after="0"/>
              <w:rPr>
                <w:sz w:val="20"/>
                <w:szCs w:val="20"/>
                <w:color w:val="auto"/>
              </w:rPr>
            </w:pPr>
            <w:r>
              <w:rPr>
                <w:rFonts w:ascii="Courier New" w:cs="Courier New" w:eastAsia="Courier New" w:hAnsi="Courier New"/>
                <w:sz w:val="15"/>
                <w:szCs w:val="15"/>
                <w:color w:val="auto"/>
                <w:w w:val="97"/>
              </w:rPr>
              <w:t>or 15(d) of the Securities Exchange Act of 1934</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w w:val="92"/>
              </w:rPr>
              <w:t>during</w:t>
            </w:r>
          </w:p>
        </w:tc>
        <w:tc>
          <w:tcPr>
            <w:tcW w:w="0" w:type="dxa"/>
            <w:vAlign w:val="bottom"/>
          </w:tcPr>
          <w:p>
            <w:pPr>
              <w:spacing w:after="0"/>
              <w:rPr>
                <w:sz w:val="1"/>
                <w:szCs w:val="1"/>
                <w:color w:val="auto"/>
              </w:rPr>
            </w:pPr>
          </w:p>
        </w:tc>
      </w:tr>
      <w:tr>
        <w:trPr>
          <w:trHeight w:val="168"/>
        </w:trPr>
        <w:tc>
          <w:tcPr>
            <w:tcW w:w="45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the preceding 12 months (or for such shorter period</w:t>
            </w:r>
          </w:p>
        </w:tc>
        <w:tc>
          <w:tcPr>
            <w:tcW w:w="24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that the registrant was</w:t>
            </w:r>
          </w:p>
        </w:tc>
        <w:tc>
          <w:tcPr>
            <w:tcW w:w="0" w:type="dxa"/>
            <w:vAlign w:val="bottom"/>
          </w:tcPr>
          <w:p>
            <w:pPr>
              <w:spacing w:after="0"/>
              <w:rPr>
                <w:sz w:val="1"/>
                <w:szCs w:val="1"/>
                <w:color w:val="auto"/>
              </w:rPr>
            </w:pPr>
          </w:p>
        </w:tc>
      </w:tr>
      <w:tr>
        <w:trPr>
          <w:trHeight w:val="168"/>
        </w:trPr>
        <w:tc>
          <w:tcPr>
            <w:tcW w:w="644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required to file such reports), and (2) has been subject to such filing</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280" w:type="dxa"/>
            <w:vAlign w:val="bottom"/>
          </w:tcPr>
          <w:p>
            <w:pPr>
              <w:spacing w:after="0"/>
              <w:rPr>
                <w:sz w:val="20"/>
                <w:szCs w:val="20"/>
                <w:color w:val="auto"/>
              </w:rPr>
            </w:pPr>
            <w:r>
              <w:rPr>
                <w:rFonts w:ascii="Courier New" w:cs="Courier New" w:eastAsia="Courier New" w:hAnsi="Courier New"/>
                <w:sz w:val="15"/>
                <w:szCs w:val="15"/>
                <w:color w:val="auto"/>
              </w:rPr>
              <w:t>requirements for the past</w:t>
            </w:r>
          </w:p>
        </w:tc>
        <w:tc>
          <w:tcPr>
            <w:tcW w:w="1400" w:type="dxa"/>
            <w:vAlign w:val="bottom"/>
          </w:tcPr>
          <w:p>
            <w:pPr>
              <w:spacing w:after="0"/>
              <w:rPr>
                <w:sz w:val="20"/>
                <w:szCs w:val="20"/>
                <w:color w:val="auto"/>
              </w:rPr>
            </w:pPr>
            <w:r>
              <w:rPr>
                <w:rFonts w:ascii="Courier New" w:cs="Courier New" w:eastAsia="Courier New" w:hAnsi="Courier New"/>
                <w:sz w:val="15"/>
                <w:szCs w:val="15"/>
                <w:color w:val="auto"/>
              </w:rPr>
              <w:t>90 days.</w:t>
            </w:r>
          </w:p>
        </w:tc>
        <w:tc>
          <w:tcPr>
            <w:tcW w:w="8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7"/>
        </w:trPr>
        <w:tc>
          <w:tcPr>
            <w:tcW w:w="2280" w:type="dxa"/>
            <w:vAlign w:val="bottom"/>
          </w:tcPr>
          <w:p>
            <w:pPr>
              <w:ind w:left="1760"/>
              <w:spacing w:after="0"/>
              <w:rPr>
                <w:sz w:val="20"/>
                <w:szCs w:val="20"/>
                <w:color w:val="auto"/>
              </w:rPr>
            </w:pPr>
            <w:r>
              <w:rPr>
                <w:rFonts w:ascii="Courier New" w:cs="Courier New" w:eastAsia="Courier New" w:hAnsi="Courier New"/>
                <w:sz w:val="15"/>
                <w:szCs w:val="15"/>
                <w:color w:val="auto"/>
              </w:rPr>
              <w:t>Yes</w:t>
            </w:r>
          </w:p>
        </w:tc>
        <w:tc>
          <w:tcPr>
            <w:tcW w:w="1400" w:type="dxa"/>
            <w:vAlign w:val="bottom"/>
          </w:tcPr>
          <w:p>
            <w:pPr>
              <w:spacing w:after="0"/>
              <w:rPr>
                <w:sz w:val="20"/>
                <w:szCs w:val="20"/>
                <w:color w:val="auto"/>
              </w:rPr>
            </w:pPr>
            <w:r>
              <w:rPr>
                <w:rFonts w:ascii="Courier New" w:cs="Courier New" w:eastAsia="Courier New" w:hAnsi="Courier New"/>
                <w:sz w:val="15"/>
                <w:szCs w:val="15"/>
                <w:color w:val="auto"/>
              </w:rPr>
              <w:t>X</w:t>
            </w:r>
          </w:p>
        </w:tc>
        <w:tc>
          <w:tcPr>
            <w:tcW w:w="880" w:type="dxa"/>
            <w:vAlign w:val="bottom"/>
          </w:tcPr>
          <w:p>
            <w:pPr>
              <w:ind w:left="700"/>
              <w:spacing w:after="0"/>
              <w:rPr>
                <w:sz w:val="20"/>
                <w:szCs w:val="20"/>
                <w:color w:val="auto"/>
              </w:rPr>
            </w:pPr>
            <w:r>
              <w:rPr>
                <w:rFonts w:ascii="Courier New" w:cs="Courier New" w:eastAsia="Courier New" w:hAnsi="Courier New"/>
                <w:sz w:val="15"/>
                <w:szCs w:val="15"/>
                <w:color w:val="auto"/>
                <w:w w:val="88"/>
              </w:rPr>
              <w:t>No</w:t>
            </w:r>
          </w:p>
        </w:tc>
        <w:tc>
          <w:tcPr>
            <w:tcW w:w="1880" w:type="dxa"/>
            <w:vAlign w:val="bottom"/>
            <w:vMerge w:val="restart"/>
          </w:tcPr>
          <w:p>
            <w:pPr>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3680" w:type="dxa"/>
            <w:vAlign w:val="bottom"/>
            <w:gridSpan w:val="2"/>
          </w:tcPr>
          <w:p>
            <w:pPr>
              <w:ind w:left="202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21"/>
                <w:szCs w:val="21"/>
                <w:color w:val="auto"/>
              </w:rPr>
            </w:pPr>
          </w:p>
        </w:tc>
        <w:tc>
          <w:tcPr>
            <w:tcW w:w="1880" w:type="dxa"/>
            <w:vAlign w:val="bottom"/>
            <w:vMerge w:val="continue"/>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4560" w:type="dxa"/>
            <w:vAlign w:val="bottom"/>
            <w:gridSpan w:val="3"/>
          </w:tcPr>
          <w:p>
            <w:pPr>
              <w:spacing w:after="0"/>
              <w:rPr>
                <w:sz w:val="20"/>
                <w:szCs w:val="20"/>
                <w:color w:val="auto"/>
              </w:rPr>
            </w:pPr>
            <w:r>
              <w:rPr>
                <w:rFonts w:ascii="Courier New" w:cs="Courier New" w:eastAsia="Courier New" w:hAnsi="Courier New"/>
                <w:sz w:val="15"/>
                <w:szCs w:val="15"/>
                <w:color w:val="auto"/>
                <w:w w:val="98"/>
              </w:rPr>
              <w:t>The number of shares of Common Stock outstanding as</w:t>
            </w:r>
          </w:p>
        </w:tc>
        <w:tc>
          <w:tcPr>
            <w:tcW w:w="1880" w:type="dxa"/>
            <w:vAlign w:val="bottom"/>
          </w:tcPr>
          <w:p>
            <w:pPr>
              <w:spacing w:after="0"/>
              <w:rPr>
                <w:sz w:val="20"/>
                <w:szCs w:val="20"/>
                <w:color w:val="auto"/>
              </w:rPr>
            </w:pPr>
            <w:r>
              <w:rPr>
                <w:rFonts w:ascii="Courier New" w:cs="Courier New" w:eastAsia="Courier New" w:hAnsi="Courier New"/>
                <w:sz w:val="15"/>
                <w:szCs w:val="15"/>
                <w:color w:val="auto"/>
                <w:w w:val="98"/>
              </w:rPr>
              <w:t>of April 28, 1995 was</w:t>
            </w: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2280" w:type="dxa"/>
            <w:vAlign w:val="bottom"/>
          </w:tcPr>
          <w:p>
            <w:pPr>
              <w:spacing w:after="0"/>
              <w:rPr>
                <w:sz w:val="20"/>
                <w:szCs w:val="20"/>
                <w:color w:val="auto"/>
              </w:rPr>
            </w:pPr>
            <w:r>
              <w:rPr>
                <w:rFonts w:ascii="Courier New" w:cs="Courier New" w:eastAsia="Courier New" w:hAnsi="Courier New"/>
                <w:sz w:val="15"/>
                <w:szCs w:val="15"/>
                <w:color w:val="auto"/>
              </w:rPr>
              <w:t>12,763,886.</w:t>
            </w:r>
          </w:p>
        </w:tc>
        <w:tc>
          <w:tcPr>
            <w:tcW w:w="14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180" w:hanging="170"/>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5"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542" w:right="1440" w:bottom="1440" w:gutter="0" w:footer="0" w:header="0"/>
          <w:type w:val="continuous"/>
        </w:sectPr>
      </w:pPr>
    </w:p>
    <w:bookmarkStart w:id="1" w:name="page2"/>
    <w:bookmarkEnd w:id="1"/>
    <w:p>
      <w:pPr>
        <w:ind w:left="2800"/>
        <w:spacing w:after="0"/>
        <w:rPr>
          <w:sz w:val="20"/>
          <w:szCs w:val="20"/>
          <w:color w:val="auto"/>
        </w:rPr>
      </w:pPr>
      <w:r>
        <w:rPr>
          <w:rFonts w:ascii="Courier New" w:cs="Courier New" w:eastAsia="Courier New" w:hAnsi="Courier New"/>
          <w:sz w:val="15"/>
          <w:szCs w:val="15"/>
          <w:color w:val="auto"/>
        </w:rPr>
        <w:t>THE TORO COMPANY</w:t>
      </w:r>
    </w:p>
    <w:p>
      <w:pPr>
        <w:spacing w:after="0" w:line="24"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INDEX TO FORM 10-Q</w:t>
      </w:r>
    </w:p>
    <w:p>
      <w:pPr>
        <w:spacing w:after="0" w:line="200" w:lineRule="exact"/>
        <w:rPr>
          <w:sz w:val="20"/>
          <w:szCs w:val="20"/>
          <w:color w:val="auto"/>
        </w:rPr>
      </w:pPr>
    </w:p>
    <w:p>
      <w:pPr>
        <w:spacing w:after="0" w:line="27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PAGE NUMBER</w:t>
      </w:r>
    </w:p>
    <w:p>
      <w:pPr>
        <w:spacing w:after="0" w:line="24"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PART I.</w:t>
      </w:r>
      <w:r>
        <w:rPr>
          <w:sz w:val="20"/>
          <w:szCs w:val="20"/>
          <w:color w:val="auto"/>
        </w:rPr>
        <w:tab/>
      </w:r>
      <w:r>
        <w:rPr>
          <w:rFonts w:ascii="Courier New" w:cs="Courier New" w:eastAsia="Courier New" w:hAnsi="Courier New"/>
          <w:sz w:val="14"/>
          <w:szCs w:val="14"/>
          <w:color w:val="auto"/>
        </w:rPr>
        <w:t>FINANCIAL INFORMATION:</w:t>
      </w:r>
    </w:p>
    <w:p>
      <w:pPr>
        <w:spacing w:after="0" w:line="16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Condensed Consolidated Statements of Operations and</w:t>
      </w:r>
    </w:p>
    <w:p>
      <w:pPr>
        <w:spacing w:after="0" w:line="23"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Retained Earnings -</w:t>
      </w:r>
    </w:p>
    <w:p>
      <w:pPr>
        <w:ind w:left="1140"/>
        <w:spacing w:after="0" w:line="237" w:lineRule="auto"/>
        <w:rPr>
          <w:sz w:val="20"/>
          <w:szCs w:val="20"/>
          <w:color w:val="auto"/>
        </w:rPr>
      </w:pPr>
      <w:r>
        <w:rPr>
          <w:rFonts w:ascii="Courier New" w:cs="Courier New" w:eastAsia="Courier New" w:hAnsi="Courier New"/>
          <w:sz w:val="15"/>
          <w:szCs w:val="15"/>
          <w:color w:val="auto"/>
        </w:rPr>
        <w:t>Three and Nine Months Ended</w:t>
      </w:r>
    </w:p>
    <w:p>
      <w:pPr>
        <w:ind w:left="1140"/>
        <w:spacing w:after="0"/>
        <w:rPr>
          <w:sz w:val="20"/>
          <w:szCs w:val="20"/>
          <w:color w:val="auto"/>
        </w:rPr>
      </w:pPr>
      <w:r>
        <w:rPr>
          <w:rFonts w:ascii="Courier New" w:cs="Courier New" w:eastAsia="Courier New" w:hAnsi="Courier New"/>
          <w:sz w:val="15"/>
          <w:szCs w:val="15"/>
          <w:color w:val="auto"/>
        </w:rPr>
        <w:t>April 28, 1995 and April 29, 1994 . . . . . . . . . . . . . 3</w:t>
      </w:r>
    </w:p>
    <w:p>
      <w:pPr>
        <w:spacing w:after="0" w:line="140"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Condensed Consolidated Balance Sheets -</w:t>
      </w:r>
    </w:p>
    <w:p>
      <w:pPr>
        <w:spacing w:after="0" w:line="24"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April 28, 1995, April 29, 1994 and July 31, 1994. . . . . . 4</w:t>
      </w:r>
    </w:p>
    <w:p>
      <w:pPr>
        <w:spacing w:after="0" w:line="140"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Consolidated Statements of Cash Flows -</w:t>
      </w:r>
    </w:p>
    <w:p>
      <w:pPr>
        <w:spacing w:after="0" w:line="24"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Nine Months Ended April 28, 1995 and April 29, 1994 . . . . 5</w:t>
      </w:r>
    </w:p>
    <w:p>
      <w:pPr>
        <w:spacing w:after="0" w:line="140"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Condensed Consolidated Financial Statements. . . . . 6</w:t>
      </w:r>
    </w:p>
    <w:p>
      <w:pPr>
        <w:spacing w:after="0" w:line="16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Management's Discussion and Analysis of Financial</w:t>
      </w:r>
    </w:p>
    <w:p>
      <w:pPr>
        <w:spacing w:after="0" w:line="24"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Condition and Results of Operations . . . . . . . . . . . 7-8</w:t>
      </w:r>
    </w:p>
    <w:p>
      <w:pPr>
        <w:spacing w:after="0" w:line="30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PART II.</w:t>
      </w:r>
      <w:r>
        <w:rPr>
          <w:sz w:val="20"/>
          <w:szCs w:val="20"/>
          <w:color w:val="auto"/>
        </w:rPr>
        <w:tab/>
      </w:r>
      <w:r>
        <w:rPr>
          <w:rFonts w:ascii="Courier New" w:cs="Courier New" w:eastAsia="Courier New" w:hAnsi="Courier New"/>
          <w:sz w:val="14"/>
          <w:szCs w:val="14"/>
          <w:color w:val="auto"/>
        </w:rPr>
        <w:t>OTHER INFORMATION:</w:t>
      </w:r>
    </w:p>
    <w:p>
      <w:pPr>
        <w:spacing w:after="0" w:line="166" w:lineRule="exact"/>
        <w:rPr>
          <w:sz w:val="20"/>
          <w:szCs w:val="20"/>
          <w:color w:val="auto"/>
        </w:rPr>
      </w:pPr>
    </w:p>
    <w:p>
      <w:pPr>
        <w:ind w:left="980"/>
        <w:spacing w:after="0"/>
        <w:tabs>
          <w:tab w:leader="none" w:pos="166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Exhibits and Reports on Form 8-K. . . . . . . . . . . 9</w:t>
      </w:r>
    </w:p>
    <w:p>
      <w:pPr>
        <w:spacing w:after="0" w:line="166" w:lineRule="exact"/>
        <w:rPr>
          <w:sz w:val="20"/>
          <w:szCs w:val="20"/>
          <w:color w:val="auto"/>
        </w:rPr>
      </w:pPr>
    </w:p>
    <w:p>
      <w:pPr>
        <w:ind w:left="1140"/>
        <w:spacing w:after="0"/>
        <w:tabs>
          <w:tab w:leader="none" w:pos="2180" w:val="left"/>
        </w:tabs>
        <w:rPr>
          <w:sz w:val="20"/>
          <w:szCs w:val="20"/>
          <w:color w:val="auto"/>
        </w:rPr>
      </w:pPr>
      <w:r>
        <w:rPr>
          <w:rFonts w:ascii="Courier New" w:cs="Courier New" w:eastAsia="Courier New" w:hAnsi="Courier New"/>
          <w:sz w:val="15"/>
          <w:szCs w:val="15"/>
          <w:color w:val="auto"/>
        </w:rPr>
        <w:t>Exhibit 11</w:t>
      </w:r>
      <w:r>
        <w:rPr>
          <w:sz w:val="20"/>
          <w:szCs w:val="20"/>
          <w:color w:val="auto"/>
        </w:rPr>
        <w:tab/>
      </w:r>
      <w:r>
        <w:rPr>
          <w:rFonts w:ascii="Courier New" w:cs="Courier New" w:eastAsia="Courier New" w:hAnsi="Courier New"/>
          <w:sz w:val="14"/>
          <w:szCs w:val="14"/>
          <w:color w:val="auto"/>
        </w:rPr>
        <w:t>Computation of Earnings Per Common Share. . . .10</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598" w:right="1440" w:bottom="1440" w:gutter="0" w:footer="0" w:header="0"/>
        </w:sectPr>
      </w:pPr>
    </w:p>
    <w:bookmarkStart w:id="2" w:name="page3"/>
    <w:bookmarkEnd w:id="2"/>
    <w:p>
      <w:pPr>
        <w:jc w:val="center"/>
        <w:ind w:right="3240"/>
        <w:spacing w:after="0"/>
        <w:rPr>
          <w:sz w:val="20"/>
          <w:szCs w:val="20"/>
          <w:color w:val="auto"/>
        </w:rPr>
      </w:pPr>
      <w:r>
        <w:rPr>
          <w:rFonts w:ascii="Courier New" w:cs="Courier New" w:eastAsia="Courier New" w:hAnsi="Courier New"/>
          <w:sz w:val="15"/>
          <w:szCs w:val="15"/>
          <w:color w:val="auto"/>
        </w:rPr>
        <w:t>PART I. FINANCIAL INFORMATION</w:t>
      </w:r>
    </w:p>
    <w:p>
      <w:pPr>
        <w:spacing w:after="0" w:line="166" w:lineRule="exact"/>
        <w:rPr>
          <w:sz w:val="20"/>
          <w:szCs w:val="20"/>
          <w:color w:val="auto"/>
        </w:rPr>
      </w:pPr>
    </w:p>
    <w:p>
      <w:pPr>
        <w:jc w:val="center"/>
        <w:ind w:right="3240"/>
        <w:spacing w:after="0"/>
        <w:rPr>
          <w:sz w:val="20"/>
          <w:szCs w:val="20"/>
          <w:color w:val="auto"/>
        </w:rPr>
      </w:pPr>
      <w:r>
        <w:rPr>
          <w:rFonts w:ascii="Courier New" w:cs="Courier New" w:eastAsia="Courier New" w:hAnsi="Courier New"/>
          <w:sz w:val="15"/>
          <w:szCs w:val="15"/>
          <w:color w:val="auto"/>
        </w:rPr>
        <w:t>THE TORO COMPANY AND SUBSIDIARIES</w:t>
      </w:r>
    </w:p>
    <w:p>
      <w:pPr>
        <w:spacing w:after="0" w:line="24" w:lineRule="exact"/>
        <w:rPr>
          <w:sz w:val="20"/>
          <w:szCs w:val="20"/>
          <w:color w:val="auto"/>
        </w:rPr>
      </w:pPr>
    </w:p>
    <w:p>
      <w:pPr>
        <w:jc w:val="center"/>
        <w:ind w:right="3320"/>
        <w:spacing w:after="0"/>
        <w:rPr>
          <w:sz w:val="20"/>
          <w:szCs w:val="20"/>
          <w:color w:val="auto"/>
        </w:rPr>
      </w:pPr>
      <w:r>
        <w:rPr>
          <w:rFonts w:ascii="Courier New" w:cs="Courier New" w:eastAsia="Courier New" w:hAnsi="Courier New"/>
          <w:sz w:val="14"/>
          <w:szCs w:val="14"/>
          <w:color w:val="auto"/>
        </w:rPr>
        <w:t>CONDENSED CONSOLIDATED STATEMENTS OF OPERATIONS AND RETAINED EARNINGS(UNAUDITED)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20" w:type="dxa"/>
            <w:vAlign w:val="bottom"/>
            <w:gridSpan w:val="3"/>
          </w:tcPr>
          <w:p>
            <w:pPr>
              <w:jc w:val="right"/>
              <w:ind w:right="227"/>
              <w:spacing w:after="0"/>
              <w:rPr>
                <w:sz w:val="20"/>
                <w:szCs w:val="20"/>
                <w:color w:val="auto"/>
              </w:rPr>
            </w:pPr>
            <w:r>
              <w:rPr>
                <w:rFonts w:ascii="Courier New" w:cs="Courier New" w:eastAsia="Courier New" w:hAnsi="Courier New"/>
                <w:sz w:val="15"/>
                <w:szCs w:val="15"/>
                <w:color w:val="auto"/>
              </w:rPr>
              <w:t>(DOLLARS IN THOUSANDS, EXCEPT PER-SHARE DATA)</w:t>
            </w:r>
          </w:p>
        </w:tc>
        <w:tc>
          <w:tcPr>
            <w:tcW w:w="4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38"/>
        </w:trPr>
        <w:tc>
          <w:tcPr>
            <w:tcW w:w="4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00" w:type="dxa"/>
            <w:vAlign w:val="bottom"/>
            <w:gridSpan w:val="3"/>
          </w:tcPr>
          <w:p>
            <w:pPr>
              <w:jc w:val="right"/>
              <w:ind w:right="707"/>
              <w:spacing w:after="0"/>
              <w:rPr>
                <w:sz w:val="20"/>
                <w:szCs w:val="20"/>
                <w:color w:val="auto"/>
              </w:rPr>
            </w:pPr>
            <w:r>
              <w:rPr>
                <w:rFonts w:ascii="Courier New" w:cs="Courier New" w:eastAsia="Courier New" w:hAnsi="Courier New"/>
                <w:sz w:val="15"/>
                <w:szCs w:val="15"/>
                <w:color w:val="auto"/>
              </w:rPr>
              <w:t>THREE MONTHS ENDED</w:t>
            </w:r>
          </w:p>
        </w:tc>
        <w:tc>
          <w:tcPr>
            <w:tcW w:w="360" w:type="dxa"/>
            <w:vAlign w:val="bottom"/>
          </w:tcPr>
          <w:p>
            <w:pPr>
              <w:spacing w:after="0"/>
              <w:rPr>
                <w:sz w:val="24"/>
                <w:szCs w:val="24"/>
                <w:color w:val="auto"/>
              </w:rPr>
            </w:pPr>
          </w:p>
        </w:tc>
        <w:tc>
          <w:tcPr>
            <w:tcW w:w="2540" w:type="dxa"/>
            <w:vAlign w:val="bottom"/>
            <w:gridSpan w:val="3"/>
          </w:tcPr>
          <w:p>
            <w:pPr>
              <w:jc w:val="right"/>
              <w:ind w:right="627"/>
              <w:spacing w:after="0"/>
              <w:rPr>
                <w:sz w:val="20"/>
                <w:szCs w:val="20"/>
                <w:color w:val="auto"/>
              </w:rPr>
            </w:pPr>
            <w:r>
              <w:rPr>
                <w:rFonts w:ascii="Courier New" w:cs="Courier New" w:eastAsia="Courier New" w:hAnsi="Courier New"/>
                <w:sz w:val="15"/>
                <w:szCs w:val="15"/>
                <w:color w:val="auto"/>
              </w:rPr>
              <w:t>NINE MONTHS ENDED</w:t>
            </w:r>
          </w:p>
        </w:tc>
        <w:tc>
          <w:tcPr>
            <w:tcW w:w="0" w:type="dxa"/>
            <w:vAlign w:val="bottom"/>
          </w:tcPr>
          <w:p>
            <w:pPr>
              <w:spacing w:after="0"/>
              <w:rPr>
                <w:sz w:val="1"/>
                <w:szCs w:val="1"/>
                <w:color w:val="auto"/>
              </w:rPr>
            </w:pPr>
          </w:p>
        </w:tc>
      </w:tr>
      <w:tr>
        <w:trPr>
          <w:trHeight w:val="168"/>
        </w:trPr>
        <w:tc>
          <w:tcPr>
            <w:tcW w:w="4380" w:type="dxa"/>
            <w:vAlign w:val="bottom"/>
          </w:tcPr>
          <w:p>
            <w:pPr>
              <w:spacing w:after="0"/>
              <w:rPr>
                <w:sz w:val="14"/>
                <w:szCs w:val="14"/>
                <w:color w:val="auto"/>
              </w:rPr>
            </w:pPr>
          </w:p>
        </w:tc>
        <w:tc>
          <w:tcPr>
            <w:tcW w:w="360" w:type="dxa"/>
            <w:vAlign w:val="bottom"/>
          </w:tcPr>
          <w:p>
            <w:pPr>
              <w:ind w:left="100"/>
              <w:spacing w:after="0"/>
              <w:rPr>
                <w:sz w:val="20"/>
                <w:szCs w:val="20"/>
                <w:color w:val="auto"/>
              </w:rPr>
            </w:pPr>
            <w:r>
              <w:rPr>
                <w:rFonts w:ascii="Courier New" w:cs="Courier New" w:eastAsia="Courier New" w:hAnsi="Courier New"/>
                <w:sz w:val="1"/>
                <w:szCs w:val="1"/>
                <w:color w:val="auto"/>
              </w:rPr>
              <w:t>-------------------------------</w:t>
            </w:r>
          </w:p>
        </w:tc>
        <w:tc>
          <w:tcPr>
            <w:tcW w:w="108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w w:val="93"/>
              </w:rPr>
              <w:t>April 28,</w:t>
            </w:r>
          </w:p>
        </w:tc>
        <w:tc>
          <w:tcPr>
            <w:tcW w:w="440" w:type="dxa"/>
            <w:vAlign w:val="bottom"/>
          </w:tcPr>
          <w:p>
            <w:pPr>
              <w:spacing w:after="0"/>
              <w:rPr>
                <w:sz w:val="14"/>
                <w:szCs w:val="14"/>
                <w:color w:val="auto"/>
              </w:rPr>
            </w:pPr>
          </w:p>
        </w:tc>
        <w:tc>
          <w:tcPr>
            <w:tcW w:w="118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April 29,</w:t>
            </w:r>
          </w:p>
        </w:tc>
        <w:tc>
          <w:tcPr>
            <w:tcW w:w="290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April 28,</w:t>
            </w:r>
          </w:p>
        </w:tc>
        <w:tc>
          <w:tcPr>
            <w:tcW w:w="340" w:type="dxa"/>
            <w:vAlign w:val="bottom"/>
          </w:tcPr>
          <w:p>
            <w:pPr>
              <w:spacing w:after="0"/>
              <w:rPr>
                <w:sz w:val="14"/>
                <w:szCs w:val="14"/>
                <w:color w:val="auto"/>
              </w:rPr>
            </w:pP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April 29,</w:t>
            </w:r>
          </w:p>
        </w:tc>
        <w:tc>
          <w:tcPr>
            <w:tcW w:w="0" w:type="dxa"/>
            <w:vAlign w:val="bottom"/>
          </w:tcPr>
          <w:p>
            <w:pPr>
              <w:spacing w:after="0"/>
              <w:rPr>
                <w:sz w:val="1"/>
                <w:szCs w:val="1"/>
                <w:color w:val="auto"/>
              </w:rPr>
            </w:pPr>
          </w:p>
        </w:tc>
      </w:tr>
      <w:tr>
        <w:trPr>
          <w:trHeight w:val="168"/>
        </w:trPr>
        <w:tc>
          <w:tcPr>
            <w:tcW w:w="4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1995</w:t>
            </w:r>
          </w:p>
        </w:tc>
        <w:tc>
          <w:tcPr>
            <w:tcW w:w="440" w:type="dxa"/>
            <w:vAlign w:val="bottom"/>
          </w:tcPr>
          <w:p>
            <w:pPr>
              <w:spacing w:after="0"/>
              <w:rPr>
                <w:sz w:val="14"/>
                <w:szCs w:val="14"/>
                <w:color w:val="auto"/>
              </w:rPr>
            </w:pPr>
          </w:p>
        </w:tc>
        <w:tc>
          <w:tcPr>
            <w:tcW w:w="11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1994</w:t>
            </w:r>
          </w:p>
        </w:tc>
        <w:tc>
          <w:tcPr>
            <w:tcW w:w="360" w:type="dxa"/>
            <w:vAlign w:val="bottom"/>
          </w:tcPr>
          <w:p>
            <w:pPr>
              <w:spacing w:after="0"/>
              <w:rPr>
                <w:sz w:val="14"/>
                <w:szCs w:val="14"/>
                <w:color w:val="auto"/>
              </w:rPr>
            </w:pPr>
          </w:p>
        </w:tc>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1995</w:t>
            </w:r>
          </w:p>
        </w:tc>
        <w:tc>
          <w:tcPr>
            <w:tcW w:w="340" w:type="dxa"/>
            <w:vAlign w:val="bottom"/>
          </w:tcPr>
          <w:p>
            <w:pPr>
              <w:spacing w:after="0"/>
              <w:rPr>
                <w:sz w:val="14"/>
                <w:szCs w:val="14"/>
                <w:color w:val="auto"/>
              </w:rPr>
            </w:pP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1994</w:t>
            </w:r>
          </w:p>
        </w:tc>
        <w:tc>
          <w:tcPr>
            <w:tcW w:w="0" w:type="dxa"/>
            <w:vAlign w:val="bottom"/>
          </w:tcPr>
          <w:p>
            <w:pPr>
              <w:spacing w:after="0"/>
              <w:rPr>
                <w:sz w:val="1"/>
                <w:szCs w:val="1"/>
                <w:color w:val="auto"/>
              </w:rPr>
            </w:pPr>
          </w:p>
        </w:tc>
      </w:tr>
      <w:tr>
        <w:trPr>
          <w:trHeight w:val="245"/>
        </w:trPr>
        <w:tc>
          <w:tcPr>
            <w:tcW w:w="4380" w:type="dxa"/>
            <w:vAlign w:val="bottom"/>
          </w:tcPr>
          <w:p>
            <w:pPr>
              <w:spacing w:after="0"/>
              <w:rPr>
                <w:sz w:val="21"/>
                <w:szCs w:val="21"/>
                <w:color w:val="auto"/>
              </w:rPr>
            </w:pPr>
          </w:p>
        </w:tc>
        <w:tc>
          <w:tcPr>
            <w:tcW w:w="14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4380" w:type="dxa"/>
            <w:vAlign w:val="bottom"/>
          </w:tcPr>
          <w:p>
            <w:pPr>
              <w:spacing w:after="0"/>
              <w:rPr>
                <w:sz w:val="20"/>
                <w:szCs w:val="20"/>
                <w:color w:val="auto"/>
              </w:rPr>
            </w:pPr>
            <w:r>
              <w:rPr>
                <w:rFonts w:ascii="Courier New" w:cs="Courier New" w:eastAsia="Courier New" w:hAnsi="Courier New"/>
                <w:sz w:val="15"/>
                <w:szCs w:val="15"/>
                <w:color w:val="auto"/>
              </w:rPr>
              <w:t>Net sales. . . . . . . . . . . . . . . . . . . .</w:t>
            </w: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310,613</w:t>
            </w:r>
          </w:p>
        </w:tc>
        <w:tc>
          <w:tcPr>
            <w:tcW w:w="4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276,476</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730,267</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601,650</w:t>
            </w:r>
          </w:p>
        </w:tc>
        <w:tc>
          <w:tcPr>
            <w:tcW w:w="0" w:type="dxa"/>
            <w:vAlign w:val="bottom"/>
          </w:tcPr>
          <w:p>
            <w:pPr>
              <w:spacing w:after="0"/>
              <w:rPr>
                <w:sz w:val="1"/>
                <w:szCs w:val="1"/>
                <w:color w:val="auto"/>
              </w:rPr>
            </w:pP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sales. . . . . . . . . . . . . . . . . .</w:t>
            </w:r>
          </w:p>
        </w:tc>
        <w:tc>
          <w:tcPr>
            <w:tcW w:w="36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203,271</w:t>
            </w:r>
          </w:p>
        </w:tc>
        <w:tc>
          <w:tcPr>
            <w:tcW w:w="44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178,787</w:t>
            </w:r>
          </w:p>
        </w:tc>
        <w:tc>
          <w:tcPr>
            <w:tcW w:w="36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470,792</w:t>
            </w:r>
          </w:p>
        </w:tc>
        <w:tc>
          <w:tcPr>
            <w:tcW w:w="340" w:type="dxa"/>
            <w:vAlign w:val="bottom"/>
          </w:tcPr>
          <w:p>
            <w:pPr>
              <w:spacing w:after="0"/>
              <w:rPr>
                <w:sz w:val="14"/>
                <w:szCs w:val="14"/>
                <w:color w:val="auto"/>
              </w:rPr>
            </w:pP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388,339</w:t>
            </w:r>
          </w:p>
        </w:tc>
        <w:tc>
          <w:tcPr>
            <w:tcW w:w="0" w:type="dxa"/>
            <w:vAlign w:val="bottom"/>
          </w:tcPr>
          <w:p>
            <w:pPr>
              <w:spacing w:after="0"/>
              <w:rPr>
                <w:sz w:val="1"/>
                <w:szCs w:val="1"/>
                <w:color w:val="auto"/>
              </w:rPr>
            </w:pPr>
          </w:p>
        </w:tc>
      </w:tr>
      <w:tr>
        <w:trPr>
          <w:trHeight w:val="168"/>
        </w:trPr>
        <w:tc>
          <w:tcPr>
            <w:tcW w:w="4380" w:type="dxa"/>
            <w:vAlign w:val="bottom"/>
            <w:vMerge w:val="restart"/>
          </w:tcPr>
          <w:p>
            <w:pPr>
              <w:ind w:left="540"/>
              <w:spacing w:after="0"/>
              <w:rPr>
                <w:sz w:val="20"/>
                <w:szCs w:val="20"/>
                <w:color w:val="auto"/>
              </w:rPr>
            </w:pPr>
            <w:r>
              <w:rPr>
                <w:rFonts w:ascii="Courier New" w:cs="Courier New" w:eastAsia="Courier New" w:hAnsi="Courier New"/>
                <w:sz w:val="15"/>
                <w:szCs w:val="15"/>
                <w:color w:val="auto"/>
              </w:rPr>
              <w:t>Gross profit . . . . . . . . . . . . .</w:t>
            </w:r>
          </w:p>
        </w:tc>
        <w:tc>
          <w:tcPr>
            <w:tcW w:w="360" w:type="dxa"/>
            <w:vAlign w:val="bottom"/>
          </w:tcPr>
          <w:p>
            <w:pPr>
              <w:ind w:left="100"/>
              <w:spacing w:after="0"/>
              <w:rPr>
                <w:sz w:val="20"/>
                <w:szCs w:val="20"/>
                <w:color w:val="auto"/>
              </w:rPr>
            </w:pPr>
            <w:r>
              <w:rPr>
                <w:rFonts w:ascii="Courier New" w:cs="Courier New" w:eastAsia="Courier New" w:hAnsi="Courier New"/>
                <w:sz w:val="4"/>
                <w:szCs w:val="4"/>
                <w:color w:val="auto"/>
                <w:w w:val="76"/>
              </w:rPr>
              <w:t>-------------</w:t>
            </w:r>
          </w:p>
        </w:tc>
        <w:tc>
          <w:tcPr>
            <w:tcW w:w="10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107,342</w:t>
            </w:r>
          </w:p>
        </w:tc>
        <w:tc>
          <w:tcPr>
            <w:tcW w:w="16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380" w:type="dxa"/>
            <w:vAlign w:val="bottom"/>
            <w:vMerge w:val="continue"/>
          </w:tcPr>
          <w:p>
            <w:pPr>
              <w:ind w:left="3940"/>
              <w:spacing w:after="0" w:line="148" w:lineRule="exact"/>
              <w:rPr>
                <w:sz w:val="20"/>
                <w:szCs w:val="20"/>
                <w:color w:val="auto"/>
              </w:rPr>
            </w:pPr>
            <w:r>
              <w:rPr>
                <w:rFonts w:ascii="Courier New" w:cs="Courier New" w:eastAsia="Courier New" w:hAnsi="Courier New"/>
                <w:sz w:val="15"/>
                <w:szCs w:val="15"/>
                <w:color w:val="auto"/>
              </w:rPr>
              <w:t>. .</w:t>
            </w:r>
          </w:p>
        </w:tc>
        <w:tc>
          <w:tcPr>
            <w:tcW w:w="36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97,689</w:t>
            </w:r>
          </w:p>
        </w:tc>
        <w:tc>
          <w:tcPr>
            <w:tcW w:w="36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259,475</w:t>
            </w:r>
          </w:p>
        </w:tc>
        <w:tc>
          <w:tcPr>
            <w:tcW w:w="340" w:type="dxa"/>
            <w:vAlign w:val="bottom"/>
          </w:tcPr>
          <w:p>
            <w:pPr>
              <w:spacing w:after="0"/>
              <w:rPr>
                <w:sz w:val="14"/>
                <w:szCs w:val="14"/>
                <w:color w:val="auto"/>
              </w:rPr>
            </w:pP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213,311</w:t>
            </w:r>
          </w:p>
        </w:tc>
        <w:tc>
          <w:tcPr>
            <w:tcW w:w="0" w:type="dxa"/>
            <w:vAlign w:val="bottom"/>
          </w:tcPr>
          <w:p>
            <w:pPr>
              <w:spacing w:after="0"/>
              <w:rPr>
                <w:sz w:val="1"/>
                <w:szCs w:val="1"/>
                <w:color w:val="auto"/>
              </w:rPr>
            </w:pP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Selling, general and administrative</w:t>
            </w:r>
          </w:p>
        </w:tc>
        <w:tc>
          <w:tcPr>
            <w:tcW w:w="360" w:type="dxa"/>
            <w:vAlign w:val="bottom"/>
          </w:tcPr>
          <w:p>
            <w:pPr>
              <w:spacing w:after="0"/>
              <w:rPr>
                <w:sz w:val="14"/>
                <w:szCs w:val="14"/>
                <w:color w:val="auto"/>
              </w:rPr>
            </w:pPr>
          </w:p>
        </w:tc>
        <w:tc>
          <w:tcPr>
            <w:tcW w:w="10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76,245</w:t>
            </w:r>
          </w:p>
        </w:tc>
        <w:tc>
          <w:tcPr>
            <w:tcW w:w="440" w:type="dxa"/>
            <w:vAlign w:val="bottom"/>
          </w:tcPr>
          <w:p>
            <w:pPr>
              <w:spacing w:after="0"/>
              <w:rPr>
                <w:sz w:val="14"/>
                <w:szCs w:val="14"/>
                <w:color w:val="auto"/>
              </w:rPr>
            </w:pPr>
          </w:p>
        </w:tc>
        <w:tc>
          <w:tcPr>
            <w:tcW w:w="11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70,817</w:t>
            </w:r>
          </w:p>
        </w:tc>
        <w:tc>
          <w:tcPr>
            <w:tcW w:w="360" w:type="dxa"/>
            <w:vAlign w:val="bottom"/>
          </w:tcPr>
          <w:p>
            <w:pPr>
              <w:spacing w:after="0"/>
              <w:rPr>
                <w:sz w:val="14"/>
                <w:szCs w:val="14"/>
                <w:color w:val="auto"/>
              </w:rPr>
            </w:pPr>
          </w:p>
        </w:tc>
        <w:tc>
          <w:tcPr>
            <w:tcW w:w="12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202,916</w:t>
            </w:r>
          </w:p>
        </w:tc>
        <w:tc>
          <w:tcPr>
            <w:tcW w:w="34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179,618</w:t>
            </w:r>
          </w:p>
        </w:tc>
        <w:tc>
          <w:tcPr>
            <w:tcW w:w="0" w:type="dxa"/>
            <w:vAlign w:val="bottom"/>
          </w:tcPr>
          <w:p>
            <w:pPr>
              <w:spacing w:after="0"/>
              <w:rPr>
                <w:sz w:val="1"/>
                <w:szCs w:val="1"/>
                <w:color w:val="auto"/>
              </w:rPr>
            </w:pPr>
          </w:p>
        </w:tc>
      </w:tr>
      <w:tr>
        <w:trPr>
          <w:trHeight w:val="168"/>
        </w:trPr>
        <w:tc>
          <w:tcPr>
            <w:tcW w:w="43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expense. . . . . . . . . . . . . . . . . .</w:t>
            </w:r>
          </w:p>
        </w:tc>
        <w:tc>
          <w:tcPr>
            <w:tcW w:w="36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80" w:type="dxa"/>
            <w:vAlign w:val="bottom"/>
            <w:vMerge w:val="restart"/>
          </w:tcPr>
          <w:p>
            <w:pPr>
              <w:ind w:left="540"/>
              <w:spacing w:after="0"/>
              <w:rPr>
                <w:sz w:val="20"/>
                <w:szCs w:val="20"/>
                <w:color w:val="auto"/>
              </w:rPr>
            </w:pPr>
            <w:r>
              <w:rPr>
                <w:rFonts w:ascii="Courier New" w:cs="Courier New" w:eastAsia="Courier New" w:hAnsi="Courier New"/>
                <w:sz w:val="15"/>
                <w:szCs w:val="15"/>
                <w:color w:val="auto"/>
              </w:rPr>
              <w:t>Earnings from operations . . . . . . .</w:t>
            </w:r>
          </w:p>
        </w:tc>
        <w:tc>
          <w:tcPr>
            <w:tcW w:w="360" w:type="dxa"/>
            <w:vAlign w:val="bottom"/>
          </w:tcPr>
          <w:p>
            <w:pPr>
              <w:ind w:left="100"/>
              <w:spacing w:after="0"/>
              <w:rPr>
                <w:sz w:val="20"/>
                <w:szCs w:val="20"/>
                <w:color w:val="auto"/>
              </w:rPr>
            </w:pPr>
            <w:r>
              <w:rPr>
                <w:rFonts w:ascii="Courier New" w:cs="Courier New" w:eastAsia="Courier New" w:hAnsi="Courier New"/>
                <w:sz w:val="4"/>
                <w:szCs w:val="4"/>
                <w:color w:val="auto"/>
                <w:w w:val="76"/>
              </w:rPr>
              <w:t>-------------</w:t>
            </w:r>
          </w:p>
        </w:tc>
        <w:tc>
          <w:tcPr>
            <w:tcW w:w="10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31,097</w:t>
            </w:r>
          </w:p>
        </w:tc>
        <w:tc>
          <w:tcPr>
            <w:tcW w:w="16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380" w:type="dxa"/>
            <w:vAlign w:val="bottom"/>
            <w:vMerge w:val="continue"/>
          </w:tcPr>
          <w:p>
            <w:pPr>
              <w:ind w:left="3940"/>
              <w:spacing w:after="0" w:line="148" w:lineRule="exact"/>
              <w:rPr>
                <w:sz w:val="20"/>
                <w:szCs w:val="20"/>
                <w:color w:val="auto"/>
              </w:rPr>
            </w:pPr>
            <w:r>
              <w:rPr>
                <w:rFonts w:ascii="Courier New" w:cs="Courier New" w:eastAsia="Courier New" w:hAnsi="Courier New"/>
                <w:sz w:val="15"/>
                <w:szCs w:val="15"/>
                <w:color w:val="auto"/>
              </w:rPr>
              <w:t>. .</w:t>
            </w:r>
          </w:p>
        </w:tc>
        <w:tc>
          <w:tcPr>
            <w:tcW w:w="36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26,872</w:t>
            </w:r>
          </w:p>
        </w:tc>
        <w:tc>
          <w:tcPr>
            <w:tcW w:w="36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56,559</w:t>
            </w:r>
          </w:p>
        </w:tc>
        <w:tc>
          <w:tcPr>
            <w:tcW w:w="340" w:type="dxa"/>
            <w:vAlign w:val="bottom"/>
          </w:tcPr>
          <w:p>
            <w:pPr>
              <w:spacing w:after="0"/>
              <w:rPr>
                <w:sz w:val="14"/>
                <w:szCs w:val="14"/>
                <w:color w:val="auto"/>
              </w:rPr>
            </w:pP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33,693</w:t>
            </w:r>
          </w:p>
        </w:tc>
        <w:tc>
          <w:tcPr>
            <w:tcW w:w="0" w:type="dxa"/>
            <w:vAlign w:val="bottom"/>
          </w:tcPr>
          <w:p>
            <w:pPr>
              <w:spacing w:after="0"/>
              <w:rPr>
                <w:sz w:val="1"/>
                <w:szCs w:val="1"/>
                <w:color w:val="auto"/>
              </w:rPr>
            </w:pP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 . . . . . . . . . . . . . . . .</w:t>
            </w:r>
          </w:p>
        </w:tc>
        <w:tc>
          <w:tcPr>
            <w:tcW w:w="36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3,428</w:t>
            </w:r>
          </w:p>
        </w:tc>
        <w:tc>
          <w:tcPr>
            <w:tcW w:w="44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3,631</w:t>
            </w:r>
          </w:p>
        </w:tc>
        <w:tc>
          <w:tcPr>
            <w:tcW w:w="36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8,503</w:t>
            </w:r>
          </w:p>
        </w:tc>
        <w:tc>
          <w:tcPr>
            <w:tcW w:w="340" w:type="dxa"/>
            <w:vAlign w:val="bottom"/>
          </w:tcPr>
          <w:p>
            <w:pPr>
              <w:spacing w:after="0"/>
              <w:rPr>
                <w:sz w:val="14"/>
                <w:szCs w:val="14"/>
                <w:color w:val="auto"/>
              </w:rPr>
            </w:pP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10,178</w:t>
            </w:r>
          </w:p>
        </w:tc>
        <w:tc>
          <w:tcPr>
            <w:tcW w:w="0" w:type="dxa"/>
            <w:vAlign w:val="bottom"/>
          </w:tcPr>
          <w:p>
            <w:pPr>
              <w:spacing w:after="0"/>
              <w:rPr>
                <w:sz w:val="1"/>
                <w:szCs w:val="1"/>
                <w:color w:val="auto"/>
              </w:rPr>
            </w:pP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net. . . . . . . . . . . . . . . .</w:t>
            </w:r>
          </w:p>
        </w:tc>
        <w:tc>
          <w:tcPr>
            <w:tcW w:w="36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(1,563)</w:t>
            </w:r>
          </w:p>
        </w:tc>
        <w:tc>
          <w:tcPr>
            <w:tcW w:w="44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(2,820)</w:t>
            </w:r>
          </w:p>
        </w:tc>
        <w:tc>
          <w:tcPr>
            <w:tcW w:w="36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(6,344)</w:t>
            </w:r>
          </w:p>
        </w:tc>
        <w:tc>
          <w:tcPr>
            <w:tcW w:w="340" w:type="dxa"/>
            <w:vAlign w:val="bottom"/>
          </w:tcPr>
          <w:p>
            <w:pPr>
              <w:spacing w:after="0"/>
              <w:rPr>
                <w:sz w:val="14"/>
                <w:szCs w:val="14"/>
                <w:color w:val="auto"/>
              </w:rPr>
            </w:pP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(6,850)</w:t>
            </w:r>
          </w:p>
        </w:tc>
        <w:tc>
          <w:tcPr>
            <w:tcW w:w="0" w:type="dxa"/>
            <w:vAlign w:val="bottom"/>
          </w:tcPr>
          <w:p>
            <w:pPr>
              <w:spacing w:after="0"/>
              <w:rPr>
                <w:sz w:val="1"/>
                <w:szCs w:val="1"/>
                <w:color w:val="auto"/>
              </w:rPr>
            </w:pPr>
          </w:p>
        </w:tc>
      </w:tr>
      <w:tr>
        <w:trPr>
          <w:trHeight w:val="168"/>
        </w:trPr>
        <w:tc>
          <w:tcPr>
            <w:tcW w:w="4380" w:type="dxa"/>
            <w:vAlign w:val="bottom"/>
            <w:vMerge w:val="restart"/>
          </w:tcPr>
          <w:p>
            <w:pPr>
              <w:ind w:left="540"/>
              <w:spacing w:after="0"/>
              <w:rPr>
                <w:sz w:val="20"/>
                <w:szCs w:val="20"/>
                <w:color w:val="auto"/>
              </w:rPr>
            </w:pPr>
            <w:r>
              <w:rPr>
                <w:rFonts w:ascii="Courier New" w:cs="Courier New" w:eastAsia="Courier New" w:hAnsi="Courier New"/>
                <w:sz w:val="15"/>
                <w:szCs w:val="15"/>
                <w:color w:val="auto"/>
              </w:rPr>
              <w:t>Earnings before income taxes . . . . .</w:t>
            </w:r>
          </w:p>
        </w:tc>
        <w:tc>
          <w:tcPr>
            <w:tcW w:w="360" w:type="dxa"/>
            <w:vAlign w:val="bottom"/>
          </w:tcPr>
          <w:p>
            <w:pPr>
              <w:ind w:left="100"/>
              <w:spacing w:after="0"/>
              <w:rPr>
                <w:sz w:val="20"/>
                <w:szCs w:val="20"/>
                <w:color w:val="auto"/>
              </w:rPr>
            </w:pPr>
            <w:r>
              <w:rPr>
                <w:rFonts w:ascii="Courier New" w:cs="Courier New" w:eastAsia="Courier New" w:hAnsi="Courier New"/>
                <w:sz w:val="4"/>
                <w:szCs w:val="4"/>
                <w:color w:val="auto"/>
                <w:w w:val="76"/>
              </w:rPr>
              <w:t>-------------</w:t>
            </w:r>
          </w:p>
        </w:tc>
        <w:tc>
          <w:tcPr>
            <w:tcW w:w="10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29,232</w:t>
            </w:r>
          </w:p>
        </w:tc>
        <w:tc>
          <w:tcPr>
            <w:tcW w:w="16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380" w:type="dxa"/>
            <w:vAlign w:val="bottom"/>
            <w:vMerge w:val="continue"/>
          </w:tcPr>
          <w:p>
            <w:pPr>
              <w:ind w:left="3940"/>
              <w:spacing w:after="0" w:line="148" w:lineRule="exact"/>
              <w:rPr>
                <w:sz w:val="20"/>
                <w:szCs w:val="20"/>
                <w:color w:val="auto"/>
              </w:rPr>
            </w:pPr>
            <w:r>
              <w:rPr>
                <w:rFonts w:ascii="Courier New" w:cs="Courier New" w:eastAsia="Courier New" w:hAnsi="Courier New"/>
                <w:sz w:val="15"/>
                <w:szCs w:val="15"/>
                <w:color w:val="auto"/>
              </w:rPr>
              <w:t>. .</w:t>
            </w:r>
          </w:p>
        </w:tc>
        <w:tc>
          <w:tcPr>
            <w:tcW w:w="36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26,061</w:t>
            </w:r>
          </w:p>
        </w:tc>
        <w:tc>
          <w:tcPr>
            <w:tcW w:w="36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54,400</w:t>
            </w:r>
          </w:p>
        </w:tc>
        <w:tc>
          <w:tcPr>
            <w:tcW w:w="340" w:type="dxa"/>
            <w:vAlign w:val="bottom"/>
          </w:tcPr>
          <w:p>
            <w:pPr>
              <w:spacing w:after="0"/>
              <w:rPr>
                <w:sz w:val="14"/>
                <w:szCs w:val="14"/>
                <w:color w:val="auto"/>
              </w:rPr>
            </w:pP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30,365</w:t>
            </w:r>
          </w:p>
        </w:tc>
        <w:tc>
          <w:tcPr>
            <w:tcW w:w="0" w:type="dxa"/>
            <w:vAlign w:val="bottom"/>
          </w:tcPr>
          <w:p>
            <w:pPr>
              <w:spacing w:after="0"/>
              <w:rPr>
                <w:sz w:val="1"/>
                <w:szCs w:val="1"/>
                <w:color w:val="auto"/>
              </w:rPr>
            </w:pP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 for income taxes . . . . . . . . . . .</w:t>
            </w:r>
          </w:p>
        </w:tc>
        <w:tc>
          <w:tcPr>
            <w:tcW w:w="36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11,693</w:t>
            </w:r>
          </w:p>
        </w:tc>
        <w:tc>
          <w:tcPr>
            <w:tcW w:w="44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10,424</w:t>
            </w:r>
          </w:p>
        </w:tc>
        <w:tc>
          <w:tcPr>
            <w:tcW w:w="36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21,760</w:t>
            </w:r>
          </w:p>
        </w:tc>
        <w:tc>
          <w:tcPr>
            <w:tcW w:w="340" w:type="dxa"/>
            <w:vAlign w:val="bottom"/>
          </w:tcPr>
          <w:p>
            <w:pPr>
              <w:spacing w:after="0"/>
              <w:rPr>
                <w:sz w:val="14"/>
                <w:szCs w:val="14"/>
                <w:color w:val="auto"/>
              </w:rPr>
            </w:pP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12,146</w:t>
            </w:r>
          </w:p>
        </w:tc>
        <w:tc>
          <w:tcPr>
            <w:tcW w:w="0" w:type="dxa"/>
            <w:vAlign w:val="bottom"/>
          </w:tcPr>
          <w:p>
            <w:pPr>
              <w:spacing w:after="0"/>
              <w:rPr>
                <w:sz w:val="1"/>
                <w:szCs w:val="1"/>
                <w:color w:val="auto"/>
              </w:rPr>
            </w:pPr>
          </w:p>
        </w:tc>
      </w:tr>
      <w:tr>
        <w:trPr>
          <w:trHeight w:val="168"/>
        </w:trPr>
        <w:tc>
          <w:tcPr>
            <w:tcW w:w="4380" w:type="dxa"/>
            <w:vAlign w:val="bottom"/>
            <w:vMerge w:val="restart"/>
          </w:tcPr>
          <w:p>
            <w:pPr>
              <w:ind w:left="540"/>
              <w:spacing w:after="0"/>
              <w:rPr>
                <w:sz w:val="20"/>
                <w:szCs w:val="20"/>
                <w:color w:val="auto"/>
              </w:rPr>
            </w:pPr>
            <w:r>
              <w:rPr>
                <w:rFonts w:ascii="Courier New" w:cs="Courier New" w:eastAsia="Courier New" w:hAnsi="Courier New"/>
                <w:sz w:val="15"/>
                <w:szCs w:val="15"/>
                <w:color w:val="auto"/>
              </w:rPr>
              <w:t>Net earnings . . . . . . . . . . . . .</w:t>
            </w:r>
          </w:p>
        </w:tc>
        <w:tc>
          <w:tcPr>
            <w:tcW w:w="360" w:type="dxa"/>
            <w:vAlign w:val="bottom"/>
            <w:vMerge w:val="restart"/>
          </w:tcPr>
          <w:p>
            <w:pPr>
              <w:ind w:left="100"/>
              <w:spacing w:after="0"/>
              <w:rPr>
                <w:sz w:val="20"/>
                <w:szCs w:val="20"/>
                <w:color w:val="auto"/>
              </w:rPr>
            </w:pPr>
            <w:r>
              <w:rPr>
                <w:rFonts w:ascii="Courier New" w:cs="Courier New" w:eastAsia="Courier New" w:hAnsi="Courier New"/>
                <w:sz w:val="7"/>
                <w:szCs w:val="7"/>
                <w:color w:val="auto"/>
                <w:w w:val="70"/>
                <w:vertAlign w:val="subscript"/>
              </w:rPr>
              <w:t>$</w:t>
            </w:r>
            <w:r>
              <w:rPr>
                <w:rFonts w:ascii="Courier New" w:cs="Courier New" w:eastAsia="Courier New" w:hAnsi="Courier New"/>
                <w:sz w:val="4"/>
                <w:szCs w:val="4"/>
                <w:color w:val="auto"/>
                <w:w w:val="70"/>
              </w:rPr>
              <w:t>-------------</w:t>
            </w:r>
          </w:p>
        </w:tc>
        <w:tc>
          <w:tcPr>
            <w:tcW w:w="10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17,539</w:t>
            </w:r>
          </w:p>
        </w:tc>
        <w:tc>
          <w:tcPr>
            <w:tcW w:w="16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380" w:type="dxa"/>
            <w:vAlign w:val="bottom"/>
            <w:vMerge w:val="continue"/>
          </w:tcPr>
          <w:p>
            <w:pPr>
              <w:ind w:left="3940"/>
              <w:spacing w:after="0" w:line="148" w:lineRule="exact"/>
              <w:rPr>
                <w:sz w:val="20"/>
                <w:szCs w:val="20"/>
                <w:color w:val="auto"/>
              </w:rPr>
            </w:pPr>
            <w:r>
              <w:rPr>
                <w:rFonts w:ascii="Courier New" w:cs="Courier New" w:eastAsia="Courier New" w:hAnsi="Courier New"/>
                <w:sz w:val="15"/>
                <w:szCs w:val="15"/>
                <w:color w:val="auto"/>
              </w:rPr>
              <w:t>. .</w:t>
            </w:r>
          </w:p>
        </w:tc>
        <w:tc>
          <w:tcPr>
            <w:tcW w:w="3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4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15,637</w:t>
            </w:r>
          </w:p>
        </w:tc>
        <w:tc>
          <w:tcPr>
            <w:tcW w:w="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32,640</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18,219</w:t>
            </w:r>
          </w:p>
        </w:tc>
        <w:tc>
          <w:tcPr>
            <w:tcW w:w="0" w:type="dxa"/>
            <w:vAlign w:val="bottom"/>
          </w:tcPr>
          <w:p>
            <w:pPr>
              <w:spacing w:after="0"/>
              <w:rPr>
                <w:sz w:val="1"/>
                <w:szCs w:val="1"/>
                <w:color w:val="auto"/>
              </w:rPr>
            </w:pPr>
          </w:p>
        </w:tc>
      </w:tr>
      <w:tr>
        <w:trPr>
          <w:trHeight w:val="168"/>
        </w:trPr>
        <w:tc>
          <w:tcPr>
            <w:tcW w:w="4380" w:type="dxa"/>
            <w:vAlign w:val="bottom"/>
          </w:tcPr>
          <w:p>
            <w:pPr>
              <w:spacing w:after="0"/>
              <w:rPr>
                <w:sz w:val="14"/>
                <w:szCs w:val="14"/>
                <w:color w:val="auto"/>
              </w:rPr>
            </w:pP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4380" w:type="dxa"/>
            <w:vAlign w:val="bottom"/>
          </w:tcPr>
          <w:p>
            <w:pPr>
              <w:spacing w:after="0"/>
              <w:rPr>
                <w:sz w:val="21"/>
                <w:szCs w:val="21"/>
                <w:color w:val="auto"/>
              </w:rPr>
            </w:pPr>
          </w:p>
        </w:tc>
        <w:tc>
          <w:tcPr>
            <w:tcW w:w="14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596"/>
        </w:trPr>
        <w:tc>
          <w:tcPr>
            <w:tcW w:w="4380" w:type="dxa"/>
            <w:vAlign w:val="bottom"/>
          </w:tcPr>
          <w:p>
            <w:pPr>
              <w:spacing w:after="0"/>
              <w:rPr>
                <w:sz w:val="20"/>
                <w:szCs w:val="20"/>
                <w:color w:val="auto"/>
              </w:rPr>
            </w:pPr>
            <w:r>
              <w:rPr>
                <w:rFonts w:ascii="Courier New" w:cs="Courier New" w:eastAsia="Courier New" w:hAnsi="Courier New"/>
                <w:sz w:val="15"/>
                <w:szCs w:val="15"/>
                <w:color w:val="auto"/>
              </w:rPr>
              <w:t>Retained earnings at beginning of period . . . .</w:t>
            </w:r>
          </w:p>
        </w:tc>
        <w:tc>
          <w:tcPr>
            <w:tcW w:w="360" w:type="dxa"/>
            <w:vAlign w:val="bottom"/>
          </w:tcPr>
          <w:p>
            <w:pPr>
              <w:spacing w:after="0"/>
              <w:rPr>
                <w:sz w:val="24"/>
                <w:szCs w:val="24"/>
                <w:color w:val="auto"/>
              </w:rPr>
            </w:pPr>
          </w:p>
        </w:tc>
        <w:tc>
          <w:tcPr>
            <w:tcW w:w="10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121,751</w:t>
            </w:r>
          </w:p>
        </w:tc>
        <w:tc>
          <w:tcPr>
            <w:tcW w:w="440" w:type="dxa"/>
            <w:vAlign w:val="bottom"/>
          </w:tcPr>
          <w:p>
            <w:pPr>
              <w:spacing w:after="0"/>
              <w:rPr>
                <w:sz w:val="24"/>
                <w:szCs w:val="24"/>
                <w:color w:val="auto"/>
              </w:rPr>
            </w:pP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93,063</w:t>
            </w:r>
          </w:p>
        </w:tc>
        <w:tc>
          <w:tcPr>
            <w:tcW w:w="360" w:type="dxa"/>
            <w:vAlign w:val="bottom"/>
          </w:tcPr>
          <w:p>
            <w:pPr>
              <w:spacing w:after="0"/>
              <w:rPr>
                <w:sz w:val="24"/>
                <w:szCs w:val="24"/>
                <w:color w:val="auto"/>
              </w:rPr>
            </w:pP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109,688</w:t>
            </w: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93,451</w:t>
            </w:r>
          </w:p>
        </w:tc>
        <w:tc>
          <w:tcPr>
            <w:tcW w:w="0" w:type="dxa"/>
            <w:vAlign w:val="bottom"/>
          </w:tcPr>
          <w:p>
            <w:pPr>
              <w:spacing w:after="0"/>
              <w:rPr>
                <w:sz w:val="1"/>
                <w:szCs w:val="1"/>
                <w:color w:val="auto"/>
              </w:rPr>
            </w:pP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Dividends on common stock of $0.12, $0.12,</w:t>
            </w:r>
          </w:p>
        </w:tc>
        <w:tc>
          <w:tcPr>
            <w:tcW w:w="360" w:type="dxa"/>
            <w:vAlign w:val="bottom"/>
          </w:tcPr>
          <w:p>
            <w:pPr>
              <w:spacing w:after="0"/>
              <w:rPr>
                <w:sz w:val="14"/>
                <w:szCs w:val="14"/>
                <w:color w:val="auto"/>
              </w:rPr>
            </w:pPr>
          </w:p>
        </w:tc>
        <w:tc>
          <w:tcPr>
            <w:tcW w:w="10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(1,528)</w:t>
            </w:r>
          </w:p>
        </w:tc>
        <w:tc>
          <w:tcPr>
            <w:tcW w:w="440" w:type="dxa"/>
            <w:vAlign w:val="bottom"/>
          </w:tcPr>
          <w:p>
            <w:pPr>
              <w:spacing w:after="0"/>
              <w:rPr>
                <w:sz w:val="14"/>
                <w:szCs w:val="14"/>
                <w:color w:val="auto"/>
              </w:rPr>
            </w:pPr>
          </w:p>
        </w:tc>
        <w:tc>
          <w:tcPr>
            <w:tcW w:w="11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(1,511)</w:t>
            </w:r>
          </w:p>
        </w:tc>
        <w:tc>
          <w:tcPr>
            <w:tcW w:w="360" w:type="dxa"/>
            <w:vAlign w:val="bottom"/>
          </w:tcPr>
          <w:p>
            <w:pPr>
              <w:spacing w:after="0"/>
              <w:rPr>
                <w:sz w:val="14"/>
                <w:szCs w:val="14"/>
                <w:color w:val="auto"/>
              </w:rPr>
            </w:pPr>
          </w:p>
        </w:tc>
        <w:tc>
          <w:tcPr>
            <w:tcW w:w="12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(4,566)</w:t>
            </w:r>
          </w:p>
        </w:tc>
        <w:tc>
          <w:tcPr>
            <w:tcW w:w="34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(4,481)</w:t>
            </w:r>
          </w:p>
        </w:tc>
        <w:tc>
          <w:tcPr>
            <w:tcW w:w="0" w:type="dxa"/>
            <w:vAlign w:val="bottom"/>
          </w:tcPr>
          <w:p>
            <w:pPr>
              <w:spacing w:after="0"/>
              <w:rPr>
                <w:sz w:val="1"/>
                <w:szCs w:val="1"/>
                <w:color w:val="auto"/>
              </w:rPr>
            </w:pPr>
          </w:p>
        </w:tc>
      </w:tr>
      <w:tr>
        <w:trPr>
          <w:trHeight w:val="168"/>
        </w:trPr>
        <w:tc>
          <w:tcPr>
            <w:tcW w:w="4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$0.36 and $0.36 per share, respectively. . .</w:t>
            </w:r>
          </w:p>
        </w:tc>
        <w:tc>
          <w:tcPr>
            <w:tcW w:w="36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380" w:type="dxa"/>
            <w:vAlign w:val="bottom"/>
          </w:tcPr>
          <w:p>
            <w:pPr>
              <w:spacing w:after="0"/>
              <w:rPr>
                <w:sz w:val="21"/>
                <w:szCs w:val="21"/>
                <w:color w:val="auto"/>
              </w:rPr>
            </w:pPr>
          </w:p>
        </w:tc>
        <w:tc>
          <w:tcPr>
            <w:tcW w:w="14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4380" w:type="dxa"/>
            <w:vAlign w:val="bottom"/>
          </w:tcPr>
          <w:p>
            <w:pPr>
              <w:spacing w:after="0"/>
              <w:rPr>
                <w:sz w:val="20"/>
                <w:szCs w:val="20"/>
                <w:color w:val="auto"/>
              </w:rPr>
            </w:pPr>
            <w:r>
              <w:rPr>
                <w:rFonts w:ascii="Courier New" w:cs="Courier New" w:eastAsia="Courier New" w:hAnsi="Courier New"/>
                <w:sz w:val="15"/>
                <w:szCs w:val="15"/>
                <w:color w:val="auto"/>
              </w:rPr>
              <w:t>Retained earnings at end of period . . . . . . .</w:t>
            </w: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137,762</w:t>
            </w:r>
          </w:p>
        </w:tc>
        <w:tc>
          <w:tcPr>
            <w:tcW w:w="44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107,189</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137,762</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107,189</w:t>
            </w:r>
          </w:p>
        </w:tc>
        <w:tc>
          <w:tcPr>
            <w:tcW w:w="0" w:type="dxa"/>
            <w:vAlign w:val="bottom"/>
          </w:tcPr>
          <w:p>
            <w:pPr>
              <w:spacing w:after="0"/>
              <w:rPr>
                <w:sz w:val="1"/>
                <w:szCs w:val="1"/>
                <w:color w:val="auto"/>
              </w:rPr>
            </w:pPr>
          </w:p>
        </w:tc>
      </w:tr>
      <w:tr>
        <w:trPr>
          <w:trHeight w:val="168"/>
        </w:trPr>
        <w:tc>
          <w:tcPr>
            <w:tcW w:w="4380" w:type="dxa"/>
            <w:vAlign w:val="bottom"/>
          </w:tcPr>
          <w:p>
            <w:pPr>
              <w:spacing w:after="0"/>
              <w:rPr>
                <w:sz w:val="14"/>
                <w:szCs w:val="14"/>
                <w:color w:val="auto"/>
              </w:rPr>
            </w:pP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4380" w:type="dxa"/>
            <w:vAlign w:val="bottom"/>
          </w:tcPr>
          <w:p>
            <w:pPr>
              <w:spacing w:after="0"/>
              <w:rPr>
                <w:sz w:val="21"/>
                <w:szCs w:val="21"/>
                <w:color w:val="auto"/>
              </w:rPr>
            </w:pPr>
          </w:p>
        </w:tc>
        <w:tc>
          <w:tcPr>
            <w:tcW w:w="14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4380" w:type="dxa"/>
            <w:vAlign w:val="bottom"/>
          </w:tcPr>
          <w:p>
            <w:pPr>
              <w:spacing w:after="0"/>
              <w:rPr>
                <w:sz w:val="20"/>
                <w:szCs w:val="20"/>
                <w:color w:val="auto"/>
              </w:rPr>
            </w:pPr>
            <w:r>
              <w:rPr>
                <w:rFonts w:ascii="Courier New" w:cs="Courier New" w:eastAsia="Courier New" w:hAnsi="Courier New"/>
                <w:sz w:val="15"/>
                <w:szCs w:val="15"/>
                <w:color w:val="auto"/>
              </w:rPr>
              <w:t>Net earnings per share of common stock and</w:t>
            </w:r>
          </w:p>
        </w:tc>
        <w:tc>
          <w:tcPr>
            <w:tcW w:w="36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w:t>
            </w:r>
          </w:p>
        </w:tc>
        <w:tc>
          <w:tcPr>
            <w:tcW w:w="10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1.32</w:t>
            </w:r>
          </w:p>
        </w:tc>
        <w:tc>
          <w:tcPr>
            <w:tcW w:w="440" w:type="dxa"/>
            <w:vAlign w:val="bottom"/>
            <w:vMerge w:val="restart"/>
          </w:tcPr>
          <w:p>
            <w:pPr>
              <w:ind w:left="320"/>
              <w:spacing w:after="0"/>
              <w:rPr>
                <w:sz w:val="20"/>
                <w:szCs w:val="20"/>
                <w:color w:val="auto"/>
              </w:rPr>
            </w:pPr>
            <w:r>
              <w:rPr>
                <w:rFonts w:ascii="Courier New" w:cs="Courier New" w:eastAsia="Courier New" w:hAnsi="Courier New"/>
                <w:sz w:val="15"/>
                <w:szCs w:val="15"/>
                <w:color w:val="auto"/>
              </w:rPr>
              <w:t>$</w:t>
            </w:r>
          </w:p>
        </w:tc>
        <w:tc>
          <w:tcPr>
            <w:tcW w:w="11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1.19</w:t>
            </w:r>
          </w:p>
        </w:tc>
        <w:tc>
          <w:tcPr>
            <w:tcW w:w="36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w:t>
            </w:r>
          </w:p>
        </w:tc>
        <w:tc>
          <w:tcPr>
            <w:tcW w:w="12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2.48</w:t>
            </w:r>
          </w:p>
        </w:tc>
        <w:tc>
          <w:tcPr>
            <w:tcW w:w="3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1.40</w:t>
            </w:r>
          </w:p>
        </w:tc>
        <w:tc>
          <w:tcPr>
            <w:tcW w:w="0" w:type="dxa"/>
            <w:vAlign w:val="bottom"/>
          </w:tcPr>
          <w:p>
            <w:pPr>
              <w:spacing w:after="0"/>
              <w:rPr>
                <w:sz w:val="1"/>
                <w:szCs w:val="1"/>
                <w:color w:val="auto"/>
              </w:rPr>
            </w:pP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 stock equivalent. . . . . . . . . . . . .</w:t>
            </w:r>
          </w:p>
        </w:tc>
        <w:tc>
          <w:tcPr>
            <w:tcW w:w="3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80" w:type="dxa"/>
            <w:vAlign w:val="bottom"/>
          </w:tcPr>
          <w:p>
            <w:pPr>
              <w:spacing w:after="0"/>
              <w:rPr>
                <w:sz w:val="14"/>
                <w:szCs w:val="14"/>
                <w:color w:val="auto"/>
              </w:rPr>
            </w:pP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4380" w:type="dxa"/>
            <w:vAlign w:val="bottom"/>
          </w:tcPr>
          <w:p>
            <w:pPr>
              <w:spacing w:after="0"/>
              <w:rPr>
                <w:sz w:val="21"/>
                <w:szCs w:val="21"/>
                <w:color w:val="auto"/>
              </w:rPr>
            </w:pPr>
          </w:p>
        </w:tc>
        <w:tc>
          <w:tcPr>
            <w:tcW w:w="14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 to condensed consolidated financial statements.</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340"/>
          </w:cols>
          <w:pgMar w:left="220" w:top="598" w:right="1339" w:bottom="1440" w:gutter="0" w:footer="0" w:header="0"/>
        </w:sectPr>
      </w:pPr>
    </w:p>
    <w:bookmarkStart w:id="3" w:name="page4"/>
    <w:bookmarkEnd w:id="3"/>
    <w:p>
      <w:pPr>
        <w:jc w:val="center"/>
        <w:ind w:right="3139"/>
        <w:spacing w:after="0"/>
        <w:rPr>
          <w:sz w:val="20"/>
          <w:szCs w:val="20"/>
          <w:color w:val="auto"/>
        </w:rPr>
      </w:pPr>
      <w:r>
        <w:rPr>
          <w:rFonts w:ascii="Courier New" w:cs="Courier New" w:eastAsia="Courier New" w:hAnsi="Courier New"/>
          <w:sz w:val="15"/>
          <w:szCs w:val="15"/>
          <w:color w:val="auto"/>
        </w:rPr>
        <w:t>THE TORO COMPANY AND SUBSIDIARIES</w:t>
      </w:r>
    </w:p>
    <w:p>
      <w:pPr>
        <w:spacing w:after="0" w:line="23"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CONDENSED CONSOLIDATED BALANCE SHEETS (UNAUDITED)</w:t>
      </w:r>
    </w:p>
    <w:tbl>
      <w:tblPr>
        <w:tblLayout w:type="fixed"/>
        <w:tblInd w:w="0" w:type="dxa"/>
        <w:tblCellMar>
          <w:top w:w="0" w:type="dxa"/>
          <w:left w:w="0" w:type="dxa"/>
          <w:bottom w:w="0" w:type="dxa"/>
          <w:right w:w="0" w:type="dxa"/>
        </w:tblCellMar>
      </w:tblPr>
      <w:tr>
        <w:trPr>
          <w:trHeight w:val="245"/>
        </w:trPr>
        <w:tc>
          <w:tcPr>
            <w:tcW w:w="526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(DOLLARS IN THOUSANDS)</w:t>
            </w:r>
          </w:p>
        </w:tc>
        <w:tc>
          <w:tcPr>
            <w:tcW w:w="4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38"/>
        </w:trPr>
        <w:tc>
          <w:tcPr>
            <w:tcW w:w="5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3"/>
              </w:rPr>
              <w:t>April 28,</w:t>
            </w:r>
          </w:p>
        </w:tc>
        <w:tc>
          <w:tcPr>
            <w:tcW w:w="340" w:type="dxa"/>
            <w:vAlign w:val="bottom"/>
          </w:tcPr>
          <w:p>
            <w:pPr>
              <w:spacing w:after="0"/>
              <w:rPr>
                <w:sz w:val="24"/>
                <w:szCs w:val="24"/>
                <w:color w:val="auto"/>
              </w:rPr>
            </w:pP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April 29,</w:t>
            </w:r>
          </w:p>
        </w:tc>
        <w:tc>
          <w:tcPr>
            <w:tcW w:w="480" w:type="dxa"/>
            <w:vAlign w:val="bottom"/>
          </w:tcPr>
          <w:p>
            <w:pPr>
              <w:spacing w:after="0"/>
              <w:rPr>
                <w:sz w:val="24"/>
                <w:szCs w:val="2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July 31,</w:t>
            </w:r>
          </w:p>
        </w:tc>
        <w:tc>
          <w:tcPr>
            <w:tcW w:w="0" w:type="dxa"/>
            <w:vAlign w:val="bottom"/>
          </w:tcPr>
          <w:p>
            <w:pPr>
              <w:spacing w:after="0"/>
              <w:rPr>
                <w:sz w:val="1"/>
                <w:szCs w:val="1"/>
                <w:color w:val="auto"/>
              </w:rPr>
            </w:pPr>
          </w:p>
        </w:tc>
      </w:tr>
      <w:tr>
        <w:trPr>
          <w:trHeight w:val="168"/>
        </w:trPr>
        <w:tc>
          <w:tcPr>
            <w:tcW w:w="5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1995</w:t>
            </w:r>
          </w:p>
        </w:tc>
        <w:tc>
          <w:tcPr>
            <w:tcW w:w="340" w:type="dxa"/>
            <w:vAlign w:val="bottom"/>
          </w:tcPr>
          <w:p>
            <w:pPr>
              <w:spacing w:after="0"/>
              <w:rPr>
                <w:sz w:val="14"/>
                <w:szCs w:val="14"/>
                <w:color w:val="auto"/>
              </w:rPr>
            </w:pP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1994</w:t>
            </w:r>
          </w:p>
        </w:tc>
        <w:tc>
          <w:tcPr>
            <w:tcW w:w="48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1994</w:t>
            </w:r>
          </w:p>
        </w:tc>
        <w:tc>
          <w:tcPr>
            <w:tcW w:w="0" w:type="dxa"/>
            <w:vAlign w:val="bottom"/>
          </w:tcPr>
          <w:p>
            <w:pPr>
              <w:spacing w:after="0"/>
              <w:rPr>
                <w:sz w:val="1"/>
                <w:szCs w:val="1"/>
                <w:color w:val="auto"/>
              </w:rPr>
            </w:pPr>
          </w:p>
        </w:tc>
      </w:tr>
      <w:tr>
        <w:trPr>
          <w:trHeight w:val="245"/>
        </w:trPr>
        <w:tc>
          <w:tcPr>
            <w:tcW w:w="5260" w:type="dxa"/>
            <w:vAlign w:val="bottom"/>
            <w:vMerge w:val="restart"/>
          </w:tcPr>
          <w:p>
            <w:pPr>
              <w:spacing w:after="0"/>
              <w:rPr>
                <w:sz w:val="20"/>
                <w:szCs w:val="20"/>
                <w:color w:val="auto"/>
              </w:rPr>
            </w:pPr>
            <w:r>
              <w:rPr>
                <w:rFonts w:ascii="Courier New" w:cs="Courier New" w:eastAsia="Courier New" w:hAnsi="Courier New"/>
                <w:sz w:val="15"/>
                <w:szCs w:val="15"/>
                <w:color w:val="auto"/>
              </w:rPr>
              <w:t>ASSETS</w:t>
            </w:r>
          </w:p>
        </w:tc>
        <w:tc>
          <w:tcPr>
            <w:tcW w:w="158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21"/>
                <w:szCs w:val="21"/>
                <w:color w:val="auto"/>
              </w:rPr>
            </w:pP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6"/>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2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5260" w:type="dxa"/>
            <w:vAlign w:val="bottom"/>
          </w:tcPr>
          <w:p>
            <w:pPr>
              <w:spacing w:after="0"/>
              <w:rPr>
                <w:sz w:val="20"/>
                <w:szCs w:val="20"/>
                <w:color w:val="auto"/>
              </w:rPr>
            </w:pPr>
            <w:r>
              <w:rPr>
                <w:rFonts w:ascii="Courier New" w:cs="Courier New" w:eastAsia="Courier New" w:hAnsi="Courier New"/>
                <w:sz w:val="15"/>
                <w:szCs w:val="15"/>
                <w:color w:val="auto"/>
              </w:rPr>
              <w:t>Cash and cash equivalents. . . . . . . . . . . . . . . . .</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11,709</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7,664</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36,231</w:t>
            </w:r>
          </w:p>
        </w:tc>
        <w:tc>
          <w:tcPr>
            <w:tcW w:w="0" w:type="dxa"/>
            <w:vAlign w:val="bottom"/>
          </w:tcPr>
          <w:p>
            <w:pPr>
              <w:spacing w:after="0"/>
              <w:rPr>
                <w:sz w:val="1"/>
                <w:szCs w:val="1"/>
                <w:color w:val="auto"/>
              </w:rPr>
            </w:pP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Receivables (net). . . . . . . . . . . . . . . . . . . . .</w:t>
            </w:r>
          </w:p>
        </w:tc>
        <w:tc>
          <w:tcPr>
            <w:tcW w:w="440" w:type="dxa"/>
            <w:vAlign w:val="bottom"/>
          </w:tcPr>
          <w:p>
            <w:pPr>
              <w:spacing w:after="0"/>
              <w:rPr>
                <w:sz w:val="14"/>
                <w:szCs w:val="14"/>
                <w:color w:val="auto"/>
              </w:rPr>
            </w:pP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329,447</w:t>
            </w:r>
          </w:p>
        </w:tc>
        <w:tc>
          <w:tcPr>
            <w:tcW w:w="340" w:type="dxa"/>
            <w:vAlign w:val="bottom"/>
          </w:tcPr>
          <w:p>
            <w:pPr>
              <w:spacing w:after="0"/>
              <w:rPr>
                <w:sz w:val="14"/>
                <w:szCs w:val="14"/>
                <w:color w:val="auto"/>
              </w:rPr>
            </w:pP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300,751</w:t>
            </w:r>
          </w:p>
        </w:tc>
        <w:tc>
          <w:tcPr>
            <w:tcW w:w="4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183,683</w:t>
            </w:r>
          </w:p>
        </w:tc>
        <w:tc>
          <w:tcPr>
            <w:tcW w:w="0" w:type="dxa"/>
            <w:vAlign w:val="bottom"/>
          </w:tcPr>
          <w:p>
            <w:pPr>
              <w:spacing w:after="0"/>
              <w:rPr>
                <w:sz w:val="1"/>
                <w:szCs w:val="1"/>
                <w:color w:val="auto"/>
              </w:rPr>
            </w:pP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Inventories. . . . . . . . . . . . . . . . . . . . . . . .</w:t>
            </w:r>
          </w:p>
        </w:tc>
        <w:tc>
          <w:tcPr>
            <w:tcW w:w="440" w:type="dxa"/>
            <w:vAlign w:val="bottom"/>
          </w:tcPr>
          <w:p>
            <w:pPr>
              <w:spacing w:after="0"/>
              <w:rPr>
                <w:sz w:val="14"/>
                <w:szCs w:val="14"/>
                <w:color w:val="auto"/>
              </w:rPr>
            </w:pP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138,018</w:t>
            </w:r>
          </w:p>
        </w:tc>
        <w:tc>
          <w:tcPr>
            <w:tcW w:w="340" w:type="dxa"/>
            <w:vAlign w:val="bottom"/>
          </w:tcPr>
          <w:p>
            <w:pPr>
              <w:spacing w:after="0"/>
              <w:rPr>
                <w:sz w:val="14"/>
                <w:szCs w:val="14"/>
                <w:color w:val="auto"/>
              </w:rPr>
            </w:pP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123,662</w:t>
            </w:r>
          </w:p>
        </w:tc>
        <w:tc>
          <w:tcPr>
            <w:tcW w:w="4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118,764</w:t>
            </w:r>
          </w:p>
        </w:tc>
        <w:tc>
          <w:tcPr>
            <w:tcW w:w="0" w:type="dxa"/>
            <w:vAlign w:val="bottom"/>
          </w:tcPr>
          <w:p>
            <w:pPr>
              <w:spacing w:after="0"/>
              <w:rPr>
                <w:sz w:val="1"/>
                <w:szCs w:val="1"/>
                <w:color w:val="auto"/>
              </w:rPr>
            </w:pP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Prepaid expenses . . . . . . . . . . . . . . . . . . . . .</w:t>
            </w:r>
          </w:p>
        </w:tc>
        <w:tc>
          <w:tcPr>
            <w:tcW w:w="440" w:type="dxa"/>
            <w:vAlign w:val="bottom"/>
          </w:tcPr>
          <w:p>
            <w:pPr>
              <w:spacing w:after="0"/>
              <w:rPr>
                <w:sz w:val="14"/>
                <w:szCs w:val="14"/>
                <w:color w:val="auto"/>
              </w:rPr>
            </w:pP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30,093</w:t>
            </w:r>
          </w:p>
        </w:tc>
        <w:tc>
          <w:tcPr>
            <w:tcW w:w="340" w:type="dxa"/>
            <w:vAlign w:val="bottom"/>
          </w:tcPr>
          <w:p>
            <w:pPr>
              <w:spacing w:after="0"/>
              <w:rPr>
                <w:sz w:val="14"/>
                <w:szCs w:val="14"/>
                <w:color w:val="auto"/>
              </w:rPr>
            </w:pP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23,004</w:t>
            </w:r>
          </w:p>
        </w:tc>
        <w:tc>
          <w:tcPr>
            <w:tcW w:w="4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25,817</w:t>
            </w:r>
          </w:p>
        </w:tc>
        <w:tc>
          <w:tcPr>
            <w:tcW w:w="0" w:type="dxa"/>
            <w:vAlign w:val="bottom"/>
          </w:tcPr>
          <w:p>
            <w:pPr>
              <w:spacing w:after="0"/>
              <w:rPr>
                <w:sz w:val="1"/>
                <w:szCs w:val="1"/>
                <w:color w:val="auto"/>
              </w:rPr>
            </w:pPr>
          </w:p>
        </w:tc>
      </w:tr>
      <w:tr>
        <w:trPr>
          <w:trHeight w:val="168"/>
        </w:trPr>
        <w:tc>
          <w:tcPr>
            <w:tcW w:w="5260" w:type="dxa"/>
            <w:vAlign w:val="bottom"/>
            <w:vMerge w:val="restart"/>
          </w:tcPr>
          <w:p>
            <w:pPr>
              <w:ind w:left="540"/>
              <w:spacing w:after="0"/>
              <w:rPr>
                <w:sz w:val="20"/>
                <w:szCs w:val="20"/>
                <w:color w:val="auto"/>
              </w:rPr>
            </w:pPr>
            <w:r>
              <w:rPr>
                <w:rFonts w:ascii="Courier New" w:cs="Courier New" w:eastAsia="Courier New" w:hAnsi="Courier New"/>
                <w:sz w:val="15"/>
                <w:szCs w:val="15"/>
                <w:color w:val="auto"/>
              </w:rPr>
              <w:t>Total current assets . . . . . . . . . . . . . . . .</w:t>
            </w:r>
          </w:p>
        </w:tc>
        <w:tc>
          <w:tcPr>
            <w:tcW w:w="440" w:type="dxa"/>
            <w:vAlign w:val="bottom"/>
          </w:tcPr>
          <w:p>
            <w:pPr>
              <w:ind w:left="180"/>
              <w:spacing w:after="0"/>
              <w:rPr>
                <w:sz w:val="20"/>
                <w:szCs w:val="20"/>
                <w:color w:val="auto"/>
              </w:rPr>
            </w:pPr>
            <w:r>
              <w:rPr>
                <w:rFonts w:ascii="Courier New" w:cs="Courier New" w:eastAsia="Courier New" w:hAnsi="Courier New"/>
                <w:sz w:val="4"/>
                <w:szCs w:val="4"/>
                <w:color w:val="auto"/>
                <w:w w:val="76"/>
              </w:rPr>
              <w:t>-------------</w:t>
            </w:r>
          </w:p>
        </w:tc>
        <w:tc>
          <w:tcPr>
            <w:tcW w:w="114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509,267</w:t>
            </w:r>
          </w:p>
        </w:tc>
        <w:tc>
          <w:tcPr>
            <w:tcW w:w="17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2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455,081</w:t>
            </w:r>
          </w:p>
        </w:tc>
        <w:tc>
          <w:tcPr>
            <w:tcW w:w="4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364,495</w:t>
            </w:r>
          </w:p>
        </w:tc>
        <w:tc>
          <w:tcPr>
            <w:tcW w:w="0" w:type="dxa"/>
            <w:vAlign w:val="bottom"/>
          </w:tcPr>
          <w:p>
            <w:pPr>
              <w:spacing w:after="0"/>
              <w:rPr>
                <w:sz w:val="1"/>
                <w:szCs w:val="1"/>
                <w:color w:val="auto"/>
              </w:rPr>
            </w:pPr>
          </w:p>
        </w:tc>
      </w:tr>
      <w:tr>
        <w:trPr>
          <w:trHeight w:val="245"/>
        </w:trPr>
        <w:tc>
          <w:tcPr>
            <w:tcW w:w="5260" w:type="dxa"/>
            <w:vAlign w:val="bottom"/>
          </w:tcPr>
          <w:p>
            <w:pPr>
              <w:spacing w:after="0"/>
              <w:rPr>
                <w:sz w:val="21"/>
                <w:szCs w:val="21"/>
                <w:color w:val="auto"/>
              </w:rPr>
            </w:pPr>
          </w:p>
        </w:tc>
        <w:tc>
          <w:tcPr>
            <w:tcW w:w="158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5260" w:type="dxa"/>
            <w:vAlign w:val="bottom"/>
          </w:tcPr>
          <w:p>
            <w:pPr>
              <w:spacing w:after="0"/>
              <w:rPr>
                <w:sz w:val="20"/>
                <w:szCs w:val="20"/>
                <w:color w:val="auto"/>
              </w:rPr>
            </w:pPr>
            <w:r>
              <w:rPr>
                <w:rFonts w:ascii="Courier New" w:cs="Courier New" w:eastAsia="Courier New" w:hAnsi="Courier New"/>
                <w:sz w:val="15"/>
                <w:szCs w:val="15"/>
                <w:color w:val="auto"/>
              </w:rPr>
              <w:t>Property, plant and equipment. . . . . . . . . . . . . . .</w:t>
            </w:r>
          </w:p>
        </w:tc>
        <w:tc>
          <w:tcPr>
            <w:tcW w:w="440" w:type="dxa"/>
            <w:vAlign w:val="bottom"/>
          </w:tcPr>
          <w:p>
            <w:pPr>
              <w:spacing w:after="0"/>
              <w:rPr>
                <w:sz w:val="22"/>
                <w:szCs w:val="22"/>
                <w:color w:val="auto"/>
              </w:rPr>
            </w:pPr>
          </w:p>
        </w:tc>
        <w:tc>
          <w:tcPr>
            <w:tcW w:w="11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203,928</w:t>
            </w:r>
          </w:p>
        </w:tc>
        <w:tc>
          <w:tcPr>
            <w:tcW w:w="340" w:type="dxa"/>
            <w:vAlign w:val="bottom"/>
          </w:tcPr>
          <w:p>
            <w:pPr>
              <w:spacing w:after="0"/>
              <w:rPr>
                <w:sz w:val="22"/>
                <w:szCs w:val="22"/>
                <w:color w:val="auto"/>
              </w:rPr>
            </w:pP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182,009</w:t>
            </w:r>
          </w:p>
        </w:tc>
        <w:tc>
          <w:tcPr>
            <w:tcW w:w="4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185,478</w:t>
            </w:r>
          </w:p>
        </w:tc>
        <w:tc>
          <w:tcPr>
            <w:tcW w:w="0" w:type="dxa"/>
            <w:vAlign w:val="bottom"/>
          </w:tcPr>
          <w:p>
            <w:pPr>
              <w:spacing w:after="0"/>
              <w:rPr>
                <w:sz w:val="1"/>
                <w:szCs w:val="1"/>
                <w:color w:val="auto"/>
              </w:rPr>
            </w:pPr>
          </w:p>
        </w:tc>
      </w:tr>
      <w:tr>
        <w:trPr>
          <w:trHeight w:val="168"/>
        </w:trPr>
        <w:tc>
          <w:tcPr>
            <w:tcW w:w="5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Less accumulated depreciation and amortization. . . .</w:t>
            </w:r>
          </w:p>
        </w:tc>
        <w:tc>
          <w:tcPr>
            <w:tcW w:w="440" w:type="dxa"/>
            <w:vAlign w:val="bottom"/>
          </w:tcPr>
          <w:p>
            <w:pPr>
              <w:spacing w:after="0"/>
              <w:rPr>
                <w:sz w:val="14"/>
                <w:szCs w:val="14"/>
                <w:color w:val="auto"/>
              </w:rPr>
            </w:pP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138,128</w:t>
            </w:r>
          </w:p>
        </w:tc>
        <w:tc>
          <w:tcPr>
            <w:tcW w:w="340" w:type="dxa"/>
            <w:vAlign w:val="bottom"/>
          </w:tcPr>
          <w:p>
            <w:pPr>
              <w:spacing w:after="0"/>
              <w:rPr>
                <w:sz w:val="14"/>
                <w:szCs w:val="14"/>
                <w:color w:val="auto"/>
              </w:rPr>
            </w:pP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125,091</w:t>
            </w:r>
          </w:p>
        </w:tc>
        <w:tc>
          <w:tcPr>
            <w:tcW w:w="4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126,635</w:t>
            </w:r>
          </w:p>
        </w:tc>
        <w:tc>
          <w:tcPr>
            <w:tcW w:w="0" w:type="dxa"/>
            <w:vAlign w:val="bottom"/>
          </w:tcPr>
          <w:p>
            <w:pPr>
              <w:spacing w:after="0"/>
              <w:rPr>
                <w:sz w:val="1"/>
                <w:szCs w:val="1"/>
                <w:color w:val="auto"/>
              </w:rPr>
            </w:pPr>
          </w:p>
        </w:tc>
      </w:tr>
      <w:tr>
        <w:trPr>
          <w:trHeight w:val="245"/>
        </w:trPr>
        <w:tc>
          <w:tcPr>
            <w:tcW w:w="5260" w:type="dxa"/>
            <w:vAlign w:val="bottom"/>
          </w:tcPr>
          <w:p>
            <w:pPr>
              <w:spacing w:after="0"/>
              <w:rPr>
                <w:sz w:val="21"/>
                <w:szCs w:val="21"/>
                <w:color w:val="auto"/>
              </w:rPr>
            </w:pPr>
          </w:p>
        </w:tc>
        <w:tc>
          <w:tcPr>
            <w:tcW w:w="158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6"/>
        </w:trPr>
        <w:tc>
          <w:tcPr>
            <w:tcW w:w="5260" w:type="dxa"/>
            <w:vAlign w:val="bottom"/>
          </w:tcPr>
          <w:p>
            <w:pPr>
              <w:spacing w:after="0"/>
              <w:rPr>
                <w:sz w:val="24"/>
                <w:szCs w:val="24"/>
                <w:color w:val="auto"/>
              </w:rPr>
            </w:pP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65,800</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56,918</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58,843</w:t>
            </w:r>
          </w:p>
        </w:tc>
        <w:tc>
          <w:tcPr>
            <w:tcW w:w="0" w:type="dxa"/>
            <w:vAlign w:val="bottom"/>
          </w:tcPr>
          <w:p>
            <w:pPr>
              <w:spacing w:after="0"/>
              <w:rPr>
                <w:sz w:val="1"/>
                <w:szCs w:val="1"/>
                <w:color w:val="auto"/>
              </w:rPr>
            </w:pPr>
          </w:p>
        </w:tc>
      </w:tr>
      <w:tr>
        <w:trPr>
          <w:trHeight w:val="259"/>
        </w:trPr>
        <w:tc>
          <w:tcPr>
            <w:tcW w:w="52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Other assets . . . . . . . . . . . . . . . . . . . . . . .</w:t>
            </w:r>
          </w:p>
        </w:tc>
        <w:tc>
          <w:tcPr>
            <w:tcW w:w="440" w:type="dxa"/>
            <w:vAlign w:val="bottom"/>
          </w:tcPr>
          <w:p>
            <w:pPr>
              <w:spacing w:after="0"/>
              <w:rPr>
                <w:sz w:val="22"/>
                <w:szCs w:val="22"/>
                <w:color w:val="auto"/>
              </w:rPr>
            </w:pPr>
          </w:p>
        </w:tc>
        <w:tc>
          <w:tcPr>
            <w:tcW w:w="11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17,397</w:t>
            </w:r>
          </w:p>
        </w:tc>
        <w:tc>
          <w:tcPr>
            <w:tcW w:w="340" w:type="dxa"/>
            <w:vAlign w:val="bottom"/>
          </w:tcPr>
          <w:p>
            <w:pPr>
              <w:spacing w:after="0"/>
              <w:rPr>
                <w:sz w:val="22"/>
                <w:szCs w:val="22"/>
                <w:color w:val="auto"/>
              </w:rPr>
            </w:pP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18,266</w:t>
            </w:r>
          </w:p>
        </w:tc>
        <w:tc>
          <w:tcPr>
            <w:tcW w:w="4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20,301</w:t>
            </w:r>
          </w:p>
        </w:tc>
        <w:tc>
          <w:tcPr>
            <w:tcW w:w="0" w:type="dxa"/>
            <w:vAlign w:val="bottom"/>
          </w:tcPr>
          <w:p>
            <w:pPr>
              <w:spacing w:after="0"/>
              <w:rPr>
                <w:sz w:val="1"/>
                <w:szCs w:val="1"/>
                <w:color w:val="auto"/>
              </w:rPr>
            </w:pPr>
          </w:p>
        </w:tc>
      </w:tr>
      <w:tr>
        <w:trPr>
          <w:trHeight w:val="168"/>
        </w:trPr>
        <w:tc>
          <w:tcPr>
            <w:tcW w:w="52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Total assets. . . . . . . . . . . . . . . . . . . . .</w:t>
            </w:r>
          </w:p>
        </w:tc>
        <w:tc>
          <w:tcPr>
            <w:tcW w:w="440" w:type="dxa"/>
            <w:vAlign w:val="bottom"/>
            <w:vMerge w:val="restart"/>
          </w:tcPr>
          <w:p>
            <w:pPr>
              <w:ind w:left="180"/>
              <w:spacing w:after="0"/>
              <w:rPr>
                <w:sz w:val="20"/>
                <w:szCs w:val="20"/>
                <w:color w:val="auto"/>
              </w:rPr>
            </w:pPr>
            <w:r>
              <w:rPr>
                <w:rFonts w:ascii="Courier New" w:cs="Courier New" w:eastAsia="Courier New" w:hAnsi="Courier New"/>
                <w:sz w:val="7"/>
                <w:szCs w:val="7"/>
                <w:color w:val="auto"/>
                <w:w w:val="70"/>
                <w:vertAlign w:val="subscript"/>
              </w:rPr>
              <w:t>$</w:t>
            </w:r>
            <w:r>
              <w:rPr>
                <w:rFonts w:ascii="Courier New" w:cs="Courier New" w:eastAsia="Courier New" w:hAnsi="Courier New"/>
                <w:sz w:val="4"/>
                <w:szCs w:val="4"/>
                <w:color w:val="auto"/>
                <w:w w:val="70"/>
              </w:rPr>
              <w:t>-------------</w:t>
            </w:r>
          </w:p>
        </w:tc>
        <w:tc>
          <w:tcPr>
            <w:tcW w:w="114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592,464</w:t>
            </w:r>
          </w:p>
        </w:tc>
        <w:tc>
          <w:tcPr>
            <w:tcW w:w="17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2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530,265</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443,639</w:t>
            </w:r>
          </w:p>
        </w:tc>
        <w:tc>
          <w:tcPr>
            <w:tcW w:w="0" w:type="dxa"/>
            <w:vAlign w:val="bottom"/>
          </w:tcPr>
          <w:p>
            <w:pPr>
              <w:spacing w:after="0"/>
              <w:rPr>
                <w:sz w:val="1"/>
                <w:szCs w:val="1"/>
                <w:color w:val="auto"/>
              </w:rPr>
            </w:pPr>
          </w:p>
        </w:tc>
      </w:tr>
      <w:tr>
        <w:trPr>
          <w:trHeight w:val="168"/>
        </w:trPr>
        <w:tc>
          <w:tcPr>
            <w:tcW w:w="5260" w:type="dxa"/>
            <w:vAlign w:val="bottom"/>
          </w:tcPr>
          <w:p>
            <w:pPr>
              <w:spacing w:after="0"/>
              <w:rPr>
                <w:sz w:val="14"/>
                <w:szCs w:val="14"/>
                <w:color w:val="auto"/>
              </w:rPr>
            </w:pPr>
          </w:p>
        </w:tc>
        <w:tc>
          <w:tcPr>
            <w:tcW w:w="158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5260" w:type="dxa"/>
            <w:vAlign w:val="bottom"/>
          </w:tcPr>
          <w:p>
            <w:pPr>
              <w:spacing w:after="0"/>
              <w:rPr>
                <w:sz w:val="21"/>
                <w:szCs w:val="21"/>
                <w:color w:val="auto"/>
              </w:rPr>
            </w:pPr>
          </w:p>
        </w:tc>
        <w:tc>
          <w:tcPr>
            <w:tcW w:w="158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526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44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w:t>
            </w:r>
          </w:p>
        </w:tc>
        <w:tc>
          <w:tcPr>
            <w:tcW w:w="114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16,055</w:t>
            </w:r>
          </w:p>
        </w:tc>
        <w:tc>
          <w:tcPr>
            <w:tcW w:w="3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36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45,645</w:t>
            </w:r>
          </w:p>
        </w:tc>
        <w:tc>
          <w:tcPr>
            <w:tcW w:w="4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20,300</w:t>
            </w:r>
          </w:p>
        </w:tc>
        <w:tc>
          <w:tcPr>
            <w:tcW w:w="0" w:type="dxa"/>
            <w:vAlign w:val="bottom"/>
          </w:tcPr>
          <w:p>
            <w:pPr>
              <w:spacing w:after="0"/>
              <w:rPr>
                <w:sz w:val="1"/>
                <w:szCs w:val="1"/>
                <w:color w:val="auto"/>
              </w:rPr>
            </w:pPr>
          </w:p>
        </w:tc>
      </w:tr>
      <w:tr>
        <w:trPr>
          <w:trHeight w:val="168"/>
        </w:trPr>
        <w:tc>
          <w:tcPr>
            <w:tcW w:w="5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Current portion of long-term debt. . . . . . . . . . . . .</w:t>
            </w:r>
          </w:p>
        </w:tc>
        <w:tc>
          <w:tcPr>
            <w:tcW w:w="4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Short-term debt. . . . . . . . . . . . . . . . . . . . . .</w:t>
            </w:r>
          </w:p>
        </w:tc>
        <w:tc>
          <w:tcPr>
            <w:tcW w:w="440" w:type="dxa"/>
            <w:vAlign w:val="bottom"/>
          </w:tcPr>
          <w:p>
            <w:pPr>
              <w:spacing w:after="0"/>
              <w:rPr>
                <w:sz w:val="14"/>
                <w:szCs w:val="14"/>
                <w:color w:val="auto"/>
              </w:rPr>
            </w:pP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91,863</w:t>
            </w:r>
          </w:p>
        </w:tc>
        <w:tc>
          <w:tcPr>
            <w:tcW w:w="340" w:type="dxa"/>
            <w:vAlign w:val="bottom"/>
          </w:tcPr>
          <w:p>
            <w:pPr>
              <w:spacing w:after="0"/>
              <w:rPr>
                <w:sz w:val="14"/>
                <w:szCs w:val="14"/>
                <w:color w:val="auto"/>
              </w:rPr>
            </w:pP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43,588</w:t>
            </w:r>
          </w:p>
        </w:tc>
        <w:tc>
          <w:tcPr>
            <w:tcW w:w="4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Accounts payable . . . . . . . . . . . . . . . . . . . . .</w:t>
            </w:r>
          </w:p>
        </w:tc>
        <w:tc>
          <w:tcPr>
            <w:tcW w:w="440" w:type="dxa"/>
            <w:vAlign w:val="bottom"/>
          </w:tcPr>
          <w:p>
            <w:pPr>
              <w:spacing w:after="0"/>
              <w:rPr>
                <w:sz w:val="14"/>
                <w:szCs w:val="14"/>
                <w:color w:val="auto"/>
              </w:rPr>
            </w:pP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44,650</w:t>
            </w:r>
          </w:p>
        </w:tc>
        <w:tc>
          <w:tcPr>
            <w:tcW w:w="340" w:type="dxa"/>
            <w:vAlign w:val="bottom"/>
          </w:tcPr>
          <w:p>
            <w:pPr>
              <w:spacing w:after="0"/>
              <w:rPr>
                <w:sz w:val="14"/>
                <w:szCs w:val="14"/>
                <w:color w:val="auto"/>
              </w:rPr>
            </w:pP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38,193</w:t>
            </w:r>
          </w:p>
        </w:tc>
        <w:tc>
          <w:tcPr>
            <w:tcW w:w="4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37,035</w:t>
            </w:r>
          </w:p>
        </w:tc>
        <w:tc>
          <w:tcPr>
            <w:tcW w:w="0" w:type="dxa"/>
            <w:vAlign w:val="bottom"/>
          </w:tcPr>
          <w:p>
            <w:pPr>
              <w:spacing w:after="0"/>
              <w:rPr>
                <w:sz w:val="1"/>
                <w:szCs w:val="1"/>
                <w:color w:val="auto"/>
              </w:rPr>
            </w:pPr>
          </w:p>
        </w:tc>
      </w:tr>
      <w:tr>
        <w:trPr>
          <w:trHeight w:val="168"/>
        </w:trPr>
        <w:tc>
          <w:tcPr>
            <w:tcW w:w="5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Other accrued liabilities. . . . . . . . . . . . . . . . .</w:t>
            </w:r>
          </w:p>
        </w:tc>
        <w:tc>
          <w:tcPr>
            <w:tcW w:w="440" w:type="dxa"/>
            <w:vAlign w:val="bottom"/>
          </w:tcPr>
          <w:p>
            <w:pPr>
              <w:spacing w:after="0"/>
              <w:rPr>
                <w:sz w:val="14"/>
                <w:szCs w:val="14"/>
                <w:color w:val="auto"/>
              </w:rPr>
            </w:pP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167,245</w:t>
            </w:r>
          </w:p>
        </w:tc>
        <w:tc>
          <w:tcPr>
            <w:tcW w:w="340" w:type="dxa"/>
            <w:vAlign w:val="bottom"/>
          </w:tcPr>
          <w:p>
            <w:pPr>
              <w:spacing w:after="0"/>
              <w:rPr>
                <w:sz w:val="14"/>
                <w:szCs w:val="14"/>
                <w:color w:val="auto"/>
              </w:rPr>
            </w:pP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155,882</w:t>
            </w:r>
          </w:p>
        </w:tc>
        <w:tc>
          <w:tcPr>
            <w:tcW w:w="4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131,377</w:t>
            </w:r>
          </w:p>
        </w:tc>
        <w:tc>
          <w:tcPr>
            <w:tcW w:w="0" w:type="dxa"/>
            <w:vAlign w:val="bottom"/>
          </w:tcPr>
          <w:p>
            <w:pPr>
              <w:spacing w:after="0"/>
              <w:rPr>
                <w:sz w:val="1"/>
                <w:szCs w:val="1"/>
                <w:color w:val="auto"/>
              </w:rPr>
            </w:pPr>
          </w:p>
        </w:tc>
      </w:tr>
      <w:tr>
        <w:trPr>
          <w:trHeight w:val="168"/>
        </w:trPr>
        <w:tc>
          <w:tcPr>
            <w:tcW w:w="52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Total current liabilities. . . . . . . . . . . . . . .</w:t>
            </w:r>
          </w:p>
        </w:tc>
        <w:tc>
          <w:tcPr>
            <w:tcW w:w="440" w:type="dxa"/>
            <w:vAlign w:val="bottom"/>
          </w:tcPr>
          <w:p>
            <w:pPr>
              <w:ind w:left="180"/>
              <w:spacing w:after="0"/>
              <w:rPr>
                <w:sz w:val="20"/>
                <w:szCs w:val="20"/>
                <w:color w:val="auto"/>
              </w:rPr>
            </w:pPr>
            <w:r>
              <w:rPr>
                <w:rFonts w:ascii="Courier New" w:cs="Courier New" w:eastAsia="Courier New" w:hAnsi="Courier New"/>
                <w:sz w:val="4"/>
                <w:szCs w:val="4"/>
                <w:color w:val="auto"/>
                <w:w w:val="76"/>
              </w:rPr>
              <w:t>-------------</w:t>
            </w:r>
          </w:p>
        </w:tc>
        <w:tc>
          <w:tcPr>
            <w:tcW w:w="114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319,813</w:t>
            </w:r>
          </w:p>
        </w:tc>
        <w:tc>
          <w:tcPr>
            <w:tcW w:w="17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2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283,308</w:t>
            </w:r>
          </w:p>
        </w:tc>
        <w:tc>
          <w:tcPr>
            <w:tcW w:w="4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188,712</w:t>
            </w:r>
          </w:p>
        </w:tc>
        <w:tc>
          <w:tcPr>
            <w:tcW w:w="0" w:type="dxa"/>
            <w:vAlign w:val="bottom"/>
          </w:tcPr>
          <w:p>
            <w:pPr>
              <w:spacing w:after="0"/>
              <w:rPr>
                <w:sz w:val="1"/>
                <w:szCs w:val="1"/>
                <w:color w:val="auto"/>
              </w:rPr>
            </w:pPr>
          </w:p>
        </w:tc>
      </w:tr>
      <w:tr>
        <w:trPr>
          <w:trHeight w:val="245"/>
        </w:trPr>
        <w:tc>
          <w:tcPr>
            <w:tcW w:w="5260" w:type="dxa"/>
            <w:vAlign w:val="bottom"/>
          </w:tcPr>
          <w:p>
            <w:pPr>
              <w:spacing w:after="0"/>
              <w:rPr>
                <w:sz w:val="21"/>
                <w:szCs w:val="21"/>
                <w:color w:val="auto"/>
              </w:rPr>
            </w:pPr>
          </w:p>
        </w:tc>
        <w:tc>
          <w:tcPr>
            <w:tcW w:w="158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52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Deferred income taxes. . . . . . . . . . . . . . . . . . .</w:t>
            </w:r>
          </w:p>
        </w:tc>
        <w:tc>
          <w:tcPr>
            <w:tcW w:w="440" w:type="dxa"/>
            <w:vAlign w:val="bottom"/>
          </w:tcPr>
          <w:p>
            <w:pPr>
              <w:spacing w:after="0"/>
              <w:rPr>
                <w:sz w:val="22"/>
                <w:szCs w:val="22"/>
                <w:color w:val="auto"/>
              </w:rPr>
            </w:pPr>
          </w:p>
        </w:tc>
        <w:tc>
          <w:tcPr>
            <w:tcW w:w="11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22"/>
                <w:szCs w:val="22"/>
                <w:color w:val="auto"/>
              </w:rPr>
            </w:pP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759</w:t>
            </w:r>
          </w:p>
        </w:tc>
        <w:tc>
          <w:tcPr>
            <w:tcW w:w="4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Long-term debt, less current portion . . . . . . . . . . .</w:t>
            </w:r>
          </w:p>
        </w:tc>
        <w:tc>
          <w:tcPr>
            <w:tcW w:w="440" w:type="dxa"/>
            <w:vAlign w:val="bottom"/>
          </w:tcPr>
          <w:p>
            <w:pPr>
              <w:spacing w:after="0"/>
              <w:rPr>
                <w:sz w:val="14"/>
                <w:szCs w:val="14"/>
                <w:color w:val="auto"/>
              </w:rPr>
            </w:pP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65,369</w:t>
            </w:r>
          </w:p>
        </w:tc>
        <w:tc>
          <w:tcPr>
            <w:tcW w:w="340" w:type="dxa"/>
            <w:vAlign w:val="bottom"/>
          </w:tcPr>
          <w:p>
            <w:pPr>
              <w:spacing w:after="0"/>
              <w:rPr>
                <w:sz w:val="14"/>
                <w:szCs w:val="14"/>
                <w:color w:val="auto"/>
              </w:rPr>
            </w:pP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77,245</w:t>
            </w:r>
          </w:p>
        </w:tc>
        <w:tc>
          <w:tcPr>
            <w:tcW w:w="4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81,025</w:t>
            </w:r>
          </w:p>
        </w:tc>
        <w:tc>
          <w:tcPr>
            <w:tcW w:w="0" w:type="dxa"/>
            <w:vAlign w:val="bottom"/>
          </w:tcPr>
          <w:p>
            <w:pPr>
              <w:spacing w:after="0"/>
              <w:rPr>
                <w:sz w:val="1"/>
                <w:szCs w:val="1"/>
                <w:color w:val="auto"/>
              </w:rPr>
            </w:pPr>
          </w:p>
        </w:tc>
      </w:tr>
      <w:tr>
        <w:trPr>
          <w:trHeight w:val="245"/>
        </w:trPr>
        <w:tc>
          <w:tcPr>
            <w:tcW w:w="52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Deferred income. . . . . . . . . . . . . . . . . . . . . .</w:t>
            </w:r>
          </w:p>
        </w:tc>
        <w:tc>
          <w:tcPr>
            <w:tcW w:w="440" w:type="dxa"/>
            <w:vAlign w:val="bottom"/>
          </w:tcPr>
          <w:p>
            <w:pPr>
              <w:spacing w:after="0"/>
              <w:rPr>
                <w:sz w:val="21"/>
                <w:szCs w:val="21"/>
                <w:color w:val="auto"/>
              </w:rPr>
            </w:pPr>
          </w:p>
        </w:tc>
        <w:tc>
          <w:tcPr>
            <w:tcW w:w="11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5,250</w:t>
            </w:r>
          </w:p>
        </w:tc>
        <w:tc>
          <w:tcPr>
            <w:tcW w:w="340" w:type="dxa"/>
            <w:vAlign w:val="bottom"/>
          </w:tcPr>
          <w:p>
            <w:pPr>
              <w:spacing w:after="0"/>
              <w:rPr>
                <w:sz w:val="21"/>
                <w:szCs w:val="21"/>
                <w:color w:val="auto"/>
              </w:rPr>
            </w:pP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5,250</w:t>
            </w: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5,250</w:t>
            </w:r>
          </w:p>
        </w:tc>
        <w:tc>
          <w:tcPr>
            <w:tcW w:w="0" w:type="dxa"/>
            <w:vAlign w:val="bottom"/>
          </w:tcPr>
          <w:p>
            <w:pPr>
              <w:spacing w:after="0"/>
              <w:rPr>
                <w:sz w:val="1"/>
                <w:szCs w:val="1"/>
                <w:color w:val="auto"/>
              </w:rPr>
            </w:pPr>
          </w:p>
        </w:tc>
      </w:tr>
      <w:tr>
        <w:trPr>
          <w:trHeight w:val="259"/>
        </w:trPr>
        <w:tc>
          <w:tcPr>
            <w:tcW w:w="526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4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5260" w:type="dxa"/>
            <w:vAlign w:val="bottom"/>
          </w:tcPr>
          <w:p>
            <w:pPr>
              <w:jc w:val="right"/>
              <w:ind w:right="2387"/>
              <w:spacing w:after="0" w:line="168" w:lineRule="exact"/>
              <w:rPr>
                <w:sz w:val="20"/>
                <w:szCs w:val="20"/>
                <w:color w:val="auto"/>
              </w:rPr>
            </w:pPr>
            <w:r>
              <w:rPr>
                <w:rFonts w:ascii="Courier New" w:cs="Courier New" w:eastAsia="Courier New" w:hAnsi="Courier New"/>
                <w:sz w:val="15"/>
                <w:szCs w:val="15"/>
                <w:color w:val="auto"/>
              </w:rPr>
              <w:t>Common stock par value $1.00,</w:t>
            </w: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2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authorized 35,000,000 shares; issued and</w:t>
            </w: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2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outstanding 12,763,886 shares at April 28,</w:t>
            </w: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2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1995 (net of 63,281 treasury shares),</w:t>
            </w: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2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12,604,218 shares at April 29, 1994</w:t>
            </w: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2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(net of 28,544 treasury shares), and</w:t>
            </w: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2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12,561,204 shares at July 31, 1994 (net</w:t>
            </w:r>
          </w:p>
        </w:tc>
        <w:tc>
          <w:tcPr>
            <w:tcW w:w="440" w:type="dxa"/>
            <w:vAlign w:val="bottom"/>
          </w:tcPr>
          <w:p>
            <w:pPr>
              <w:spacing w:after="0"/>
              <w:rPr>
                <w:sz w:val="14"/>
                <w:szCs w:val="14"/>
                <w:color w:val="auto"/>
              </w:rPr>
            </w:pPr>
          </w:p>
        </w:tc>
        <w:tc>
          <w:tcPr>
            <w:tcW w:w="114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12,764</w:t>
            </w:r>
          </w:p>
        </w:tc>
        <w:tc>
          <w:tcPr>
            <w:tcW w:w="340" w:type="dxa"/>
            <w:vAlign w:val="bottom"/>
          </w:tcPr>
          <w:p>
            <w:pPr>
              <w:spacing w:after="0"/>
              <w:rPr>
                <w:sz w:val="14"/>
                <w:szCs w:val="14"/>
                <w:color w:val="auto"/>
              </w:rPr>
            </w:pPr>
          </w:p>
        </w:tc>
        <w:tc>
          <w:tcPr>
            <w:tcW w:w="136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12,604</w:t>
            </w:r>
          </w:p>
        </w:tc>
        <w:tc>
          <w:tcPr>
            <w:tcW w:w="4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12,561</w:t>
            </w:r>
          </w:p>
        </w:tc>
        <w:tc>
          <w:tcPr>
            <w:tcW w:w="0" w:type="dxa"/>
            <w:vAlign w:val="bottom"/>
          </w:tcPr>
          <w:p>
            <w:pPr>
              <w:spacing w:after="0"/>
              <w:rPr>
                <w:sz w:val="1"/>
                <w:szCs w:val="1"/>
                <w:color w:val="auto"/>
              </w:rPr>
            </w:pPr>
          </w:p>
        </w:tc>
      </w:tr>
      <w:tr>
        <w:trPr>
          <w:trHeight w:val="168"/>
        </w:trPr>
        <w:tc>
          <w:tcPr>
            <w:tcW w:w="5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of 76,153 treasury shares) . . . . . . . . . . . . .</w:t>
            </w:r>
          </w:p>
        </w:tc>
        <w:tc>
          <w:tcPr>
            <w:tcW w:w="4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Additional paid-in capital. . . . . . . . . . . . . . .</w:t>
            </w:r>
          </w:p>
        </w:tc>
        <w:tc>
          <w:tcPr>
            <w:tcW w:w="440" w:type="dxa"/>
            <w:vAlign w:val="bottom"/>
          </w:tcPr>
          <w:p>
            <w:pPr>
              <w:spacing w:after="0"/>
              <w:rPr>
                <w:sz w:val="14"/>
                <w:szCs w:val="14"/>
                <w:color w:val="auto"/>
              </w:rPr>
            </w:pP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53,604</w:t>
            </w:r>
          </w:p>
        </w:tc>
        <w:tc>
          <w:tcPr>
            <w:tcW w:w="340" w:type="dxa"/>
            <w:vAlign w:val="bottom"/>
          </w:tcPr>
          <w:p>
            <w:pPr>
              <w:spacing w:after="0"/>
              <w:rPr>
                <w:sz w:val="14"/>
                <w:szCs w:val="14"/>
                <w:color w:val="auto"/>
              </w:rPr>
            </w:pP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49,357</w:t>
            </w:r>
          </w:p>
        </w:tc>
        <w:tc>
          <w:tcPr>
            <w:tcW w:w="4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49,420</w:t>
            </w:r>
          </w:p>
        </w:tc>
        <w:tc>
          <w:tcPr>
            <w:tcW w:w="0" w:type="dxa"/>
            <w:vAlign w:val="bottom"/>
          </w:tcPr>
          <w:p>
            <w:pPr>
              <w:spacing w:after="0"/>
              <w:rPr>
                <w:sz w:val="1"/>
                <w:szCs w:val="1"/>
                <w:color w:val="auto"/>
              </w:rPr>
            </w:pPr>
          </w:p>
        </w:tc>
      </w:tr>
      <w:tr>
        <w:trPr>
          <w:trHeight w:val="168"/>
        </w:trPr>
        <w:tc>
          <w:tcPr>
            <w:tcW w:w="5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Retained earnings . . . . . . . . . . . . . . . . . . .</w:t>
            </w:r>
          </w:p>
        </w:tc>
        <w:tc>
          <w:tcPr>
            <w:tcW w:w="440" w:type="dxa"/>
            <w:vAlign w:val="bottom"/>
          </w:tcPr>
          <w:p>
            <w:pPr>
              <w:spacing w:after="0"/>
              <w:rPr>
                <w:sz w:val="14"/>
                <w:szCs w:val="14"/>
                <w:color w:val="auto"/>
              </w:rPr>
            </w:pP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137,762</w:t>
            </w:r>
          </w:p>
        </w:tc>
        <w:tc>
          <w:tcPr>
            <w:tcW w:w="340" w:type="dxa"/>
            <w:vAlign w:val="bottom"/>
          </w:tcPr>
          <w:p>
            <w:pPr>
              <w:spacing w:after="0"/>
              <w:rPr>
                <w:sz w:val="14"/>
                <w:szCs w:val="14"/>
                <w:color w:val="auto"/>
              </w:rPr>
            </w:pP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107,189</w:t>
            </w:r>
          </w:p>
        </w:tc>
        <w:tc>
          <w:tcPr>
            <w:tcW w:w="4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109,688</w:t>
            </w:r>
          </w:p>
        </w:tc>
        <w:tc>
          <w:tcPr>
            <w:tcW w:w="0" w:type="dxa"/>
            <w:vAlign w:val="bottom"/>
          </w:tcPr>
          <w:p>
            <w:pPr>
              <w:spacing w:after="0"/>
              <w:rPr>
                <w:sz w:val="1"/>
                <w:szCs w:val="1"/>
                <w:color w:val="auto"/>
              </w:rPr>
            </w:pPr>
          </w:p>
        </w:tc>
      </w:tr>
      <w:tr>
        <w:trPr>
          <w:trHeight w:val="168"/>
        </w:trPr>
        <w:tc>
          <w:tcPr>
            <w:tcW w:w="5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Foreign currency translation adjustment . . . . . . . .</w:t>
            </w:r>
          </w:p>
        </w:tc>
        <w:tc>
          <w:tcPr>
            <w:tcW w:w="440" w:type="dxa"/>
            <w:vAlign w:val="bottom"/>
          </w:tcPr>
          <w:p>
            <w:pPr>
              <w:spacing w:after="0"/>
              <w:rPr>
                <w:sz w:val="14"/>
                <w:szCs w:val="14"/>
                <w:color w:val="auto"/>
              </w:rPr>
            </w:pP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514</w:t>
            </w:r>
          </w:p>
        </w:tc>
        <w:tc>
          <w:tcPr>
            <w:tcW w:w="340" w:type="dxa"/>
            <w:vAlign w:val="bottom"/>
          </w:tcPr>
          <w:p>
            <w:pPr>
              <w:spacing w:after="0"/>
              <w:rPr>
                <w:sz w:val="14"/>
                <w:szCs w:val="14"/>
                <w:color w:val="auto"/>
              </w:rPr>
            </w:pP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(224)</w:t>
            </w:r>
          </w:p>
        </w:tc>
        <w:tc>
          <w:tcPr>
            <w:tcW w:w="4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(405)</w:t>
            </w:r>
          </w:p>
        </w:tc>
        <w:tc>
          <w:tcPr>
            <w:tcW w:w="0" w:type="dxa"/>
            <w:vAlign w:val="bottom"/>
          </w:tcPr>
          <w:p>
            <w:pPr>
              <w:spacing w:after="0"/>
              <w:rPr>
                <w:sz w:val="1"/>
                <w:szCs w:val="1"/>
                <w:color w:val="auto"/>
              </w:rPr>
            </w:pPr>
          </w:p>
        </w:tc>
      </w:tr>
      <w:tr>
        <w:trPr>
          <w:trHeight w:val="168"/>
        </w:trPr>
        <w:tc>
          <w:tcPr>
            <w:tcW w:w="5260" w:type="dxa"/>
            <w:vAlign w:val="bottom"/>
          </w:tcPr>
          <w:p>
            <w:pPr>
              <w:spacing w:after="0"/>
              <w:rPr>
                <w:sz w:val="14"/>
                <w:szCs w:val="14"/>
                <w:color w:val="auto"/>
              </w:rPr>
            </w:pPr>
          </w:p>
        </w:tc>
        <w:tc>
          <w:tcPr>
            <w:tcW w:w="440" w:type="dxa"/>
            <w:vAlign w:val="bottom"/>
          </w:tcPr>
          <w:p>
            <w:pPr>
              <w:ind w:left="180"/>
              <w:spacing w:after="0"/>
              <w:rPr>
                <w:sz w:val="20"/>
                <w:szCs w:val="20"/>
                <w:color w:val="auto"/>
              </w:rPr>
            </w:pPr>
            <w:r>
              <w:rPr>
                <w:rFonts w:ascii="Courier New" w:cs="Courier New" w:eastAsia="Courier New" w:hAnsi="Courier New"/>
                <w:sz w:val="4"/>
                <w:szCs w:val="4"/>
                <w:color w:val="auto"/>
                <w:w w:val="76"/>
              </w:rPr>
              <w:t>-------------</w:t>
            </w:r>
          </w:p>
        </w:tc>
        <w:tc>
          <w:tcPr>
            <w:tcW w:w="114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204,644</w:t>
            </w:r>
          </w:p>
        </w:tc>
        <w:tc>
          <w:tcPr>
            <w:tcW w:w="17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2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Receivable from ESOP. . . . . . . . . . . . . . . . . .</w:t>
            </w:r>
          </w:p>
        </w:tc>
        <w:tc>
          <w:tcPr>
            <w:tcW w:w="4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168,926</w:t>
            </w:r>
          </w:p>
        </w:tc>
        <w:tc>
          <w:tcPr>
            <w:tcW w:w="4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171,264</w:t>
            </w:r>
          </w:p>
        </w:tc>
        <w:tc>
          <w:tcPr>
            <w:tcW w:w="0" w:type="dxa"/>
            <w:vAlign w:val="bottom"/>
          </w:tcPr>
          <w:p>
            <w:pPr>
              <w:spacing w:after="0"/>
              <w:rPr>
                <w:sz w:val="1"/>
                <w:szCs w:val="1"/>
                <w:color w:val="auto"/>
              </w:rPr>
            </w:pPr>
          </w:p>
        </w:tc>
      </w:tr>
      <w:tr>
        <w:trPr>
          <w:trHeight w:val="168"/>
        </w:trPr>
        <w:tc>
          <w:tcPr>
            <w:tcW w:w="52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(2,612)</w:t>
            </w:r>
          </w:p>
        </w:tc>
        <w:tc>
          <w:tcPr>
            <w:tcW w:w="340" w:type="dxa"/>
            <w:vAlign w:val="bottom"/>
          </w:tcPr>
          <w:p>
            <w:pPr>
              <w:spacing w:after="0"/>
              <w:rPr>
                <w:sz w:val="14"/>
                <w:szCs w:val="14"/>
                <w:color w:val="auto"/>
              </w:rPr>
            </w:pP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(5,223)</w:t>
            </w:r>
          </w:p>
        </w:tc>
        <w:tc>
          <w:tcPr>
            <w:tcW w:w="4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(2,612)</w:t>
            </w:r>
          </w:p>
        </w:tc>
        <w:tc>
          <w:tcPr>
            <w:tcW w:w="0" w:type="dxa"/>
            <w:vAlign w:val="bottom"/>
          </w:tcPr>
          <w:p>
            <w:pPr>
              <w:spacing w:after="0"/>
              <w:rPr>
                <w:sz w:val="1"/>
                <w:szCs w:val="1"/>
                <w:color w:val="auto"/>
              </w:rPr>
            </w:pPr>
          </w:p>
        </w:tc>
      </w:tr>
      <w:tr>
        <w:trPr>
          <w:trHeight w:val="168"/>
        </w:trPr>
        <w:tc>
          <w:tcPr>
            <w:tcW w:w="52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Total common stockholders' equity . . . . . . . . . . .</w:t>
            </w:r>
          </w:p>
        </w:tc>
        <w:tc>
          <w:tcPr>
            <w:tcW w:w="440" w:type="dxa"/>
            <w:vAlign w:val="bottom"/>
          </w:tcPr>
          <w:p>
            <w:pPr>
              <w:ind w:left="180"/>
              <w:spacing w:after="0"/>
              <w:rPr>
                <w:sz w:val="20"/>
                <w:szCs w:val="20"/>
                <w:color w:val="auto"/>
              </w:rPr>
            </w:pPr>
            <w:r>
              <w:rPr>
                <w:rFonts w:ascii="Courier New" w:cs="Courier New" w:eastAsia="Courier New" w:hAnsi="Courier New"/>
                <w:sz w:val="4"/>
                <w:szCs w:val="4"/>
                <w:color w:val="auto"/>
                <w:w w:val="76"/>
              </w:rPr>
              <w:t>-------------</w:t>
            </w:r>
          </w:p>
        </w:tc>
        <w:tc>
          <w:tcPr>
            <w:tcW w:w="114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202,032</w:t>
            </w:r>
          </w:p>
        </w:tc>
        <w:tc>
          <w:tcPr>
            <w:tcW w:w="17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2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163,703</w:t>
            </w:r>
          </w:p>
        </w:tc>
        <w:tc>
          <w:tcPr>
            <w:tcW w:w="4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168,652</w:t>
            </w:r>
          </w:p>
        </w:tc>
        <w:tc>
          <w:tcPr>
            <w:tcW w:w="0" w:type="dxa"/>
            <w:vAlign w:val="bottom"/>
          </w:tcPr>
          <w:p>
            <w:pPr>
              <w:spacing w:after="0"/>
              <w:rPr>
                <w:sz w:val="1"/>
                <w:szCs w:val="1"/>
                <w:color w:val="auto"/>
              </w:rPr>
            </w:pPr>
          </w:p>
        </w:tc>
      </w:tr>
      <w:tr>
        <w:trPr>
          <w:trHeight w:val="168"/>
        </w:trPr>
        <w:tc>
          <w:tcPr>
            <w:tcW w:w="52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Total liabilities and common stockholders' equity .</w:t>
            </w:r>
          </w:p>
        </w:tc>
        <w:tc>
          <w:tcPr>
            <w:tcW w:w="440" w:type="dxa"/>
            <w:vAlign w:val="bottom"/>
            <w:vMerge w:val="restart"/>
          </w:tcPr>
          <w:p>
            <w:pPr>
              <w:ind w:left="180"/>
              <w:spacing w:after="0"/>
              <w:rPr>
                <w:sz w:val="20"/>
                <w:szCs w:val="20"/>
                <w:color w:val="auto"/>
              </w:rPr>
            </w:pPr>
            <w:r>
              <w:rPr>
                <w:rFonts w:ascii="Courier New" w:cs="Courier New" w:eastAsia="Courier New" w:hAnsi="Courier New"/>
                <w:sz w:val="7"/>
                <w:szCs w:val="7"/>
                <w:color w:val="auto"/>
                <w:w w:val="70"/>
                <w:vertAlign w:val="subscript"/>
              </w:rPr>
              <w:t>$</w:t>
            </w:r>
            <w:r>
              <w:rPr>
                <w:rFonts w:ascii="Courier New" w:cs="Courier New" w:eastAsia="Courier New" w:hAnsi="Courier New"/>
                <w:sz w:val="4"/>
                <w:szCs w:val="4"/>
                <w:color w:val="auto"/>
                <w:w w:val="70"/>
              </w:rPr>
              <w:t>-------------</w:t>
            </w:r>
          </w:p>
        </w:tc>
        <w:tc>
          <w:tcPr>
            <w:tcW w:w="114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592,464</w:t>
            </w:r>
          </w:p>
        </w:tc>
        <w:tc>
          <w:tcPr>
            <w:tcW w:w="17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2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530,265</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443,639</w:t>
            </w:r>
          </w:p>
        </w:tc>
        <w:tc>
          <w:tcPr>
            <w:tcW w:w="0" w:type="dxa"/>
            <w:vAlign w:val="bottom"/>
          </w:tcPr>
          <w:p>
            <w:pPr>
              <w:spacing w:after="0"/>
              <w:rPr>
                <w:sz w:val="1"/>
                <w:szCs w:val="1"/>
                <w:color w:val="auto"/>
              </w:rPr>
            </w:pPr>
          </w:p>
        </w:tc>
      </w:tr>
      <w:tr>
        <w:trPr>
          <w:trHeight w:val="168"/>
        </w:trPr>
        <w:tc>
          <w:tcPr>
            <w:tcW w:w="5260" w:type="dxa"/>
            <w:vAlign w:val="bottom"/>
          </w:tcPr>
          <w:p>
            <w:pPr>
              <w:spacing w:after="0"/>
              <w:rPr>
                <w:sz w:val="14"/>
                <w:szCs w:val="14"/>
                <w:color w:val="auto"/>
              </w:rPr>
            </w:pPr>
          </w:p>
        </w:tc>
        <w:tc>
          <w:tcPr>
            <w:tcW w:w="158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5260" w:type="dxa"/>
            <w:vAlign w:val="bottom"/>
          </w:tcPr>
          <w:p>
            <w:pPr>
              <w:spacing w:after="0"/>
              <w:rPr>
                <w:sz w:val="21"/>
                <w:szCs w:val="21"/>
                <w:color w:val="auto"/>
              </w:rPr>
            </w:pPr>
          </w:p>
        </w:tc>
        <w:tc>
          <w:tcPr>
            <w:tcW w:w="158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598" w:right="1440" w:bottom="1440" w:gutter="0" w:footer="0" w:header="0"/>
        </w:sectPr>
      </w:pPr>
    </w:p>
    <w:bookmarkStart w:id="4" w:name="page5"/>
    <w:bookmarkEnd w:id="4"/>
    <w:p>
      <w:pPr>
        <w:jc w:val="center"/>
        <w:ind w:right="3139"/>
        <w:spacing w:after="0"/>
        <w:rPr>
          <w:sz w:val="20"/>
          <w:szCs w:val="20"/>
          <w:color w:val="auto"/>
        </w:rPr>
      </w:pPr>
      <w:r>
        <w:rPr>
          <w:rFonts w:ascii="Courier New" w:cs="Courier New" w:eastAsia="Courier New" w:hAnsi="Courier New"/>
          <w:sz w:val="15"/>
          <w:szCs w:val="15"/>
          <w:color w:val="auto"/>
        </w:rPr>
        <w:t>THE TORO COMPANY AND SUBSIDIARIES</w:t>
      </w:r>
    </w:p>
    <w:p>
      <w:pPr>
        <w:spacing w:after="0" w:line="23"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CONSOLIDATED STATEMENTS OF CASH FLOWS (UNAUDITED)</w:t>
      </w:r>
    </w:p>
    <w:tbl>
      <w:tblPr>
        <w:tblLayout w:type="fixed"/>
        <w:tblInd w:w="0" w:type="dxa"/>
        <w:tblCellMar>
          <w:top w:w="0" w:type="dxa"/>
          <w:left w:w="0" w:type="dxa"/>
          <w:bottom w:w="0" w:type="dxa"/>
          <w:right w:w="0" w:type="dxa"/>
        </w:tblCellMar>
      </w:tblPr>
      <w:tr>
        <w:trPr>
          <w:trHeight w:val="245"/>
        </w:trPr>
        <w:tc>
          <w:tcPr>
            <w:tcW w:w="5820" w:type="dxa"/>
            <w:vAlign w:val="bottom"/>
          </w:tcPr>
          <w:p>
            <w:pPr>
              <w:jc w:val="right"/>
              <w:ind w:right="1267"/>
              <w:spacing w:after="0"/>
              <w:rPr>
                <w:sz w:val="20"/>
                <w:szCs w:val="20"/>
                <w:color w:val="auto"/>
              </w:rPr>
            </w:pPr>
            <w:r>
              <w:rPr>
                <w:rFonts w:ascii="Courier New" w:cs="Courier New" w:eastAsia="Courier New" w:hAnsi="Courier New"/>
                <w:sz w:val="15"/>
                <w:szCs w:val="15"/>
                <w:color w:val="auto"/>
              </w:rPr>
              <w:t>(DOLLARS IN THOUSANDS)</w:t>
            </w:r>
          </w:p>
        </w:tc>
        <w:tc>
          <w:tcPr>
            <w:tcW w:w="3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38"/>
        </w:trPr>
        <w:tc>
          <w:tcPr>
            <w:tcW w:w="5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40" w:type="dxa"/>
            <w:vAlign w:val="bottom"/>
            <w:gridSpan w:val="3"/>
          </w:tcPr>
          <w:p>
            <w:pPr>
              <w:jc w:val="right"/>
              <w:ind w:right="887"/>
              <w:spacing w:after="0"/>
              <w:rPr>
                <w:sz w:val="20"/>
                <w:szCs w:val="20"/>
                <w:color w:val="auto"/>
              </w:rPr>
            </w:pPr>
            <w:r>
              <w:rPr>
                <w:rFonts w:ascii="Courier New" w:cs="Courier New" w:eastAsia="Courier New" w:hAnsi="Courier New"/>
                <w:sz w:val="15"/>
                <w:szCs w:val="15"/>
                <w:color w:val="auto"/>
              </w:rPr>
              <w:t>Nine Months Ended</w:t>
            </w:r>
          </w:p>
        </w:tc>
        <w:tc>
          <w:tcPr>
            <w:tcW w:w="0" w:type="dxa"/>
            <w:vAlign w:val="bottom"/>
          </w:tcPr>
          <w:p>
            <w:pPr>
              <w:spacing w:after="0"/>
              <w:rPr>
                <w:sz w:val="1"/>
                <w:szCs w:val="1"/>
                <w:color w:val="auto"/>
              </w:rPr>
            </w:pPr>
          </w:p>
        </w:tc>
      </w:tr>
      <w:tr>
        <w:trPr>
          <w:trHeight w:val="168"/>
        </w:trPr>
        <w:tc>
          <w:tcPr>
            <w:tcW w:w="5820" w:type="dxa"/>
            <w:vAlign w:val="bottom"/>
          </w:tcPr>
          <w:p>
            <w:pPr>
              <w:spacing w:after="0"/>
              <w:rPr>
                <w:sz w:val="14"/>
                <w:szCs w:val="14"/>
                <w:color w:val="auto"/>
              </w:rPr>
            </w:pPr>
          </w:p>
        </w:tc>
        <w:tc>
          <w:tcPr>
            <w:tcW w:w="346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168"/>
        </w:trPr>
        <w:tc>
          <w:tcPr>
            <w:tcW w:w="5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w w:val="93"/>
              </w:rPr>
              <w:t>April 28,</w:t>
            </w:r>
          </w:p>
        </w:tc>
        <w:tc>
          <w:tcPr>
            <w:tcW w:w="48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April 29,</w:t>
            </w:r>
          </w:p>
        </w:tc>
        <w:tc>
          <w:tcPr>
            <w:tcW w:w="0" w:type="dxa"/>
            <w:vAlign w:val="bottom"/>
          </w:tcPr>
          <w:p>
            <w:pPr>
              <w:spacing w:after="0"/>
              <w:rPr>
                <w:sz w:val="1"/>
                <w:szCs w:val="1"/>
                <w:color w:val="auto"/>
              </w:rPr>
            </w:pPr>
          </w:p>
        </w:tc>
      </w:tr>
      <w:tr>
        <w:trPr>
          <w:trHeight w:val="168"/>
        </w:trPr>
        <w:tc>
          <w:tcPr>
            <w:tcW w:w="5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1995</w:t>
            </w:r>
          </w:p>
        </w:tc>
        <w:tc>
          <w:tcPr>
            <w:tcW w:w="48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1994</w:t>
            </w:r>
          </w:p>
        </w:tc>
        <w:tc>
          <w:tcPr>
            <w:tcW w:w="0" w:type="dxa"/>
            <w:vAlign w:val="bottom"/>
          </w:tcPr>
          <w:p>
            <w:pPr>
              <w:spacing w:after="0"/>
              <w:rPr>
                <w:sz w:val="1"/>
                <w:szCs w:val="1"/>
                <w:color w:val="auto"/>
              </w:rPr>
            </w:pPr>
          </w:p>
        </w:tc>
      </w:tr>
      <w:tr>
        <w:trPr>
          <w:trHeight w:val="245"/>
        </w:trPr>
        <w:tc>
          <w:tcPr>
            <w:tcW w:w="5820" w:type="dxa"/>
            <w:vAlign w:val="bottom"/>
          </w:tcPr>
          <w:p>
            <w:pPr>
              <w:spacing w:after="0"/>
              <w:rPr>
                <w:sz w:val="21"/>
                <w:szCs w:val="21"/>
                <w:color w:val="auto"/>
              </w:rPr>
            </w:pPr>
          </w:p>
        </w:tc>
        <w:tc>
          <w:tcPr>
            <w:tcW w:w="17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9"/>
              </w:rPr>
              <w:t>---------------</w:t>
            </w:r>
          </w:p>
        </w:tc>
        <w:tc>
          <w:tcPr>
            <w:tcW w:w="17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582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32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w:t>
            </w:r>
          </w:p>
        </w:tc>
        <w:tc>
          <w:tcPr>
            <w:tcW w:w="14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32,640</w:t>
            </w:r>
          </w:p>
        </w:tc>
        <w:tc>
          <w:tcPr>
            <w:tcW w:w="4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2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18,219</w:t>
            </w:r>
          </w:p>
        </w:tc>
        <w:tc>
          <w:tcPr>
            <w:tcW w:w="0" w:type="dxa"/>
            <w:vAlign w:val="bottom"/>
          </w:tcPr>
          <w:p>
            <w:pPr>
              <w:spacing w:after="0"/>
              <w:rPr>
                <w:sz w:val="1"/>
                <w:szCs w:val="1"/>
                <w:color w:val="auto"/>
              </w:rPr>
            </w:pPr>
          </w:p>
        </w:tc>
      </w:tr>
      <w:tr>
        <w:trPr>
          <w:trHeight w:val="168"/>
        </w:trPr>
        <w:tc>
          <w:tcPr>
            <w:tcW w:w="582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Net earnings . . . . . . . . . . . . . . . . . . . . . . . . . . .</w:t>
            </w:r>
          </w:p>
        </w:tc>
        <w:tc>
          <w:tcPr>
            <w:tcW w:w="320" w:type="dxa"/>
            <w:vAlign w:val="bottom"/>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Adjustments to reconcile net earnings to net cash</w:t>
            </w:r>
          </w:p>
        </w:tc>
        <w:tc>
          <w:tcPr>
            <w:tcW w:w="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820" w:type="dxa"/>
            <w:vAlign w:val="bottom"/>
          </w:tcPr>
          <w:p>
            <w:pPr>
              <w:jc w:val="right"/>
              <w:ind w:right="2587"/>
              <w:spacing w:after="0" w:line="168" w:lineRule="exact"/>
              <w:rPr>
                <w:sz w:val="20"/>
                <w:szCs w:val="20"/>
                <w:color w:val="auto"/>
              </w:rPr>
            </w:pPr>
            <w:r>
              <w:rPr>
                <w:rFonts w:ascii="Courier New" w:cs="Courier New" w:eastAsia="Courier New" w:hAnsi="Courier New"/>
                <w:sz w:val="15"/>
                <w:szCs w:val="15"/>
                <w:color w:val="auto"/>
              </w:rPr>
              <w:t>used in operating activities:</w:t>
            </w:r>
          </w:p>
        </w:tc>
        <w:tc>
          <w:tcPr>
            <w:tcW w:w="320" w:type="dxa"/>
            <w:vAlign w:val="bottom"/>
          </w:tcPr>
          <w:p>
            <w:pPr>
              <w:spacing w:after="0"/>
              <w:rPr>
                <w:sz w:val="14"/>
                <w:szCs w:val="14"/>
                <w:color w:val="auto"/>
              </w:rPr>
            </w:pPr>
          </w:p>
        </w:tc>
        <w:tc>
          <w:tcPr>
            <w:tcW w:w="14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13,325</w:t>
            </w:r>
          </w:p>
        </w:tc>
        <w:tc>
          <w:tcPr>
            <w:tcW w:w="480" w:type="dxa"/>
            <w:vAlign w:val="bottom"/>
          </w:tcPr>
          <w:p>
            <w:pPr>
              <w:spacing w:after="0"/>
              <w:rPr>
                <w:sz w:val="14"/>
                <w:szCs w:val="14"/>
                <w:color w:val="auto"/>
              </w:rPr>
            </w:pPr>
          </w:p>
        </w:tc>
        <w:tc>
          <w:tcPr>
            <w:tcW w:w="12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13,680</w:t>
            </w:r>
          </w:p>
        </w:tc>
        <w:tc>
          <w:tcPr>
            <w:tcW w:w="0" w:type="dxa"/>
            <w:vAlign w:val="bottom"/>
          </w:tcPr>
          <w:p>
            <w:pPr>
              <w:spacing w:after="0"/>
              <w:rPr>
                <w:sz w:val="1"/>
                <w:szCs w:val="1"/>
                <w:color w:val="auto"/>
              </w:rPr>
            </w:pPr>
          </w:p>
        </w:tc>
      </w:tr>
      <w:tr>
        <w:trPr>
          <w:trHeight w:val="168"/>
        </w:trPr>
        <w:tc>
          <w:tcPr>
            <w:tcW w:w="5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Provision for depreciation and amortization. . . . . . . . . .</w:t>
            </w:r>
          </w:p>
        </w:tc>
        <w:tc>
          <w:tcPr>
            <w:tcW w:w="32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(Gain)/loss on disposal of property, plant and equipment . . .</w:t>
            </w:r>
          </w:p>
        </w:tc>
        <w:tc>
          <w:tcPr>
            <w:tcW w:w="320" w:type="dxa"/>
            <w:vAlign w:val="bottom"/>
          </w:tcPr>
          <w:p>
            <w:pPr>
              <w:spacing w:after="0"/>
              <w:rPr>
                <w:sz w:val="14"/>
                <w:szCs w:val="14"/>
                <w:color w:val="auto"/>
              </w:rPr>
            </w:pPr>
          </w:p>
        </w:tc>
        <w:tc>
          <w:tcPr>
            <w:tcW w:w="14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(256)</w:t>
            </w:r>
          </w:p>
        </w:tc>
        <w:tc>
          <w:tcPr>
            <w:tcW w:w="48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w:t>
            </w:r>
          </w:p>
        </w:tc>
        <w:tc>
          <w:tcPr>
            <w:tcW w:w="0" w:type="dxa"/>
            <w:vAlign w:val="bottom"/>
          </w:tcPr>
          <w:p>
            <w:pPr>
              <w:spacing w:after="0"/>
              <w:rPr>
                <w:sz w:val="1"/>
                <w:szCs w:val="1"/>
                <w:color w:val="auto"/>
              </w:rPr>
            </w:pPr>
          </w:p>
        </w:tc>
      </w:tr>
      <w:tr>
        <w:trPr>
          <w:trHeight w:val="168"/>
        </w:trPr>
        <w:tc>
          <w:tcPr>
            <w:tcW w:w="5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Provision for deferred income tax benefit. . . . . . . . . . .</w:t>
            </w:r>
          </w:p>
        </w:tc>
        <w:tc>
          <w:tcPr>
            <w:tcW w:w="320" w:type="dxa"/>
            <w:vAlign w:val="bottom"/>
          </w:tcPr>
          <w:p>
            <w:pPr>
              <w:spacing w:after="0"/>
              <w:rPr>
                <w:sz w:val="14"/>
                <w:szCs w:val="14"/>
                <w:color w:val="auto"/>
              </w:rPr>
            </w:pPr>
          </w:p>
        </w:tc>
        <w:tc>
          <w:tcPr>
            <w:tcW w:w="14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(297)</w:t>
            </w:r>
          </w:p>
        </w:tc>
        <w:tc>
          <w:tcPr>
            <w:tcW w:w="480" w:type="dxa"/>
            <w:vAlign w:val="bottom"/>
          </w:tcPr>
          <w:p>
            <w:pPr>
              <w:spacing w:after="0"/>
              <w:rPr>
                <w:sz w:val="14"/>
                <w:szCs w:val="14"/>
                <w:color w:val="auto"/>
              </w:rPr>
            </w:pP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(613)</w:t>
            </w:r>
          </w:p>
        </w:tc>
        <w:tc>
          <w:tcPr>
            <w:tcW w:w="0" w:type="dxa"/>
            <w:vAlign w:val="bottom"/>
          </w:tcPr>
          <w:p>
            <w:pPr>
              <w:spacing w:after="0"/>
              <w:rPr>
                <w:sz w:val="1"/>
                <w:szCs w:val="1"/>
                <w:color w:val="auto"/>
              </w:rPr>
            </w:pPr>
          </w:p>
        </w:tc>
      </w:tr>
      <w:tr>
        <w:trPr>
          <w:trHeight w:val="168"/>
        </w:trPr>
        <w:tc>
          <w:tcPr>
            <w:tcW w:w="5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Tax benefit related to employee stock options. . . . . . . . .</w:t>
            </w:r>
          </w:p>
        </w:tc>
        <w:tc>
          <w:tcPr>
            <w:tcW w:w="320" w:type="dxa"/>
            <w:vAlign w:val="bottom"/>
          </w:tcPr>
          <w:p>
            <w:pPr>
              <w:spacing w:after="0"/>
              <w:rPr>
                <w:sz w:val="14"/>
                <w:szCs w:val="14"/>
                <w:color w:val="auto"/>
              </w:rPr>
            </w:pP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1,178</w:t>
            </w:r>
          </w:p>
        </w:tc>
        <w:tc>
          <w:tcPr>
            <w:tcW w:w="48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Changes in operating assets and liabilities:</w:t>
            </w:r>
          </w:p>
        </w:tc>
        <w:tc>
          <w:tcPr>
            <w:tcW w:w="320" w:type="dxa"/>
            <w:vAlign w:val="bottom"/>
          </w:tcPr>
          <w:p>
            <w:pPr>
              <w:spacing w:after="0"/>
              <w:rPr>
                <w:sz w:val="14"/>
                <w:szCs w:val="14"/>
                <w:color w:val="auto"/>
              </w:rPr>
            </w:pPr>
          </w:p>
        </w:tc>
        <w:tc>
          <w:tcPr>
            <w:tcW w:w="144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(163,181)</w:t>
            </w:r>
          </w:p>
        </w:tc>
        <w:tc>
          <w:tcPr>
            <w:tcW w:w="48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(126,977)</w:t>
            </w:r>
          </w:p>
        </w:tc>
        <w:tc>
          <w:tcPr>
            <w:tcW w:w="0" w:type="dxa"/>
            <w:vAlign w:val="bottom"/>
          </w:tcPr>
          <w:p>
            <w:pPr>
              <w:spacing w:after="0"/>
              <w:rPr>
                <w:sz w:val="1"/>
                <w:szCs w:val="1"/>
                <w:color w:val="auto"/>
              </w:rPr>
            </w:pPr>
          </w:p>
        </w:tc>
      </w:tr>
      <w:tr>
        <w:trPr>
          <w:trHeight w:val="168"/>
        </w:trPr>
        <w:tc>
          <w:tcPr>
            <w:tcW w:w="5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Receivables (net). . . . . . . . . . . . . . . . . . . . .</w:t>
            </w:r>
          </w:p>
        </w:tc>
        <w:tc>
          <w:tcPr>
            <w:tcW w:w="32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Inventories. . . . . . . . . . . . . . . . . . . . . . . .</w:t>
            </w:r>
          </w:p>
        </w:tc>
        <w:tc>
          <w:tcPr>
            <w:tcW w:w="320" w:type="dxa"/>
            <w:vAlign w:val="bottom"/>
          </w:tcPr>
          <w:p>
            <w:pPr>
              <w:spacing w:after="0"/>
              <w:rPr>
                <w:sz w:val="14"/>
                <w:szCs w:val="14"/>
                <w:color w:val="auto"/>
              </w:rPr>
            </w:pPr>
          </w:p>
        </w:tc>
        <w:tc>
          <w:tcPr>
            <w:tcW w:w="14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(19,254)</w:t>
            </w:r>
          </w:p>
        </w:tc>
        <w:tc>
          <w:tcPr>
            <w:tcW w:w="480" w:type="dxa"/>
            <w:vAlign w:val="bottom"/>
          </w:tcPr>
          <w:p>
            <w:pPr>
              <w:spacing w:after="0"/>
              <w:rPr>
                <w:sz w:val="14"/>
                <w:szCs w:val="14"/>
                <w:color w:val="auto"/>
              </w:rPr>
            </w:pP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(44,954)</w:t>
            </w:r>
          </w:p>
        </w:tc>
        <w:tc>
          <w:tcPr>
            <w:tcW w:w="0" w:type="dxa"/>
            <w:vAlign w:val="bottom"/>
          </w:tcPr>
          <w:p>
            <w:pPr>
              <w:spacing w:after="0"/>
              <w:rPr>
                <w:sz w:val="1"/>
                <w:szCs w:val="1"/>
                <w:color w:val="auto"/>
              </w:rPr>
            </w:pPr>
          </w:p>
        </w:tc>
      </w:tr>
      <w:tr>
        <w:trPr>
          <w:trHeight w:val="168"/>
        </w:trPr>
        <w:tc>
          <w:tcPr>
            <w:tcW w:w="5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Prepaid expenses . . . . . . . . . . . . . . . . . . . . .</w:t>
            </w:r>
          </w:p>
        </w:tc>
        <w:tc>
          <w:tcPr>
            <w:tcW w:w="320" w:type="dxa"/>
            <w:vAlign w:val="bottom"/>
          </w:tcPr>
          <w:p>
            <w:pPr>
              <w:spacing w:after="0"/>
              <w:rPr>
                <w:sz w:val="14"/>
                <w:szCs w:val="14"/>
                <w:color w:val="auto"/>
              </w:rPr>
            </w:pPr>
          </w:p>
        </w:tc>
        <w:tc>
          <w:tcPr>
            <w:tcW w:w="14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(4,276)</w:t>
            </w:r>
          </w:p>
        </w:tc>
        <w:tc>
          <w:tcPr>
            <w:tcW w:w="48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262</w:t>
            </w:r>
          </w:p>
        </w:tc>
        <w:tc>
          <w:tcPr>
            <w:tcW w:w="0" w:type="dxa"/>
            <w:vAlign w:val="bottom"/>
          </w:tcPr>
          <w:p>
            <w:pPr>
              <w:spacing w:after="0"/>
              <w:rPr>
                <w:sz w:val="1"/>
                <w:szCs w:val="1"/>
                <w:color w:val="auto"/>
              </w:rPr>
            </w:pPr>
          </w:p>
        </w:tc>
      </w:tr>
      <w:tr>
        <w:trPr>
          <w:trHeight w:val="168"/>
        </w:trPr>
        <w:tc>
          <w:tcPr>
            <w:tcW w:w="5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Payables and accruals. . . . . . . . . . . . . . . . . . .</w:t>
            </w:r>
          </w:p>
        </w:tc>
        <w:tc>
          <w:tcPr>
            <w:tcW w:w="320" w:type="dxa"/>
            <w:vAlign w:val="bottom"/>
          </w:tcPr>
          <w:p>
            <w:pPr>
              <w:spacing w:after="0"/>
              <w:rPr>
                <w:sz w:val="14"/>
                <w:szCs w:val="14"/>
                <w:color w:val="auto"/>
              </w:rPr>
            </w:pP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46,535</w:t>
            </w:r>
          </w:p>
        </w:tc>
        <w:tc>
          <w:tcPr>
            <w:tcW w:w="48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51,202</w:t>
            </w:r>
          </w:p>
        </w:tc>
        <w:tc>
          <w:tcPr>
            <w:tcW w:w="0" w:type="dxa"/>
            <w:vAlign w:val="bottom"/>
          </w:tcPr>
          <w:p>
            <w:pPr>
              <w:spacing w:after="0"/>
              <w:rPr>
                <w:sz w:val="1"/>
                <w:szCs w:val="1"/>
                <w:color w:val="auto"/>
              </w:rPr>
            </w:pPr>
          </w:p>
        </w:tc>
      </w:tr>
      <w:tr>
        <w:trPr>
          <w:trHeight w:val="168"/>
        </w:trPr>
        <w:tc>
          <w:tcPr>
            <w:tcW w:w="5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Accrued income taxes . . . . . . . . . . . . . . . . . . .</w:t>
            </w:r>
          </w:p>
        </w:tc>
        <w:tc>
          <w:tcPr>
            <w:tcW w:w="320" w:type="dxa"/>
            <w:vAlign w:val="bottom"/>
          </w:tcPr>
          <w:p>
            <w:pPr>
              <w:spacing w:after="0"/>
              <w:rPr>
                <w:sz w:val="14"/>
                <w:szCs w:val="14"/>
                <w:color w:val="auto"/>
              </w:rPr>
            </w:pPr>
          </w:p>
        </w:tc>
        <w:tc>
          <w:tcPr>
            <w:tcW w:w="14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(3,052)</w:t>
            </w:r>
          </w:p>
        </w:tc>
        <w:tc>
          <w:tcPr>
            <w:tcW w:w="48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7,615</w:t>
            </w:r>
          </w:p>
        </w:tc>
        <w:tc>
          <w:tcPr>
            <w:tcW w:w="0" w:type="dxa"/>
            <w:vAlign w:val="bottom"/>
          </w:tcPr>
          <w:p>
            <w:pPr>
              <w:spacing w:after="0"/>
              <w:rPr>
                <w:sz w:val="1"/>
                <w:szCs w:val="1"/>
                <w:color w:val="auto"/>
              </w:rPr>
            </w:pPr>
          </w:p>
        </w:tc>
      </w:tr>
      <w:tr>
        <w:trPr>
          <w:trHeight w:val="168"/>
        </w:trPr>
        <w:tc>
          <w:tcPr>
            <w:tcW w:w="5820" w:type="dxa"/>
            <w:vAlign w:val="bottom"/>
            <w:vMerge w:val="restart"/>
          </w:tcPr>
          <w:p>
            <w:pPr>
              <w:jc w:val="right"/>
              <w:ind w:right="487"/>
              <w:spacing w:after="0"/>
              <w:rPr>
                <w:sz w:val="20"/>
                <w:szCs w:val="20"/>
                <w:color w:val="auto"/>
              </w:rPr>
            </w:pPr>
            <w:r>
              <w:rPr>
                <w:rFonts w:ascii="Courier New" w:cs="Courier New" w:eastAsia="Courier New" w:hAnsi="Courier New"/>
                <w:sz w:val="15"/>
                <w:szCs w:val="15"/>
                <w:color w:val="auto"/>
              </w:rPr>
              <w:t>Net cash used in operating activities . . . . . .</w:t>
            </w:r>
          </w:p>
        </w:tc>
        <w:tc>
          <w:tcPr>
            <w:tcW w:w="320" w:type="dxa"/>
            <w:vAlign w:val="bottom"/>
          </w:tcPr>
          <w:p>
            <w:pPr>
              <w:ind w:left="140"/>
              <w:spacing w:after="0"/>
              <w:rPr>
                <w:sz w:val="20"/>
                <w:szCs w:val="20"/>
                <w:color w:val="auto"/>
              </w:rPr>
            </w:pPr>
            <w:r>
              <w:rPr>
                <w:rFonts w:ascii="Courier New" w:cs="Courier New" w:eastAsia="Courier New" w:hAnsi="Courier New"/>
                <w:sz w:val="2"/>
                <w:szCs w:val="2"/>
                <w:color w:val="auto"/>
                <w:w w:val="94"/>
              </w:rPr>
              <w:t>--------------</w:t>
            </w:r>
          </w:p>
        </w:tc>
        <w:tc>
          <w:tcPr>
            <w:tcW w:w="144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(96,638)</w:t>
            </w: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820" w:type="dxa"/>
            <w:vAlign w:val="bottom"/>
            <w:vMerge w:val="continue"/>
          </w:tcPr>
          <w:p>
            <w:pPr>
              <w:jc w:val="right"/>
              <w:spacing w:after="0" w:line="148" w:lineRule="exact"/>
              <w:rPr>
                <w:sz w:val="20"/>
                <w:szCs w:val="20"/>
                <w:color w:val="auto"/>
              </w:rPr>
            </w:pPr>
            <w:r>
              <w:rPr>
                <w:rFonts w:ascii="Courier New" w:cs="Courier New" w:eastAsia="Courier New" w:hAnsi="Courier New"/>
                <w:sz w:val="15"/>
                <w:szCs w:val="15"/>
                <w:color w:val="auto"/>
              </w:rPr>
              <w:t>. . .</w:t>
            </w:r>
          </w:p>
        </w:tc>
        <w:tc>
          <w:tcPr>
            <w:tcW w:w="32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(81,513)</w:t>
            </w:r>
          </w:p>
        </w:tc>
        <w:tc>
          <w:tcPr>
            <w:tcW w:w="0" w:type="dxa"/>
            <w:vAlign w:val="bottom"/>
          </w:tcPr>
          <w:p>
            <w:pPr>
              <w:spacing w:after="0"/>
              <w:rPr>
                <w:sz w:val="1"/>
                <w:szCs w:val="1"/>
                <w:color w:val="auto"/>
              </w:rPr>
            </w:pPr>
          </w:p>
        </w:tc>
      </w:tr>
      <w:tr>
        <w:trPr>
          <w:trHeight w:val="245"/>
        </w:trPr>
        <w:tc>
          <w:tcPr>
            <w:tcW w:w="5820" w:type="dxa"/>
            <w:vAlign w:val="bottom"/>
          </w:tcPr>
          <w:p>
            <w:pPr>
              <w:spacing w:after="0"/>
              <w:rPr>
                <w:sz w:val="21"/>
                <w:szCs w:val="21"/>
                <w:color w:val="auto"/>
              </w:rPr>
            </w:pPr>
          </w:p>
        </w:tc>
        <w:tc>
          <w:tcPr>
            <w:tcW w:w="17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582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320" w:type="dxa"/>
            <w:vAlign w:val="bottom"/>
          </w:tcPr>
          <w:p>
            <w:pPr>
              <w:spacing w:after="0"/>
              <w:rPr>
                <w:sz w:val="22"/>
                <w:szCs w:val="22"/>
                <w:color w:val="auto"/>
              </w:rPr>
            </w:pPr>
          </w:p>
        </w:tc>
        <w:tc>
          <w:tcPr>
            <w:tcW w:w="144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(19,863)</w:t>
            </w:r>
          </w:p>
        </w:tc>
        <w:tc>
          <w:tcPr>
            <w:tcW w:w="480" w:type="dxa"/>
            <w:vAlign w:val="bottom"/>
          </w:tcPr>
          <w:p>
            <w:pPr>
              <w:spacing w:after="0"/>
              <w:rPr>
                <w:sz w:val="22"/>
                <w:szCs w:val="22"/>
                <w:color w:val="auto"/>
              </w:rPr>
            </w:pPr>
          </w:p>
        </w:tc>
        <w:tc>
          <w:tcPr>
            <w:tcW w:w="1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(9,323)</w:t>
            </w:r>
          </w:p>
        </w:tc>
        <w:tc>
          <w:tcPr>
            <w:tcW w:w="0" w:type="dxa"/>
            <w:vAlign w:val="bottom"/>
          </w:tcPr>
          <w:p>
            <w:pPr>
              <w:spacing w:after="0"/>
              <w:rPr>
                <w:sz w:val="1"/>
                <w:szCs w:val="1"/>
                <w:color w:val="auto"/>
              </w:rPr>
            </w:pPr>
          </w:p>
        </w:tc>
      </w:tr>
      <w:tr>
        <w:trPr>
          <w:trHeight w:val="168"/>
        </w:trPr>
        <w:tc>
          <w:tcPr>
            <w:tcW w:w="5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Purchases of property, plant and equipment  . . . . . . . . .</w:t>
            </w:r>
          </w:p>
        </w:tc>
        <w:tc>
          <w:tcPr>
            <w:tcW w:w="32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Proceeds from asset disposals . . . . . . . . . . . . . . . .</w:t>
            </w:r>
          </w:p>
        </w:tc>
        <w:tc>
          <w:tcPr>
            <w:tcW w:w="320" w:type="dxa"/>
            <w:vAlign w:val="bottom"/>
          </w:tcPr>
          <w:p>
            <w:pPr>
              <w:spacing w:after="0"/>
              <w:rPr>
                <w:sz w:val="14"/>
                <w:szCs w:val="14"/>
                <w:color w:val="auto"/>
              </w:rPr>
            </w:pP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669</w:t>
            </w:r>
          </w:p>
        </w:tc>
        <w:tc>
          <w:tcPr>
            <w:tcW w:w="48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w:t>
            </w:r>
          </w:p>
        </w:tc>
        <w:tc>
          <w:tcPr>
            <w:tcW w:w="0" w:type="dxa"/>
            <w:vAlign w:val="bottom"/>
          </w:tcPr>
          <w:p>
            <w:pPr>
              <w:spacing w:after="0"/>
              <w:rPr>
                <w:sz w:val="1"/>
                <w:szCs w:val="1"/>
                <w:color w:val="auto"/>
              </w:rPr>
            </w:pPr>
          </w:p>
        </w:tc>
      </w:tr>
      <w:tr>
        <w:trPr>
          <w:trHeight w:val="168"/>
        </w:trPr>
        <w:tc>
          <w:tcPr>
            <w:tcW w:w="5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(Increase)/decrease in other assets   . . . . . . . . . . . .</w:t>
            </w:r>
          </w:p>
        </w:tc>
        <w:tc>
          <w:tcPr>
            <w:tcW w:w="320" w:type="dxa"/>
            <w:vAlign w:val="bottom"/>
          </w:tcPr>
          <w:p>
            <w:pPr>
              <w:spacing w:after="0"/>
              <w:rPr>
                <w:sz w:val="14"/>
                <w:szCs w:val="14"/>
                <w:color w:val="auto"/>
              </w:rPr>
            </w:pP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2,368</w:t>
            </w:r>
          </w:p>
        </w:tc>
        <w:tc>
          <w:tcPr>
            <w:tcW w:w="480" w:type="dxa"/>
            <w:vAlign w:val="bottom"/>
          </w:tcPr>
          <w:p>
            <w:pPr>
              <w:spacing w:after="0"/>
              <w:rPr>
                <w:sz w:val="14"/>
                <w:szCs w:val="14"/>
                <w:color w:val="auto"/>
              </w:rPr>
            </w:pP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(4,541)</w:t>
            </w:r>
          </w:p>
        </w:tc>
        <w:tc>
          <w:tcPr>
            <w:tcW w:w="0" w:type="dxa"/>
            <w:vAlign w:val="bottom"/>
          </w:tcPr>
          <w:p>
            <w:pPr>
              <w:spacing w:after="0"/>
              <w:rPr>
                <w:sz w:val="1"/>
                <w:szCs w:val="1"/>
                <w:color w:val="auto"/>
              </w:rPr>
            </w:pPr>
          </w:p>
        </w:tc>
      </w:tr>
      <w:tr>
        <w:trPr>
          <w:trHeight w:val="168"/>
        </w:trPr>
        <w:tc>
          <w:tcPr>
            <w:tcW w:w="5820" w:type="dxa"/>
            <w:vAlign w:val="bottom"/>
            <w:vMerge w:val="restart"/>
          </w:tcPr>
          <w:p>
            <w:pPr>
              <w:jc w:val="right"/>
              <w:ind w:right="567"/>
              <w:spacing w:after="0"/>
              <w:rPr>
                <w:sz w:val="20"/>
                <w:szCs w:val="20"/>
                <w:color w:val="auto"/>
              </w:rPr>
            </w:pPr>
            <w:r>
              <w:rPr>
                <w:rFonts w:ascii="Courier New" w:cs="Courier New" w:eastAsia="Courier New" w:hAnsi="Courier New"/>
                <w:sz w:val="15"/>
                <w:szCs w:val="15"/>
                <w:color w:val="auto"/>
              </w:rPr>
              <w:t>Net cash used in investing activities  . . .</w:t>
            </w:r>
          </w:p>
        </w:tc>
        <w:tc>
          <w:tcPr>
            <w:tcW w:w="320" w:type="dxa"/>
            <w:vAlign w:val="bottom"/>
          </w:tcPr>
          <w:p>
            <w:pPr>
              <w:ind w:left="40"/>
              <w:spacing w:after="0"/>
              <w:rPr>
                <w:sz w:val="20"/>
                <w:szCs w:val="20"/>
                <w:color w:val="auto"/>
              </w:rPr>
            </w:pPr>
            <w:r>
              <w:rPr>
                <w:rFonts w:ascii="Courier New" w:cs="Courier New" w:eastAsia="Courier New" w:hAnsi="Courier New"/>
                <w:sz w:val="4"/>
                <w:szCs w:val="4"/>
                <w:color w:val="auto"/>
                <w:w w:val="72"/>
              </w:rPr>
              <w:t>---------------</w:t>
            </w:r>
          </w:p>
        </w:tc>
        <w:tc>
          <w:tcPr>
            <w:tcW w:w="144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(16,826)</w:t>
            </w: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820" w:type="dxa"/>
            <w:vAlign w:val="bottom"/>
            <w:vMerge w:val="continue"/>
          </w:tcPr>
          <w:p>
            <w:pPr>
              <w:jc w:val="right"/>
              <w:ind w:right="47"/>
              <w:spacing w:after="0" w:line="148" w:lineRule="exact"/>
              <w:rPr>
                <w:sz w:val="20"/>
                <w:szCs w:val="20"/>
                <w:color w:val="auto"/>
              </w:rPr>
            </w:pPr>
            <w:r>
              <w:rPr>
                <w:rFonts w:ascii="Courier New" w:cs="Courier New" w:eastAsia="Courier New" w:hAnsi="Courier New"/>
                <w:sz w:val="15"/>
                <w:szCs w:val="15"/>
                <w:color w:val="auto"/>
              </w:rPr>
              <w:t>. . .</w:t>
            </w:r>
          </w:p>
        </w:tc>
        <w:tc>
          <w:tcPr>
            <w:tcW w:w="32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(13,845)</w:t>
            </w:r>
          </w:p>
        </w:tc>
        <w:tc>
          <w:tcPr>
            <w:tcW w:w="0" w:type="dxa"/>
            <w:vAlign w:val="bottom"/>
          </w:tcPr>
          <w:p>
            <w:pPr>
              <w:spacing w:after="0"/>
              <w:rPr>
                <w:sz w:val="1"/>
                <w:szCs w:val="1"/>
                <w:color w:val="auto"/>
              </w:rPr>
            </w:pPr>
          </w:p>
        </w:tc>
      </w:tr>
      <w:tr>
        <w:trPr>
          <w:trHeight w:val="245"/>
        </w:trPr>
        <w:tc>
          <w:tcPr>
            <w:tcW w:w="5820" w:type="dxa"/>
            <w:vAlign w:val="bottom"/>
          </w:tcPr>
          <w:p>
            <w:pPr>
              <w:spacing w:after="0"/>
              <w:rPr>
                <w:sz w:val="21"/>
                <w:szCs w:val="21"/>
                <w:color w:val="auto"/>
              </w:rPr>
            </w:pPr>
          </w:p>
        </w:tc>
        <w:tc>
          <w:tcPr>
            <w:tcW w:w="17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9"/>
              </w:rPr>
              <w:t>---------------</w:t>
            </w:r>
          </w:p>
        </w:tc>
        <w:tc>
          <w:tcPr>
            <w:tcW w:w="17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582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320" w:type="dxa"/>
            <w:vAlign w:val="bottom"/>
          </w:tcPr>
          <w:p>
            <w:pPr>
              <w:spacing w:after="0"/>
              <w:rPr>
                <w:sz w:val="22"/>
                <w:szCs w:val="22"/>
                <w:color w:val="auto"/>
              </w:rPr>
            </w:pPr>
          </w:p>
        </w:tc>
        <w:tc>
          <w:tcPr>
            <w:tcW w:w="14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91,863</w:t>
            </w:r>
          </w:p>
        </w:tc>
        <w:tc>
          <w:tcPr>
            <w:tcW w:w="480" w:type="dxa"/>
            <w:vAlign w:val="bottom"/>
          </w:tcPr>
          <w:p>
            <w:pPr>
              <w:spacing w:after="0"/>
              <w:rPr>
                <w:sz w:val="22"/>
                <w:szCs w:val="22"/>
                <w:color w:val="auto"/>
              </w:rPr>
            </w:pPr>
          </w:p>
        </w:tc>
        <w:tc>
          <w:tcPr>
            <w:tcW w:w="12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43,588</w:t>
            </w:r>
          </w:p>
        </w:tc>
        <w:tc>
          <w:tcPr>
            <w:tcW w:w="0" w:type="dxa"/>
            <w:vAlign w:val="bottom"/>
          </w:tcPr>
          <w:p>
            <w:pPr>
              <w:spacing w:after="0"/>
              <w:rPr>
                <w:sz w:val="1"/>
                <w:szCs w:val="1"/>
                <w:color w:val="auto"/>
              </w:rPr>
            </w:pPr>
          </w:p>
        </w:tc>
      </w:tr>
      <w:tr>
        <w:trPr>
          <w:trHeight w:val="168"/>
        </w:trPr>
        <w:tc>
          <w:tcPr>
            <w:tcW w:w="5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Increase in short-term debt. . . . . . . . . . . . . . . . . .</w:t>
            </w:r>
          </w:p>
        </w:tc>
        <w:tc>
          <w:tcPr>
            <w:tcW w:w="32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Increase in sale of receivables. . . . . . . . . . . . . . . .</w:t>
            </w:r>
          </w:p>
        </w:tc>
        <w:tc>
          <w:tcPr>
            <w:tcW w:w="320" w:type="dxa"/>
            <w:vAlign w:val="bottom"/>
          </w:tcPr>
          <w:p>
            <w:pPr>
              <w:spacing w:after="0"/>
              <w:rPr>
                <w:sz w:val="14"/>
                <w:szCs w:val="14"/>
                <w:color w:val="auto"/>
              </w:rPr>
            </w:pP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17,417</w:t>
            </w:r>
          </w:p>
        </w:tc>
        <w:tc>
          <w:tcPr>
            <w:tcW w:w="48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6,589</w:t>
            </w:r>
          </w:p>
        </w:tc>
        <w:tc>
          <w:tcPr>
            <w:tcW w:w="0" w:type="dxa"/>
            <w:vAlign w:val="bottom"/>
          </w:tcPr>
          <w:p>
            <w:pPr>
              <w:spacing w:after="0"/>
              <w:rPr>
                <w:sz w:val="1"/>
                <w:szCs w:val="1"/>
                <w:color w:val="auto"/>
              </w:rPr>
            </w:pPr>
          </w:p>
        </w:tc>
      </w:tr>
      <w:tr>
        <w:trPr>
          <w:trHeight w:val="168"/>
        </w:trPr>
        <w:tc>
          <w:tcPr>
            <w:tcW w:w="5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Repayments of long-term debt . . . . . . . . . . . . . . . . .</w:t>
            </w:r>
          </w:p>
        </w:tc>
        <w:tc>
          <w:tcPr>
            <w:tcW w:w="320" w:type="dxa"/>
            <w:vAlign w:val="bottom"/>
          </w:tcPr>
          <w:p>
            <w:pPr>
              <w:spacing w:after="0"/>
              <w:rPr>
                <w:sz w:val="14"/>
                <w:szCs w:val="14"/>
                <w:color w:val="auto"/>
              </w:rPr>
            </w:pPr>
          </w:p>
        </w:tc>
        <w:tc>
          <w:tcPr>
            <w:tcW w:w="14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(19,901)</w:t>
            </w:r>
          </w:p>
        </w:tc>
        <w:tc>
          <w:tcPr>
            <w:tcW w:w="480" w:type="dxa"/>
            <w:vAlign w:val="bottom"/>
          </w:tcPr>
          <w:p>
            <w:pPr>
              <w:spacing w:after="0"/>
              <w:rPr>
                <w:sz w:val="14"/>
                <w:szCs w:val="14"/>
                <w:color w:val="auto"/>
              </w:rPr>
            </w:pP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(15,080)</w:t>
            </w:r>
          </w:p>
        </w:tc>
        <w:tc>
          <w:tcPr>
            <w:tcW w:w="0" w:type="dxa"/>
            <w:vAlign w:val="bottom"/>
          </w:tcPr>
          <w:p>
            <w:pPr>
              <w:spacing w:after="0"/>
              <w:rPr>
                <w:sz w:val="1"/>
                <w:szCs w:val="1"/>
                <w:color w:val="auto"/>
              </w:rPr>
            </w:pPr>
          </w:p>
        </w:tc>
      </w:tr>
      <w:tr>
        <w:trPr>
          <w:trHeight w:val="168"/>
        </w:trPr>
        <w:tc>
          <w:tcPr>
            <w:tcW w:w="5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Deferred income. . . . . . . . . . . . . . . . . . . . . . . .</w:t>
            </w:r>
          </w:p>
        </w:tc>
        <w:tc>
          <w:tcPr>
            <w:tcW w:w="320" w:type="dxa"/>
            <w:vAlign w:val="bottom"/>
          </w:tcPr>
          <w:p>
            <w:pPr>
              <w:spacing w:after="0"/>
              <w:rPr>
                <w:sz w:val="14"/>
                <w:szCs w:val="14"/>
                <w:color w:val="auto"/>
              </w:rPr>
            </w:pP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5,250</w:t>
            </w:r>
          </w:p>
        </w:tc>
        <w:tc>
          <w:tcPr>
            <w:tcW w:w="0" w:type="dxa"/>
            <w:vAlign w:val="bottom"/>
          </w:tcPr>
          <w:p>
            <w:pPr>
              <w:spacing w:after="0"/>
              <w:rPr>
                <w:sz w:val="1"/>
                <w:szCs w:val="1"/>
                <w:color w:val="auto"/>
              </w:rPr>
            </w:pPr>
          </w:p>
        </w:tc>
      </w:tr>
      <w:tr>
        <w:trPr>
          <w:trHeight w:val="168"/>
        </w:trPr>
        <w:tc>
          <w:tcPr>
            <w:tcW w:w="5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Proceeds from sale of common stock . . . . . . . . . . . . . .</w:t>
            </w:r>
          </w:p>
        </w:tc>
        <w:tc>
          <w:tcPr>
            <w:tcW w:w="320" w:type="dxa"/>
            <w:vAlign w:val="bottom"/>
          </w:tcPr>
          <w:p>
            <w:pPr>
              <w:spacing w:after="0"/>
              <w:rPr>
                <w:sz w:val="14"/>
                <w:szCs w:val="14"/>
                <w:color w:val="auto"/>
              </w:rPr>
            </w:pP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6,220</w:t>
            </w:r>
          </w:p>
        </w:tc>
        <w:tc>
          <w:tcPr>
            <w:tcW w:w="48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6,026</w:t>
            </w:r>
          </w:p>
        </w:tc>
        <w:tc>
          <w:tcPr>
            <w:tcW w:w="0" w:type="dxa"/>
            <w:vAlign w:val="bottom"/>
          </w:tcPr>
          <w:p>
            <w:pPr>
              <w:spacing w:after="0"/>
              <w:rPr>
                <w:sz w:val="1"/>
                <w:szCs w:val="1"/>
                <w:color w:val="auto"/>
              </w:rPr>
            </w:pPr>
          </w:p>
        </w:tc>
      </w:tr>
      <w:tr>
        <w:trPr>
          <w:trHeight w:val="168"/>
        </w:trPr>
        <w:tc>
          <w:tcPr>
            <w:tcW w:w="5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Purchases of common stock. . . . . . . . . . . . . . . . . . .</w:t>
            </w:r>
          </w:p>
        </w:tc>
        <w:tc>
          <w:tcPr>
            <w:tcW w:w="320" w:type="dxa"/>
            <w:vAlign w:val="bottom"/>
          </w:tcPr>
          <w:p>
            <w:pPr>
              <w:spacing w:after="0"/>
              <w:rPr>
                <w:sz w:val="14"/>
                <w:szCs w:val="14"/>
                <w:color w:val="auto"/>
              </w:rPr>
            </w:pPr>
          </w:p>
        </w:tc>
        <w:tc>
          <w:tcPr>
            <w:tcW w:w="14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(3,011)</w:t>
            </w:r>
          </w:p>
        </w:tc>
        <w:tc>
          <w:tcPr>
            <w:tcW w:w="480" w:type="dxa"/>
            <w:vAlign w:val="bottom"/>
          </w:tcPr>
          <w:p>
            <w:pPr>
              <w:spacing w:after="0"/>
              <w:rPr>
                <w:sz w:val="14"/>
                <w:szCs w:val="14"/>
                <w:color w:val="auto"/>
              </w:rPr>
            </w:pP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(1,234)</w:t>
            </w:r>
          </w:p>
        </w:tc>
        <w:tc>
          <w:tcPr>
            <w:tcW w:w="0" w:type="dxa"/>
            <w:vAlign w:val="bottom"/>
          </w:tcPr>
          <w:p>
            <w:pPr>
              <w:spacing w:after="0"/>
              <w:rPr>
                <w:sz w:val="1"/>
                <w:szCs w:val="1"/>
                <w:color w:val="auto"/>
              </w:rPr>
            </w:pPr>
          </w:p>
        </w:tc>
      </w:tr>
      <w:tr>
        <w:trPr>
          <w:trHeight w:val="168"/>
        </w:trPr>
        <w:tc>
          <w:tcPr>
            <w:tcW w:w="5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Dividends on common stock. . . . . . . . . . . . . . . . . . .</w:t>
            </w:r>
          </w:p>
        </w:tc>
        <w:tc>
          <w:tcPr>
            <w:tcW w:w="320" w:type="dxa"/>
            <w:vAlign w:val="bottom"/>
          </w:tcPr>
          <w:p>
            <w:pPr>
              <w:spacing w:after="0"/>
              <w:rPr>
                <w:sz w:val="14"/>
                <w:szCs w:val="14"/>
                <w:color w:val="auto"/>
              </w:rPr>
            </w:pPr>
          </w:p>
        </w:tc>
        <w:tc>
          <w:tcPr>
            <w:tcW w:w="14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(4,566)</w:t>
            </w:r>
          </w:p>
        </w:tc>
        <w:tc>
          <w:tcPr>
            <w:tcW w:w="480" w:type="dxa"/>
            <w:vAlign w:val="bottom"/>
          </w:tcPr>
          <w:p>
            <w:pPr>
              <w:spacing w:after="0"/>
              <w:rPr>
                <w:sz w:val="14"/>
                <w:szCs w:val="14"/>
                <w:color w:val="auto"/>
              </w:rPr>
            </w:pP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(4,481)</w:t>
            </w:r>
          </w:p>
        </w:tc>
        <w:tc>
          <w:tcPr>
            <w:tcW w:w="0" w:type="dxa"/>
            <w:vAlign w:val="bottom"/>
          </w:tcPr>
          <w:p>
            <w:pPr>
              <w:spacing w:after="0"/>
              <w:rPr>
                <w:sz w:val="1"/>
                <w:szCs w:val="1"/>
                <w:color w:val="auto"/>
              </w:rPr>
            </w:pPr>
          </w:p>
        </w:tc>
      </w:tr>
      <w:tr>
        <w:trPr>
          <w:trHeight w:val="168"/>
        </w:trPr>
        <w:tc>
          <w:tcPr>
            <w:tcW w:w="5820" w:type="dxa"/>
            <w:vAlign w:val="bottom"/>
            <w:vMerge w:val="restart"/>
          </w:tcPr>
          <w:p>
            <w:pPr>
              <w:jc w:val="right"/>
              <w:ind w:right="487"/>
              <w:spacing w:after="0"/>
              <w:rPr>
                <w:sz w:val="20"/>
                <w:szCs w:val="20"/>
                <w:color w:val="auto"/>
              </w:rPr>
            </w:pPr>
            <w:r>
              <w:rPr>
                <w:rFonts w:ascii="Courier New" w:cs="Courier New" w:eastAsia="Courier New" w:hAnsi="Courier New"/>
                <w:sz w:val="15"/>
                <w:szCs w:val="15"/>
                <w:color w:val="auto"/>
              </w:rPr>
              <w:t>Net cash provided by financing activities. . . .</w:t>
            </w:r>
          </w:p>
        </w:tc>
        <w:tc>
          <w:tcPr>
            <w:tcW w:w="320" w:type="dxa"/>
            <w:vAlign w:val="bottom"/>
          </w:tcPr>
          <w:p>
            <w:pPr>
              <w:ind w:left="40"/>
              <w:spacing w:after="0"/>
              <w:rPr>
                <w:sz w:val="20"/>
                <w:szCs w:val="20"/>
                <w:color w:val="auto"/>
              </w:rPr>
            </w:pPr>
            <w:r>
              <w:rPr>
                <w:rFonts w:ascii="Courier New" w:cs="Courier New" w:eastAsia="Courier New" w:hAnsi="Courier New"/>
                <w:sz w:val="4"/>
                <w:szCs w:val="4"/>
                <w:color w:val="auto"/>
                <w:w w:val="72"/>
              </w:rPr>
              <w:t>---------------</w:t>
            </w:r>
          </w:p>
        </w:tc>
        <w:tc>
          <w:tcPr>
            <w:tcW w:w="14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88,022</w:t>
            </w: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820" w:type="dxa"/>
            <w:vAlign w:val="bottom"/>
            <w:vMerge w:val="continue"/>
          </w:tcPr>
          <w:p>
            <w:pPr>
              <w:jc w:val="right"/>
              <w:spacing w:after="0" w:line="148" w:lineRule="exact"/>
              <w:rPr>
                <w:sz w:val="20"/>
                <w:szCs w:val="20"/>
                <w:color w:val="auto"/>
              </w:rPr>
            </w:pPr>
            <w:r>
              <w:rPr>
                <w:rFonts w:ascii="Courier New" w:cs="Courier New" w:eastAsia="Courier New" w:hAnsi="Courier New"/>
                <w:sz w:val="15"/>
                <w:szCs w:val="15"/>
                <w:color w:val="auto"/>
              </w:rPr>
              <w:t>. . .</w:t>
            </w:r>
          </w:p>
        </w:tc>
        <w:tc>
          <w:tcPr>
            <w:tcW w:w="32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40,658</w:t>
            </w:r>
          </w:p>
        </w:tc>
        <w:tc>
          <w:tcPr>
            <w:tcW w:w="0" w:type="dxa"/>
            <w:vAlign w:val="bottom"/>
          </w:tcPr>
          <w:p>
            <w:pPr>
              <w:spacing w:after="0"/>
              <w:rPr>
                <w:sz w:val="1"/>
                <w:szCs w:val="1"/>
                <w:color w:val="auto"/>
              </w:rPr>
            </w:pPr>
          </w:p>
        </w:tc>
      </w:tr>
      <w:tr>
        <w:trPr>
          <w:trHeight w:val="245"/>
        </w:trPr>
        <w:tc>
          <w:tcPr>
            <w:tcW w:w="5820" w:type="dxa"/>
            <w:vAlign w:val="bottom"/>
          </w:tcPr>
          <w:p>
            <w:pPr>
              <w:spacing w:after="0"/>
              <w:rPr>
                <w:sz w:val="21"/>
                <w:szCs w:val="21"/>
                <w:color w:val="auto"/>
              </w:rPr>
            </w:pPr>
          </w:p>
        </w:tc>
        <w:tc>
          <w:tcPr>
            <w:tcW w:w="17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9"/>
              </w:rPr>
              <w:t>---------------</w:t>
            </w:r>
          </w:p>
        </w:tc>
        <w:tc>
          <w:tcPr>
            <w:tcW w:w="17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5820" w:type="dxa"/>
            <w:vAlign w:val="bottom"/>
          </w:tcPr>
          <w:p>
            <w:pPr>
              <w:jc w:val="right"/>
              <w:spacing w:after="0"/>
              <w:rPr>
                <w:sz w:val="20"/>
                <w:szCs w:val="20"/>
                <w:color w:val="auto"/>
              </w:rPr>
            </w:pPr>
            <w:r>
              <w:rPr>
                <w:rFonts w:ascii="Courier New" w:cs="Courier New" w:eastAsia="Courier New" w:hAnsi="Courier New"/>
                <w:sz w:val="15"/>
                <w:szCs w:val="15"/>
                <w:color w:val="auto"/>
                <w:w w:val="96"/>
              </w:rPr>
              <w:t>Foreign currency translation adjustment. . . . . . . . . . . . . .</w:t>
            </w:r>
          </w:p>
        </w:tc>
        <w:tc>
          <w:tcPr>
            <w:tcW w:w="320" w:type="dxa"/>
            <w:vAlign w:val="bottom"/>
          </w:tcPr>
          <w:p>
            <w:pPr>
              <w:spacing w:after="0"/>
              <w:rPr>
                <w:sz w:val="22"/>
                <w:szCs w:val="22"/>
                <w:color w:val="auto"/>
              </w:rPr>
            </w:pPr>
          </w:p>
        </w:tc>
        <w:tc>
          <w:tcPr>
            <w:tcW w:w="14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920</w:t>
            </w:r>
          </w:p>
        </w:tc>
        <w:tc>
          <w:tcPr>
            <w:tcW w:w="480" w:type="dxa"/>
            <w:vAlign w:val="bottom"/>
          </w:tcPr>
          <w:p>
            <w:pPr>
              <w:spacing w:after="0"/>
              <w:rPr>
                <w:sz w:val="22"/>
                <w:szCs w:val="22"/>
                <w:color w:val="auto"/>
              </w:rPr>
            </w:pP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571</w:t>
            </w:r>
          </w:p>
        </w:tc>
        <w:tc>
          <w:tcPr>
            <w:tcW w:w="0" w:type="dxa"/>
            <w:vAlign w:val="bottom"/>
          </w:tcPr>
          <w:p>
            <w:pPr>
              <w:spacing w:after="0"/>
              <w:rPr>
                <w:sz w:val="1"/>
                <w:szCs w:val="1"/>
                <w:color w:val="auto"/>
              </w:rPr>
            </w:pPr>
          </w:p>
        </w:tc>
      </w:tr>
      <w:tr>
        <w:trPr>
          <w:trHeight w:val="245"/>
        </w:trPr>
        <w:tc>
          <w:tcPr>
            <w:tcW w:w="5820" w:type="dxa"/>
            <w:vAlign w:val="bottom"/>
          </w:tcPr>
          <w:p>
            <w:pPr>
              <w:spacing w:after="0"/>
              <w:rPr>
                <w:sz w:val="21"/>
                <w:szCs w:val="21"/>
                <w:color w:val="auto"/>
              </w:rPr>
            </w:pPr>
          </w:p>
        </w:tc>
        <w:tc>
          <w:tcPr>
            <w:tcW w:w="17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9"/>
              </w:rPr>
              <w:t>---------------</w:t>
            </w:r>
          </w:p>
        </w:tc>
        <w:tc>
          <w:tcPr>
            <w:tcW w:w="17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5820" w:type="dxa"/>
            <w:vAlign w:val="bottom"/>
          </w:tcPr>
          <w:p>
            <w:pPr>
              <w:jc w:val="right"/>
              <w:spacing w:after="0"/>
              <w:rPr>
                <w:sz w:val="20"/>
                <w:szCs w:val="20"/>
                <w:color w:val="auto"/>
              </w:rPr>
            </w:pPr>
            <w:r>
              <w:rPr>
                <w:rFonts w:ascii="Courier New" w:cs="Courier New" w:eastAsia="Courier New" w:hAnsi="Courier New"/>
                <w:sz w:val="15"/>
                <w:szCs w:val="15"/>
                <w:color w:val="auto"/>
                <w:w w:val="96"/>
              </w:rPr>
              <w:t>Net decrease in cash and cash equivalents. . . . . . . . . . . . .</w:t>
            </w:r>
          </w:p>
        </w:tc>
        <w:tc>
          <w:tcPr>
            <w:tcW w:w="320" w:type="dxa"/>
            <w:vAlign w:val="bottom"/>
          </w:tcPr>
          <w:p>
            <w:pPr>
              <w:spacing w:after="0"/>
              <w:rPr>
                <w:sz w:val="22"/>
                <w:szCs w:val="22"/>
                <w:color w:val="auto"/>
              </w:rPr>
            </w:pPr>
          </w:p>
        </w:tc>
        <w:tc>
          <w:tcPr>
            <w:tcW w:w="14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(24,522)</w:t>
            </w:r>
          </w:p>
        </w:tc>
        <w:tc>
          <w:tcPr>
            <w:tcW w:w="4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(54,129)</w:t>
            </w:r>
          </w:p>
        </w:tc>
        <w:tc>
          <w:tcPr>
            <w:tcW w:w="0" w:type="dxa"/>
            <w:vAlign w:val="bottom"/>
          </w:tcPr>
          <w:p>
            <w:pPr>
              <w:spacing w:after="0"/>
              <w:rPr>
                <w:sz w:val="1"/>
                <w:szCs w:val="1"/>
                <w:color w:val="auto"/>
              </w:rPr>
            </w:pPr>
          </w:p>
        </w:tc>
      </w:tr>
      <w:tr>
        <w:trPr>
          <w:trHeight w:val="168"/>
        </w:trPr>
        <w:tc>
          <w:tcPr>
            <w:tcW w:w="5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Cash and cash equivalents at beginning of period . . . . . . . . .</w:t>
            </w:r>
          </w:p>
        </w:tc>
        <w:tc>
          <w:tcPr>
            <w:tcW w:w="320" w:type="dxa"/>
            <w:vAlign w:val="bottom"/>
          </w:tcPr>
          <w:p>
            <w:pPr>
              <w:spacing w:after="0"/>
              <w:rPr>
                <w:sz w:val="14"/>
                <w:szCs w:val="14"/>
                <w:color w:val="auto"/>
              </w:rPr>
            </w:pP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36,231</w:t>
            </w:r>
          </w:p>
        </w:tc>
        <w:tc>
          <w:tcPr>
            <w:tcW w:w="48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61,793</w:t>
            </w:r>
          </w:p>
        </w:tc>
        <w:tc>
          <w:tcPr>
            <w:tcW w:w="0" w:type="dxa"/>
            <w:vAlign w:val="bottom"/>
          </w:tcPr>
          <w:p>
            <w:pPr>
              <w:spacing w:after="0"/>
              <w:rPr>
                <w:sz w:val="1"/>
                <w:szCs w:val="1"/>
                <w:color w:val="auto"/>
              </w:rPr>
            </w:pPr>
          </w:p>
        </w:tc>
      </w:tr>
      <w:tr>
        <w:trPr>
          <w:trHeight w:val="245"/>
        </w:trPr>
        <w:tc>
          <w:tcPr>
            <w:tcW w:w="5820" w:type="dxa"/>
            <w:vAlign w:val="bottom"/>
          </w:tcPr>
          <w:p>
            <w:pPr>
              <w:spacing w:after="0"/>
              <w:rPr>
                <w:sz w:val="21"/>
                <w:szCs w:val="21"/>
                <w:color w:val="auto"/>
              </w:rPr>
            </w:pPr>
          </w:p>
        </w:tc>
        <w:tc>
          <w:tcPr>
            <w:tcW w:w="17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9"/>
              </w:rPr>
              <w:t>---------------</w:t>
            </w:r>
          </w:p>
        </w:tc>
        <w:tc>
          <w:tcPr>
            <w:tcW w:w="17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5820" w:type="dxa"/>
            <w:vAlign w:val="bottom"/>
          </w:tcPr>
          <w:p>
            <w:pPr>
              <w:jc w:val="right"/>
              <w:spacing w:after="0"/>
              <w:rPr>
                <w:sz w:val="20"/>
                <w:szCs w:val="20"/>
                <w:color w:val="auto"/>
              </w:rPr>
            </w:pPr>
            <w:r>
              <w:rPr>
                <w:rFonts w:ascii="Courier New" w:cs="Courier New" w:eastAsia="Courier New" w:hAnsi="Courier New"/>
                <w:sz w:val="15"/>
                <w:szCs w:val="15"/>
                <w:color w:val="auto"/>
                <w:w w:val="96"/>
              </w:rPr>
              <w:t>Cash and cash equivalents at end of period . . . . . . . . . . . .</w:t>
            </w:r>
          </w:p>
        </w:tc>
        <w:tc>
          <w:tcPr>
            <w:tcW w:w="3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11,709</w:t>
            </w:r>
          </w:p>
        </w:tc>
        <w:tc>
          <w:tcPr>
            <w:tcW w:w="4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7,664</w:t>
            </w:r>
          </w:p>
        </w:tc>
        <w:tc>
          <w:tcPr>
            <w:tcW w:w="0" w:type="dxa"/>
            <w:vAlign w:val="bottom"/>
          </w:tcPr>
          <w:p>
            <w:pPr>
              <w:spacing w:after="0"/>
              <w:rPr>
                <w:sz w:val="1"/>
                <w:szCs w:val="1"/>
                <w:color w:val="auto"/>
              </w:rPr>
            </w:pPr>
          </w:p>
        </w:tc>
      </w:tr>
      <w:tr>
        <w:trPr>
          <w:trHeight w:val="168"/>
        </w:trPr>
        <w:tc>
          <w:tcPr>
            <w:tcW w:w="5820" w:type="dxa"/>
            <w:vAlign w:val="bottom"/>
          </w:tcPr>
          <w:p>
            <w:pPr>
              <w:spacing w:after="0"/>
              <w:rPr>
                <w:sz w:val="14"/>
                <w:szCs w:val="14"/>
                <w:color w:val="auto"/>
              </w:rPr>
            </w:pPr>
          </w:p>
        </w:tc>
        <w:tc>
          <w:tcPr>
            <w:tcW w:w="17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w w:val="99"/>
              </w:rPr>
              <w:t>---------------</w:t>
            </w: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5820" w:type="dxa"/>
            <w:vAlign w:val="bottom"/>
          </w:tcPr>
          <w:p>
            <w:pPr>
              <w:spacing w:after="0"/>
              <w:rPr>
                <w:sz w:val="21"/>
                <w:szCs w:val="21"/>
                <w:color w:val="auto"/>
              </w:rPr>
            </w:pPr>
          </w:p>
        </w:tc>
        <w:tc>
          <w:tcPr>
            <w:tcW w:w="17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9"/>
              </w:rPr>
              <w:t>---------------</w:t>
            </w:r>
          </w:p>
        </w:tc>
        <w:tc>
          <w:tcPr>
            <w:tcW w:w="17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 to condensed consolidated financial statements.</w:t>
      </w:r>
    </w:p>
    <w:p>
      <w:pPr>
        <w:spacing w:after="0" w:line="2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598" w:right="1440" w:bottom="1440" w:gutter="0" w:footer="0" w:header="0"/>
        </w:sectPr>
      </w:pPr>
    </w:p>
    <w:bookmarkStart w:id="5" w:name="page6"/>
    <w:bookmarkEnd w:id="5"/>
    <w:p>
      <w:pPr>
        <w:jc w:val="center"/>
        <w:ind w:right="3249"/>
        <w:spacing w:after="0" w:line="307" w:lineRule="auto"/>
        <w:rPr>
          <w:sz w:val="20"/>
          <w:szCs w:val="20"/>
          <w:color w:val="auto"/>
        </w:rPr>
      </w:pPr>
      <w:r>
        <w:rPr>
          <w:rFonts w:ascii="Courier New" w:cs="Courier New" w:eastAsia="Courier New" w:hAnsi="Courier New"/>
          <w:sz w:val="15"/>
          <w:szCs w:val="15"/>
          <w:color w:val="auto"/>
        </w:rPr>
        <w:t>THE TORO COMPANY AND SUBSIDIARIES NOTES TO CONDENSED CONSOLIDATED FINANCIAL STATEMENTS (UNAUDITED) APRIL 28, 1995</w:t>
      </w:r>
    </w:p>
    <w:p>
      <w:pPr>
        <w:spacing w:after="0" w:line="200" w:lineRule="exact"/>
        <w:rPr>
          <w:sz w:val="20"/>
          <w:szCs w:val="20"/>
          <w:color w:val="auto"/>
        </w:rPr>
      </w:pPr>
    </w:p>
    <w:p>
      <w:pPr>
        <w:spacing w:after="0" w:line="374" w:lineRule="exact"/>
        <w:rPr>
          <w:sz w:val="20"/>
          <w:szCs w:val="20"/>
          <w:color w:val="auto"/>
        </w:rPr>
      </w:pPr>
    </w:p>
    <w:p>
      <w:pPr>
        <w:ind w:left="430" w:hanging="430"/>
        <w:spacing w:after="0"/>
        <w:tabs>
          <w:tab w:leader="none" w:pos="43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BACKGROUND</w:t>
      </w:r>
    </w:p>
    <w:p>
      <w:pPr>
        <w:spacing w:after="0" w:line="24" w:lineRule="exact"/>
        <w:rPr>
          <w:rFonts w:ascii="Courier New" w:cs="Courier New" w:eastAsia="Courier New" w:hAnsi="Courier New"/>
          <w:sz w:val="15"/>
          <w:szCs w:val="15"/>
          <w:color w:val="auto"/>
        </w:rPr>
      </w:pPr>
    </w:p>
    <w:p>
      <w:pPr>
        <w:ind w:left="430" w:right="323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furnished reflects all adjustments which, in the opinion of management, are necessary for a fair presentation of the interim periods. The Toro Company's business is seasonal. Operating results for the three months and nine months ended April 28, 1995 are not necessarily indicative of the results that may be expected for the fiscal year ending July 31, 1995.</w:t>
      </w:r>
    </w:p>
    <w:p>
      <w:pPr>
        <w:spacing w:after="0" w:line="85" w:lineRule="exact"/>
        <w:rPr>
          <w:rFonts w:ascii="Courier New" w:cs="Courier New" w:eastAsia="Courier New" w:hAnsi="Courier New"/>
          <w:sz w:val="15"/>
          <w:szCs w:val="15"/>
          <w:color w:val="auto"/>
        </w:rPr>
      </w:pPr>
    </w:p>
    <w:p>
      <w:pPr>
        <w:ind w:left="430" w:right="3399"/>
        <w:spacing w:after="0" w:line="27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These statements should be read in conjunction with the financial statements and footnotes included in the company's Annual Report for the year ended July 31, 1994. The policies described in that report are used in preparing quarterly reports.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9"/>
          </w:cols>
          <w:pgMar w:left="230" w:top="598" w:right="1440" w:bottom="1440" w:gutter="0" w:footer="0" w:header="0"/>
        </w:sectPr>
      </w:pPr>
    </w:p>
    <w:bookmarkStart w:id="6" w:name="page7"/>
    <w:bookmarkEnd w:id="6"/>
    <w:p>
      <w:pPr>
        <w:jc w:val="center"/>
        <w:ind w:right="3139"/>
        <w:spacing w:after="0"/>
        <w:rPr>
          <w:sz w:val="20"/>
          <w:szCs w:val="20"/>
          <w:color w:val="auto"/>
        </w:rPr>
      </w:pPr>
      <w:r>
        <w:rPr>
          <w:rFonts w:ascii="Courier New" w:cs="Courier New" w:eastAsia="Courier New" w:hAnsi="Courier New"/>
          <w:sz w:val="15"/>
          <w:szCs w:val="15"/>
          <w:color w:val="auto"/>
        </w:rPr>
        <w:t>MANAGEMENT'S DISCUSSION AND ANALYSIS OF FINANCIAL CONDITION</w:t>
      </w:r>
    </w:p>
    <w:p>
      <w:pPr>
        <w:spacing w:after="0" w:line="24"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AND RESULTS OF OPERATIONS</w:t>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24" w:lineRule="exact"/>
        <w:rPr>
          <w:sz w:val="20"/>
          <w:szCs w:val="20"/>
          <w:color w:val="auto"/>
        </w:rPr>
      </w:pPr>
    </w:p>
    <w:p>
      <w:pPr>
        <w:ind w:right="3239"/>
        <w:spacing w:after="0" w:line="267" w:lineRule="auto"/>
        <w:rPr>
          <w:sz w:val="20"/>
          <w:szCs w:val="20"/>
          <w:color w:val="auto"/>
        </w:rPr>
      </w:pPr>
      <w:r>
        <w:rPr>
          <w:rFonts w:ascii="Courier New" w:cs="Courier New" w:eastAsia="Courier New" w:hAnsi="Courier New"/>
          <w:sz w:val="14"/>
          <w:szCs w:val="14"/>
          <w:color w:val="auto"/>
        </w:rPr>
        <w:t>Total assets for the company as of April 28, 1995 were $592.5 million, an increase of $62.2 million, or 11.7%, from the $530.3 million reported at the end of the third quarter last year. The increase resulted primarily from increases in trade receivables and inventory. The increase in trade receivables reflected an increase in dealer receivables financed by the company as well as an increase in sales volume. Inventory increased as a result of increased production of riding products to meet anticipated demand and a reduction in walk power mower shipments in response to excess retail inventory levels.</w:t>
      </w:r>
    </w:p>
    <w:p>
      <w:pPr>
        <w:spacing w:after="0" w:line="244" w:lineRule="exact"/>
        <w:rPr>
          <w:sz w:val="20"/>
          <w:szCs w:val="20"/>
          <w:color w:val="auto"/>
        </w:rPr>
      </w:pPr>
    </w:p>
    <w:p>
      <w:pPr>
        <w:ind w:right="3239"/>
        <w:spacing w:after="0" w:line="264" w:lineRule="auto"/>
        <w:rPr>
          <w:sz w:val="20"/>
          <w:szCs w:val="20"/>
          <w:color w:val="auto"/>
        </w:rPr>
      </w:pPr>
      <w:r>
        <w:rPr>
          <w:rFonts w:ascii="Courier New" w:cs="Courier New" w:eastAsia="Courier New" w:hAnsi="Courier New"/>
          <w:sz w:val="15"/>
          <w:szCs w:val="15"/>
          <w:color w:val="auto"/>
        </w:rPr>
        <w:t>Total debt as of April 28, 1995 was $173.3 million, or $6.8 million greater than the $166.5 million reported at the end of the third quarter last year. The ratio of total debt to total capital of 46.2% has improved from the 50.4% reported as of April 29, 1994. The lower debt ratio resulted from an increase in equity as a result of 1995 earnings to date.</w:t>
      </w:r>
    </w:p>
    <w:p>
      <w:pPr>
        <w:spacing w:after="0" w:line="75" w:lineRule="exact"/>
        <w:rPr>
          <w:sz w:val="20"/>
          <w:szCs w:val="20"/>
          <w:color w:val="auto"/>
        </w:rPr>
      </w:pPr>
    </w:p>
    <w:p>
      <w:pPr>
        <w:ind w:right="3239"/>
        <w:spacing w:after="0" w:line="273" w:lineRule="auto"/>
        <w:rPr>
          <w:sz w:val="20"/>
          <w:szCs w:val="20"/>
          <w:color w:val="auto"/>
        </w:rPr>
      </w:pPr>
      <w:r>
        <w:rPr>
          <w:rFonts w:ascii="Courier New" w:cs="Courier New" w:eastAsia="Courier New" w:hAnsi="Courier New"/>
          <w:sz w:val="14"/>
          <w:szCs w:val="14"/>
          <w:color w:val="auto"/>
        </w:rPr>
        <w:t>The business of the company is seasonal. Historically, accounts receivable balances increase throughout the winter months as a result of extended payment terms made available to customers and decrease in the late spring when payments become due. Peak borrowing usually occurs in the third quarter. The seasonal working capital requirements of the business are financed primarily with short-term debt. Management believes that the combination of funds available through existing financing options, coupled with forecasted cash flows, will provide the capital resources necessary to meet the company's working capital requirements.</w:t>
      </w:r>
    </w:p>
    <w:p>
      <w:pPr>
        <w:spacing w:after="0" w:line="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following table sets forth sales by product line.</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0" w:type="dxa"/>
            <w:vAlign w:val="bottom"/>
            <w:gridSpan w:val="3"/>
          </w:tcPr>
          <w:p>
            <w:pPr>
              <w:jc w:val="right"/>
              <w:ind w:right="767"/>
              <w:spacing w:after="0"/>
              <w:rPr>
                <w:sz w:val="20"/>
                <w:szCs w:val="20"/>
                <w:color w:val="auto"/>
              </w:rPr>
            </w:pPr>
            <w:r>
              <w:rPr>
                <w:rFonts w:ascii="Courier New" w:cs="Courier New" w:eastAsia="Courier New" w:hAnsi="Courier New"/>
                <w:sz w:val="15"/>
                <w:szCs w:val="15"/>
                <w:color w:val="auto"/>
                <w:w w:val="95"/>
              </w:rPr>
              <w:t>Three Months Ended</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80" w:type="dxa"/>
            <w:vAlign w:val="bottom"/>
            <w:vMerge w:val="restart"/>
          </w:tcPr>
          <w:p>
            <w:pPr>
              <w:jc w:val="right"/>
              <w:ind w:right="1367"/>
              <w:spacing w:after="0"/>
              <w:rPr>
                <w:sz w:val="20"/>
                <w:szCs w:val="20"/>
                <w:color w:val="auto"/>
              </w:rPr>
            </w:pPr>
            <w:r>
              <w:rPr>
                <w:rFonts w:ascii="Courier New" w:cs="Courier New" w:eastAsia="Courier New" w:hAnsi="Courier New"/>
                <w:sz w:val="15"/>
                <w:szCs w:val="15"/>
                <w:color w:val="auto"/>
                <w:w w:val="96"/>
              </w:rPr>
              <w:t>(Dollars in thousands)</w:t>
            </w:r>
          </w:p>
        </w:tc>
        <w:tc>
          <w:tcPr>
            <w:tcW w:w="6340" w:type="dxa"/>
            <w:vAlign w:val="bottom"/>
            <w:gridSpan w:val="7"/>
          </w:tcPr>
          <w:p>
            <w:pPr>
              <w:ind w:left="1260"/>
              <w:spacing w:after="0" w:line="168" w:lineRule="exact"/>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168"/>
        </w:trPr>
        <w:tc>
          <w:tcPr>
            <w:tcW w:w="3380" w:type="dxa"/>
            <w:vAlign w:val="bottom"/>
            <w:vMerge w:val="continue"/>
          </w:tcPr>
          <w:p>
            <w:pPr>
              <w:spacing w:after="0"/>
              <w:rPr>
                <w:sz w:val="14"/>
                <w:szCs w:val="14"/>
                <w:color w:val="auto"/>
              </w:rPr>
            </w:pPr>
          </w:p>
        </w:tc>
        <w:tc>
          <w:tcPr>
            <w:tcW w:w="144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April 28,</w:t>
            </w:r>
          </w:p>
        </w:tc>
        <w:tc>
          <w:tcPr>
            <w:tcW w:w="28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April 29,</w:t>
            </w:r>
          </w:p>
        </w:tc>
        <w:tc>
          <w:tcPr>
            <w:tcW w:w="300" w:type="dxa"/>
            <w:vAlign w:val="bottom"/>
          </w:tcPr>
          <w:p>
            <w:pPr>
              <w:spacing w:after="0"/>
              <w:rPr>
                <w:sz w:val="14"/>
                <w:szCs w:val="14"/>
                <w:color w:val="auto"/>
              </w:rPr>
            </w:pPr>
          </w:p>
        </w:tc>
        <w:tc>
          <w:tcPr>
            <w:tcW w:w="110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 Change</w:t>
            </w:r>
          </w:p>
        </w:tc>
        <w:tc>
          <w:tcPr>
            <w:tcW w:w="11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 Change</w:t>
            </w:r>
          </w:p>
        </w:tc>
        <w:tc>
          <w:tcPr>
            <w:tcW w:w="0" w:type="dxa"/>
            <w:vAlign w:val="bottom"/>
          </w:tcPr>
          <w:p>
            <w:pPr>
              <w:spacing w:after="0"/>
              <w:rPr>
                <w:sz w:val="1"/>
                <w:szCs w:val="1"/>
                <w:color w:val="auto"/>
              </w:rPr>
            </w:pPr>
          </w:p>
        </w:tc>
      </w:tr>
      <w:tr>
        <w:trPr>
          <w:trHeight w:val="168"/>
        </w:trPr>
        <w:tc>
          <w:tcPr>
            <w:tcW w:w="33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1995</w:t>
            </w:r>
          </w:p>
        </w:tc>
        <w:tc>
          <w:tcPr>
            <w:tcW w:w="28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1994</w:t>
            </w:r>
          </w:p>
        </w:tc>
        <w:tc>
          <w:tcPr>
            <w:tcW w:w="3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380" w:type="dxa"/>
            <w:vAlign w:val="bottom"/>
          </w:tcPr>
          <w:p>
            <w:pPr>
              <w:spacing w:after="0"/>
              <w:rPr>
                <w:sz w:val="21"/>
                <w:szCs w:val="21"/>
                <w:color w:val="auto"/>
              </w:rPr>
            </w:pPr>
          </w:p>
        </w:tc>
        <w:tc>
          <w:tcPr>
            <w:tcW w:w="24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259"/>
        </w:trPr>
        <w:tc>
          <w:tcPr>
            <w:tcW w:w="3380" w:type="dxa"/>
            <w:vAlign w:val="bottom"/>
          </w:tcPr>
          <w:p>
            <w:pPr>
              <w:jc w:val="right"/>
              <w:spacing w:after="0"/>
              <w:rPr>
                <w:sz w:val="20"/>
                <w:szCs w:val="20"/>
                <w:color w:val="auto"/>
              </w:rPr>
            </w:pPr>
            <w:r>
              <w:rPr>
                <w:rFonts w:ascii="Courier New" w:cs="Courier New" w:eastAsia="Courier New" w:hAnsi="Courier New"/>
                <w:sz w:val="15"/>
                <w:szCs w:val="15"/>
                <w:color w:val="auto"/>
                <w:w w:val="97"/>
              </w:rPr>
              <w:t>Consumer products. . . . . . . . . . .</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 . . . . .   $</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172,925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158,346</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14,579</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9.2 %</w:t>
            </w:r>
          </w:p>
        </w:tc>
        <w:tc>
          <w:tcPr>
            <w:tcW w:w="0" w:type="dxa"/>
            <w:vAlign w:val="bottom"/>
          </w:tcPr>
          <w:p>
            <w:pPr>
              <w:spacing w:after="0"/>
              <w:rPr>
                <w:sz w:val="1"/>
                <w:szCs w:val="1"/>
                <w:color w:val="auto"/>
              </w:rPr>
            </w:pPr>
          </w:p>
        </w:tc>
      </w:tr>
      <w:tr>
        <w:trPr>
          <w:trHeight w:val="168"/>
        </w:trPr>
        <w:tc>
          <w:tcPr>
            <w:tcW w:w="3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Commercial products. . . . . . . . . .</w:t>
            </w:r>
          </w:p>
        </w:tc>
        <w:tc>
          <w:tcPr>
            <w:tcW w:w="1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 . . . .</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100,448</w:t>
            </w:r>
          </w:p>
        </w:tc>
        <w:tc>
          <w:tcPr>
            <w:tcW w:w="28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85,038</w:t>
            </w:r>
          </w:p>
        </w:tc>
        <w:tc>
          <w:tcPr>
            <w:tcW w:w="3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15,410</w:t>
            </w:r>
          </w:p>
        </w:tc>
        <w:tc>
          <w:tcPr>
            <w:tcW w:w="118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4"/>
              </w:rPr>
              <w:t>18.1</w:t>
            </w:r>
          </w:p>
        </w:tc>
        <w:tc>
          <w:tcPr>
            <w:tcW w:w="0" w:type="dxa"/>
            <w:vAlign w:val="bottom"/>
          </w:tcPr>
          <w:p>
            <w:pPr>
              <w:spacing w:after="0"/>
              <w:rPr>
                <w:sz w:val="1"/>
                <w:szCs w:val="1"/>
                <w:color w:val="auto"/>
              </w:rPr>
            </w:pPr>
          </w:p>
        </w:tc>
      </w:tr>
      <w:tr>
        <w:trPr>
          <w:trHeight w:val="168"/>
        </w:trPr>
        <w:tc>
          <w:tcPr>
            <w:tcW w:w="3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Irrigation products. . . . . . . . . .</w:t>
            </w:r>
          </w:p>
        </w:tc>
        <w:tc>
          <w:tcPr>
            <w:tcW w:w="1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 . . . .</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37,240</w:t>
            </w:r>
          </w:p>
        </w:tc>
        <w:tc>
          <w:tcPr>
            <w:tcW w:w="28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33,092</w:t>
            </w:r>
          </w:p>
        </w:tc>
        <w:tc>
          <w:tcPr>
            <w:tcW w:w="3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4,148</w:t>
            </w:r>
          </w:p>
        </w:tc>
        <w:tc>
          <w:tcPr>
            <w:tcW w:w="118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4"/>
              </w:rPr>
              <w:t>12.5</w:t>
            </w:r>
          </w:p>
        </w:tc>
        <w:tc>
          <w:tcPr>
            <w:tcW w:w="0" w:type="dxa"/>
            <w:vAlign w:val="bottom"/>
          </w:tcPr>
          <w:p>
            <w:pPr>
              <w:spacing w:after="0"/>
              <w:rPr>
                <w:sz w:val="1"/>
                <w:szCs w:val="1"/>
                <w:color w:val="auto"/>
              </w:rPr>
            </w:pPr>
          </w:p>
        </w:tc>
      </w:tr>
      <w:tr>
        <w:trPr>
          <w:trHeight w:val="168"/>
        </w:trPr>
        <w:tc>
          <w:tcPr>
            <w:tcW w:w="338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Total *  . . . . . . . . . . .</w:t>
            </w:r>
          </w:p>
        </w:tc>
        <w:tc>
          <w:tcPr>
            <w:tcW w:w="1440" w:type="dxa"/>
            <w:vAlign w:val="bottom"/>
            <w:vMerge w:val="restart"/>
          </w:tcPr>
          <w:p>
            <w:pPr>
              <w:ind w:left="40"/>
              <w:spacing w:after="0"/>
              <w:rPr>
                <w:sz w:val="20"/>
                <w:szCs w:val="20"/>
                <w:color w:val="auto"/>
              </w:rPr>
            </w:pPr>
            <w:r>
              <w:rPr>
                <w:rFonts w:ascii="Courier New" w:cs="Courier New" w:eastAsia="Courier New" w:hAnsi="Courier New"/>
                <w:sz w:val="19"/>
                <w:szCs w:val="19"/>
                <w:color w:val="auto"/>
                <w:w w:val="71"/>
                <w:vertAlign w:val="subscript"/>
              </w:rPr>
              <w:t>. . . . . .   $</w:t>
            </w:r>
            <w:r>
              <w:rPr>
                <w:rFonts w:ascii="Courier New" w:cs="Courier New" w:eastAsia="Courier New" w:hAnsi="Courier New"/>
                <w:sz w:val="11"/>
                <w:szCs w:val="11"/>
                <w:color w:val="auto"/>
                <w:w w:val="71"/>
              </w:rPr>
              <w:t>------------</w:t>
            </w:r>
          </w:p>
        </w:tc>
        <w:tc>
          <w:tcPr>
            <w:tcW w:w="104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310,613</w:t>
            </w:r>
          </w:p>
        </w:tc>
        <w:tc>
          <w:tcPr>
            <w:tcW w:w="12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168"/>
        </w:trPr>
        <w:tc>
          <w:tcPr>
            <w:tcW w:w="3380" w:type="dxa"/>
            <w:vAlign w:val="bottom"/>
            <w:vMerge w:val="continue"/>
          </w:tcPr>
          <w:p>
            <w:pPr>
              <w:jc w:val="right"/>
              <w:spacing w:after="0" w:line="148" w:lineRule="exact"/>
              <w:rPr>
                <w:sz w:val="20"/>
                <w:szCs w:val="20"/>
                <w:color w:val="auto"/>
              </w:rPr>
            </w:pPr>
            <w:r>
              <w:rPr>
                <w:rFonts w:ascii="Courier New" w:cs="Courier New" w:eastAsia="Courier New" w:hAnsi="Courier New"/>
                <w:sz w:val="15"/>
                <w:szCs w:val="15"/>
                <w:color w:val="auto"/>
              </w:rPr>
              <w:t>. .</w:t>
            </w:r>
          </w:p>
        </w:tc>
        <w:tc>
          <w:tcPr>
            <w:tcW w:w="144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276,476</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34,137</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12.3 %</w:t>
            </w:r>
          </w:p>
        </w:tc>
        <w:tc>
          <w:tcPr>
            <w:tcW w:w="0" w:type="dxa"/>
            <w:vAlign w:val="bottom"/>
          </w:tcPr>
          <w:p>
            <w:pPr>
              <w:spacing w:after="0"/>
              <w:rPr>
                <w:sz w:val="1"/>
                <w:szCs w:val="1"/>
                <w:color w:val="auto"/>
              </w:rPr>
            </w:pPr>
          </w:p>
        </w:tc>
      </w:tr>
      <w:tr>
        <w:trPr>
          <w:trHeight w:val="168"/>
        </w:trPr>
        <w:tc>
          <w:tcPr>
            <w:tcW w:w="3380" w:type="dxa"/>
            <w:vAlign w:val="bottom"/>
          </w:tcPr>
          <w:p>
            <w:pPr>
              <w:spacing w:after="0"/>
              <w:rPr>
                <w:sz w:val="14"/>
                <w:szCs w:val="14"/>
                <w:color w:val="auto"/>
              </w:rPr>
            </w:pPr>
          </w:p>
        </w:tc>
        <w:tc>
          <w:tcPr>
            <w:tcW w:w="24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245"/>
        </w:trPr>
        <w:tc>
          <w:tcPr>
            <w:tcW w:w="3380" w:type="dxa"/>
            <w:vAlign w:val="bottom"/>
          </w:tcPr>
          <w:p>
            <w:pPr>
              <w:spacing w:after="0"/>
              <w:rPr>
                <w:sz w:val="21"/>
                <w:szCs w:val="21"/>
                <w:color w:val="auto"/>
              </w:rPr>
            </w:pPr>
          </w:p>
        </w:tc>
        <w:tc>
          <w:tcPr>
            <w:tcW w:w="24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336"/>
        </w:trPr>
        <w:tc>
          <w:tcPr>
            <w:tcW w:w="3380" w:type="dxa"/>
            <w:vAlign w:val="bottom"/>
          </w:tcPr>
          <w:p>
            <w:pPr>
              <w:jc w:val="right"/>
              <w:spacing w:after="0"/>
              <w:rPr>
                <w:sz w:val="20"/>
                <w:szCs w:val="20"/>
                <w:color w:val="auto"/>
              </w:rPr>
            </w:pPr>
            <w:r>
              <w:rPr>
                <w:rFonts w:ascii="Courier New" w:cs="Courier New" w:eastAsia="Courier New" w:hAnsi="Courier New"/>
                <w:sz w:val="15"/>
                <w:szCs w:val="15"/>
                <w:color w:val="auto"/>
                <w:w w:val="97"/>
              </w:rPr>
              <w:t>* Includes International sales of: . .</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 . . . . .   $</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56,461</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57,774</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(1,313)</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w:t>
            </w:r>
          </w:p>
        </w:tc>
        <w:tc>
          <w:tcPr>
            <w:tcW w:w="0" w:type="dxa"/>
            <w:vAlign w:val="bottom"/>
          </w:tcPr>
          <w:p>
            <w:pPr>
              <w:spacing w:after="0"/>
              <w:rPr>
                <w:sz w:val="1"/>
                <w:szCs w:val="1"/>
                <w:color w:val="auto"/>
              </w:rPr>
            </w:pPr>
          </w:p>
        </w:tc>
      </w:tr>
      <w:tr>
        <w:trPr>
          <w:trHeight w:val="1100"/>
        </w:trPr>
        <w:tc>
          <w:tcPr>
            <w:tcW w:w="3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0" w:type="dxa"/>
            <w:vAlign w:val="bottom"/>
            <w:gridSpan w:val="3"/>
          </w:tcPr>
          <w:p>
            <w:pPr>
              <w:jc w:val="right"/>
              <w:ind w:right="767"/>
              <w:spacing w:after="0"/>
              <w:rPr>
                <w:sz w:val="20"/>
                <w:szCs w:val="20"/>
                <w:color w:val="auto"/>
              </w:rPr>
            </w:pPr>
            <w:r>
              <w:rPr>
                <w:rFonts w:ascii="Courier New" w:cs="Courier New" w:eastAsia="Courier New" w:hAnsi="Courier New"/>
                <w:sz w:val="15"/>
                <w:szCs w:val="15"/>
                <w:color w:val="auto"/>
              </w:rPr>
              <w:t>Nine Months Ended</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3380" w:type="dxa"/>
            <w:vAlign w:val="bottom"/>
          </w:tcPr>
          <w:p>
            <w:pPr>
              <w:spacing w:after="0"/>
              <w:rPr>
                <w:sz w:val="21"/>
                <w:szCs w:val="21"/>
                <w:color w:val="auto"/>
              </w:rPr>
            </w:pPr>
          </w:p>
        </w:tc>
        <w:tc>
          <w:tcPr>
            <w:tcW w:w="6340" w:type="dxa"/>
            <w:vAlign w:val="bottom"/>
            <w:gridSpan w:val="7"/>
          </w:tcPr>
          <w:p>
            <w:pPr>
              <w:ind w:left="1260"/>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259"/>
        </w:trPr>
        <w:tc>
          <w:tcPr>
            <w:tcW w:w="3380" w:type="dxa"/>
            <w:vAlign w:val="bottom"/>
          </w:tcPr>
          <w:p>
            <w:pPr>
              <w:jc w:val="right"/>
              <w:ind w:right="1367"/>
              <w:spacing w:after="0"/>
              <w:rPr>
                <w:sz w:val="20"/>
                <w:szCs w:val="20"/>
                <w:color w:val="auto"/>
              </w:rPr>
            </w:pPr>
            <w:r>
              <w:rPr>
                <w:rFonts w:ascii="Courier New" w:cs="Courier New" w:eastAsia="Courier New" w:hAnsi="Courier New"/>
                <w:sz w:val="15"/>
                <w:szCs w:val="15"/>
                <w:color w:val="auto"/>
                <w:w w:val="96"/>
              </w:rPr>
              <w:t>(Dollars in thousands)</w:t>
            </w:r>
          </w:p>
        </w:tc>
        <w:tc>
          <w:tcPr>
            <w:tcW w:w="1440" w:type="dxa"/>
            <w:vAlign w:val="bottom"/>
          </w:tcPr>
          <w:p>
            <w:pPr>
              <w:spacing w:after="0"/>
              <w:rPr>
                <w:sz w:val="22"/>
                <w:szCs w:val="22"/>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April 28,</w:t>
            </w:r>
          </w:p>
        </w:tc>
        <w:tc>
          <w:tcPr>
            <w:tcW w:w="280" w:type="dxa"/>
            <w:vAlign w:val="bottom"/>
          </w:tcPr>
          <w:p>
            <w:pPr>
              <w:spacing w:after="0"/>
              <w:rPr>
                <w:sz w:val="22"/>
                <w:szCs w:val="22"/>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April 29,</w:t>
            </w:r>
          </w:p>
        </w:tc>
        <w:tc>
          <w:tcPr>
            <w:tcW w:w="300" w:type="dxa"/>
            <w:vAlign w:val="bottom"/>
          </w:tcPr>
          <w:p>
            <w:pPr>
              <w:spacing w:after="0"/>
              <w:rPr>
                <w:sz w:val="22"/>
                <w:szCs w:val="22"/>
                <w:color w:val="auto"/>
              </w:rPr>
            </w:pPr>
          </w:p>
        </w:tc>
        <w:tc>
          <w:tcPr>
            <w:tcW w:w="110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w w:val="94"/>
              </w:rPr>
              <w:t>$ Change</w:t>
            </w:r>
          </w:p>
        </w:tc>
        <w:tc>
          <w:tcPr>
            <w:tcW w:w="11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 Change</w:t>
            </w:r>
          </w:p>
        </w:tc>
        <w:tc>
          <w:tcPr>
            <w:tcW w:w="0" w:type="dxa"/>
            <w:vAlign w:val="bottom"/>
          </w:tcPr>
          <w:p>
            <w:pPr>
              <w:spacing w:after="0"/>
              <w:rPr>
                <w:sz w:val="1"/>
                <w:szCs w:val="1"/>
                <w:color w:val="auto"/>
              </w:rPr>
            </w:pPr>
          </w:p>
        </w:tc>
      </w:tr>
      <w:tr>
        <w:trPr>
          <w:trHeight w:val="168"/>
        </w:trPr>
        <w:tc>
          <w:tcPr>
            <w:tcW w:w="33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1995</w:t>
            </w:r>
          </w:p>
        </w:tc>
        <w:tc>
          <w:tcPr>
            <w:tcW w:w="28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1994</w:t>
            </w:r>
          </w:p>
        </w:tc>
        <w:tc>
          <w:tcPr>
            <w:tcW w:w="3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380" w:type="dxa"/>
            <w:vAlign w:val="bottom"/>
          </w:tcPr>
          <w:p>
            <w:pPr>
              <w:spacing w:after="0"/>
              <w:rPr>
                <w:sz w:val="21"/>
                <w:szCs w:val="21"/>
                <w:color w:val="auto"/>
              </w:rPr>
            </w:pPr>
          </w:p>
        </w:tc>
        <w:tc>
          <w:tcPr>
            <w:tcW w:w="24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259"/>
        </w:trPr>
        <w:tc>
          <w:tcPr>
            <w:tcW w:w="3380" w:type="dxa"/>
            <w:vAlign w:val="bottom"/>
          </w:tcPr>
          <w:p>
            <w:pPr>
              <w:jc w:val="right"/>
              <w:spacing w:after="0"/>
              <w:rPr>
                <w:sz w:val="20"/>
                <w:szCs w:val="20"/>
                <w:color w:val="auto"/>
              </w:rPr>
            </w:pPr>
            <w:r>
              <w:rPr>
                <w:rFonts w:ascii="Courier New" w:cs="Courier New" w:eastAsia="Courier New" w:hAnsi="Courier New"/>
                <w:sz w:val="15"/>
                <w:szCs w:val="15"/>
                <w:color w:val="auto"/>
                <w:w w:val="97"/>
              </w:rPr>
              <w:t>Consumer products. . . . . . . . . . .</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 . . . . .   $</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411,660</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330,637</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81,023</w:t>
            </w:r>
          </w:p>
        </w:tc>
        <w:tc>
          <w:tcPr>
            <w:tcW w:w="118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6"/>
              </w:rPr>
              <w:t>24.5 %</w:t>
            </w:r>
          </w:p>
        </w:tc>
        <w:tc>
          <w:tcPr>
            <w:tcW w:w="0" w:type="dxa"/>
            <w:vAlign w:val="bottom"/>
          </w:tcPr>
          <w:p>
            <w:pPr>
              <w:spacing w:after="0"/>
              <w:rPr>
                <w:sz w:val="1"/>
                <w:szCs w:val="1"/>
                <w:color w:val="auto"/>
              </w:rPr>
            </w:pPr>
          </w:p>
        </w:tc>
      </w:tr>
      <w:tr>
        <w:trPr>
          <w:trHeight w:val="168"/>
        </w:trPr>
        <w:tc>
          <w:tcPr>
            <w:tcW w:w="3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Commercial products. . . . . . . . . .</w:t>
            </w:r>
          </w:p>
        </w:tc>
        <w:tc>
          <w:tcPr>
            <w:tcW w:w="1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 . . . .</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222,946</w:t>
            </w:r>
          </w:p>
        </w:tc>
        <w:tc>
          <w:tcPr>
            <w:tcW w:w="28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192,413</w:t>
            </w:r>
          </w:p>
        </w:tc>
        <w:tc>
          <w:tcPr>
            <w:tcW w:w="3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30,533</w:t>
            </w:r>
          </w:p>
        </w:tc>
        <w:tc>
          <w:tcPr>
            <w:tcW w:w="11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15.9</w:t>
            </w:r>
          </w:p>
        </w:tc>
        <w:tc>
          <w:tcPr>
            <w:tcW w:w="0" w:type="dxa"/>
            <w:vAlign w:val="bottom"/>
          </w:tcPr>
          <w:p>
            <w:pPr>
              <w:spacing w:after="0"/>
              <w:rPr>
                <w:sz w:val="1"/>
                <w:szCs w:val="1"/>
                <w:color w:val="auto"/>
              </w:rPr>
            </w:pPr>
          </w:p>
        </w:tc>
      </w:tr>
      <w:tr>
        <w:trPr>
          <w:trHeight w:val="168"/>
        </w:trPr>
        <w:tc>
          <w:tcPr>
            <w:tcW w:w="3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Irrigation products. . . . . . . . . .</w:t>
            </w:r>
          </w:p>
        </w:tc>
        <w:tc>
          <w:tcPr>
            <w:tcW w:w="1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 . . . .</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95,661</w:t>
            </w:r>
          </w:p>
        </w:tc>
        <w:tc>
          <w:tcPr>
            <w:tcW w:w="28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78,600</w:t>
            </w:r>
          </w:p>
        </w:tc>
        <w:tc>
          <w:tcPr>
            <w:tcW w:w="3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17,061</w:t>
            </w:r>
          </w:p>
        </w:tc>
        <w:tc>
          <w:tcPr>
            <w:tcW w:w="11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21.7</w:t>
            </w:r>
          </w:p>
        </w:tc>
        <w:tc>
          <w:tcPr>
            <w:tcW w:w="0" w:type="dxa"/>
            <w:vAlign w:val="bottom"/>
          </w:tcPr>
          <w:p>
            <w:pPr>
              <w:spacing w:after="0"/>
              <w:rPr>
                <w:sz w:val="1"/>
                <w:szCs w:val="1"/>
                <w:color w:val="auto"/>
              </w:rPr>
            </w:pPr>
          </w:p>
        </w:tc>
      </w:tr>
      <w:tr>
        <w:trPr>
          <w:trHeight w:val="168"/>
        </w:trPr>
        <w:tc>
          <w:tcPr>
            <w:tcW w:w="338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Total *  . . . . . . . . . . .</w:t>
            </w:r>
          </w:p>
        </w:tc>
        <w:tc>
          <w:tcPr>
            <w:tcW w:w="1440" w:type="dxa"/>
            <w:vAlign w:val="bottom"/>
            <w:vMerge w:val="restart"/>
          </w:tcPr>
          <w:p>
            <w:pPr>
              <w:ind w:left="40"/>
              <w:spacing w:after="0"/>
              <w:rPr>
                <w:sz w:val="20"/>
                <w:szCs w:val="20"/>
                <w:color w:val="auto"/>
              </w:rPr>
            </w:pPr>
            <w:r>
              <w:rPr>
                <w:rFonts w:ascii="Courier New" w:cs="Courier New" w:eastAsia="Courier New" w:hAnsi="Courier New"/>
                <w:sz w:val="19"/>
                <w:szCs w:val="19"/>
                <w:color w:val="auto"/>
                <w:w w:val="71"/>
                <w:vertAlign w:val="subscript"/>
              </w:rPr>
              <w:t>. . . . . .   $</w:t>
            </w:r>
            <w:r>
              <w:rPr>
                <w:rFonts w:ascii="Courier New" w:cs="Courier New" w:eastAsia="Courier New" w:hAnsi="Courier New"/>
                <w:sz w:val="11"/>
                <w:szCs w:val="11"/>
                <w:color w:val="auto"/>
                <w:w w:val="71"/>
              </w:rPr>
              <w:t>------------</w:t>
            </w:r>
          </w:p>
        </w:tc>
        <w:tc>
          <w:tcPr>
            <w:tcW w:w="104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730,267</w:t>
            </w:r>
          </w:p>
        </w:tc>
        <w:tc>
          <w:tcPr>
            <w:tcW w:w="12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168"/>
        </w:trPr>
        <w:tc>
          <w:tcPr>
            <w:tcW w:w="3380" w:type="dxa"/>
            <w:vAlign w:val="bottom"/>
            <w:vMerge w:val="continue"/>
          </w:tcPr>
          <w:p>
            <w:pPr>
              <w:jc w:val="right"/>
              <w:spacing w:after="0" w:line="148" w:lineRule="exact"/>
              <w:rPr>
                <w:sz w:val="20"/>
                <w:szCs w:val="20"/>
                <w:color w:val="auto"/>
              </w:rPr>
            </w:pPr>
            <w:r>
              <w:rPr>
                <w:rFonts w:ascii="Courier New" w:cs="Courier New" w:eastAsia="Courier New" w:hAnsi="Courier New"/>
                <w:sz w:val="15"/>
                <w:szCs w:val="15"/>
                <w:color w:val="auto"/>
              </w:rPr>
              <w:t>. .</w:t>
            </w:r>
          </w:p>
        </w:tc>
        <w:tc>
          <w:tcPr>
            <w:tcW w:w="144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601,650</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128,617</w:t>
            </w:r>
          </w:p>
        </w:tc>
        <w:tc>
          <w:tcPr>
            <w:tcW w:w="118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6"/>
              </w:rPr>
              <w:t>21.4 %</w:t>
            </w:r>
          </w:p>
        </w:tc>
        <w:tc>
          <w:tcPr>
            <w:tcW w:w="0" w:type="dxa"/>
            <w:vAlign w:val="bottom"/>
          </w:tcPr>
          <w:p>
            <w:pPr>
              <w:spacing w:after="0"/>
              <w:rPr>
                <w:sz w:val="1"/>
                <w:szCs w:val="1"/>
                <w:color w:val="auto"/>
              </w:rPr>
            </w:pPr>
          </w:p>
        </w:tc>
      </w:tr>
      <w:tr>
        <w:trPr>
          <w:trHeight w:val="168"/>
        </w:trPr>
        <w:tc>
          <w:tcPr>
            <w:tcW w:w="3380" w:type="dxa"/>
            <w:vAlign w:val="bottom"/>
          </w:tcPr>
          <w:p>
            <w:pPr>
              <w:spacing w:after="0"/>
              <w:rPr>
                <w:sz w:val="14"/>
                <w:szCs w:val="14"/>
                <w:color w:val="auto"/>
              </w:rPr>
            </w:pPr>
          </w:p>
        </w:tc>
        <w:tc>
          <w:tcPr>
            <w:tcW w:w="24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245"/>
        </w:trPr>
        <w:tc>
          <w:tcPr>
            <w:tcW w:w="3380" w:type="dxa"/>
            <w:vAlign w:val="bottom"/>
          </w:tcPr>
          <w:p>
            <w:pPr>
              <w:spacing w:after="0"/>
              <w:rPr>
                <w:sz w:val="21"/>
                <w:szCs w:val="21"/>
                <w:color w:val="auto"/>
              </w:rPr>
            </w:pPr>
          </w:p>
        </w:tc>
        <w:tc>
          <w:tcPr>
            <w:tcW w:w="24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505"/>
        </w:trPr>
        <w:tc>
          <w:tcPr>
            <w:tcW w:w="3380" w:type="dxa"/>
            <w:vAlign w:val="bottom"/>
          </w:tcPr>
          <w:p>
            <w:pPr>
              <w:jc w:val="right"/>
              <w:spacing w:after="0"/>
              <w:rPr>
                <w:sz w:val="20"/>
                <w:szCs w:val="20"/>
                <w:color w:val="auto"/>
              </w:rPr>
            </w:pPr>
            <w:r>
              <w:rPr>
                <w:rFonts w:ascii="Courier New" w:cs="Courier New" w:eastAsia="Courier New" w:hAnsi="Courier New"/>
                <w:sz w:val="15"/>
                <w:szCs w:val="15"/>
                <w:color w:val="auto"/>
                <w:w w:val="97"/>
              </w:rPr>
              <w:t>* Includes International sales of: . .</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 . . . . .   $</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114,983</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101,400</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13,583</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6"/>
              </w:rPr>
              <w:t>13.4 %</w:t>
            </w:r>
          </w:p>
        </w:tc>
        <w:tc>
          <w:tcPr>
            <w:tcW w:w="0" w:type="dxa"/>
            <w:vAlign w:val="bottom"/>
          </w:tcPr>
          <w:p>
            <w:pPr>
              <w:spacing w:after="0"/>
              <w:rPr>
                <w:sz w:val="1"/>
                <w:szCs w:val="1"/>
                <w:color w:val="auto"/>
              </w:rPr>
            </w:pPr>
          </w:p>
        </w:tc>
      </w:tr>
      <w:tr>
        <w:trPr>
          <w:trHeight w:val="841"/>
        </w:trPr>
        <w:tc>
          <w:tcPr>
            <w:tcW w:w="3380" w:type="dxa"/>
            <w:vAlign w:val="bottom"/>
          </w:tcPr>
          <w:p>
            <w:pPr>
              <w:spacing w:after="0"/>
              <w:rPr>
                <w:sz w:val="24"/>
                <w:szCs w:val="24"/>
                <w:color w:val="auto"/>
              </w:rPr>
            </w:pP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-7-</w:t>
            </w: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598" w:right="1440" w:bottom="1440" w:gutter="0" w:footer="0" w:header="0"/>
        </w:sectPr>
      </w:pPr>
    </w:p>
    <w:bookmarkStart w:id="7" w:name="page8"/>
    <w:bookmarkEnd w:id="7"/>
    <w:p>
      <w:pPr>
        <w:ind w:right="3319"/>
        <w:spacing w:after="0" w:line="261" w:lineRule="auto"/>
        <w:rPr>
          <w:sz w:val="20"/>
          <w:szCs w:val="20"/>
          <w:color w:val="auto"/>
        </w:rPr>
      </w:pPr>
      <w:r>
        <w:rPr>
          <w:rFonts w:ascii="Courier New" w:cs="Courier New" w:eastAsia="Courier New" w:hAnsi="Courier New"/>
          <w:sz w:val="14"/>
          <w:szCs w:val="14"/>
          <w:color w:val="auto"/>
        </w:rPr>
        <w:t>Changes in net sales for the third quarter and year to date were attributed to the following factors. Consumer product sales reflected increased demand and improved availability of riding products and increased sales of Toro brand walk power mowers, especially the new Super Recycler-Registered Trademark- mower. Year to date, exceptional sales of snow removal equipment as well as increased sales of riding products and Toro brand walk power mowers attributed to the increase over the prior year. Lawn-Boy walk power mower sales declined as a result of reduced shipments in response to excess retail inventory as well as a delayed spring season as a result of adverse weather patterns. The increase in commercial product sales reflected continued strength in the golf and tax-supported markets. Sales of equipment to landscape contractors as well as the addition of recycling equipment products in 1995 also contributed to the increase. The irrigation product sales increase reflected continued growth in the golf, commercial and residential markets as well as the positive impact of a distribution change implemented by the company last year. International sales for the quarter reflected a decline in commercial products as a result of a shift in the timing of customer requirements which was partially offset by continued strong sales of consumer products. On a year to date basis international sales increased because of rebounding economies which resulted in increased golf course irrigation equipment sales as well as increased sales of walk power mowers, snow removal equipment and riding products.</w:t>
      </w:r>
    </w:p>
    <w:p>
      <w:pPr>
        <w:spacing w:after="0" w:line="251" w:lineRule="exact"/>
        <w:rPr>
          <w:sz w:val="20"/>
          <w:szCs w:val="20"/>
          <w:color w:val="auto"/>
        </w:rPr>
      </w:pPr>
    </w:p>
    <w:p>
      <w:pPr>
        <w:ind w:right="3399"/>
        <w:spacing w:after="0" w:line="270" w:lineRule="auto"/>
        <w:rPr>
          <w:sz w:val="20"/>
          <w:szCs w:val="20"/>
          <w:color w:val="auto"/>
        </w:rPr>
      </w:pPr>
      <w:r>
        <w:rPr>
          <w:rFonts w:ascii="Courier New" w:cs="Courier New" w:eastAsia="Courier New" w:hAnsi="Courier New"/>
          <w:sz w:val="14"/>
          <w:szCs w:val="14"/>
          <w:color w:val="auto"/>
        </w:rPr>
        <w:t>Gross profit of $107.3 million was $9.6 million (9.8%) higher than the $97.7 million reported for the third quarter of 1994. As a percent of sales, gross profit decreased slightly to 34.6% for the third quarter of 1995 compared to 35.3% for the third quarter last year as the company continued to incur increases in the cost of certain raw materials. Year to date gross profit was $259.5 million, $46.2 million (21.7%) higher than the $213.3 million reported last year. The dollar increase is attributed to increased sales volume and a favorable product mix which was offset partially by an increase in the cost of certain raw materials such as aluminum ingot and raw steel.</w:t>
      </w:r>
    </w:p>
    <w:p>
      <w:pPr>
        <w:spacing w:after="0" w:line="76" w:lineRule="exact"/>
        <w:rPr>
          <w:sz w:val="20"/>
          <w:szCs w:val="20"/>
          <w:color w:val="auto"/>
        </w:rPr>
      </w:pPr>
    </w:p>
    <w:p>
      <w:pPr>
        <w:ind w:right="3239"/>
        <w:spacing w:after="0" w:line="269" w:lineRule="auto"/>
        <w:rPr>
          <w:sz w:val="20"/>
          <w:szCs w:val="20"/>
          <w:color w:val="auto"/>
        </w:rPr>
      </w:pPr>
      <w:r>
        <w:rPr>
          <w:rFonts w:ascii="Courier New" w:cs="Courier New" w:eastAsia="Courier New" w:hAnsi="Courier New"/>
          <w:sz w:val="14"/>
          <w:szCs w:val="14"/>
          <w:color w:val="auto"/>
        </w:rPr>
        <w:t>Selling, general and administrative (S G &amp; A) expense increased $5.4 million, or 7.6%, to $76.2 million from the $70.8 million for the third quarter last year. Year to date S G &amp; A of $202.9 million increased $23.3 million from the $179.6 million reported a year ago. As a percent of sales, year to date S G &amp; A decreased to 27.8% compared to 29.9% for the prior year. The dollar increases occurred principally as a result of increased marketing expenditures, a company-wide initiative to replace existing information systems, the addition of a joint venture with a distributor and the establishment of recycling equipment products, distribution enhancement and support, increased product development and various employee incentive programs.</w:t>
      </w:r>
    </w:p>
    <w:p>
      <w:pPr>
        <w:spacing w:after="0" w:line="250" w:lineRule="exact"/>
        <w:rPr>
          <w:sz w:val="20"/>
          <w:szCs w:val="20"/>
          <w:color w:val="auto"/>
        </w:rPr>
      </w:pPr>
    </w:p>
    <w:p>
      <w:pPr>
        <w:ind w:right="3239"/>
        <w:spacing w:after="0" w:line="264" w:lineRule="auto"/>
        <w:rPr>
          <w:sz w:val="20"/>
          <w:szCs w:val="20"/>
          <w:color w:val="auto"/>
        </w:rPr>
      </w:pPr>
      <w:r>
        <w:rPr>
          <w:rFonts w:ascii="Courier New" w:cs="Courier New" w:eastAsia="Courier New" w:hAnsi="Courier New"/>
          <w:sz w:val="15"/>
          <w:szCs w:val="15"/>
          <w:color w:val="auto"/>
        </w:rPr>
        <w:t>Interest expense of $3.4 million for the quarter was $0.2 million, or 5.6%, less than the $3.6 million the same period last year. Year to date interest expense decreased $1.7 million to $8.5 million from the $10.2 million reported a year ago. These decreases are principally because of the reduction in long-term debt.</w:t>
      </w:r>
    </w:p>
    <w:p>
      <w:pPr>
        <w:spacing w:after="0" w:line="75" w:lineRule="exact"/>
        <w:rPr>
          <w:sz w:val="20"/>
          <w:szCs w:val="20"/>
          <w:color w:val="auto"/>
        </w:rPr>
      </w:pPr>
    </w:p>
    <w:p>
      <w:pPr>
        <w:ind w:right="3239"/>
        <w:spacing w:after="0" w:line="248" w:lineRule="auto"/>
        <w:rPr>
          <w:sz w:val="20"/>
          <w:szCs w:val="20"/>
          <w:color w:val="auto"/>
        </w:rPr>
      </w:pPr>
      <w:r>
        <w:rPr>
          <w:rFonts w:ascii="Courier New" w:cs="Courier New" w:eastAsia="Courier New" w:hAnsi="Courier New"/>
          <w:sz w:val="15"/>
          <w:szCs w:val="15"/>
          <w:color w:val="auto"/>
        </w:rPr>
        <w:t>Other income, net decreased $1.2 million to $1.6 million from $2.8 million from the third quarter last year. Excluding the effect of a patent infringement lawsuit settlement and the sale of the portable heater business in the third quarter last year, other income, net would have increased $1.8 million because of income resulting from joint venture activity and foreign currency exchange gains. Year to date other income, net of $6.3 million is $0.6 million lower than the $6.9 million reported a year ago. Excluding the effect of two lawsuit settlements and the sale of the portable heater business in the prior year, other income, net would have increased $4.4 million because of increased finance revenue, foreign currency exchange gains and income resulting from joint venture activity.</w:t>
      </w:r>
    </w:p>
    <w:p>
      <w:pPr>
        <w:spacing w:after="0" w:line="25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598" w:right="1440" w:bottom="1440" w:gutter="0" w:footer="0" w:header="0"/>
        </w:sectPr>
      </w:pPr>
    </w:p>
    <w:bookmarkStart w:id="8" w:name="page9"/>
    <w:bookmarkEnd w:id="8"/>
    <w:p>
      <w:pPr>
        <w:ind w:left="2380"/>
        <w:spacing w:after="0"/>
        <w:tabs>
          <w:tab w:leader="none" w:pos="3220" w:val="left"/>
        </w:tabs>
        <w:rPr>
          <w:sz w:val="20"/>
          <w:szCs w:val="20"/>
          <w:color w:val="auto"/>
        </w:rPr>
      </w:pPr>
      <w:r>
        <w:rPr>
          <w:rFonts w:ascii="Courier New" w:cs="Courier New" w:eastAsia="Courier New" w:hAnsi="Courier New"/>
          <w:sz w:val="15"/>
          <w:szCs w:val="15"/>
          <w:color w:val="auto"/>
        </w:rPr>
        <w:t>PART II.</w:t>
      </w:r>
      <w:r>
        <w:rPr>
          <w:sz w:val="20"/>
          <w:szCs w:val="20"/>
          <w:color w:val="auto"/>
        </w:rPr>
        <w:tab/>
      </w:r>
      <w:r>
        <w:rPr>
          <w:rFonts w:ascii="Courier New" w:cs="Courier New" w:eastAsia="Courier New" w:hAnsi="Courier New"/>
          <w:sz w:val="14"/>
          <w:szCs w:val="14"/>
          <w:color w:val="auto"/>
        </w:rPr>
        <w:t>OTHER INFORMATION</w:t>
      </w:r>
    </w:p>
    <w:p>
      <w:pPr>
        <w:spacing w:after="0" w:line="335"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Exhibits and Reports on Form 8-K</w:t>
      </w:r>
    </w:p>
    <w:p>
      <w:pPr>
        <w:spacing w:after="0" w:line="166" w:lineRule="exact"/>
        <w:rPr>
          <w:sz w:val="20"/>
          <w:szCs w:val="20"/>
          <w:color w:val="auto"/>
        </w:rPr>
      </w:pPr>
    </w:p>
    <w:p>
      <w:pPr>
        <w:ind w:left="700" w:hanging="428"/>
        <w:spacing w:after="0"/>
        <w:tabs>
          <w:tab w:leader="none" w:pos="7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 11  Computation of Earnings per Common Share</w:t>
      </w:r>
    </w:p>
    <w:p>
      <w:pPr>
        <w:spacing w:after="0" w:line="166" w:lineRule="exact"/>
        <w:rPr>
          <w:rFonts w:ascii="Courier New" w:cs="Courier New" w:eastAsia="Courier New" w:hAnsi="Courier New"/>
          <w:sz w:val="15"/>
          <w:szCs w:val="15"/>
          <w:color w:val="auto"/>
        </w:rPr>
      </w:pPr>
    </w:p>
    <w:p>
      <w:pPr>
        <w:ind w:left="700" w:hanging="428"/>
        <w:spacing w:after="0"/>
        <w:tabs>
          <w:tab w:leader="none" w:pos="7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 27  Financial Data Schedule</w:t>
      </w:r>
    </w:p>
    <w:p>
      <w:pPr>
        <w:spacing w:after="0" w:line="166" w:lineRule="exact"/>
        <w:rPr>
          <w:rFonts w:ascii="Courier New" w:cs="Courier New" w:eastAsia="Courier New" w:hAnsi="Courier New"/>
          <w:sz w:val="15"/>
          <w:szCs w:val="15"/>
          <w:color w:val="auto"/>
        </w:rPr>
      </w:pPr>
    </w:p>
    <w:p>
      <w:pPr>
        <w:ind w:left="7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Summarized financial data; electronic filing only</w:t>
      </w:r>
    </w:p>
    <w:p>
      <w:pPr>
        <w:spacing w:after="0" w:line="166" w:lineRule="exact"/>
        <w:rPr>
          <w:rFonts w:ascii="Courier New" w:cs="Courier New" w:eastAsia="Courier New" w:hAnsi="Courier New"/>
          <w:sz w:val="15"/>
          <w:szCs w:val="15"/>
          <w:color w:val="auto"/>
        </w:rPr>
      </w:pPr>
    </w:p>
    <w:p>
      <w:pPr>
        <w:ind w:left="700" w:hanging="428"/>
        <w:spacing w:after="0"/>
        <w:tabs>
          <w:tab w:leader="none" w:pos="7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66" w:lineRule="exact"/>
        <w:rPr>
          <w:rFonts w:ascii="Courier New" w:cs="Courier New" w:eastAsia="Courier New" w:hAnsi="Courier New"/>
          <w:sz w:val="15"/>
          <w:szCs w:val="15"/>
          <w:color w:val="auto"/>
        </w:rPr>
      </w:pPr>
    </w:p>
    <w:p>
      <w:pPr>
        <w:ind w:left="700" w:right="3399"/>
        <w:spacing w:after="0" w:line="3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did not file any Form 8-K reports during the third quarter of fiscal 1995.</w:t>
      </w:r>
    </w:p>
    <w:p>
      <w:pPr>
        <w:spacing w:after="0" w:line="18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SIGNATURES</w:t>
      </w:r>
    </w:p>
    <w:p>
      <w:pPr>
        <w:spacing w:after="0" w:line="166" w:lineRule="exact"/>
        <w:rPr>
          <w:sz w:val="20"/>
          <w:szCs w:val="20"/>
          <w:color w:val="auto"/>
        </w:rPr>
      </w:pPr>
    </w:p>
    <w:p>
      <w:pPr>
        <w:jc w:val="both"/>
        <w:ind w:left="280" w:right="3679"/>
        <w:spacing w:after="0" w:line="290"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225"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TORO COMPANY</w:t>
      </w:r>
    </w:p>
    <w:p>
      <w:pPr>
        <w:spacing w:after="0" w:line="24"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(Registrant)</w:t>
      </w:r>
    </w:p>
    <w:p>
      <w:pPr>
        <w:spacing w:after="0" w:line="140"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By /s/ Gerald T. Knight</w:t>
      </w:r>
    </w:p>
    <w:p>
      <w:pPr>
        <w:spacing w:after="0" w:line="23"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ind w:left="2460"/>
        <w:spacing w:after="0" w:line="237" w:lineRule="auto"/>
        <w:rPr>
          <w:sz w:val="20"/>
          <w:szCs w:val="20"/>
          <w:color w:val="auto"/>
        </w:rPr>
      </w:pPr>
      <w:r>
        <w:rPr>
          <w:rFonts w:ascii="Courier New" w:cs="Courier New" w:eastAsia="Courier New" w:hAnsi="Courier New"/>
          <w:sz w:val="15"/>
          <w:szCs w:val="15"/>
          <w:color w:val="auto"/>
        </w:rPr>
        <w:t>Gerald T. Knight</w:t>
      </w:r>
    </w:p>
    <w:p>
      <w:pPr>
        <w:ind w:left="2460"/>
        <w:spacing w:after="0" w:line="238" w:lineRule="auto"/>
        <w:rPr>
          <w:sz w:val="20"/>
          <w:szCs w:val="20"/>
          <w:color w:val="auto"/>
        </w:rPr>
      </w:pPr>
      <w:r>
        <w:rPr>
          <w:rFonts w:ascii="Courier New" w:cs="Courier New" w:eastAsia="Courier New" w:hAnsi="Courier New"/>
          <w:sz w:val="15"/>
          <w:szCs w:val="15"/>
          <w:color w:val="auto"/>
        </w:rPr>
        <w:t>Vice President, Finance</w:t>
      </w:r>
    </w:p>
    <w:p>
      <w:pPr>
        <w:ind w:left="2460"/>
        <w:spacing w:after="0" w:line="237" w:lineRule="auto"/>
        <w:rPr>
          <w:sz w:val="20"/>
          <w:szCs w:val="20"/>
          <w:color w:val="auto"/>
        </w:rPr>
      </w:pPr>
      <w:r>
        <w:rPr>
          <w:rFonts w:ascii="Courier New" w:cs="Courier New" w:eastAsia="Courier New" w:hAnsi="Courier New"/>
          <w:sz w:val="15"/>
          <w:szCs w:val="15"/>
          <w:color w:val="auto"/>
        </w:rPr>
        <w:t>Chief Financial Officer</w:t>
      </w:r>
    </w:p>
    <w:p>
      <w:pPr>
        <w:spacing w:after="0" w:line="1"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(principal financial officer)</w:t>
      </w:r>
    </w:p>
    <w:p>
      <w:pPr>
        <w:spacing w:after="0" w:line="309"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Date:</w:t>
        <w:tab/>
        <w:t>June 09, 1995</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598" w:right="1440" w:bottom="1440" w:gutter="0" w:footer="0" w:header="0"/>
        </w:sectPr>
      </w:pPr>
    </w:p>
    <w:bookmarkStart w:id="9" w:name="page10"/>
    <w:bookmarkEnd w:id="9"/>
    <w:p>
      <w:pPr>
        <w:ind w:left="5860"/>
        <w:spacing w:after="0"/>
        <w:rPr>
          <w:sz w:val="20"/>
          <w:szCs w:val="20"/>
          <w:color w:val="auto"/>
        </w:rPr>
      </w:pPr>
      <w:r>
        <w:rPr>
          <w:rFonts w:ascii="Courier New" w:cs="Courier New" w:eastAsia="Courier New" w:hAnsi="Courier New"/>
          <w:sz w:val="15"/>
          <w:szCs w:val="15"/>
          <w:color w:val="auto"/>
        </w:rPr>
        <w:t>Exhibit 11</w:t>
      </w:r>
    </w:p>
    <w:p>
      <w:pPr>
        <w:spacing w:after="0" w:line="335" w:lineRule="exact"/>
        <w:rPr>
          <w:sz w:val="20"/>
          <w:szCs w:val="20"/>
          <w:color w:val="auto"/>
        </w:rPr>
      </w:pPr>
    </w:p>
    <w:p>
      <w:pPr>
        <w:jc w:val="center"/>
        <w:ind w:right="4440"/>
        <w:spacing w:after="0"/>
        <w:rPr>
          <w:sz w:val="20"/>
          <w:szCs w:val="20"/>
          <w:color w:val="auto"/>
        </w:rPr>
      </w:pPr>
      <w:r>
        <w:rPr>
          <w:rFonts w:ascii="Courier New" w:cs="Courier New" w:eastAsia="Courier New" w:hAnsi="Courier New"/>
          <w:sz w:val="15"/>
          <w:szCs w:val="15"/>
          <w:color w:val="auto"/>
        </w:rPr>
        <w:t>THE TORO COMPANY AND SUBSIDIARIES</w:t>
      </w:r>
    </w:p>
    <w:p>
      <w:pPr>
        <w:spacing w:after="0" w:line="23"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COMPUTATION OF EARNINGS PER COMMON SHARE (UNAUDITED)</w:t>
      </w:r>
    </w:p>
    <w:p>
      <w:pPr>
        <w:ind w:left="1580"/>
        <w:spacing w:after="0"/>
        <w:rPr>
          <w:sz w:val="20"/>
          <w:szCs w:val="20"/>
          <w:color w:val="auto"/>
        </w:rPr>
      </w:pPr>
      <w:r>
        <w:rPr>
          <w:rFonts w:ascii="Courier New" w:cs="Courier New" w:eastAsia="Courier New" w:hAnsi="Courier New"/>
          <w:sz w:val="15"/>
          <w:szCs w:val="15"/>
          <w:color w:val="auto"/>
        </w:rPr>
        <w:t>(DOLLARS IN THOUSANDS, EXCEPT PER-SHARE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8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Three Months Ended</w:t>
            </w:r>
          </w:p>
        </w:tc>
        <w:tc>
          <w:tcPr>
            <w:tcW w:w="220" w:type="dxa"/>
            <w:vAlign w:val="bottom"/>
          </w:tcPr>
          <w:p>
            <w:pPr>
              <w:spacing w:after="0"/>
              <w:rPr>
                <w:sz w:val="14"/>
                <w:szCs w:val="14"/>
                <w:color w:val="auto"/>
              </w:rPr>
            </w:pPr>
          </w:p>
        </w:tc>
        <w:tc>
          <w:tcPr>
            <w:tcW w:w="2320" w:type="dxa"/>
            <w:vAlign w:val="bottom"/>
            <w:gridSpan w:val="3"/>
          </w:tcPr>
          <w:p>
            <w:pPr>
              <w:jc w:val="right"/>
              <w:ind w:right="467"/>
              <w:spacing w:after="0"/>
              <w:rPr>
                <w:sz w:val="20"/>
                <w:szCs w:val="20"/>
                <w:color w:val="auto"/>
              </w:rPr>
            </w:pPr>
            <w:r>
              <w:rPr>
                <w:rFonts w:ascii="Courier New" w:cs="Courier New" w:eastAsia="Courier New" w:hAnsi="Courier New"/>
                <w:sz w:val="15"/>
                <w:szCs w:val="15"/>
                <w:color w:val="auto"/>
              </w:rPr>
              <w:t>Nine Months Ended</w:t>
            </w:r>
          </w:p>
        </w:tc>
        <w:tc>
          <w:tcPr>
            <w:tcW w:w="0" w:type="dxa"/>
            <w:vAlign w:val="bottom"/>
          </w:tcPr>
          <w:p>
            <w:pPr>
              <w:spacing w:after="0"/>
              <w:rPr>
                <w:sz w:val="1"/>
                <w:szCs w:val="1"/>
                <w:color w:val="auto"/>
              </w:rPr>
            </w:pPr>
          </w:p>
        </w:tc>
      </w:tr>
      <w:tr>
        <w:trPr>
          <w:trHeight w:val="168"/>
        </w:trPr>
        <w:tc>
          <w:tcPr>
            <w:tcW w:w="4420" w:type="dxa"/>
            <w:vAlign w:val="bottom"/>
          </w:tcPr>
          <w:p>
            <w:pPr>
              <w:spacing w:after="0"/>
              <w:rPr>
                <w:sz w:val="14"/>
                <w:szCs w:val="14"/>
                <w:color w:val="auto"/>
              </w:rPr>
            </w:pPr>
          </w:p>
        </w:tc>
        <w:tc>
          <w:tcPr>
            <w:tcW w:w="400" w:type="dxa"/>
            <w:vAlign w:val="bottom"/>
          </w:tcPr>
          <w:p>
            <w:pPr>
              <w:ind w:left="140"/>
              <w:spacing w:after="0"/>
              <w:rPr>
                <w:sz w:val="20"/>
                <w:szCs w:val="20"/>
                <w:color w:val="auto"/>
              </w:rPr>
            </w:pPr>
            <w:r>
              <w:rPr>
                <w:rFonts w:ascii="Courier New" w:cs="Courier New" w:eastAsia="Courier New" w:hAnsi="Courier New"/>
                <w:sz w:val="2"/>
                <w:szCs w:val="2"/>
                <w:color w:val="auto"/>
                <w:w w:val="71"/>
              </w:rPr>
              <w:t>----------------------------</w:t>
            </w:r>
          </w:p>
        </w:tc>
        <w:tc>
          <w:tcPr>
            <w:tcW w:w="9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w w:val="93"/>
              </w:rPr>
              <w:t>April 28,</w:t>
            </w:r>
          </w:p>
        </w:tc>
        <w:tc>
          <w:tcPr>
            <w:tcW w:w="220" w:type="dxa"/>
            <w:vAlign w:val="bottom"/>
          </w:tcPr>
          <w:p>
            <w:pPr>
              <w:spacing w:after="0"/>
              <w:rPr>
                <w:sz w:val="14"/>
                <w:szCs w:val="14"/>
                <w:color w:val="auto"/>
              </w:rPr>
            </w:pPr>
          </w:p>
        </w:tc>
        <w:tc>
          <w:tcPr>
            <w:tcW w:w="110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April 29,</w:t>
            </w:r>
          </w:p>
        </w:tc>
        <w:tc>
          <w:tcPr>
            <w:tcW w:w="25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68"/>
        </w:trPr>
        <w:tc>
          <w:tcPr>
            <w:tcW w:w="4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April 28,</w:t>
            </w:r>
          </w:p>
        </w:tc>
        <w:tc>
          <w:tcPr>
            <w:tcW w:w="22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April 29,</w:t>
            </w:r>
          </w:p>
        </w:tc>
        <w:tc>
          <w:tcPr>
            <w:tcW w:w="0" w:type="dxa"/>
            <w:vAlign w:val="bottom"/>
          </w:tcPr>
          <w:p>
            <w:pPr>
              <w:spacing w:after="0"/>
              <w:rPr>
                <w:sz w:val="1"/>
                <w:szCs w:val="1"/>
                <w:color w:val="auto"/>
              </w:rPr>
            </w:pPr>
          </w:p>
        </w:tc>
      </w:tr>
      <w:tr>
        <w:trPr>
          <w:trHeight w:val="168"/>
        </w:trPr>
        <w:tc>
          <w:tcPr>
            <w:tcW w:w="4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1995</w:t>
            </w:r>
          </w:p>
        </w:tc>
        <w:tc>
          <w:tcPr>
            <w:tcW w:w="220" w:type="dxa"/>
            <w:vAlign w:val="bottom"/>
          </w:tcPr>
          <w:p>
            <w:pPr>
              <w:spacing w:after="0"/>
              <w:rPr>
                <w:sz w:val="14"/>
                <w:szCs w:val="14"/>
                <w:color w:val="auto"/>
              </w:rPr>
            </w:pPr>
          </w:p>
        </w:tc>
        <w:tc>
          <w:tcPr>
            <w:tcW w:w="11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1994</w:t>
            </w:r>
          </w:p>
        </w:tc>
        <w:tc>
          <w:tcPr>
            <w:tcW w:w="220" w:type="dxa"/>
            <w:vAlign w:val="bottom"/>
          </w:tcPr>
          <w:p>
            <w:pPr>
              <w:spacing w:after="0"/>
              <w:rPr>
                <w:sz w:val="14"/>
                <w:szCs w:val="14"/>
                <w:color w:val="auto"/>
              </w:rPr>
            </w:pPr>
          </w:p>
        </w:tc>
        <w:tc>
          <w:tcPr>
            <w:tcW w:w="10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1995</w:t>
            </w:r>
          </w:p>
        </w:tc>
        <w:tc>
          <w:tcPr>
            <w:tcW w:w="220" w:type="dxa"/>
            <w:vAlign w:val="bottom"/>
          </w:tcPr>
          <w:p>
            <w:pPr>
              <w:spacing w:after="0"/>
              <w:rPr>
                <w:sz w:val="14"/>
                <w:szCs w:val="14"/>
                <w:color w:val="auto"/>
              </w:rPr>
            </w:pPr>
          </w:p>
        </w:tc>
        <w:tc>
          <w:tcPr>
            <w:tcW w:w="10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1994</w:t>
            </w:r>
          </w:p>
        </w:tc>
        <w:tc>
          <w:tcPr>
            <w:tcW w:w="0" w:type="dxa"/>
            <w:vAlign w:val="bottom"/>
          </w:tcPr>
          <w:p>
            <w:pPr>
              <w:spacing w:after="0"/>
              <w:rPr>
                <w:sz w:val="1"/>
                <w:szCs w:val="1"/>
                <w:color w:val="auto"/>
              </w:rPr>
            </w:pPr>
          </w:p>
        </w:tc>
      </w:tr>
      <w:tr>
        <w:trPr>
          <w:trHeight w:val="245"/>
        </w:trPr>
        <w:tc>
          <w:tcPr>
            <w:tcW w:w="4420" w:type="dxa"/>
            <w:vAlign w:val="bottom"/>
          </w:tcPr>
          <w:p>
            <w:pPr>
              <w:spacing w:after="0"/>
              <w:rPr>
                <w:sz w:val="21"/>
                <w:szCs w:val="21"/>
                <w:color w:val="auto"/>
              </w:rPr>
            </w:pPr>
          </w:p>
        </w:tc>
        <w:tc>
          <w:tcPr>
            <w:tcW w:w="13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4420" w:type="dxa"/>
            <w:vAlign w:val="bottom"/>
          </w:tcPr>
          <w:p>
            <w:pPr>
              <w:spacing w:after="0"/>
              <w:rPr>
                <w:sz w:val="20"/>
                <w:szCs w:val="20"/>
                <w:color w:val="auto"/>
              </w:rPr>
            </w:pPr>
            <w:r>
              <w:rPr>
                <w:rFonts w:ascii="Courier New" w:cs="Courier New" w:eastAsia="Courier New" w:hAnsi="Courier New"/>
                <w:sz w:val="15"/>
                <w:szCs w:val="15"/>
                <w:color w:val="auto"/>
                <w:w w:val="99"/>
              </w:rPr>
              <w:t>Net earnings ....................................</w:t>
            </w:r>
          </w:p>
        </w:tc>
        <w:tc>
          <w:tcPr>
            <w:tcW w:w="4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17,539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15,637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32,640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18,219</w:t>
            </w:r>
          </w:p>
        </w:tc>
        <w:tc>
          <w:tcPr>
            <w:tcW w:w="0" w:type="dxa"/>
            <w:vAlign w:val="bottom"/>
          </w:tcPr>
          <w:p>
            <w:pPr>
              <w:spacing w:after="0"/>
              <w:rPr>
                <w:sz w:val="1"/>
                <w:szCs w:val="1"/>
                <w:color w:val="auto"/>
              </w:rPr>
            </w:pPr>
          </w:p>
        </w:tc>
      </w:tr>
      <w:tr>
        <w:trPr>
          <w:trHeight w:val="168"/>
        </w:trPr>
        <w:tc>
          <w:tcPr>
            <w:tcW w:w="4420" w:type="dxa"/>
            <w:vAlign w:val="bottom"/>
          </w:tcPr>
          <w:p>
            <w:pPr>
              <w:spacing w:after="0"/>
              <w:rPr>
                <w:sz w:val="14"/>
                <w:szCs w:val="14"/>
                <w:color w:val="auto"/>
              </w:rPr>
            </w:pP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4420" w:type="dxa"/>
            <w:vAlign w:val="bottom"/>
          </w:tcPr>
          <w:p>
            <w:pPr>
              <w:spacing w:after="0"/>
              <w:rPr>
                <w:sz w:val="21"/>
                <w:szCs w:val="21"/>
                <w:color w:val="auto"/>
              </w:rPr>
            </w:pPr>
          </w:p>
        </w:tc>
        <w:tc>
          <w:tcPr>
            <w:tcW w:w="13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427"/>
        </w:trPr>
        <w:tc>
          <w:tcPr>
            <w:tcW w:w="4420" w:type="dxa"/>
            <w:vAlign w:val="bottom"/>
          </w:tcPr>
          <w:p>
            <w:pPr>
              <w:spacing w:after="0"/>
              <w:rPr>
                <w:sz w:val="20"/>
                <w:szCs w:val="20"/>
                <w:color w:val="auto"/>
              </w:rPr>
            </w:pPr>
            <w:r>
              <w:rPr>
                <w:rFonts w:ascii="Courier New" w:cs="Courier New" w:eastAsia="Courier New" w:hAnsi="Courier New"/>
                <w:sz w:val="15"/>
                <w:szCs w:val="15"/>
                <w:color w:val="auto"/>
              </w:rPr>
              <w:t>Primary:</w:t>
            </w: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44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Shares of common stock and common</w:t>
            </w: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4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stock equivalents:</w:t>
            </w: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4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Weighted average number of common</w:t>
            </w:r>
          </w:p>
        </w:tc>
        <w:tc>
          <w:tcPr>
            <w:tcW w:w="400" w:type="dxa"/>
            <w:vAlign w:val="bottom"/>
          </w:tcPr>
          <w:p>
            <w:pPr>
              <w:spacing w:after="0"/>
              <w:rPr>
                <w:sz w:val="14"/>
                <w:szCs w:val="14"/>
                <w:color w:val="auto"/>
              </w:rPr>
            </w:pPr>
          </w:p>
        </w:tc>
        <w:tc>
          <w:tcPr>
            <w:tcW w:w="9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95"/>
              </w:rPr>
              <w:t>12,770,376</w:t>
            </w:r>
          </w:p>
        </w:tc>
        <w:tc>
          <w:tcPr>
            <w:tcW w:w="220" w:type="dxa"/>
            <w:vAlign w:val="bottom"/>
          </w:tcPr>
          <w:p>
            <w:pPr>
              <w:spacing w:after="0"/>
              <w:rPr>
                <w:sz w:val="14"/>
                <w:szCs w:val="14"/>
                <w:color w:val="auto"/>
              </w:rPr>
            </w:pPr>
          </w:p>
        </w:tc>
        <w:tc>
          <w:tcPr>
            <w:tcW w:w="11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12,564,692</w:t>
            </w:r>
          </w:p>
        </w:tc>
        <w:tc>
          <w:tcPr>
            <w:tcW w:w="220" w:type="dxa"/>
            <w:vAlign w:val="bottom"/>
          </w:tcPr>
          <w:p>
            <w:pPr>
              <w:spacing w:after="0"/>
              <w:rPr>
                <w:sz w:val="14"/>
                <w:szCs w:val="14"/>
                <w:color w:val="auto"/>
              </w:rPr>
            </w:pPr>
          </w:p>
        </w:tc>
        <w:tc>
          <w:tcPr>
            <w:tcW w:w="10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12,654,868</w:t>
            </w:r>
          </w:p>
        </w:tc>
        <w:tc>
          <w:tcPr>
            <w:tcW w:w="22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12,434,277</w:t>
            </w:r>
          </w:p>
        </w:tc>
        <w:tc>
          <w:tcPr>
            <w:tcW w:w="0" w:type="dxa"/>
            <w:vAlign w:val="bottom"/>
          </w:tcPr>
          <w:p>
            <w:pPr>
              <w:spacing w:after="0"/>
              <w:rPr>
                <w:sz w:val="1"/>
                <w:szCs w:val="1"/>
                <w:color w:val="auto"/>
              </w:rPr>
            </w:pPr>
          </w:p>
        </w:tc>
      </w:tr>
      <w:tr>
        <w:trPr>
          <w:trHeight w:val="168"/>
        </w:trPr>
        <w:tc>
          <w:tcPr>
            <w:tcW w:w="44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shares outstanding ....................</w:t>
            </w:r>
          </w:p>
        </w:tc>
        <w:tc>
          <w:tcPr>
            <w:tcW w:w="4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4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Dilutive effect of outstanding</w:t>
            </w:r>
          </w:p>
        </w:tc>
        <w:tc>
          <w:tcPr>
            <w:tcW w:w="400" w:type="dxa"/>
            <w:vAlign w:val="bottom"/>
          </w:tcPr>
          <w:p>
            <w:pPr>
              <w:spacing w:after="0"/>
              <w:rPr>
                <w:sz w:val="14"/>
                <w:szCs w:val="14"/>
                <w:color w:val="auto"/>
              </w:rPr>
            </w:pPr>
          </w:p>
        </w:tc>
        <w:tc>
          <w:tcPr>
            <w:tcW w:w="9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504,457</w:t>
            </w:r>
          </w:p>
        </w:tc>
        <w:tc>
          <w:tcPr>
            <w:tcW w:w="220" w:type="dxa"/>
            <w:vAlign w:val="bottom"/>
          </w:tcPr>
          <w:p>
            <w:pPr>
              <w:spacing w:after="0"/>
              <w:rPr>
                <w:sz w:val="14"/>
                <w:szCs w:val="14"/>
                <w:color w:val="auto"/>
              </w:rPr>
            </w:pPr>
          </w:p>
        </w:tc>
        <w:tc>
          <w:tcPr>
            <w:tcW w:w="11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544,903</w:t>
            </w:r>
          </w:p>
        </w:tc>
        <w:tc>
          <w:tcPr>
            <w:tcW w:w="220" w:type="dxa"/>
            <w:vAlign w:val="bottom"/>
          </w:tcPr>
          <w:p>
            <w:pPr>
              <w:spacing w:after="0"/>
              <w:rPr>
                <w:sz w:val="14"/>
                <w:szCs w:val="14"/>
                <w:color w:val="auto"/>
              </w:rPr>
            </w:pPr>
          </w:p>
        </w:tc>
        <w:tc>
          <w:tcPr>
            <w:tcW w:w="10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487,789</w:t>
            </w:r>
          </w:p>
        </w:tc>
        <w:tc>
          <w:tcPr>
            <w:tcW w:w="22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543,553</w:t>
            </w:r>
          </w:p>
        </w:tc>
        <w:tc>
          <w:tcPr>
            <w:tcW w:w="0" w:type="dxa"/>
            <w:vAlign w:val="bottom"/>
          </w:tcPr>
          <w:p>
            <w:pPr>
              <w:spacing w:after="0"/>
              <w:rPr>
                <w:sz w:val="1"/>
                <w:szCs w:val="1"/>
                <w:color w:val="auto"/>
              </w:rPr>
            </w:pPr>
          </w:p>
        </w:tc>
      </w:tr>
      <w:tr>
        <w:trPr>
          <w:trHeight w:val="168"/>
        </w:trPr>
        <w:tc>
          <w:tcPr>
            <w:tcW w:w="44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stock options (1) .....................</w:t>
            </w:r>
          </w:p>
        </w:tc>
        <w:tc>
          <w:tcPr>
            <w:tcW w:w="4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420" w:type="dxa"/>
            <w:vAlign w:val="bottom"/>
          </w:tcPr>
          <w:p>
            <w:pPr>
              <w:spacing w:after="0"/>
              <w:rPr>
                <w:sz w:val="14"/>
                <w:szCs w:val="14"/>
                <w:color w:val="auto"/>
              </w:rPr>
            </w:pPr>
          </w:p>
        </w:tc>
        <w:tc>
          <w:tcPr>
            <w:tcW w:w="400" w:type="dxa"/>
            <w:vAlign w:val="bottom"/>
          </w:tcPr>
          <w:p>
            <w:pPr>
              <w:ind w:left="140"/>
              <w:spacing w:after="0"/>
              <w:rPr>
                <w:sz w:val="20"/>
                <w:szCs w:val="20"/>
                <w:color w:val="auto"/>
              </w:rPr>
            </w:pPr>
            <w:r>
              <w:rPr>
                <w:rFonts w:ascii="Courier New" w:cs="Courier New" w:eastAsia="Courier New" w:hAnsi="Courier New"/>
                <w:sz w:val="4"/>
                <w:szCs w:val="4"/>
                <w:color w:val="auto"/>
                <w:w w:val="76"/>
              </w:rPr>
              <w:t>-------------</w:t>
            </w:r>
          </w:p>
        </w:tc>
        <w:tc>
          <w:tcPr>
            <w:tcW w:w="9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95"/>
              </w:rPr>
              <w:t>13,274,833</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13,109,595</w:t>
            </w:r>
          </w:p>
        </w:tc>
        <w:tc>
          <w:tcPr>
            <w:tcW w:w="220" w:type="dxa"/>
            <w:vAlign w:val="bottom"/>
          </w:tcPr>
          <w:p>
            <w:pPr>
              <w:spacing w:after="0"/>
              <w:rPr>
                <w:sz w:val="14"/>
                <w:szCs w:val="14"/>
                <w:color w:val="auto"/>
              </w:rPr>
            </w:pP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13,142,657</w:t>
            </w:r>
          </w:p>
        </w:tc>
        <w:tc>
          <w:tcPr>
            <w:tcW w:w="22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12,977,830</w:t>
            </w:r>
          </w:p>
        </w:tc>
        <w:tc>
          <w:tcPr>
            <w:tcW w:w="0" w:type="dxa"/>
            <w:vAlign w:val="bottom"/>
          </w:tcPr>
          <w:p>
            <w:pPr>
              <w:spacing w:after="0"/>
              <w:rPr>
                <w:sz w:val="1"/>
                <w:szCs w:val="1"/>
                <w:color w:val="auto"/>
              </w:rPr>
            </w:pPr>
          </w:p>
        </w:tc>
      </w:tr>
      <w:tr>
        <w:trPr>
          <w:trHeight w:val="245"/>
        </w:trPr>
        <w:tc>
          <w:tcPr>
            <w:tcW w:w="4420" w:type="dxa"/>
            <w:vAlign w:val="bottom"/>
          </w:tcPr>
          <w:p>
            <w:pPr>
              <w:spacing w:after="0"/>
              <w:rPr>
                <w:sz w:val="21"/>
                <w:szCs w:val="21"/>
                <w:color w:val="auto"/>
              </w:rPr>
            </w:pPr>
          </w:p>
        </w:tc>
        <w:tc>
          <w:tcPr>
            <w:tcW w:w="13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4420" w:type="dxa"/>
            <w:vAlign w:val="bottom"/>
          </w:tcPr>
          <w:p>
            <w:pPr>
              <w:ind w:left="700"/>
              <w:spacing w:after="0"/>
              <w:rPr>
                <w:sz w:val="20"/>
                <w:szCs w:val="20"/>
                <w:color w:val="auto"/>
              </w:rPr>
            </w:pPr>
            <w:r>
              <w:rPr>
                <w:rFonts w:ascii="Courier New" w:cs="Courier New" w:eastAsia="Courier New" w:hAnsi="Courier New"/>
                <w:sz w:val="15"/>
                <w:szCs w:val="15"/>
                <w:color w:val="auto"/>
              </w:rPr>
              <w:t>Net earnings per share of common stock</w:t>
            </w:r>
          </w:p>
        </w:tc>
        <w:tc>
          <w:tcPr>
            <w:tcW w:w="40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1.32</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1.19</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2.48</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1.40</w:t>
            </w:r>
          </w:p>
        </w:tc>
        <w:tc>
          <w:tcPr>
            <w:tcW w:w="0" w:type="dxa"/>
            <w:vAlign w:val="bottom"/>
          </w:tcPr>
          <w:p>
            <w:pPr>
              <w:spacing w:after="0"/>
              <w:rPr>
                <w:sz w:val="1"/>
                <w:szCs w:val="1"/>
                <w:color w:val="auto"/>
              </w:rPr>
            </w:pPr>
          </w:p>
        </w:tc>
      </w:tr>
      <w:tr>
        <w:trPr>
          <w:trHeight w:val="168"/>
        </w:trPr>
        <w:tc>
          <w:tcPr>
            <w:tcW w:w="44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and common stock equivalent ...........</w:t>
            </w:r>
          </w:p>
        </w:tc>
        <w:tc>
          <w:tcPr>
            <w:tcW w:w="40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420" w:type="dxa"/>
            <w:vAlign w:val="bottom"/>
          </w:tcPr>
          <w:p>
            <w:pPr>
              <w:spacing w:after="0"/>
              <w:rPr>
                <w:sz w:val="14"/>
                <w:szCs w:val="14"/>
                <w:color w:val="auto"/>
              </w:rPr>
            </w:pP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4420" w:type="dxa"/>
            <w:vAlign w:val="bottom"/>
          </w:tcPr>
          <w:p>
            <w:pPr>
              <w:spacing w:after="0"/>
              <w:rPr>
                <w:sz w:val="21"/>
                <w:szCs w:val="21"/>
                <w:color w:val="auto"/>
              </w:rPr>
            </w:pPr>
          </w:p>
        </w:tc>
        <w:tc>
          <w:tcPr>
            <w:tcW w:w="13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596"/>
        </w:trPr>
        <w:tc>
          <w:tcPr>
            <w:tcW w:w="4420" w:type="dxa"/>
            <w:vAlign w:val="bottom"/>
          </w:tcPr>
          <w:p>
            <w:pPr>
              <w:spacing w:after="0"/>
              <w:rPr>
                <w:sz w:val="20"/>
                <w:szCs w:val="20"/>
                <w:color w:val="auto"/>
              </w:rPr>
            </w:pPr>
            <w:r>
              <w:rPr>
                <w:rFonts w:ascii="Courier New" w:cs="Courier New" w:eastAsia="Courier New" w:hAnsi="Courier New"/>
                <w:sz w:val="15"/>
                <w:szCs w:val="15"/>
                <w:color w:val="auto"/>
              </w:rPr>
              <w:t>Fully Diluted:</w:t>
            </w: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44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Shares of common stock and common</w:t>
            </w: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4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stock equivalents:</w:t>
            </w: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4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Weighted average number of common</w:t>
            </w:r>
          </w:p>
        </w:tc>
        <w:tc>
          <w:tcPr>
            <w:tcW w:w="400" w:type="dxa"/>
            <w:vAlign w:val="bottom"/>
          </w:tcPr>
          <w:p>
            <w:pPr>
              <w:spacing w:after="0"/>
              <w:rPr>
                <w:sz w:val="14"/>
                <w:szCs w:val="14"/>
                <w:color w:val="auto"/>
              </w:rPr>
            </w:pPr>
          </w:p>
        </w:tc>
        <w:tc>
          <w:tcPr>
            <w:tcW w:w="9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95"/>
              </w:rPr>
              <w:t>12,770,376</w:t>
            </w:r>
          </w:p>
        </w:tc>
        <w:tc>
          <w:tcPr>
            <w:tcW w:w="220" w:type="dxa"/>
            <w:vAlign w:val="bottom"/>
          </w:tcPr>
          <w:p>
            <w:pPr>
              <w:spacing w:after="0"/>
              <w:rPr>
                <w:sz w:val="14"/>
                <w:szCs w:val="14"/>
                <w:color w:val="auto"/>
              </w:rPr>
            </w:pPr>
          </w:p>
        </w:tc>
        <w:tc>
          <w:tcPr>
            <w:tcW w:w="11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12,564,692</w:t>
            </w:r>
          </w:p>
        </w:tc>
        <w:tc>
          <w:tcPr>
            <w:tcW w:w="220" w:type="dxa"/>
            <w:vAlign w:val="bottom"/>
          </w:tcPr>
          <w:p>
            <w:pPr>
              <w:spacing w:after="0"/>
              <w:rPr>
                <w:sz w:val="14"/>
                <w:szCs w:val="14"/>
                <w:color w:val="auto"/>
              </w:rPr>
            </w:pPr>
          </w:p>
        </w:tc>
        <w:tc>
          <w:tcPr>
            <w:tcW w:w="10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12,654,868</w:t>
            </w:r>
          </w:p>
        </w:tc>
        <w:tc>
          <w:tcPr>
            <w:tcW w:w="22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12,434,277</w:t>
            </w:r>
          </w:p>
        </w:tc>
        <w:tc>
          <w:tcPr>
            <w:tcW w:w="0" w:type="dxa"/>
            <w:vAlign w:val="bottom"/>
          </w:tcPr>
          <w:p>
            <w:pPr>
              <w:spacing w:after="0"/>
              <w:rPr>
                <w:sz w:val="1"/>
                <w:szCs w:val="1"/>
                <w:color w:val="auto"/>
              </w:rPr>
            </w:pPr>
          </w:p>
        </w:tc>
      </w:tr>
      <w:tr>
        <w:trPr>
          <w:trHeight w:val="168"/>
        </w:trPr>
        <w:tc>
          <w:tcPr>
            <w:tcW w:w="44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shares outstanding</w:t>
            </w:r>
          </w:p>
        </w:tc>
        <w:tc>
          <w:tcPr>
            <w:tcW w:w="4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4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Dilutive effect of outstanding</w:t>
            </w:r>
          </w:p>
        </w:tc>
        <w:tc>
          <w:tcPr>
            <w:tcW w:w="400" w:type="dxa"/>
            <w:vAlign w:val="bottom"/>
          </w:tcPr>
          <w:p>
            <w:pPr>
              <w:spacing w:after="0"/>
              <w:rPr>
                <w:sz w:val="14"/>
                <w:szCs w:val="14"/>
                <w:color w:val="auto"/>
              </w:rPr>
            </w:pPr>
          </w:p>
        </w:tc>
        <w:tc>
          <w:tcPr>
            <w:tcW w:w="9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505,169</w:t>
            </w:r>
          </w:p>
        </w:tc>
        <w:tc>
          <w:tcPr>
            <w:tcW w:w="220" w:type="dxa"/>
            <w:vAlign w:val="bottom"/>
          </w:tcPr>
          <w:p>
            <w:pPr>
              <w:spacing w:after="0"/>
              <w:rPr>
                <w:sz w:val="14"/>
                <w:szCs w:val="14"/>
                <w:color w:val="auto"/>
              </w:rPr>
            </w:pPr>
          </w:p>
        </w:tc>
        <w:tc>
          <w:tcPr>
            <w:tcW w:w="11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544,903</w:t>
            </w:r>
          </w:p>
        </w:tc>
        <w:tc>
          <w:tcPr>
            <w:tcW w:w="220" w:type="dxa"/>
            <w:vAlign w:val="bottom"/>
          </w:tcPr>
          <w:p>
            <w:pPr>
              <w:spacing w:after="0"/>
              <w:rPr>
                <w:sz w:val="14"/>
                <w:szCs w:val="14"/>
                <w:color w:val="auto"/>
              </w:rPr>
            </w:pPr>
          </w:p>
        </w:tc>
        <w:tc>
          <w:tcPr>
            <w:tcW w:w="10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536,703</w:t>
            </w:r>
          </w:p>
        </w:tc>
        <w:tc>
          <w:tcPr>
            <w:tcW w:w="22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561,648</w:t>
            </w:r>
          </w:p>
        </w:tc>
        <w:tc>
          <w:tcPr>
            <w:tcW w:w="0" w:type="dxa"/>
            <w:vAlign w:val="bottom"/>
          </w:tcPr>
          <w:p>
            <w:pPr>
              <w:spacing w:after="0"/>
              <w:rPr>
                <w:sz w:val="1"/>
                <w:szCs w:val="1"/>
                <w:color w:val="auto"/>
              </w:rPr>
            </w:pPr>
          </w:p>
        </w:tc>
      </w:tr>
      <w:tr>
        <w:trPr>
          <w:trHeight w:val="168"/>
        </w:trPr>
        <w:tc>
          <w:tcPr>
            <w:tcW w:w="44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stock options (2)</w:t>
            </w:r>
          </w:p>
        </w:tc>
        <w:tc>
          <w:tcPr>
            <w:tcW w:w="4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420" w:type="dxa"/>
            <w:vAlign w:val="bottom"/>
          </w:tcPr>
          <w:p>
            <w:pPr>
              <w:spacing w:after="0"/>
              <w:rPr>
                <w:sz w:val="14"/>
                <w:szCs w:val="14"/>
                <w:color w:val="auto"/>
              </w:rPr>
            </w:pPr>
          </w:p>
        </w:tc>
        <w:tc>
          <w:tcPr>
            <w:tcW w:w="400" w:type="dxa"/>
            <w:vAlign w:val="bottom"/>
          </w:tcPr>
          <w:p>
            <w:pPr>
              <w:ind w:left="140"/>
              <w:spacing w:after="0"/>
              <w:rPr>
                <w:sz w:val="20"/>
                <w:szCs w:val="20"/>
                <w:color w:val="auto"/>
              </w:rPr>
            </w:pPr>
            <w:r>
              <w:rPr>
                <w:rFonts w:ascii="Courier New" w:cs="Courier New" w:eastAsia="Courier New" w:hAnsi="Courier New"/>
                <w:sz w:val="4"/>
                <w:szCs w:val="4"/>
                <w:color w:val="auto"/>
                <w:w w:val="76"/>
              </w:rPr>
              <w:t>-------------</w:t>
            </w:r>
          </w:p>
        </w:tc>
        <w:tc>
          <w:tcPr>
            <w:tcW w:w="9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95"/>
              </w:rPr>
              <w:t>13,275,545</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13,109,595</w:t>
            </w:r>
          </w:p>
        </w:tc>
        <w:tc>
          <w:tcPr>
            <w:tcW w:w="220" w:type="dxa"/>
            <w:vAlign w:val="bottom"/>
          </w:tcPr>
          <w:p>
            <w:pPr>
              <w:spacing w:after="0"/>
              <w:rPr>
                <w:sz w:val="14"/>
                <w:szCs w:val="14"/>
                <w:color w:val="auto"/>
              </w:rPr>
            </w:pP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13,191,571</w:t>
            </w:r>
          </w:p>
        </w:tc>
        <w:tc>
          <w:tcPr>
            <w:tcW w:w="22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12,995,925</w:t>
            </w:r>
          </w:p>
        </w:tc>
        <w:tc>
          <w:tcPr>
            <w:tcW w:w="0" w:type="dxa"/>
            <w:vAlign w:val="bottom"/>
          </w:tcPr>
          <w:p>
            <w:pPr>
              <w:spacing w:after="0"/>
              <w:rPr>
                <w:sz w:val="1"/>
                <w:szCs w:val="1"/>
                <w:color w:val="auto"/>
              </w:rPr>
            </w:pPr>
          </w:p>
        </w:tc>
      </w:tr>
      <w:tr>
        <w:trPr>
          <w:trHeight w:val="245"/>
        </w:trPr>
        <w:tc>
          <w:tcPr>
            <w:tcW w:w="4420" w:type="dxa"/>
            <w:vAlign w:val="bottom"/>
          </w:tcPr>
          <w:p>
            <w:pPr>
              <w:spacing w:after="0"/>
              <w:rPr>
                <w:sz w:val="21"/>
                <w:szCs w:val="21"/>
                <w:color w:val="auto"/>
              </w:rPr>
            </w:pPr>
          </w:p>
        </w:tc>
        <w:tc>
          <w:tcPr>
            <w:tcW w:w="13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4420" w:type="dxa"/>
            <w:vAlign w:val="bottom"/>
          </w:tcPr>
          <w:p>
            <w:pPr>
              <w:ind w:left="700"/>
              <w:spacing w:after="0"/>
              <w:rPr>
                <w:sz w:val="20"/>
                <w:szCs w:val="20"/>
                <w:color w:val="auto"/>
              </w:rPr>
            </w:pPr>
            <w:r>
              <w:rPr>
                <w:rFonts w:ascii="Courier New" w:cs="Courier New" w:eastAsia="Courier New" w:hAnsi="Courier New"/>
                <w:sz w:val="15"/>
                <w:szCs w:val="15"/>
                <w:color w:val="auto"/>
              </w:rPr>
              <w:t>Net earnings per share of common stock</w:t>
            </w:r>
          </w:p>
        </w:tc>
        <w:tc>
          <w:tcPr>
            <w:tcW w:w="40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1.32</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1.19</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2.47</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1.40</w:t>
            </w:r>
          </w:p>
        </w:tc>
        <w:tc>
          <w:tcPr>
            <w:tcW w:w="0" w:type="dxa"/>
            <w:vAlign w:val="bottom"/>
          </w:tcPr>
          <w:p>
            <w:pPr>
              <w:spacing w:after="0"/>
              <w:rPr>
                <w:sz w:val="1"/>
                <w:szCs w:val="1"/>
                <w:color w:val="auto"/>
              </w:rPr>
            </w:pPr>
          </w:p>
        </w:tc>
      </w:tr>
      <w:tr>
        <w:trPr>
          <w:trHeight w:val="168"/>
        </w:trPr>
        <w:tc>
          <w:tcPr>
            <w:tcW w:w="44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and common stock equivalent</w:t>
            </w:r>
          </w:p>
        </w:tc>
        <w:tc>
          <w:tcPr>
            <w:tcW w:w="40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420" w:type="dxa"/>
            <w:vAlign w:val="bottom"/>
          </w:tcPr>
          <w:p>
            <w:pPr>
              <w:spacing w:after="0"/>
              <w:rPr>
                <w:sz w:val="14"/>
                <w:szCs w:val="14"/>
                <w:color w:val="auto"/>
              </w:rPr>
            </w:pP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4420" w:type="dxa"/>
            <w:vAlign w:val="bottom"/>
          </w:tcPr>
          <w:p>
            <w:pPr>
              <w:spacing w:after="0"/>
              <w:rPr>
                <w:sz w:val="21"/>
                <w:szCs w:val="21"/>
                <w:color w:val="auto"/>
              </w:rPr>
            </w:pPr>
          </w:p>
        </w:tc>
        <w:tc>
          <w:tcPr>
            <w:tcW w:w="13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ind w:left="440" w:hanging="430"/>
        <w:spacing w:after="0" w:line="344" w:lineRule="auto"/>
        <w:tabs>
          <w:tab w:leader="none" w:pos="4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Outstanding stock options and options exercised in the current period are converted to common stock equivalents by the treasury stock method using the average market price of the company's stock during each period.</w:t>
      </w:r>
    </w:p>
    <w:p>
      <w:pPr>
        <w:spacing w:after="0" w:line="17" w:lineRule="exact"/>
        <w:rPr>
          <w:rFonts w:ascii="Courier New" w:cs="Courier New" w:eastAsia="Courier New" w:hAnsi="Courier New"/>
          <w:sz w:val="15"/>
          <w:szCs w:val="15"/>
          <w:color w:val="auto"/>
        </w:rPr>
      </w:pPr>
    </w:p>
    <w:p>
      <w:pPr>
        <w:ind w:left="440" w:hanging="430"/>
        <w:spacing w:after="0" w:line="290" w:lineRule="auto"/>
        <w:tabs>
          <w:tab w:leader="none" w:pos="4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Outstanding stock options and options exercised in the current period are converted to common stock equivalents by the treasury stock method using the greater of the average market price or the period-end market price of the company's stock during each period.</w:t>
      </w:r>
    </w:p>
    <w:p>
      <w:pPr>
        <w:spacing w:after="0" w:line="200" w:lineRule="exact"/>
        <w:rPr>
          <w:sz w:val="20"/>
          <w:szCs w:val="20"/>
          <w:color w:val="auto"/>
        </w:rPr>
      </w:pPr>
    </w:p>
    <w:p>
      <w:pPr>
        <w:spacing w:after="0" w:line="36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1540"/>
          </w:cols>
          <w:pgMar w:left="220" w:top="452" w:right="139" w:bottom="1440" w:gutter="0" w:footer="0" w:header="0"/>
        </w:sectPr>
      </w:pPr>
    </w:p>
    <w:bookmarkStart w:id="10" w:name="page11"/>
    <w:bookmarkEnd w:id="1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1" w:name="page12"/>
    <w:bookmarkEnd w:id="11"/>
    <w:p>
      <w:pPr>
        <w:ind w:left="100"/>
        <w:spacing w:after="0"/>
        <w:rPr>
          <w:sz w:val="20"/>
          <w:szCs w:val="20"/>
          <w:color w:val="auto"/>
        </w:rPr>
      </w:pPr>
      <w:r>
        <w:rPr>
          <w:rFonts w:ascii="Courier New" w:cs="Courier New" w:eastAsia="Courier New" w:hAnsi="Courier New"/>
          <w:sz w:val="15"/>
          <w:szCs w:val="15"/>
          <w:color w:val="auto"/>
        </w:rPr>
        <w:t>5</w:t>
      </w:r>
    </w:p>
    <w:p>
      <w:pPr>
        <w:spacing w:after="0" w:line="166" w:lineRule="exact"/>
        <w:rPr>
          <w:sz w:val="20"/>
          <w:szCs w:val="20"/>
          <w:color w:val="auto"/>
        </w:rPr>
      </w:pPr>
    </w:p>
    <w:p>
      <w:pPr>
        <w:ind w:left="40" w:right="3379"/>
        <w:spacing w:after="0" w:line="290" w:lineRule="auto"/>
        <w:rPr>
          <w:sz w:val="20"/>
          <w:szCs w:val="20"/>
          <w:color w:val="auto"/>
        </w:rPr>
      </w:pPr>
      <w:r>
        <w:rPr>
          <w:rFonts w:ascii="Courier New" w:cs="Courier New" w:eastAsia="Courier New" w:hAnsi="Courier New"/>
          <w:sz w:val="15"/>
          <w:szCs w:val="15"/>
          <w:color w:val="auto"/>
        </w:rPr>
        <w:t>THIS SCHEDULE CONTAINS YEAR-TO-DATE INFORMATION EXTRACTED FROM THE 10-Q, THIRD QUARTER FILING, CONDENSED CONSOLIDATED STATEMENT OF OPERATIONS AND RETAINED EARNINGS, CONDENSED CONSOLIDATED BALANCE SHEET AND EXHIBIT 11.</w:t>
      </w:r>
    </w:p>
    <w:p>
      <w:pPr>
        <w:spacing w:after="0" w:line="57"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1,000</w:t>
      </w:r>
    </w:p>
    <w:p>
      <w:pPr>
        <w:spacing w:after="0" w:line="335"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9-MOS</w:t>
      </w:r>
    </w:p>
    <w:p>
      <w:pPr>
        <w:spacing w:after="0" w:line="23"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JUL-31-1994</w:t>
      </w:r>
    </w:p>
    <w:p>
      <w:pPr>
        <w:ind w:left="2540"/>
        <w:spacing w:after="0" w:line="237" w:lineRule="auto"/>
        <w:rPr>
          <w:sz w:val="20"/>
          <w:szCs w:val="20"/>
          <w:color w:val="auto"/>
        </w:rPr>
      </w:pPr>
      <w:r>
        <w:rPr>
          <w:rFonts w:ascii="Courier New" w:cs="Courier New" w:eastAsia="Courier New" w:hAnsi="Courier New"/>
          <w:sz w:val="15"/>
          <w:szCs w:val="15"/>
          <w:color w:val="auto"/>
        </w:rPr>
        <w:t>AUG-01-1994</w:t>
      </w:r>
    </w:p>
    <w:p>
      <w:pPr>
        <w:ind w:left="2720"/>
        <w:spacing w:after="0" w:line="238" w:lineRule="auto"/>
        <w:rPr>
          <w:sz w:val="20"/>
          <w:szCs w:val="20"/>
          <w:color w:val="auto"/>
        </w:rPr>
      </w:pPr>
      <w:r>
        <w:rPr>
          <w:rFonts w:ascii="Courier New" w:cs="Courier New" w:eastAsia="Courier New" w:hAnsi="Courier New"/>
          <w:sz w:val="15"/>
          <w:szCs w:val="15"/>
          <w:color w:val="auto"/>
        </w:rPr>
        <w:t>APR-28-1995</w:t>
      </w:r>
    </w:p>
    <w:p>
      <w:pPr>
        <w:ind w:left="3680"/>
        <w:spacing w:after="0" w:line="237" w:lineRule="auto"/>
        <w:rPr>
          <w:sz w:val="20"/>
          <w:szCs w:val="20"/>
          <w:color w:val="auto"/>
        </w:rPr>
      </w:pPr>
      <w:r>
        <w:rPr>
          <w:rFonts w:ascii="Courier New" w:cs="Courier New" w:eastAsia="Courier New" w:hAnsi="Courier New"/>
          <w:sz w:val="15"/>
          <w:szCs w:val="15"/>
          <w:color w:val="auto"/>
        </w:rPr>
        <w:t>11,709</w:t>
      </w:r>
    </w:p>
    <w:p>
      <w:pPr>
        <w:ind w:left="3600"/>
        <w:spacing w:after="0" w:line="238" w:lineRule="auto"/>
        <w:rPr>
          <w:sz w:val="20"/>
          <w:szCs w:val="20"/>
          <w:color w:val="auto"/>
        </w:rPr>
      </w:pPr>
      <w:r>
        <w:rPr>
          <w:rFonts w:ascii="Courier New" w:cs="Courier New" w:eastAsia="Courier New" w:hAnsi="Courier New"/>
          <w:sz w:val="15"/>
          <w:szCs w:val="15"/>
          <w:color w:val="auto"/>
        </w:rPr>
        <w:t>0</w:t>
      </w:r>
    </w:p>
    <w:p>
      <w:pPr>
        <w:ind w:left="2980"/>
        <w:spacing w:after="0" w:line="237" w:lineRule="auto"/>
        <w:rPr>
          <w:sz w:val="20"/>
          <w:szCs w:val="20"/>
          <w:color w:val="auto"/>
        </w:rPr>
      </w:pPr>
      <w:r>
        <w:rPr>
          <w:rFonts w:ascii="Courier New" w:cs="Courier New" w:eastAsia="Courier New" w:hAnsi="Courier New"/>
          <w:sz w:val="15"/>
          <w:szCs w:val="15"/>
          <w:color w:val="auto"/>
        </w:rPr>
        <w:t>329,447</w:t>
      </w:r>
    </w:p>
    <w:p>
      <w:pPr>
        <w:ind w:left="3600"/>
        <w:spacing w:after="0" w:line="238" w:lineRule="auto"/>
        <w:rPr>
          <w:sz w:val="20"/>
          <w:szCs w:val="20"/>
          <w:color w:val="auto"/>
        </w:rPr>
      </w:pPr>
      <w:r>
        <w:rPr>
          <w:rFonts w:ascii="Courier New" w:cs="Courier New" w:eastAsia="Courier New" w:hAnsi="Courier New"/>
          <w:sz w:val="15"/>
          <w:szCs w:val="15"/>
          <w:color w:val="auto"/>
        </w:rPr>
        <w:t>0</w:t>
      </w:r>
    </w:p>
    <w:p>
      <w:pPr>
        <w:ind w:left="3160"/>
        <w:spacing w:after="0" w:line="237" w:lineRule="auto"/>
        <w:rPr>
          <w:sz w:val="20"/>
          <w:szCs w:val="20"/>
          <w:color w:val="auto"/>
        </w:rPr>
      </w:pPr>
      <w:r>
        <w:rPr>
          <w:rFonts w:ascii="Courier New" w:cs="Courier New" w:eastAsia="Courier New" w:hAnsi="Courier New"/>
          <w:sz w:val="15"/>
          <w:szCs w:val="15"/>
          <w:color w:val="auto"/>
        </w:rPr>
        <w:t>138,018</w:t>
      </w:r>
    </w:p>
    <w:p>
      <w:pPr>
        <w:ind w:left="2720"/>
        <w:spacing w:after="0" w:line="238" w:lineRule="auto"/>
        <w:rPr>
          <w:sz w:val="20"/>
          <w:szCs w:val="20"/>
          <w:color w:val="auto"/>
        </w:rPr>
      </w:pPr>
      <w:r>
        <w:rPr>
          <w:rFonts w:ascii="Courier New" w:cs="Courier New" w:eastAsia="Courier New" w:hAnsi="Courier New"/>
          <w:sz w:val="15"/>
          <w:szCs w:val="15"/>
          <w:color w:val="auto"/>
        </w:rPr>
        <w:t>509,267</w:t>
      </w:r>
    </w:p>
    <w:p>
      <w:pPr>
        <w:ind w:left="3600"/>
        <w:spacing w:after="0" w:line="238" w:lineRule="auto"/>
        <w:rPr>
          <w:sz w:val="20"/>
          <w:szCs w:val="20"/>
          <w:color w:val="auto"/>
        </w:rPr>
      </w:pPr>
      <w:r>
        <w:rPr>
          <w:rFonts w:ascii="Courier New" w:cs="Courier New" w:eastAsia="Courier New" w:hAnsi="Courier New"/>
          <w:sz w:val="15"/>
          <w:szCs w:val="15"/>
          <w:color w:val="auto"/>
        </w:rPr>
        <w:t>203,928</w:t>
      </w:r>
    </w:p>
    <w:p>
      <w:pPr>
        <w:ind w:left="2900"/>
        <w:spacing w:after="0" w:line="237" w:lineRule="auto"/>
        <w:rPr>
          <w:sz w:val="20"/>
          <w:szCs w:val="20"/>
          <w:color w:val="auto"/>
        </w:rPr>
      </w:pPr>
      <w:r>
        <w:rPr>
          <w:rFonts w:ascii="Courier New" w:cs="Courier New" w:eastAsia="Courier New" w:hAnsi="Courier New"/>
          <w:sz w:val="15"/>
          <w:szCs w:val="15"/>
          <w:color w:val="auto"/>
        </w:rPr>
        <w:t>138,128</w:t>
      </w:r>
    </w:p>
    <w:p>
      <w:pPr>
        <w:ind w:left="2900"/>
        <w:spacing w:after="0" w:line="238" w:lineRule="auto"/>
        <w:rPr>
          <w:sz w:val="20"/>
          <w:szCs w:val="20"/>
          <w:color w:val="auto"/>
        </w:rPr>
      </w:pPr>
      <w:r>
        <w:rPr>
          <w:rFonts w:ascii="Courier New" w:cs="Courier New" w:eastAsia="Courier New" w:hAnsi="Courier New"/>
          <w:sz w:val="15"/>
          <w:szCs w:val="15"/>
          <w:color w:val="auto"/>
        </w:rPr>
        <w:t>592,464</w:t>
      </w:r>
    </w:p>
    <w:p>
      <w:pPr>
        <w:ind w:left="2280"/>
        <w:spacing w:after="0" w:line="237" w:lineRule="auto"/>
        <w:rPr>
          <w:sz w:val="20"/>
          <w:szCs w:val="20"/>
          <w:color w:val="auto"/>
        </w:rPr>
      </w:pPr>
      <w:r>
        <w:rPr>
          <w:rFonts w:ascii="Courier New" w:cs="Courier New" w:eastAsia="Courier New" w:hAnsi="Courier New"/>
          <w:sz w:val="15"/>
          <w:szCs w:val="15"/>
          <w:color w:val="auto"/>
        </w:rPr>
        <w:t>319,813</w:t>
      </w:r>
    </w:p>
    <w:p>
      <w:pPr>
        <w:ind w:left="3600"/>
        <w:spacing w:after="0" w:line="238" w:lineRule="auto"/>
        <w:rPr>
          <w:sz w:val="20"/>
          <w:szCs w:val="20"/>
          <w:color w:val="auto"/>
        </w:rPr>
      </w:pPr>
      <w:r>
        <w:rPr>
          <w:rFonts w:ascii="Courier New" w:cs="Courier New" w:eastAsia="Courier New" w:hAnsi="Courier New"/>
          <w:sz w:val="15"/>
          <w:szCs w:val="15"/>
          <w:color w:val="auto"/>
        </w:rPr>
        <w:t>81,424</w:t>
      </w:r>
    </w:p>
    <w:p>
      <w:pPr>
        <w:ind w:left="3500"/>
        <w:spacing w:after="0" w:line="237" w:lineRule="auto"/>
        <w:rPr>
          <w:sz w:val="20"/>
          <w:szCs w:val="20"/>
          <w:color w:val="auto"/>
        </w:rPr>
      </w:pPr>
      <w:r>
        <w:rPr>
          <w:rFonts w:ascii="Courier New" w:cs="Courier New" w:eastAsia="Courier New" w:hAnsi="Courier New"/>
          <w:sz w:val="15"/>
          <w:szCs w:val="15"/>
          <w:color w:val="auto"/>
        </w:rPr>
        <w:t>12,764</w:t>
      </w:r>
    </w:p>
    <w:p>
      <w:pPr>
        <w:ind w:left="2800"/>
        <w:spacing w:after="0" w:line="238" w:lineRule="auto"/>
        <w:rPr>
          <w:sz w:val="20"/>
          <w:szCs w:val="20"/>
          <w:color w:val="auto"/>
        </w:rPr>
      </w:pPr>
      <w:r>
        <w:rPr>
          <w:rFonts w:ascii="Courier New" w:cs="Courier New" w:eastAsia="Courier New" w:hAnsi="Courier New"/>
          <w:sz w:val="15"/>
          <w:szCs w:val="15"/>
          <w:color w:val="auto"/>
        </w:rPr>
        <w:t>0</w:t>
      </w:r>
    </w:p>
    <w:p>
      <w:pPr>
        <w:ind w:left="3680"/>
        <w:spacing w:after="0" w:line="238" w:lineRule="auto"/>
        <w:rPr>
          <w:sz w:val="20"/>
          <w:szCs w:val="20"/>
          <w:color w:val="auto"/>
        </w:rPr>
      </w:pPr>
      <w:r>
        <w:rPr>
          <w:rFonts w:ascii="Courier New" w:cs="Courier New" w:eastAsia="Courier New" w:hAnsi="Courier New"/>
          <w:sz w:val="15"/>
          <w:szCs w:val="15"/>
          <w:color w:val="auto"/>
        </w:rPr>
        <w:t>0</w:t>
      </w:r>
    </w:p>
    <w:p>
      <w:pPr>
        <w:ind w:left="3240"/>
        <w:spacing w:after="0" w:line="237" w:lineRule="auto"/>
        <w:rPr>
          <w:sz w:val="20"/>
          <w:szCs w:val="20"/>
          <w:color w:val="auto"/>
        </w:rPr>
      </w:pPr>
      <w:r>
        <w:rPr>
          <w:rFonts w:ascii="Courier New" w:cs="Courier New" w:eastAsia="Courier New" w:hAnsi="Courier New"/>
          <w:sz w:val="15"/>
          <w:szCs w:val="15"/>
          <w:color w:val="auto"/>
        </w:rPr>
        <w:t>189,268</w:t>
      </w:r>
    </w:p>
    <w:p>
      <w:pPr>
        <w:ind w:left="1680"/>
        <w:spacing w:after="0" w:line="238" w:lineRule="auto"/>
        <w:rPr>
          <w:sz w:val="20"/>
          <w:szCs w:val="20"/>
          <w:color w:val="auto"/>
        </w:rPr>
      </w:pPr>
      <w:r>
        <w:rPr>
          <w:rFonts w:ascii="Courier New" w:cs="Courier New" w:eastAsia="Courier New" w:hAnsi="Courier New"/>
          <w:sz w:val="15"/>
          <w:szCs w:val="15"/>
          <w:color w:val="auto"/>
        </w:rPr>
        <w:t>592,464</w:t>
      </w:r>
    </w:p>
    <w:p>
      <w:pPr>
        <w:ind w:left="3500"/>
        <w:spacing w:after="0" w:line="237" w:lineRule="auto"/>
        <w:rPr>
          <w:sz w:val="20"/>
          <w:szCs w:val="20"/>
          <w:color w:val="auto"/>
        </w:rPr>
      </w:pPr>
      <w:r>
        <w:rPr>
          <w:rFonts w:ascii="Courier New" w:cs="Courier New" w:eastAsia="Courier New" w:hAnsi="Courier New"/>
          <w:sz w:val="15"/>
          <w:szCs w:val="15"/>
          <w:color w:val="auto"/>
        </w:rPr>
        <w:t>730,267</w:t>
      </w:r>
    </w:p>
    <w:p>
      <w:pPr>
        <w:ind w:left="2720"/>
        <w:spacing w:after="0" w:line="238" w:lineRule="auto"/>
        <w:rPr>
          <w:sz w:val="20"/>
          <w:szCs w:val="20"/>
          <w:color w:val="auto"/>
        </w:rPr>
      </w:pPr>
      <w:r>
        <w:rPr>
          <w:rFonts w:ascii="Courier New" w:cs="Courier New" w:eastAsia="Courier New" w:hAnsi="Courier New"/>
          <w:sz w:val="15"/>
          <w:szCs w:val="15"/>
          <w:color w:val="auto"/>
        </w:rPr>
        <w:t>730,267</w:t>
      </w:r>
    </w:p>
    <w:p>
      <w:pPr>
        <w:ind w:left="3680"/>
        <w:spacing w:after="0" w:line="237" w:lineRule="auto"/>
        <w:rPr>
          <w:sz w:val="20"/>
          <w:szCs w:val="20"/>
          <w:color w:val="auto"/>
        </w:rPr>
      </w:pPr>
      <w:r>
        <w:rPr>
          <w:rFonts w:ascii="Courier New" w:cs="Courier New" w:eastAsia="Courier New" w:hAnsi="Courier New"/>
          <w:sz w:val="15"/>
          <w:szCs w:val="15"/>
          <w:color w:val="auto"/>
        </w:rPr>
        <w:t>470,792</w:t>
      </w:r>
    </w:p>
    <w:p>
      <w:pPr>
        <w:ind w:left="2980"/>
        <w:spacing w:after="0" w:line="238" w:lineRule="auto"/>
        <w:rPr>
          <w:sz w:val="20"/>
          <w:szCs w:val="20"/>
          <w:color w:val="auto"/>
        </w:rPr>
      </w:pPr>
      <w:r>
        <w:rPr>
          <w:rFonts w:ascii="Courier New" w:cs="Courier New" w:eastAsia="Courier New" w:hAnsi="Courier New"/>
          <w:sz w:val="15"/>
          <w:szCs w:val="15"/>
          <w:color w:val="auto"/>
        </w:rPr>
        <w:t>202,916</w:t>
      </w:r>
    </w:p>
    <w:p>
      <w:pPr>
        <w:ind w:left="2720"/>
        <w:spacing w:after="0" w:line="238" w:lineRule="auto"/>
        <w:rPr>
          <w:sz w:val="20"/>
          <w:szCs w:val="20"/>
          <w:color w:val="auto"/>
        </w:rPr>
      </w:pPr>
      <w:r>
        <w:rPr>
          <w:rFonts w:ascii="Courier New" w:cs="Courier New" w:eastAsia="Courier New" w:hAnsi="Courier New"/>
          <w:sz w:val="15"/>
          <w:szCs w:val="15"/>
          <w:color w:val="auto"/>
        </w:rPr>
        <w:t>(6,344)</w:t>
      </w:r>
    </w:p>
    <w:p>
      <w:pPr>
        <w:ind w:left="3240"/>
        <w:spacing w:after="0" w:line="237" w:lineRule="auto"/>
        <w:rPr>
          <w:sz w:val="20"/>
          <w:szCs w:val="20"/>
          <w:color w:val="auto"/>
        </w:rPr>
      </w:pPr>
      <w:r>
        <w:rPr>
          <w:rFonts w:ascii="Courier New" w:cs="Courier New" w:eastAsia="Courier New" w:hAnsi="Courier New"/>
          <w:sz w:val="15"/>
          <w:szCs w:val="15"/>
          <w:color w:val="auto"/>
        </w:rPr>
        <w:t>0</w:t>
      </w:r>
    </w:p>
    <w:p>
      <w:pPr>
        <w:ind w:left="2720"/>
        <w:spacing w:after="0" w:line="238" w:lineRule="auto"/>
        <w:rPr>
          <w:sz w:val="20"/>
          <w:szCs w:val="20"/>
          <w:color w:val="auto"/>
        </w:rPr>
      </w:pPr>
      <w:r>
        <w:rPr>
          <w:rFonts w:ascii="Courier New" w:cs="Courier New" w:eastAsia="Courier New" w:hAnsi="Courier New"/>
          <w:sz w:val="15"/>
          <w:szCs w:val="15"/>
          <w:color w:val="auto"/>
        </w:rPr>
        <w:t>8,503</w:t>
      </w:r>
    </w:p>
    <w:p>
      <w:pPr>
        <w:ind w:left="2900"/>
        <w:spacing w:after="0" w:line="237" w:lineRule="auto"/>
        <w:rPr>
          <w:sz w:val="20"/>
          <w:szCs w:val="20"/>
          <w:color w:val="auto"/>
        </w:rPr>
      </w:pPr>
      <w:r>
        <w:rPr>
          <w:rFonts w:ascii="Courier New" w:cs="Courier New" w:eastAsia="Courier New" w:hAnsi="Courier New"/>
          <w:sz w:val="15"/>
          <w:szCs w:val="15"/>
          <w:color w:val="auto"/>
        </w:rPr>
        <w:t>54,400</w:t>
      </w:r>
    </w:p>
    <w:p>
      <w:pPr>
        <w:ind w:left="3160"/>
        <w:spacing w:after="0" w:line="238" w:lineRule="auto"/>
        <w:rPr>
          <w:sz w:val="20"/>
          <w:szCs w:val="20"/>
          <w:color w:val="auto"/>
        </w:rPr>
      </w:pPr>
      <w:r>
        <w:rPr>
          <w:rFonts w:ascii="Courier New" w:cs="Courier New" w:eastAsia="Courier New" w:hAnsi="Courier New"/>
          <w:sz w:val="15"/>
          <w:szCs w:val="15"/>
          <w:color w:val="auto"/>
        </w:rPr>
        <w:t>21,760</w:t>
      </w:r>
    </w:p>
    <w:p>
      <w:pPr>
        <w:ind w:left="2540"/>
        <w:spacing w:after="0" w:line="237" w:lineRule="auto"/>
        <w:rPr>
          <w:sz w:val="20"/>
          <w:szCs w:val="20"/>
          <w:color w:val="auto"/>
        </w:rPr>
      </w:pPr>
      <w:r>
        <w:rPr>
          <w:rFonts w:ascii="Courier New" w:cs="Courier New" w:eastAsia="Courier New" w:hAnsi="Courier New"/>
          <w:sz w:val="15"/>
          <w:szCs w:val="15"/>
          <w:color w:val="auto"/>
        </w:rPr>
        <w:t>32,640</w:t>
      </w:r>
    </w:p>
    <w:p>
      <w:pPr>
        <w:ind w:left="3420"/>
        <w:spacing w:after="0" w:line="238" w:lineRule="auto"/>
        <w:rPr>
          <w:sz w:val="20"/>
          <w:szCs w:val="20"/>
          <w:color w:val="auto"/>
        </w:rPr>
      </w:pPr>
      <w:r>
        <w:rPr>
          <w:rFonts w:ascii="Courier New" w:cs="Courier New" w:eastAsia="Courier New" w:hAnsi="Courier New"/>
          <w:sz w:val="15"/>
          <w:szCs w:val="15"/>
          <w:color w:val="auto"/>
        </w:rPr>
        <w:t>0</w:t>
      </w:r>
    </w:p>
    <w:p>
      <w:pPr>
        <w:ind w:left="3340"/>
        <w:spacing w:after="0" w:line="238" w:lineRule="auto"/>
        <w:rPr>
          <w:sz w:val="20"/>
          <w:szCs w:val="20"/>
          <w:color w:val="auto"/>
        </w:rPr>
      </w:pPr>
      <w:r>
        <w:rPr>
          <w:rFonts w:ascii="Courier New" w:cs="Courier New" w:eastAsia="Courier New" w:hAnsi="Courier New"/>
          <w:sz w:val="15"/>
          <w:szCs w:val="15"/>
          <w:color w:val="auto"/>
        </w:rPr>
        <w:t>0</w:t>
      </w:r>
    </w:p>
    <w:p>
      <w:pPr>
        <w:ind w:left="3860"/>
        <w:spacing w:after="0" w:line="237" w:lineRule="auto"/>
        <w:rPr>
          <w:sz w:val="20"/>
          <w:szCs w:val="20"/>
          <w:color w:val="auto"/>
        </w:rPr>
      </w:pPr>
      <w:r>
        <w:rPr>
          <w:rFonts w:ascii="Courier New" w:cs="Courier New" w:eastAsia="Courier New" w:hAnsi="Courier New"/>
          <w:sz w:val="15"/>
          <w:szCs w:val="15"/>
          <w:color w:val="auto"/>
        </w:rPr>
        <w:t>0</w:t>
      </w:r>
    </w:p>
    <w:p>
      <w:pPr>
        <w:jc w:val="center"/>
        <w:ind w:right="3399"/>
        <w:spacing w:after="0" w:line="238" w:lineRule="auto"/>
        <w:rPr>
          <w:sz w:val="20"/>
          <w:szCs w:val="20"/>
          <w:color w:val="auto"/>
        </w:rPr>
      </w:pPr>
      <w:r>
        <w:rPr>
          <w:rFonts w:ascii="Courier New" w:cs="Courier New" w:eastAsia="Courier New" w:hAnsi="Courier New"/>
          <w:sz w:val="15"/>
          <w:szCs w:val="15"/>
          <w:color w:val="auto"/>
        </w:rPr>
        <w:t>32,640</w:t>
      </w:r>
    </w:p>
    <w:p>
      <w:pPr>
        <w:jc w:val="center"/>
        <w:ind w:right="3399"/>
        <w:spacing w:after="0" w:line="237" w:lineRule="auto"/>
        <w:rPr>
          <w:sz w:val="20"/>
          <w:szCs w:val="20"/>
          <w:color w:val="auto"/>
        </w:rPr>
      </w:pPr>
      <w:r>
        <w:rPr>
          <w:rFonts w:ascii="Courier New" w:cs="Courier New" w:eastAsia="Courier New" w:hAnsi="Courier New"/>
          <w:sz w:val="15"/>
          <w:szCs w:val="15"/>
          <w:color w:val="auto"/>
        </w:rPr>
        <w:t>2.48</w:t>
      </w:r>
    </w:p>
    <w:p>
      <w:pPr>
        <w:spacing w:after="0" w:line="1"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2.47</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Total net receivables</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 included in quarterly financial information</w:t>
      </w:r>
    </w:p>
    <w:p>
      <w:pPr>
        <w:spacing w:after="0" w:line="237" w:lineRule="auto"/>
        <w:rPr>
          <w:sz w:val="20"/>
          <w:szCs w:val="20"/>
          <w:color w:val="auto"/>
        </w:rPr>
      </w:pPr>
      <w:r>
        <w:rPr>
          <w:rFonts w:ascii="Courier New" w:cs="Courier New" w:eastAsia="Courier New" w:hAnsi="Courier New"/>
          <w:sz w:val="15"/>
          <w:szCs w:val="15"/>
          <w:color w:val="auto"/>
        </w:rPr>
        <w:t>Total long-term debt</w:t>
      </w:r>
    </w:p>
    <w:p>
      <w:pPr>
        <w:spacing w:after="0" w:line="238" w:lineRule="auto"/>
        <w:rPr>
          <w:sz w:val="20"/>
          <w:szCs w:val="20"/>
          <w:color w:val="auto"/>
        </w:rPr>
      </w:pPr>
      <w:r>
        <w:rPr>
          <w:rFonts w:ascii="Courier New" w:cs="Courier New" w:eastAsia="Courier New" w:hAnsi="Courier New"/>
          <w:sz w:val="15"/>
          <w:szCs w:val="15"/>
          <w:color w:val="auto"/>
        </w:rPr>
        <w:t>Does not include additional paid-in-capital</w:t>
      </w:r>
    </w:p>
    <w:p>
      <w:pPr>
        <w:spacing w:after="0"/>
        <w:rPr>
          <w:sz w:val="20"/>
          <w:szCs w:val="20"/>
          <w:color w:val="auto"/>
        </w:rPr>
      </w:pPr>
      <w:r>
        <w:rPr>
          <w:rFonts w:ascii="Courier New" w:cs="Courier New" w:eastAsia="Courier New" w:hAnsi="Courier New"/>
          <w:sz w:val="15"/>
          <w:szCs w:val="15"/>
          <w:color w:val="auto"/>
        </w:rPr>
        <w:t>Other income, net</w:t>
      </w:r>
    </w:p>
    <w:sectPr>
      <w:pgSz w:w="11900" w:h="16838" w:orient="portrait"/>
      <w:cols w:equalWidth="0" w:num="1">
        <w:col w:w="10239"/>
      </w:cols>
      <w:pgMar w:left="220" w:top="1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2019-12-13T13:42:44Z</dcterms:created>
  <dcterms:modified xsi:type="dcterms:W3CDTF">2019-12-13T13:42:44Z</dcterms:modified>
</cp:coreProperties>
</file>