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Olson Richard M</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06/09/2020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80"/>
        <w:spacing w:after="0"/>
        <w:rPr>
          <w:sz w:val="20"/>
          <w:szCs w:val="20"/>
          <w:color w:val="auto"/>
        </w:rPr>
      </w:pPr>
      <w:r>
        <w:rPr>
          <w:rFonts w:ascii="Arial" w:cs="Arial" w:eastAsia="Arial" w:hAnsi="Arial"/>
          <w:sz w:val="17"/>
          <w:szCs w:val="17"/>
          <w:color w:val="0000FF"/>
        </w:rPr>
        <w:t>Chairman &amp; CEO</w:t>
      </w:r>
    </w:p>
    <w:p>
      <w:pPr>
        <w:spacing w:after="0" w:line="264"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600" w:type="dxa"/>
            <w:vAlign w:val="bottom"/>
            <w:gridSpan w:val="6"/>
            <w:vMerge w:val="restart"/>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20" w:type="dxa"/>
            <w:vAlign w:val="bottom"/>
            <w:gridSpan w:val="12"/>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0" w:type="dxa"/>
            <w:vAlign w:val="bottom"/>
            <w:gridSpan w:val="6"/>
            <w:vMerge w:val="continue"/>
          </w:tcPr>
          <w:p>
            <w:pPr>
              <w:spacing w:after="0"/>
              <w:rPr>
                <w:sz w:val="11"/>
                <w:szCs w:val="11"/>
                <w:color w:val="auto"/>
              </w:rPr>
            </w:pPr>
          </w:p>
        </w:tc>
        <w:tc>
          <w:tcPr>
            <w:tcW w:w="3720" w:type="dxa"/>
            <w:vAlign w:val="bottom"/>
            <w:gridSpan w:val="1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gridSpan w:val="3"/>
          </w:tcPr>
          <w:p>
            <w:pPr>
              <w:ind w:left="380"/>
              <w:spacing w:after="0" w:line="147" w:lineRule="exact"/>
              <w:rPr>
                <w:sz w:val="20"/>
                <w:szCs w:val="20"/>
                <w:color w:val="auto"/>
              </w:rPr>
            </w:pPr>
            <w:r>
              <w:rPr>
                <w:rFonts w:ascii="Arial" w:cs="Arial" w:eastAsia="Arial" w:hAnsi="Arial"/>
                <w:sz w:val="13"/>
                <w:szCs w:val="13"/>
                <w:color w:val="auto"/>
                <w:w w:val="96"/>
              </w:rPr>
              <w:t>Line)</w:t>
            </w: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gridSpan w:val="3"/>
          </w:tcPr>
          <w:p>
            <w:pPr>
              <w:ind w:left="20"/>
              <w:spacing w:after="0"/>
              <w:rPr>
                <w:sz w:val="20"/>
                <w:szCs w:val="20"/>
                <w:color w:val="auto"/>
              </w:rPr>
            </w:pPr>
            <w:r>
              <w:rPr>
                <w:rFonts w:ascii="Arial" w:cs="Arial" w:eastAsia="Arial" w:hAnsi="Arial"/>
                <w:sz w:val="17"/>
                <w:szCs w:val="17"/>
                <w:color w:val="0000FF"/>
              </w:rPr>
              <w:t>BLOOMINGTON MN</w:t>
            </w:r>
          </w:p>
        </w:tc>
        <w:tc>
          <w:tcPr>
            <w:tcW w:w="1140" w:type="dxa"/>
            <w:vAlign w:val="bottom"/>
          </w:tcPr>
          <w:p>
            <w:pPr>
              <w:ind w:left="80"/>
              <w:spacing w:after="0"/>
              <w:rPr>
                <w:sz w:val="20"/>
                <w:szCs w:val="20"/>
                <w:color w:val="auto"/>
              </w:rPr>
            </w:pPr>
            <w:r>
              <w:rPr>
                <w:rFonts w:ascii="Arial" w:cs="Arial" w:eastAsia="Arial" w:hAnsi="Arial"/>
                <w:sz w:val="17"/>
                <w:szCs w:val="17"/>
                <w:color w:val="0000FF"/>
              </w:rPr>
              <w:t>55420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0" w:type="dxa"/>
            <w:vAlign w:val="bottom"/>
            <w:gridSpan w:val="8"/>
          </w:tcPr>
          <w:p>
            <w:pPr>
              <w:ind w:left="5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40" w:type="dxa"/>
            <w:vAlign w:val="bottom"/>
            <w:gridSpan w:val="9"/>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40" w:type="dxa"/>
            <w:vAlign w:val="bottom"/>
            <w:gridSpan w:val="9"/>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Person</w:t>
            </w: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3"/>
          </w:tcPr>
          <w:p>
            <w:pPr>
              <w:jc w:val="center"/>
              <w:ind w:left="716"/>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6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5"/>
          </w:tcPr>
          <w:p>
            <w:pPr>
              <w:ind w:left="8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6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0"/>
                <w:szCs w:val="10"/>
                <w:color w:val="auto"/>
              </w:rPr>
            </w:pPr>
          </w:p>
        </w:tc>
        <w:tc>
          <w:tcPr>
            <w:tcW w:w="8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8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ind w:left="66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Beneficially</w:t>
            </w:r>
          </w:p>
        </w:tc>
        <w:tc>
          <w:tcPr>
            <w:tcW w:w="50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vMerge w:val="restart"/>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5"/>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6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7"/>
                <w:szCs w:val="7"/>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3"/>
          </w:tcPr>
          <w:p>
            <w:pPr>
              <w:ind w:left="760"/>
              <w:spacing w:after="0"/>
              <w:rPr>
                <w:sz w:val="20"/>
                <w:szCs w:val="20"/>
                <w:color w:val="auto"/>
              </w:rPr>
            </w:pPr>
            <w:r>
              <w:rPr>
                <w:rFonts w:ascii="Arial" w:cs="Arial" w:eastAsia="Arial" w:hAnsi="Arial"/>
                <w:sz w:val="17"/>
                <w:szCs w:val="17"/>
                <w:color w:val="0000FF"/>
              </w:rPr>
              <w:t>06/09/2020</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jc w:val="center"/>
              <w:ind w:right="261"/>
              <w:spacing w:after="0"/>
              <w:rPr>
                <w:sz w:val="20"/>
                <w:szCs w:val="20"/>
                <w:color w:val="auto"/>
              </w:rPr>
            </w:pPr>
            <w:r>
              <w:rPr>
                <w:rFonts w:ascii="Arial" w:cs="Arial" w:eastAsia="Arial" w:hAnsi="Arial"/>
                <w:sz w:val="13"/>
                <w:szCs w:val="13"/>
                <w:color w:val="0000FF"/>
              </w:rPr>
              <w:t>M</w:t>
            </w:r>
          </w:p>
        </w:tc>
        <w:tc>
          <w:tcPr>
            <w:tcW w:w="720" w:type="dxa"/>
            <w:vAlign w:val="bottom"/>
          </w:tcPr>
          <w:p>
            <w:pPr>
              <w:jc w:val="right"/>
              <w:ind w:right="15"/>
              <w:spacing w:after="0"/>
              <w:rPr>
                <w:sz w:val="20"/>
                <w:szCs w:val="20"/>
                <w:color w:val="auto"/>
              </w:rPr>
            </w:pPr>
            <w:r>
              <w:rPr>
                <w:rFonts w:ascii="Arial" w:cs="Arial" w:eastAsia="Arial" w:hAnsi="Arial"/>
                <w:sz w:val="17"/>
                <w:szCs w:val="17"/>
                <w:color w:val="0000FF"/>
              </w:rPr>
              <w:t>13,200</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Pr>
          <w:p>
            <w:pPr>
              <w:jc w:val="right"/>
              <w:ind w:right="12"/>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15.88</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gridSpan w:val="2"/>
          </w:tcPr>
          <w:p>
            <w:pPr>
              <w:jc w:val="center"/>
              <w:ind w:right="21"/>
              <w:spacing w:after="0"/>
              <w:rPr>
                <w:sz w:val="20"/>
                <w:szCs w:val="20"/>
                <w:color w:val="auto"/>
              </w:rPr>
            </w:pPr>
            <w:r>
              <w:rPr>
                <w:rFonts w:ascii="Arial" w:cs="Arial" w:eastAsia="Arial" w:hAnsi="Arial"/>
                <w:sz w:val="17"/>
                <w:szCs w:val="17"/>
                <w:color w:val="0000FF"/>
                <w:w w:val="86"/>
              </w:rPr>
              <w:t>21,106.461</w:t>
            </w:r>
          </w:p>
        </w:tc>
        <w:tc>
          <w:tcPr>
            <w:tcW w:w="32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60"/>
              <w:spacing w:after="0"/>
              <w:rPr>
                <w:sz w:val="20"/>
                <w:szCs w:val="20"/>
                <w:color w:val="auto"/>
              </w:rPr>
            </w:pPr>
            <w:r>
              <w:rPr>
                <w:rFonts w:ascii="Arial" w:cs="Arial" w:eastAsia="Arial" w:hAnsi="Arial"/>
                <w:sz w:val="17"/>
                <w:szCs w:val="17"/>
                <w:color w:val="0000FF"/>
              </w:rPr>
              <w:t>06/09/2020</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6,057</w:t>
            </w:r>
            <w:r>
              <w:rPr>
                <w:rFonts w:ascii="Arial" w:cs="Arial" w:eastAsia="Arial" w:hAnsi="Arial"/>
                <w:sz w:val="21"/>
                <w:szCs w:val="21"/>
                <w:color w:val="008000"/>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72.438</w:t>
            </w: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21"/>
              <w:spacing w:after="0"/>
              <w:rPr>
                <w:sz w:val="20"/>
                <w:szCs w:val="20"/>
                <w:color w:val="auto"/>
              </w:rPr>
            </w:pPr>
            <w:r>
              <w:rPr>
                <w:rFonts w:ascii="Arial" w:cs="Arial" w:eastAsia="Arial" w:hAnsi="Arial"/>
                <w:sz w:val="17"/>
                <w:szCs w:val="17"/>
                <w:color w:val="0000FF"/>
                <w:w w:val="86"/>
              </w:rPr>
              <w:t>15,049.461</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5"/>
          </w:tcPr>
          <w:p>
            <w:pPr>
              <w:ind w:left="8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vMerge w:val="restart"/>
          </w:tcPr>
          <w:p>
            <w:pPr>
              <w:jc w:val="center"/>
              <w:ind w:right="1"/>
              <w:spacing w:after="0"/>
              <w:rPr>
                <w:sz w:val="20"/>
                <w:szCs w:val="20"/>
                <w:color w:val="auto"/>
              </w:rPr>
            </w:pPr>
            <w:r>
              <w:rPr>
                <w:rFonts w:ascii="Arial" w:cs="Arial" w:eastAsia="Arial" w:hAnsi="Arial"/>
                <w:sz w:val="17"/>
                <w:szCs w:val="17"/>
                <w:color w:val="0000FF"/>
                <w:w w:val="86"/>
              </w:rPr>
              <w:t>16,365.858</w:t>
            </w:r>
            <w:r>
              <w:rPr>
                <w:rFonts w:ascii="Arial" w:cs="Arial" w:eastAsia="Arial" w:hAnsi="Arial"/>
                <w:sz w:val="21"/>
                <w:szCs w:val="21"/>
                <w:color w:val="008000"/>
                <w:w w:val="86"/>
                <w:vertAlign w:val="superscript"/>
              </w:rPr>
              <w:t>(2)</w:t>
            </w:r>
          </w:p>
        </w:tc>
        <w:tc>
          <w:tcPr>
            <w:tcW w:w="320" w:type="dxa"/>
            <w:vAlign w:val="bottom"/>
          </w:tcPr>
          <w:p>
            <w:pPr>
              <w:spacing w:after="0"/>
              <w:rPr>
                <w:sz w:val="17"/>
                <w:szCs w:val="17"/>
                <w:color w:val="auto"/>
              </w:rPr>
            </w:pPr>
          </w:p>
        </w:tc>
        <w:tc>
          <w:tcPr>
            <w:tcW w:w="540" w:type="dxa"/>
            <w:vAlign w:val="bottom"/>
            <w:vMerge w:val="restart"/>
          </w:tcPr>
          <w:p>
            <w:pPr>
              <w:jc w:val="center"/>
              <w:ind w:right="292"/>
              <w:spacing w:after="0"/>
              <w:rPr>
                <w:sz w:val="20"/>
                <w:szCs w:val="20"/>
                <w:color w:val="auto"/>
              </w:rPr>
            </w:pPr>
            <w:r>
              <w:rPr>
                <w:rFonts w:ascii="Arial" w:cs="Arial" w:eastAsia="Arial" w:hAnsi="Arial"/>
                <w:sz w:val="17"/>
                <w:szCs w:val="17"/>
                <w:color w:val="0000FF"/>
              </w:rPr>
              <w:t>I</w:t>
            </w:r>
          </w:p>
        </w:tc>
        <w:tc>
          <w:tcPr>
            <w:tcW w:w="1000" w:type="dxa"/>
            <w:vAlign w:val="bottom"/>
            <w:gridSpan w:val="5"/>
          </w:tcPr>
          <w:p>
            <w:pPr>
              <w:ind w:left="8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5"/>
            <w:vMerge w:val="restart"/>
          </w:tcPr>
          <w:p>
            <w:pPr>
              <w:ind w:left="8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5"/>
          </w:tcPr>
          <w:p>
            <w:pPr>
              <w:ind w:left="8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4"/>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6"/>
              </w:rPr>
              <w:t>82,320.306</w:t>
            </w:r>
            <w:r>
              <w:rPr>
                <w:rFonts w:ascii="Arial" w:cs="Arial" w:eastAsia="Arial" w:hAnsi="Arial"/>
                <w:sz w:val="21"/>
                <w:szCs w:val="21"/>
                <w:color w:val="008000"/>
                <w:w w:val="86"/>
                <w:vertAlign w:val="superscript"/>
              </w:rPr>
              <w:t>(3)</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20" w:type="dxa"/>
            <w:vAlign w:val="bottom"/>
            <w:gridSpan w:val="4"/>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w w:val="97"/>
              </w:rPr>
              <w:t>(Instr. 4)</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gridSpan w:val="2"/>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15.88</w:t>
            </w:r>
          </w:p>
        </w:tc>
        <w:tc>
          <w:tcPr>
            <w:tcW w:w="1040" w:type="dxa"/>
            <w:vAlign w:val="bottom"/>
          </w:tcPr>
          <w:p>
            <w:pPr>
              <w:jc w:val="right"/>
              <w:ind w:right="136"/>
              <w:spacing w:after="0"/>
              <w:rPr>
                <w:sz w:val="20"/>
                <w:szCs w:val="20"/>
                <w:color w:val="auto"/>
              </w:rPr>
            </w:pPr>
            <w:r>
              <w:rPr>
                <w:rFonts w:ascii="Arial" w:cs="Arial" w:eastAsia="Arial" w:hAnsi="Arial"/>
                <w:sz w:val="13"/>
                <w:szCs w:val="13"/>
                <w:color w:val="0000FF"/>
              </w:rPr>
              <w:t>06/09/2020</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ind w:left="4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6"/>
                <w:szCs w:val="16"/>
                <w:color w:val="auto"/>
              </w:rPr>
            </w:pPr>
          </w:p>
        </w:tc>
        <w:tc>
          <w:tcPr>
            <w:tcW w:w="840" w:type="dxa"/>
            <w:vAlign w:val="bottom"/>
          </w:tcPr>
          <w:p>
            <w:pPr>
              <w:ind w:left="380"/>
              <w:spacing w:after="0"/>
              <w:rPr>
                <w:sz w:val="20"/>
                <w:szCs w:val="20"/>
                <w:color w:val="auto"/>
              </w:rPr>
            </w:pPr>
            <w:r>
              <w:rPr>
                <w:rFonts w:ascii="Arial" w:cs="Arial" w:eastAsia="Arial" w:hAnsi="Arial"/>
                <w:sz w:val="13"/>
                <w:szCs w:val="13"/>
                <w:color w:val="0000FF"/>
              </w:rPr>
              <w:t>13,200</w:t>
            </w:r>
          </w:p>
        </w:tc>
        <w:tc>
          <w:tcPr>
            <w:tcW w:w="760" w:type="dxa"/>
            <w:vAlign w:val="bottom"/>
          </w:tcPr>
          <w:p>
            <w:pPr>
              <w:ind w:left="300"/>
              <w:spacing w:after="0"/>
              <w:rPr>
                <w:sz w:val="20"/>
                <w:szCs w:val="20"/>
                <w:color w:val="auto"/>
              </w:rPr>
            </w:pPr>
            <w:r>
              <w:rPr>
                <w:rFonts w:ascii="Arial" w:cs="Arial" w:eastAsia="Arial" w:hAnsi="Arial"/>
                <w:sz w:val="11"/>
                <w:szCs w:val="11"/>
                <w:color w:val="008000"/>
              </w:rPr>
              <w:t>(4)</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12/08/2020</w:t>
            </w: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20" w:type="dxa"/>
            <w:vAlign w:val="bottom"/>
          </w:tcPr>
          <w:p>
            <w:pPr>
              <w:jc w:val="right"/>
              <w:ind w:right="12"/>
              <w:spacing w:after="0" w:line="189" w:lineRule="exact"/>
              <w:rPr>
                <w:sz w:val="20"/>
                <w:szCs w:val="20"/>
                <w:color w:val="auto"/>
              </w:rPr>
            </w:pPr>
            <w:r>
              <w:rPr>
                <w:rFonts w:ascii="Arial" w:cs="Arial" w:eastAsia="Arial" w:hAnsi="Arial"/>
                <w:sz w:val="17"/>
                <w:szCs w:val="17"/>
                <w:color w:val="0000FF"/>
                <w:w w:val="99"/>
              </w:rPr>
              <w:t>13,200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00" w:type="dxa"/>
            <w:vAlign w:val="bottom"/>
          </w:tcPr>
          <w:p>
            <w:pPr>
              <w:ind w:left="380"/>
              <w:spacing w:after="0"/>
              <w:rPr>
                <w:sz w:val="20"/>
                <w:szCs w:val="20"/>
                <w:color w:val="auto"/>
              </w:rPr>
            </w:pPr>
            <w:r>
              <w:rPr>
                <w:rFonts w:ascii="Arial" w:cs="Arial" w:eastAsia="Arial" w:hAnsi="Arial"/>
                <w:sz w:val="13"/>
                <w:szCs w:val="13"/>
                <w:color w:val="0000FF"/>
              </w:rPr>
              <w:t>0</w:t>
            </w:r>
          </w:p>
        </w:tc>
        <w:tc>
          <w:tcPr>
            <w:tcW w:w="32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jc w:val="center"/>
              <w:spacing w:after="0" w:line="105" w:lineRule="exact"/>
              <w:rPr>
                <w:sz w:val="20"/>
                <w:szCs w:val="20"/>
                <w:color w:val="auto"/>
              </w:rPr>
            </w:pPr>
            <w:r>
              <w:rPr>
                <w:rFonts w:ascii="Arial" w:cs="Arial" w:eastAsia="Arial" w:hAnsi="Arial"/>
                <w:sz w:val="12"/>
                <w:szCs w:val="12"/>
                <w:color w:val="0000FF"/>
                <w:w w:val="99"/>
              </w:rPr>
              <w:t>Stock</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-4077970</wp:posOffset>
            </wp:positionV>
            <wp:extent cx="7033895" cy="4217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42170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to cover the exercise price and tax withholding of the exercised options.</w:t>
      </w:r>
    </w:p>
    <w:p>
      <w:pPr>
        <w:spacing w:after="0" w:line="43" w:lineRule="exact"/>
        <w:rPr>
          <w:rFonts w:ascii="Arial" w:cs="Arial" w:eastAsia="Arial" w:hAnsi="Arial"/>
          <w:sz w:val="13"/>
          <w:szCs w:val="13"/>
          <w:color w:val="008000"/>
        </w:rPr>
      </w:pPr>
    </w:p>
    <w:p>
      <w:pPr>
        <w:ind w:left="40" w:right="38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111.549 shares acquired by the reporting person since the date of his last report under the dividend reinvestment feature of the The Toro Company Retirement Plan less quarterly non-discretionary administrative fees.</w:t>
      </w:r>
    </w:p>
    <w:p>
      <w:pPr>
        <w:spacing w:after="0" w:line="25" w:lineRule="exact"/>
        <w:rPr>
          <w:rFonts w:ascii="Arial" w:cs="Arial" w:eastAsia="Arial" w:hAnsi="Arial"/>
          <w:sz w:val="13"/>
          <w:szCs w:val="13"/>
          <w:color w:val="008000"/>
        </w:rPr>
      </w:pPr>
    </w:p>
    <w:p>
      <w:pPr>
        <w:ind w:left="40" w:right="46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566.521 performance share units acquired by the reporting person since the date of his last report under the dividend reinvestment feature of The Toro Company Deferred Compensation Plan for Officers.</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annual installments commencing on the first anniversary of the date of grant, which was December 8, 2010.</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Angela D. Snavely,</w:t>
            </w:r>
          </w:p>
        </w:tc>
        <w:tc>
          <w:tcPr>
            <w:tcW w:w="7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06/11/2020</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Arial" w:cs="Arial" w:eastAsia="Arial" w:hAnsi="Arial"/>
                <w:sz w:val="17"/>
                <w:szCs w:val="17"/>
                <w:color w:val="0000FF"/>
                <w:w w:val="90"/>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5408"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2020-06-11T15:34:06Z</dcterms:created>
  <dcterms:modified xsi:type="dcterms:W3CDTF">2020-06-11T15:34:06Z</dcterms:modified>
</cp:coreProperties>
</file>