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GM, Sitework Systems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85"/>
              </w:rPr>
              <w:t>A</w:t>
            </w:r>
          </w:p>
        </w:tc>
        <w:tc>
          <w:tcPr>
            <w:tcW w:w="76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585</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4,926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right"/>
              <w:ind w:right="152"/>
              <w:spacing w:after="0"/>
              <w:rPr>
                <w:sz w:val="20"/>
                <w:szCs w:val="20"/>
                <w:color w:val="auto"/>
              </w:rPr>
            </w:pPr>
            <w:r>
              <w:rPr>
                <w:rFonts w:ascii="Arial" w:cs="Arial" w:eastAsia="Arial" w:hAnsi="Arial"/>
                <w:sz w:val="18"/>
                <w:szCs w:val="18"/>
                <w:color w:val="0000FF"/>
              </w:rPr>
              <w:t>191</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39.67</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4"/>
              </w:rPr>
              <w:t>4,735</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8"/>
              </w:rPr>
              <w:t>7,395.17</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Performance Share Awards are paid in Shares of Common Stock under the PSP.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2019-12-16T23:52:19Z</dcterms:created>
  <dcterms:modified xsi:type="dcterms:W3CDTF">2019-12-16T23:52:19Z</dcterms:modified>
</cp:coreProperties>
</file>