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Olson Richard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833"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55420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00" w:type="dxa"/>
            <w:vAlign w:val="bottom"/>
            <w:gridSpan w:val="8"/>
          </w:tcPr>
          <w:p>
            <w:pPr>
              <w:ind w:left="2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00" w:type="dxa"/>
            <w:vAlign w:val="bottom"/>
            <w:gridSpan w:val="8"/>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6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12/17/2025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rPr>
              <w:t>7,122</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80.43</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41,434.461</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3"/>
                <w:szCs w:val="23"/>
                <w:color w:val="auto"/>
              </w:rPr>
            </w:pPr>
          </w:p>
        </w:tc>
        <w:tc>
          <w:tcPr>
            <w:tcW w:w="176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0000FF"/>
              </w:rPr>
              <w:t>12/17/2025</w:t>
            </w: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0000FF"/>
              </w:rPr>
              <w:t>3,248</w:t>
            </w:r>
          </w:p>
        </w:tc>
        <w:tc>
          <w:tcPr>
            <w:tcW w:w="4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gridSpan w:val="2"/>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80.43</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38,186.461</w:t>
            </w:r>
          </w:p>
        </w:tc>
        <w:tc>
          <w:tcPr>
            <w:tcW w:w="320" w:type="dxa"/>
            <w:vAlign w:val="bottom"/>
          </w:tcPr>
          <w:p>
            <w:pPr>
              <w:spacing w:after="0"/>
              <w:rPr>
                <w:sz w:val="23"/>
                <w:szCs w:val="23"/>
                <w:color w:val="auto"/>
              </w:rPr>
            </w:pPr>
          </w:p>
        </w:tc>
        <w:tc>
          <w:tcPr>
            <w:tcW w:w="50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17,728.734</w:t>
            </w:r>
            <w:r>
              <w:rPr>
                <w:rFonts w:ascii="Times New Roman" w:cs="Times New Roman" w:eastAsia="Times New Roman" w:hAnsi="Times New Roman"/>
                <w:sz w:val="22"/>
                <w:szCs w:val="22"/>
                <w:color w:val="008000"/>
                <w:w w:val="96"/>
                <w:vertAlign w:val="superscript"/>
              </w:rPr>
              <w:t>(2)</w:t>
            </w:r>
          </w:p>
        </w:tc>
        <w:tc>
          <w:tcPr>
            <w:tcW w:w="320" w:type="dxa"/>
            <w:vAlign w:val="bottom"/>
          </w:tcPr>
          <w:p>
            <w:pPr>
              <w:spacing w:after="0"/>
              <w:rPr>
                <w:sz w:val="18"/>
                <w:szCs w:val="18"/>
                <w:color w:val="auto"/>
              </w:rPr>
            </w:pPr>
          </w:p>
        </w:tc>
        <w:tc>
          <w:tcPr>
            <w:tcW w:w="500" w:type="dxa"/>
            <w:vAlign w:val="bottom"/>
            <w:vMerge w:val="restart"/>
          </w:tcPr>
          <w:p>
            <w:pPr>
              <w:jc w:val="center"/>
              <w:ind w:right="310"/>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4"/>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170,144.66</w:t>
            </w:r>
            <w:r>
              <w:rPr>
                <w:rFonts w:ascii="Times New Roman" w:cs="Times New Roman" w:eastAsia="Times New Roman" w:hAnsi="Times New Roman"/>
                <w:sz w:val="22"/>
                <w:szCs w:val="22"/>
                <w:color w:val="008000"/>
                <w:w w:val="96"/>
                <w:vertAlign w:val="superscript"/>
              </w:rPr>
              <w:t>(3)</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2023 to Fiscal 2025 Performance Period under The Toro Company 2022 Equity and Incentive Plan, as approved by the Issuer's Compensation &amp; Human Resources Committee of its Board of Directors on December 9, 2025, and which was conditioned upon and subject to confirmation by the Issuer's Fiscal 2025 financial results that were released on December 17, 2025.</w:t>
      </w:r>
    </w:p>
    <w:p>
      <w:pPr>
        <w:spacing w:after="0" w:line="20" w:lineRule="exact"/>
        <w:rPr>
          <w:rFonts w:ascii="Times New Roman" w:cs="Times New Roman" w:eastAsia="Times New Roman" w:hAnsi="Times New Roman"/>
          <w:sz w:val="13"/>
          <w:szCs w:val="13"/>
          <w:color w:val="008000"/>
        </w:rPr>
      </w:pPr>
    </w:p>
    <w:p>
      <w:pPr>
        <w:ind w:left="40" w:right="7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176.677 net shares acquired by the reporting person since the date of his last report under the dividend reinvestment feature of The Toro Company Retirement Plan less quarterly non-discretionary administrative fees.</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1,698.110 performance share units acquired by the reporting person since the date of his last report under the dividend reinvestment feature of The Toro Company Deferred Compensation Plan for Officers.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Joanna M. Totsky,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12/18/2025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5408"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2025-12-18T15:51:32Z</dcterms:created>
  <dcterms:modified xsi:type="dcterms:W3CDTF">2025-12-18T15:51:32Z</dcterms:modified>
</cp:coreProperties>
</file>