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
        <w:spacing w:after="0"/>
        <w:rPr>
          <w:sz w:val="20"/>
          <w:szCs w:val="20"/>
          <w:color w:val="auto"/>
        </w:rPr>
      </w:pPr>
      <w:r>
        <w:rPr>
          <w:rFonts w:ascii="Courier New" w:cs="Courier New" w:eastAsia="Courier New" w:hAnsi="Courier New"/>
          <w:sz w:val="16"/>
          <w:szCs w:val="16"/>
          <w:color w:val="auto"/>
        </w:rPr>
        <w:t>As filed with the Securities and Exchange Commission on May 3, 2000</w:t>
      </w:r>
    </w:p>
    <w:p>
      <w:pPr>
        <w:spacing w:after="0" w:line="218" w:lineRule="exact"/>
        <w:rPr>
          <w:sz w:val="24"/>
          <w:szCs w:val="24"/>
          <w:color w:val="auto"/>
        </w:rPr>
      </w:pPr>
    </w:p>
    <w:p>
      <w:pPr>
        <w:ind w:left="4940"/>
        <w:spacing w:after="0"/>
        <w:rPr>
          <w:sz w:val="20"/>
          <w:szCs w:val="20"/>
          <w:color w:val="auto"/>
        </w:rPr>
      </w:pPr>
      <w:r>
        <w:rPr>
          <w:rFonts w:ascii="Courier New" w:cs="Courier New" w:eastAsia="Courier New" w:hAnsi="Courier New"/>
          <w:sz w:val="18"/>
          <w:szCs w:val="18"/>
          <w:color w:val="auto"/>
        </w:rPr>
        <w:t>Registration No. 333-</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160" w:type="dxa"/>
            <w:vAlign w:val="bottom"/>
            <w:gridSpan w:val="2"/>
          </w:tcPr>
          <w:p>
            <w:pPr>
              <w:jc w:val="center"/>
              <w:ind w:left="772"/>
              <w:spacing w:after="0"/>
              <w:rPr>
                <w:sz w:val="20"/>
                <w:szCs w:val="20"/>
                <w:color w:val="auto"/>
              </w:rPr>
            </w:pPr>
            <w:r>
              <w:rPr>
                <w:rFonts w:ascii="Courier New" w:cs="Courier New" w:eastAsia="Courier New" w:hAnsi="Courier New"/>
                <w:sz w:val="18"/>
                <w:szCs w:val="18"/>
                <w:color w:val="auto"/>
                <w:w w:val="97"/>
              </w:rPr>
              <w:t>SECURITIES AND EXCHANGE COMMISSION</w:t>
            </w:r>
          </w:p>
        </w:tc>
      </w:tr>
      <w:tr>
        <w:trPr>
          <w:trHeight w:val="203"/>
        </w:trPr>
        <w:tc>
          <w:tcPr>
            <w:tcW w:w="7160" w:type="dxa"/>
            <w:vAlign w:val="bottom"/>
            <w:gridSpan w:val="2"/>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WASHINGTON, D.C. 20549</w:t>
            </w:r>
          </w:p>
        </w:tc>
      </w:tr>
      <w:tr>
        <w:trPr>
          <w:trHeight w:val="810"/>
        </w:trPr>
        <w:tc>
          <w:tcPr>
            <w:tcW w:w="4840" w:type="dxa"/>
            <w:vAlign w:val="bottom"/>
          </w:tcPr>
          <w:p>
            <w:pPr>
              <w:jc w:val="center"/>
              <w:ind w:left="3072"/>
              <w:spacing w:after="0"/>
              <w:rPr>
                <w:sz w:val="20"/>
                <w:szCs w:val="20"/>
                <w:color w:val="auto"/>
              </w:rPr>
            </w:pPr>
            <w:r>
              <w:rPr>
                <w:rFonts w:ascii="Courier New" w:cs="Courier New" w:eastAsia="Courier New" w:hAnsi="Courier New"/>
                <w:sz w:val="18"/>
                <w:szCs w:val="18"/>
                <w:color w:val="auto"/>
                <w:w w:val="97"/>
              </w:rPr>
              <w:t>FORM S-8</w:t>
            </w:r>
          </w:p>
        </w:tc>
        <w:tc>
          <w:tcPr>
            <w:tcW w:w="2320" w:type="dxa"/>
            <w:vAlign w:val="bottom"/>
          </w:tcPr>
          <w:p>
            <w:pPr>
              <w:spacing w:after="0"/>
              <w:rPr>
                <w:sz w:val="24"/>
                <w:szCs w:val="24"/>
                <w:color w:val="auto"/>
              </w:rPr>
            </w:pPr>
          </w:p>
        </w:tc>
      </w:tr>
      <w:tr>
        <w:trPr>
          <w:trHeight w:val="405"/>
        </w:trPr>
        <w:tc>
          <w:tcPr>
            <w:tcW w:w="7160" w:type="dxa"/>
            <w:vAlign w:val="bottom"/>
            <w:gridSpan w:val="2"/>
          </w:tcPr>
          <w:p>
            <w:pPr>
              <w:jc w:val="center"/>
              <w:ind w:left="752"/>
              <w:spacing w:after="0"/>
              <w:rPr>
                <w:sz w:val="20"/>
                <w:szCs w:val="20"/>
                <w:color w:val="auto"/>
              </w:rPr>
            </w:pPr>
            <w:r>
              <w:rPr>
                <w:rFonts w:ascii="Courier New" w:cs="Courier New" w:eastAsia="Courier New" w:hAnsi="Courier New"/>
                <w:sz w:val="18"/>
                <w:szCs w:val="18"/>
                <w:color w:val="auto"/>
                <w:w w:val="97"/>
              </w:rPr>
              <w:t>REGISTRATION STATEMENT</w:t>
            </w:r>
          </w:p>
        </w:tc>
      </w:tr>
      <w:tr>
        <w:trPr>
          <w:trHeight w:val="203"/>
        </w:trPr>
        <w:tc>
          <w:tcPr>
            <w:tcW w:w="484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UNDER</w:t>
            </w:r>
          </w:p>
        </w:tc>
        <w:tc>
          <w:tcPr>
            <w:tcW w:w="2320" w:type="dxa"/>
            <w:vAlign w:val="bottom"/>
          </w:tcPr>
          <w:p>
            <w:pPr>
              <w:spacing w:after="0"/>
              <w:rPr>
                <w:sz w:val="17"/>
                <w:szCs w:val="17"/>
                <w:color w:val="auto"/>
              </w:rPr>
            </w:pPr>
          </w:p>
        </w:tc>
      </w:tr>
      <w:tr>
        <w:trPr>
          <w:trHeight w:val="203"/>
        </w:trPr>
        <w:tc>
          <w:tcPr>
            <w:tcW w:w="7160" w:type="dxa"/>
            <w:vAlign w:val="bottom"/>
            <w:gridSpan w:val="2"/>
          </w:tcPr>
          <w:p>
            <w:pPr>
              <w:jc w:val="center"/>
              <w:ind w:left="772"/>
              <w:spacing w:after="0" w:line="203" w:lineRule="exact"/>
              <w:rPr>
                <w:sz w:val="20"/>
                <w:szCs w:val="20"/>
                <w:color w:val="auto"/>
              </w:rPr>
            </w:pPr>
            <w:r>
              <w:rPr>
                <w:rFonts w:ascii="Courier New" w:cs="Courier New" w:eastAsia="Courier New" w:hAnsi="Courier New"/>
                <w:sz w:val="18"/>
                <w:szCs w:val="18"/>
                <w:color w:val="auto"/>
                <w:w w:val="97"/>
              </w:rPr>
              <w:t>THE SECURITIES ACT OF 1933</w:t>
            </w:r>
          </w:p>
        </w:tc>
      </w:tr>
      <w:tr>
        <w:trPr>
          <w:trHeight w:val="810"/>
        </w:trPr>
        <w:tc>
          <w:tcPr>
            <w:tcW w:w="4840" w:type="dxa"/>
            <w:vAlign w:val="bottom"/>
          </w:tcPr>
          <w:p>
            <w:pPr>
              <w:jc w:val="center"/>
              <w:ind w:left="3072"/>
              <w:spacing w:after="0"/>
              <w:rPr>
                <w:sz w:val="20"/>
                <w:szCs w:val="20"/>
                <w:color w:val="auto"/>
              </w:rPr>
            </w:pPr>
            <w:r>
              <w:rPr>
                <w:rFonts w:ascii="Courier New" w:cs="Courier New" w:eastAsia="Courier New" w:hAnsi="Courier New"/>
                <w:sz w:val="18"/>
                <w:szCs w:val="18"/>
                <w:color w:val="auto"/>
                <w:w w:val="97"/>
              </w:rPr>
              <w:t>THE TORO COMPANY</w:t>
            </w:r>
          </w:p>
        </w:tc>
        <w:tc>
          <w:tcPr>
            <w:tcW w:w="2320" w:type="dxa"/>
            <w:vAlign w:val="bottom"/>
          </w:tcPr>
          <w:p>
            <w:pPr>
              <w:spacing w:after="0"/>
              <w:rPr>
                <w:sz w:val="24"/>
                <w:szCs w:val="24"/>
                <w:color w:val="auto"/>
              </w:rPr>
            </w:pPr>
          </w:p>
        </w:tc>
      </w:tr>
      <w:tr>
        <w:trPr>
          <w:trHeight w:val="203"/>
        </w:trPr>
        <w:tc>
          <w:tcPr>
            <w:tcW w:w="7160" w:type="dxa"/>
            <w:vAlign w:val="bottom"/>
            <w:gridSpan w:val="2"/>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(Exact name of issuer as specified in its charter)</w:t>
            </w:r>
          </w:p>
        </w:tc>
      </w:tr>
      <w:tr>
        <w:trPr>
          <w:trHeight w:val="405"/>
        </w:trPr>
        <w:tc>
          <w:tcPr>
            <w:tcW w:w="4840" w:type="dxa"/>
            <w:vAlign w:val="bottom"/>
          </w:tcPr>
          <w:p>
            <w:pPr>
              <w:ind w:left="1360"/>
              <w:spacing w:after="0"/>
              <w:rPr>
                <w:sz w:val="20"/>
                <w:szCs w:val="20"/>
                <w:color w:val="auto"/>
              </w:rPr>
            </w:pPr>
            <w:r>
              <w:rPr>
                <w:rFonts w:ascii="Courier New" w:cs="Courier New" w:eastAsia="Courier New" w:hAnsi="Courier New"/>
                <w:sz w:val="18"/>
                <w:szCs w:val="18"/>
                <w:color w:val="auto"/>
              </w:rPr>
              <w:t>Delaware</w:t>
            </w:r>
          </w:p>
        </w:tc>
        <w:tc>
          <w:tcPr>
            <w:tcW w:w="2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41-0580470</w:t>
            </w:r>
          </w:p>
        </w:tc>
      </w:tr>
      <w:tr>
        <w:trPr>
          <w:trHeight w:val="203"/>
        </w:trPr>
        <w:tc>
          <w:tcPr>
            <w:tcW w:w="4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232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incorporation or organization)</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Identification Number)</w:t>
            </w:r>
          </w:p>
        </w:tc>
      </w:tr>
    </w:tbl>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8111 Lyndale Avenue South</w:t>
      </w:r>
    </w:p>
    <w:p>
      <w:pPr>
        <w:ind w:left="252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136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TORO AUSTRALIA PTY LIMITED</w:t>
      </w:r>
    </w:p>
    <w:p>
      <w:pPr>
        <w:ind w:left="2640"/>
        <w:spacing w:after="0" w:line="238" w:lineRule="auto"/>
        <w:rPr>
          <w:sz w:val="20"/>
          <w:szCs w:val="20"/>
          <w:color w:val="auto"/>
        </w:rPr>
      </w:pPr>
      <w:r>
        <w:rPr>
          <w:rFonts w:ascii="Courier New" w:cs="Courier New" w:eastAsia="Courier New" w:hAnsi="Courier New"/>
          <w:sz w:val="18"/>
          <w:szCs w:val="18"/>
          <w:color w:val="auto"/>
        </w:rPr>
        <w:t>GENERAL EMPLOYEE STOCK PLAN</w:t>
      </w:r>
    </w:p>
    <w:p>
      <w:pPr>
        <w:ind w:left="2740"/>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ind w:left="2520"/>
        <w:spacing w:after="0"/>
        <w:rPr>
          <w:sz w:val="20"/>
          <w:szCs w:val="20"/>
          <w:color w:val="auto"/>
        </w:rPr>
      </w:pPr>
      <w:r>
        <w:rPr>
          <w:rFonts w:ascii="Courier New" w:cs="Courier New" w:eastAsia="Courier New" w:hAnsi="Courier New"/>
          <w:sz w:val="18"/>
          <w:szCs w:val="18"/>
          <w:color w:val="auto"/>
        </w:rPr>
        <w:t>J. Lawrence McIntyre, Esquire</w:t>
      </w:r>
    </w:p>
    <w:p>
      <w:pPr>
        <w:ind w:left="1680"/>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ind w:left="3160"/>
        <w:spacing w:after="0"/>
        <w:rPr>
          <w:sz w:val="20"/>
          <w:szCs w:val="20"/>
          <w:color w:val="auto"/>
        </w:rPr>
      </w:pPr>
      <w:r>
        <w:rPr>
          <w:rFonts w:ascii="Courier New" w:cs="Courier New" w:eastAsia="Courier New" w:hAnsi="Courier New"/>
          <w:sz w:val="18"/>
          <w:szCs w:val="18"/>
          <w:color w:val="auto"/>
        </w:rPr>
        <w:t>The Toro Company</w:t>
      </w:r>
    </w:p>
    <w:p>
      <w:pPr>
        <w:ind w:left="2740"/>
        <w:spacing w:after="0" w:line="237" w:lineRule="auto"/>
        <w:rPr>
          <w:sz w:val="20"/>
          <w:szCs w:val="20"/>
          <w:color w:val="auto"/>
        </w:rPr>
      </w:pPr>
      <w:r>
        <w:rPr>
          <w:rFonts w:ascii="Courier New" w:cs="Courier New" w:eastAsia="Courier New" w:hAnsi="Courier New"/>
          <w:sz w:val="18"/>
          <w:szCs w:val="18"/>
          <w:color w:val="auto"/>
        </w:rPr>
        <w:t>8111 Lyndale Avenue South</w:t>
      </w:r>
    </w:p>
    <w:p>
      <w:pPr>
        <w:ind w:left="252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2320"/>
        <w:spacing w:after="0"/>
        <w:rPr>
          <w:sz w:val="20"/>
          <w:szCs w:val="20"/>
          <w:color w:val="auto"/>
        </w:rPr>
      </w:pPr>
      <w:r>
        <w:rPr>
          <w:rFonts w:ascii="Courier New" w:cs="Courier New" w:eastAsia="Courier New" w:hAnsi="Courier New"/>
          <w:sz w:val="18"/>
          <w:szCs w:val="18"/>
          <w:color w:val="auto"/>
        </w:rPr>
        <w:t>Telephone number : (952) 888-8801</w:t>
      </w:r>
    </w:p>
    <w:p>
      <w:pPr>
        <w:ind w:left="1060"/>
        <w:spacing w:after="0" w:line="237" w:lineRule="auto"/>
        <w:rPr>
          <w:sz w:val="20"/>
          <w:szCs w:val="20"/>
          <w:color w:val="auto"/>
        </w:rPr>
      </w:pPr>
      <w:r>
        <w:rPr>
          <w:rFonts w:ascii="Courier New" w:cs="Courier New" w:eastAsia="Courier New" w:hAnsi="Courier New"/>
          <w:sz w:val="18"/>
          <w:szCs w:val="18"/>
          <w:color w:val="auto"/>
        </w:rPr>
        <w:t>(Name, address and telephone number of agent for service)</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Helen P. Starr, Esquire</w:t>
      </w:r>
    </w:p>
    <w:p>
      <w:pPr>
        <w:ind w:left="3160"/>
        <w:spacing w:after="0" w:line="238" w:lineRule="auto"/>
        <w:rPr>
          <w:sz w:val="20"/>
          <w:szCs w:val="20"/>
          <w:color w:val="auto"/>
        </w:rPr>
      </w:pPr>
      <w:r>
        <w:rPr>
          <w:rFonts w:ascii="Courier New" w:cs="Courier New" w:eastAsia="Courier New" w:hAnsi="Courier New"/>
          <w:sz w:val="18"/>
          <w:szCs w:val="18"/>
          <w:color w:val="auto"/>
        </w:rPr>
        <w:t>Perkins Coie LLP</w:t>
      </w:r>
    </w:p>
    <w:p>
      <w:pPr>
        <w:ind w:left="2640"/>
        <w:spacing w:after="0"/>
        <w:rPr>
          <w:sz w:val="20"/>
          <w:szCs w:val="20"/>
          <w:color w:val="auto"/>
        </w:rPr>
      </w:pPr>
      <w:r>
        <w:rPr>
          <w:rFonts w:ascii="Courier New" w:cs="Courier New" w:eastAsia="Courier New" w:hAnsi="Courier New"/>
          <w:sz w:val="18"/>
          <w:szCs w:val="18"/>
          <w:color w:val="auto"/>
        </w:rPr>
        <w:t>607 Fourteenth Street, N.W.</w:t>
      </w:r>
    </w:p>
    <w:p>
      <w:pPr>
        <w:ind w:left="2840"/>
        <w:spacing w:after="0" w:line="237" w:lineRule="auto"/>
        <w:rPr>
          <w:sz w:val="20"/>
          <w:szCs w:val="20"/>
          <w:color w:val="auto"/>
        </w:rPr>
      </w:pPr>
      <w:r>
        <w:rPr>
          <w:rFonts w:ascii="Courier New" w:cs="Courier New" w:eastAsia="Courier New" w:hAnsi="Courier New"/>
          <w:sz w:val="18"/>
          <w:szCs w:val="18"/>
          <w:color w:val="auto"/>
        </w:rPr>
        <w:t>Washington, D.C. 20005</w:t>
      </w:r>
    </w:p>
    <w:p>
      <w:pPr>
        <w:sectPr>
          <w:pgSz w:w="11900" w:h="16838" w:orient="portrait"/>
          <w:cols w:equalWidth="0" w:num="1">
            <w:col w:w="9999"/>
          </w:cols>
          <w:pgMar w:left="460" w:top="65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49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CALCULATION OF REGISTRATION FEE</w:t>
            </w:r>
          </w:p>
        </w:tc>
        <w:tc>
          <w:tcPr>
            <w:tcW w:w="16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810"/>
        </w:trPr>
        <w:tc>
          <w:tcPr>
            <w:tcW w:w="2000" w:type="dxa"/>
            <w:vAlign w:val="bottom"/>
          </w:tcPr>
          <w:p>
            <w:pPr>
              <w:ind w:left="220"/>
              <w:spacing w:after="0"/>
              <w:rPr>
                <w:sz w:val="20"/>
                <w:szCs w:val="20"/>
                <w:color w:val="auto"/>
              </w:rPr>
            </w:pPr>
            <w:r>
              <w:rPr>
                <w:rFonts w:ascii="Courier New" w:cs="Courier New" w:eastAsia="Courier New" w:hAnsi="Courier New"/>
                <w:sz w:val="18"/>
                <w:szCs w:val="18"/>
                <w:color w:val="auto"/>
              </w:rPr>
              <w:t>Title of</w:t>
            </w:r>
          </w:p>
        </w:tc>
        <w:tc>
          <w:tcPr>
            <w:tcW w:w="290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8"/>
              </w:rPr>
              <w:t>Amount to</w:t>
            </w:r>
          </w:p>
        </w:tc>
        <w:tc>
          <w:tcPr>
            <w:tcW w:w="2060" w:type="dxa"/>
            <w:vAlign w:val="bottom"/>
          </w:tcPr>
          <w:p>
            <w:pPr>
              <w:ind w:left="700"/>
              <w:spacing w:after="0"/>
              <w:rPr>
                <w:sz w:val="20"/>
                <w:szCs w:val="20"/>
                <w:color w:val="auto"/>
              </w:rPr>
            </w:pPr>
            <w:r>
              <w:rPr>
                <w:rFonts w:ascii="Courier New" w:cs="Courier New" w:eastAsia="Courier New" w:hAnsi="Courier New"/>
                <w:sz w:val="18"/>
                <w:szCs w:val="18"/>
                <w:color w:val="auto"/>
              </w:rPr>
              <w:t>Proposed</w:t>
            </w:r>
          </w:p>
        </w:tc>
        <w:tc>
          <w:tcPr>
            <w:tcW w:w="1680" w:type="dxa"/>
            <w:vAlign w:val="bottom"/>
          </w:tcPr>
          <w:p>
            <w:pPr>
              <w:ind w:left="420"/>
              <w:spacing w:after="0"/>
              <w:rPr>
                <w:sz w:val="20"/>
                <w:szCs w:val="20"/>
                <w:color w:val="auto"/>
              </w:rPr>
            </w:pPr>
            <w:r>
              <w:rPr>
                <w:rFonts w:ascii="Courier New" w:cs="Courier New" w:eastAsia="Courier New" w:hAnsi="Courier New"/>
                <w:sz w:val="18"/>
                <w:szCs w:val="18"/>
                <w:color w:val="auto"/>
              </w:rPr>
              <w:t>Proposed</w:t>
            </w:r>
          </w:p>
        </w:tc>
        <w:tc>
          <w:tcPr>
            <w:tcW w:w="2000" w:type="dxa"/>
            <w:vAlign w:val="bottom"/>
          </w:tcPr>
          <w:p>
            <w:pPr>
              <w:ind w:left="640"/>
              <w:spacing w:after="0"/>
              <w:rPr>
                <w:sz w:val="20"/>
                <w:szCs w:val="20"/>
                <w:color w:val="auto"/>
              </w:rPr>
            </w:pPr>
            <w:r>
              <w:rPr>
                <w:rFonts w:ascii="Courier New" w:cs="Courier New" w:eastAsia="Courier New" w:hAnsi="Courier New"/>
                <w:sz w:val="18"/>
                <w:szCs w:val="18"/>
                <w:color w:val="auto"/>
              </w:rPr>
              <w:t>Amount of</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to</w:t>
            </w:r>
          </w:p>
        </w:tc>
        <w:tc>
          <w:tcPr>
            <w:tcW w:w="290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6"/>
              </w:rPr>
              <w:t>be registered</w:t>
            </w:r>
          </w:p>
        </w:tc>
        <w:tc>
          <w:tcPr>
            <w:tcW w:w="20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maximum</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maximum</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registration fee</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be registered</w:t>
            </w:r>
          </w:p>
        </w:tc>
        <w:tc>
          <w:tcPr>
            <w:tcW w:w="2900" w:type="dxa"/>
            <w:vAlign w:val="bottom"/>
          </w:tcPr>
          <w:p>
            <w:pPr>
              <w:spacing w:after="0"/>
              <w:rPr>
                <w:sz w:val="17"/>
                <w:szCs w:val="17"/>
                <w:color w:val="auto"/>
              </w:rPr>
            </w:pPr>
          </w:p>
        </w:tc>
        <w:tc>
          <w:tcPr>
            <w:tcW w:w="20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offering</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aggregate</w:t>
            </w:r>
          </w:p>
        </w:tc>
        <w:tc>
          <w:tcPr>
            <w:tcW w:w="20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price per</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offering</w:t>
            </w:r>
          </w:p>
        </w:tc>
        <w:tc>
          <w:tcPr>
            <w:tcW w:w="2000" w:type="dxa"/>
            <w:vAlign w:val="bottom"/>
          </w:tcPr>
          <w:p>
            <w:pPr>
              <w:spacing w:after="0"/>
              <w:rPr>
                <w:sz w:val="17"/>
                <w:szCs w:val="17"/>
                <w:color w:val="auto"/>
              </w:rPr>
            </w:pPr>
          </w:p>
        </w:tc>
      </w:tr>
      <w:tr>
        <w:trPr>
          <w:trHeight w:val="0"/>
        </w:trPr>
        <w:tc>
          <w:tcPr>
            <w:tcW w:w="20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60" w:type="dxa"/>
            <w:vAlign w:val="bottom"/>
          </w:tcPr>
          <w:p>
            <w:pPr>
              <w:ind w:left="700"/>
              <w:spacing w:after="0"/>
              <w:rPr>
                <w:sz w:val="20"/>
                <w:szCs w:val="20"/>
                <w:color w:val="auto"/>
              </w:rPr>
            </w:pPr>
            <w:r>
              <w:rPr>
                <w:rFonts w:ascii="Courier New" w:cs="Courier New" w:eastAsia="Courier New" w:hAnsi="Courier New"/>
                <w:sz w:val="18"/>
                <w:szCs w:val="18"/>
                <w:color w:val="auto"/>
              </w:rPr>
              <w:t>share</w:t>
            </w:r>
          </w:p>
        </w:tc>
        <w:tc>
          <w:tcPr>
            <w:tcW w:w="1680" w:type="dxa"/>
            <w:vAlign w:val="bottom"/>
          </w:tcPr>
          <w:p>
            <w:pPr>
              <w:ind w:left="420"/>
              <w:spacing w:after="0"/>
              <w:rPr>
                <w:sz w:val="20"/>
                <w:szCs w:val="20"/>
                <w:color w:val="auto"/>
              </w:rPr>
            </w:pPr>
            <w:r>
              <w:rPr>
                <w:rFonts w:ascii="Courier New" w:cs="Courier New" w:eastAsia="Courier New" w:hAnsi="Courier New"/>
                <w:sz w:val="18"/>
                <w:szCs w:val="18"/>
                <w:color w:val="auto"/>
              </w:rPr>
              <w:t>price</w:t>
            </w:r>
          </w:p>
        </w:tc>
        <w:tc>
          <w:tcPr>
            <w:tcW w:w="20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2840" w:val="left"/>
          <w:tab w:leader="none" w:pos="5580" w:val="left"/>
          <w:tab w:leader="none" w:pos="7360" w:val="left"/>
          <w:tab w:leader="none" w:pos="958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8"/>
          <w:szCs w:val="18"/>
          <w:color w:val="auto"/>
        </w:rPr>
        <w:t>25,000 shares(b)</w:t>
      </w:r>
      <w:r>
        <w:rPr>
          <w:sz w:val="20"/>
          <w:szCs w:val="20"/>
          <w:color w:val="auto"/>
        </w:rPr>
        <w:tab/>
      </w:r>
      <w:r>
        <w:rPr>
          <w:rFonts w:ascii="Courier New" w:cs="Courier New" w:eastAsia="Courier New" w:hAnsi="Courier New"/>
          <w:sz w:val="18"/>
          <w:szCs w:val="18"/>
          <w:color w:val="auto"/>
        </w:rPr>
        <w:t>$30.625(c)</w:t>
      </w:r>
      <w:r>
        <w:rPr>
          <w:sz w:val="20"/>
          <w:szCs w:val="20"/>
          <w:color w:val="auto"/>
        </w:rPr>
        <w:tab/>
      </w:r>
      <w:r>
        <w:rPr>
          <w:rFonts w:ascii="Courier New" w:cs="Courier New" w:eastAsia="Courier New" w:hAnsi="Courier New"/>
          <w:sz w:val="18"/>
          <w:szCs w:val="18"/>
          <w:color w:val="auto"/>
        </w:rPr>
        <w:t>$765,625(c)</w:t>
      </w:r>
      <w:r>
        <w:rPr>
          <w:sz w:val="20"/>
          <w:szCs w:val="20"/>
          <w:color w:val="auto"/>
        </w:rPr>
        <w:tab/>
      </w:r>
      <w:r>
        <w:rPr>
          <w:rFonts w:ascii="Courier New" w:cs="Courier New" w:eastAsia="Courier New" w:hAnsi="Courier New"/>
          <w:sz w:val="16"/>
          <w:szCs w:val="16"/>
          <w:color w:val="auto"/>
        </w:rPr>
        <w:t>$203(d)</w:t>
      </w:r>
    </w:p>
    <w:p>
      <w:pPr>
        <w:spacing w:after="0" w:line="238" w:lineRule="auto"/>
        <w:rPr>
          <w:sz w:val="20"/>
          <w:szCs w:val="20"/>
          <w:color w:val="auto"/>
        </w:rPr>
      </w:pPr>
      <w:r>
        <w:rPr>
          <w:rFonts w:ascii="Courier New" w:cs="Courier New" w:eastAsia="Courier New" w:hAnsi="Courier New"/>
          <w:sz w:val="18"/>
          <w:szCs w:val="18"/>
          <w:color w:val="auto"/>
        </w:rPr>
        <w:t>Par value $1.00 per</w:t>
      </w:r>
    </w:p>
    <w:p>
      <w:pPr>
        <w:spacing w:after="0"/>
        <w:rPr>
          <w:sz w:val="20"/>
          <w:szCs w:val="20"/>
          <w:color w:val="auto"/>
        </w:rPr>
      </w:pPr>
      <w:r>
        <w:rPr>
          <w:rFonts w:ascii="Courier New" w:cs="Courier New" w:eastAsia="Courier New" w:hAnsi="Courier New"/>
          <w:sz w:val="18"/>
          <w:szCs w:val="18"/>
          <w:color w:val="auto"/>
        </w:rPr>
        <w:t>Share(a)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640" w:right="2740" w:hanging="63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Common Stock includes one Preferred Share Purchase Right pursuant to the Rights Agreement dated May 20, 1998. Value attributable to such Rights, if any, is reflected in the market price of the Common Stock.</w:t>
      </w:r>
    </w:p>
    <w:p>
      <w:pPr>
        <w:spacing w:after="0" w:line="4" w:lineRule="exact"/>
        <w:rPr>
          <w:rFonts w:ascii="Courier New" w:cs="Courier New" w:eastAsia="Courier New" w:hAnsi="Courier New"/>
          <w:sz w:val="18"/>
          <w:szCs w:val="18"/>
          <w:color w:val="auto"/>
        </w:rPr>
      </w:pPr>
    </w:p>
    <w:p>
      <w:pPr>
        <w:ind w:left="640" w:right="2960"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indeterminate number of shares will be issued from time to time to participants pursuant to the Plan.</w:t>
      </w:r>
    </w:p>
    <w:p>
      <w:pPr>
        <w:spacing w:after="0" w:line="5" w:lineRule="exact"/>
        <w:rPr>
          <w:rFonts w:ascii="Courier New" w:cs="Courier New" w:eastAsia="Courier New" w:hAnsi="Courier New"/>
          <w:sz w:val="18"/>
          <w:szCs w:val="18"/>
          <w:color w:val="auto"/>
        </w:rPr>
      </w:pPr>
    </w:p>
    <w:p>
      <w:pPr>
        <w:ind w:left="640" w:right="3160" w:hanging="63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to calculate the registration fee, pursuant to Rule 457(c), on the basis of the average of the high and low prices reported in the consolidated reporting system on April 27, 2000, as reported on the New York Stock Exchange Composite Tape.</w:t>
      </w:r>
    </w:p>
    <w:p>
      <w:pPr>
        <w:ind w:left="640" w:hanging="632"/>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fee to be applied to account number 737758.</w:t>
      </w:r>
    </w:p>
    <w:p>
      <w:pPr>
        <w:sectPr>
          <w:pgSz w:w="11900" w:h="16838" w:orient="portrait"/>
          <w:cols w:equalWidth="0" w:num="1">
            <w:col w:w="10860"/>
          </w:cols>
          <w:pgMar w:left="240" w:top="717" w:right="799" w:bottom="1440" w:gutter="0" w:footer="0" w:header="0"/>
        </w:sectPr>
      </w:pPr>
    </w:p>
    <w:bookmarkStart w:id="2" w:name="page3"/>
    <w:bookmarkEnd w:id="2"/>
    <w:p>
      <w:pPr>
        <w:ind w:left="3900"/>
        <w:spacing w:after="0"/>
        <w:rPr>
          <w:sz w:val="20"/>
          <w:szCs w:val="20"/>
          <w:color w:val="auto"/>
        </w:rPr>
      </w:pPr>
      <w:r>
        <w:rPr>
          <w:rFonts w:ascii="Courier New" w:cs="Courier New" w:eastAsia="Courier New" w:hAnsi="Courier New"/>
          <w:sz w:val="18"/>
          <w:szCs w:val="18"/>
          <w:color w:val="auto"/>
        </w:rPr>
        <w:t>PART I</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All information required by Part I to be contained in the prospectus is omitted from this Registration Statement in accordance with Rule 428 under the Securities Act of 1933, as amended.</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INCORPORATION BY REFERENCE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rules of the Securities and Exchange Commission allow the Registrant to "incorporate by reference" information into this Registration Statement. This means that the Registrant may disclose important information to you by referring you to another document.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The following documents have been filed by the Registrant with the SEC and are incorporated by reference in this Registration Statement:</w:t>
      </w:r>
    </w:p>
    <w:p>
      <w:pPr>
        <w:spacing w:after="0" w:line="208" w:lineRule="exact"/>
        <w:rPr>
          <w:sz w:val="20"/>
          <w:szCs w:val="20"/>
          <w:color w:val="auto"/>
        </w:rPr>
      </w:pPr>
    </w:p>
    <w:p>
      <w:pPr>
        <w:ind w:left="1900" w:right="1779" w:firstLine="4"/>
        <w:spacing w:after="0" w:line="235" w:lineRule="auto"/>
        <w:tabs>
          <w:tab w:leader="none" w:pos="22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Annual Report on Form 10-K for the fiscal year ended October 31, 1999 (File No. 1-8649).</w:t>
      </w:r>
    </w:p>
    <w:p>
      <w:pPr>
        <w:spacing w:after="0" w:line="208" w:lineRule="exact"/>
        <w:rPr>
          <w:rFonts w:ascii="Courier New" w:cs="Courier New" w:eastAsia="Courier New" w:hAnsi="Courier New"/>
          <w:sz w:val="18"/>
          <w:szCs w:val="18"/>
          <w:color w:val="auto"/>
        </w:rPr>
      </w:pPr>
    </w:p>
    <w:p>
      <w:pPr>
        <w:ind w:left="1900" w:right="2199" w:firstLine="4"/>
        <w:spacing w:after="0" w:line="235" w:lineRule="auto"/>
        <w:tabs>
          <w:tab w:leader="none" w:pos="22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Quarterly Report on Form 10-Q for the quarter ended January 28, 2000 (File No. 1-8649).</w:t>
      </w:r>
    </w:p>
    <w:p>
      <w:pPr>
        <w:spacing w:after="0" w:line="202" w:lineRule="exact"/>
        <w:rPr>
          <w:rFonts w:ascii="Courier New" w:cs="Courier New" w:eastAsia="Courier New" w:hAnsi="Courier New"/>
          <w:sz w:val="18"/>
          <w:szCs w:val="18"/>
          <w:color w:val="auto"/>
        </w:rPr>
      </w:pPr>
    </w:p>
    <w:p>
      <w:pPr>
        <w:ind w:left="2220" w:hanging="316"/>
        <w:spacing w:after="0"/>
        <w:tabs>
          <w:tab w:leader="none" w:pos="2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descriptions of its Common Stock and Preferred Share</w:t>
      </w:r>
    </w:p>
    <w:p>
      <w:pPr>
        <w:spacing w:after="0" w:line="4" w:lineRule="exact"/>
        <w:rPr>
          <w:rFonts w:ascii="Courier New" w:cs="Courier New" w:eastAsia="Courier New" w:hAnsi="Courier New"/>
          <w:sz w:val="18"/>
          <w:szCs w:val="18"/>
          <w:color w:val="auto"/>
        </w:rPr>
      </w:pPr>
    </w:p>
    <w:p>
      <w:pPr>
        <w:ind w:left="19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Rights contained in its Registration Statements filed with the Commission pursuant to Section 12 of the Securities Exchange Act of 1934 (the "Exchange Act"), including any amendment or report filed for the purpose of updating such descriptions (File No. 1-8649).</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documents subsequently filed by Registrant pursuant to Sections 13(a), 13(c), 14 and 15(d) of the Securities Exchange Act of 1934,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filing of those documents. The information contained in such a document will automatically update and supersede any information previously incorporated by reference into this Registration Statement.</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The Common Stock is registered under Section 12(b) of the Securities Exchange Act of 1934.</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The opinion of counsel as to the legality of the securities being registered, which is Exhibit 5 to this Registration Statement, is rendered by J. Lawrence McIntyre, Vice President, Secretary and General Counsel to Registrant.</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2099" w:firstLine="948"/>
        <w:spacing w:after="0" w:line="238" w:lineRule="auto"/>
        <w:rPr>
          <w:sz w:val="20"/>
          <w:szCs w:val="20"/>
          <w:color w:val="auto"/>
        </w:rPr>
      </w:pPr>
      <w:r>
        <w:rPr>
          <w:rFonts w:ascii="Courier New" w:cs="Courier New" w:eastAsia="Courier New" w:hAnsi="Courier New"/>
          <w:sz w:val="18"/>
          <w:szCs w:val="18"/>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 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reasonably believed to be in or not opposed to the best interests of the corporation and, in the case of a criminal action, where such person had no reasonable cause to believe his conduct was unlawful. Unless a court determines to the contrary, a corporation has no power of indemnification in an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pacing w:after="0" w:line="211" w:lineRule="exact"/>
        <w:rPr>
          <w:sz w:val="20"/>
          <w:szCs w:val="20"/>
          <w:color w:val="auto"/>
        </w:rPr>
      </w:pPr>
    </w:p>
    <w:p>
      <w:pPr>
        <w:ind w:right="2099" w:firstLine="948"/>
        <w:spacing w:after="0" w:line="272" w:lineRule="auto"/>
        <w:rPr>
          <w:sz w:val="20"/>
          <w:szCs w:val="20"/>
          <w:color w:val="auto"/>
        </w:rPr>
      </w:pPr>
      <w:r>
        <w:rPr>
          <w:rFonts w:ascii="Courier New" w:cs="Courier New" w:eastAsia="Courier New" w:hAnsi="Courier New"/>
          <w:sz w:val="16"/>
          <w:szCs w:val="16"/>
          <w:color w:val="auto"/>
        </w:rPr>
        <w:t>Section 2 of Article XI of the Registrant's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contracts.</w:t>
      </w:r>
    </w:p>
    <w:p>
      <w:pPr>
        <w:spacing w:after="0" w:line="186"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Section 1 of Article XI of the Registrant's Certificate of the Incorporation provides, in accordance with Section 102(b)(7) of the Delaware General Corporation Law, for the elimination or limitation of the personal liability of a director to the Registrant or its stockholders for monetary damages for breach of fiduciary duty as a director under certain circumstances.</w:t>
      </w:r>
    </w:p>
    <w:p>
      <w:pPr>
        <w:spacing w:after="0" w:line="210"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Registrant also maintains liability insurance policies which provide for indemnification of a director or officer of Registrant or a person serving at the request of the Registrant as a director, officer, employee or agent of another entity against certain liabilities under certain circumstances.</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exhibits are listed in the exhibit index.</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415 offering.</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right="1779" w:firstLine="956"/>
        <w:spacing w:after="0" w:line="235" w:lineRule="auto"/>
        <w:tabs>
          <w:tab w:leader="none" w:pos="1369"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sz w:val="20"/>
          <w:szCs w:val="20"/>
          <w:color w:val="auto"/>
        </w:rPr>
      </w:pPr>
    </w:p>
    <w:p>
      <w:pPr>
        <w:ind w:left="1900" w:right="2099" w:firstLine="4"/>
        <w:spacing w:after="0" w:line="235" w:lineRule="auto"/>
        <w:tabs>
          <w:tab w:leader="none" w:pos="24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900" w:right="1779" w:firstLine="4"/>
        <w:spacing w:after="0" w:line="237" w:lineRule="auto"/>
        <w:tabs>
          <w:tab w:leader="none" w:pos="24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9" w:lineRule="exact"/>
        <w:rPr>
          <w:rFonts w:ascii="Courier New" w:cs="Courier New" w:eastAsia="Courier New" w:hAnsi="Courier New"/>
          <w:sz w:val="18"/>
          <w:szCs w:val="18"/>
          <w:color w:val="auto"/>
        </w:rPr>
      </w:pPr>
    </w:p>
    <w:p>
      <w:pPr>
        <w:ind w:left="1900" w:right="1879" w:firstLine="4"/>
        <w:spacing w:after="0" w:line="237" w:lineRule="auto"/>
        <w:tabs>
          <w:tab w:leader="none" w:pos="2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provided, however, that paragraphs (1)(i) and (1)(ii) do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that are incorporated by reference in this Registration Statement.</w:t>
      </w:r>
    </w:p>
    <w:p>
      <w:pPr>
        <w:spacing w:after="0" w:line="210" w:lineRule="exact"/>
        <w:rPr>
          <w:sz w:val="20"/>
          <w:szCs w:val="20"/>
          <w:color w:val="auto"/>
        </w:rPr>
      </w:pPr>
    </w:p>
    <w:p>
      <w:pPr>
        <w:ind w:right="2099" w:firstLine="956"/>
        <w:spacing w:after="0" w:line="237" w:lineRule="auto"/>
        <w:tabs>
          <w:tab w:leader="none" w:pos="136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2319" w:firstLine="956"/>
        <w:spacing w:after="0" w:line="236" w:lineRule="auto"/>
        <w:tabs>
          <w:tab w:leader="none" w:pos="136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2099" w:firstLine="956"/>
        <w:spacing w:after="0" w:line="235"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Filings incorporating subsequent Securities Exchange Act of 1934 documents by reference.</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w:t>
      </w:r>
    </w:p>
    <w:p>
      <w:pPr>
        <w:sectPr>
          <w:pgSz w:w="11900" w:h="16838" w:orient="portrait"/>
          <w:cols w:equalWidth="0" w:num="1">
            <w:col w:w="10219"/>
          </w:cols>
          <w:pgMar w:left="240" w:top="717" w:right="1440" w:bottom="1440" w:gutter="0" w:footer="0" w:header="0"/>
        </w:sectPr>
      </w:pPr>
    </w:p>
    <w:bookmarkStart w:id="5" w:name="page6"/>
    <w:bookmarkEnd w:id="5"/>
    <w:p>
      <w:pPr>
        <w:ind w:right="2099"/>
        <w:spacing w:after="0" w:line="237" w:lineRule="auto"/>
        <w:rPr>
          <w:sz w:val="20"/>
          <w:szCs w:val="20"/>
          <w:color w:val="auto"/>
        </w:rPr>
      </w:pPr>
      <w:r>
        <w:rPr>
          <w:rFonts w:ascii="Courier New" w:cs="Courier New" w:eastAsia="Courier New" w:hAnsi="Courier New"/>
          <w:sz w:val="18"/>
          <w:szCs w:val="18"/>
          <w:color w:val="auto"/>
        </w:rPr>
        <w:t>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9" w:lineRule="exact"/>
        <w:rPr>
          <w:sz w:val="20"/>
          <w:szCs w:val="20"/>
          <w:color w:val="auto"/>
        </w:rPr>
      </w:pPr>
    </w:p>
    <w:p>
      <w:pPr>
        <w:ind w:right="2099" w:firstLine="956"/>
        <w:spacing w:after="0" w:line="238"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19"/>
          </w:cols>
          <w:pgMar w:left="240" w:top="723" w:right="1440" w:bottom="1440" w:gutter="0" w:footer="0" w:header="0"/>
        </w:sectPr>
      </w:pPr>
    </w:p>
    <w:bookmarkStart w:id="6" w:name="page7"/>
    <w:bookmarkEnd w:id="6"/>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20" w:firstLine="948"/>
        <w:spacing w:after="0" w:line="237" w:lineRule="auto"/>
        <w:rPr>
          <w:sz w:val="20"/>
          <w:szCs w:val="20"/>
          <w:color w:val="auto"/>
        </w:rPr>
      </w:pPr>
      <w:r>
        <w:rPr>
          <w:rFonts w:ascii="Courier New" w:cs="Courier New" w:eastAsia="Courier New" w:hAnsi="Courier New"/>
          <w:sz w:val="18"/>
          <w:szCs w:val="18"/>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Bloomington, State of Minnesota on the 3rd day of May, 2000.</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THE TORO COMPANY</w:t>
      </w:r>
    </w:p>
    <w:p>
      <w:pPr>
        <w:ind w:left="412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J. LAWRENCE MCINTYRE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J. Lawrence McIntyre, Vice President,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line="204"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0" w:firstLine="948"/>
        <w:spacing w:after="0" w:line="238" w:lineRule="auto"/>
        <w:rPr>
          <w:sz w:val="20"/>
          <w:szCs w:val="20"/>
          <w:color w:val="auto"/>
        </w:rPr>
      </w:pPr>
      <w:r>
        <w:rPr>
          <w:rFonts w:ascii="Courier New" w:cs="Courier New" w:eastAsia="Courier New" w:hAnsi="Courier New"/>
          <w:sz w:val="18"/>
          <w:szCs w:val="18"/>
          <w:color w:val="auto"/>
        </w:rPr>
        <w:t>KNOW ALL PERSONS BY THESE PRESENTS, that each person whose signature appears below hereby constitutes and appoints Kendrick B. Melrose, Stephen P. Wolfe and J. Lawrence McIntyre, or any one of them, each with power to act without the other, his true and lawful attorney-in-fact and agent, with full power of substitution and resubstitution for him and in his name, place and stead, in any and all capacities, to sign any and/or all subsequent amendments to this registration statement,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might or could do in person, hereby approving and confirming all that said attorney-in-fact and agent or his substitute or substitutes may lawfully do or cause to be done by virtue hereof.</w:t>
      </w:r>
    </w:p>
    <w:p>
      <w:pPr>
        <w:spacing w:after="0" w:line="208" w:lineRule="exact"/>
        <w:rPr>
          <w:sz w:val="20"/>
          <w:szCs w:val="20"/>
          <w:color w:val="auto"/>
        </w:rPr>
      </w:pPr>
    </w:p>
    <w:p>
      <w:pPr>
        <w:ind w:right="440"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/s/ KENDRICK B. MELROSE</w:t>
      </w:r>
      <w:r>
        <w:rPr>
          <w:sz w:val="20"/>
          <w:szCs w:val="20"/>
          <w:color w:val="auto"/>
        </w:rPr>
        <w:tab/>
      </w:r>
      <w:r>
        <w:rPr>
          <w:rFonts w:ascii="Courier New" w:cs="Courier New" w:eastAsia="Courier New" w:hAnsi="Courier New"/>
          <w:sz w:val="16"/>
          <w:szCs w:val="16"/>
          <w:color w:val="auto"/>
        </w:rPr>
        <w:t>Chairman, Chief Executive</w:t>
      </w:r>
    </w:p>
    <w:p>
      <w:pPr>
        <w:spacing w:after="0"/>
        <w:tabs>
          <w:tab w:leader="none" w:pos="44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Officer, President and Director</w:t>
      </w:r>
    </w:p>
    <w:p>
      <w:pPr>
        <w:spacing w:after="0"/>
        <w:tabs>
          <w:tab w:leader="none" w:pos="4200" w:val="left"/>
        </w:tabs>
        <w:rPr>
          <w:sz w:val="20"/>
          <w:szCs w:val="20"/>
          <w:color w:val="auto"/>
        </w:rPr>
      </w:pPr>
      <w:r>
        <w:rPr>
          <w:rFonts w:ascii="Courier New" w:cs="Courier New" w:eastAsia="Courier New" w:hAnsi="Courier New"/>
          <w:sz w:val="18"/>
          <w:szCs w:val="18"/>
          <w:color w:val="auto"/>
        </w:rPr>
        <w:t>Kendrick B. Melrose</w:t>
      </w:r>
      <w:r>
        <w:rPr>
          <w:sz w:val="20"/>
          <w:szCs w:val="20"/>
          <w:color w:val="auto"/>
        </w:rPr>
        <w:tab/>
      </w: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/s/ STEPHEN P. WOLFE</w:t>
      </w:r>
      <w:r>
        <w:rPr>
          <w:sz w:val="20"/>
          <w:szCs w:val="20"/>
          <w:color w:val="auto"/>
        </w:rPr>
        <w:tab/>
      </w:r>
      <w:r>
        <w:rPr>
          <w:rFonts w:ascii="Courier New" w:cs="Courier New" w:eastAsia="Courier New" w:hAnsi="Courier New"/>
          <w:sz w:val="16"/>
          <w:szCs w:val="16"/>
          <w:color w:val="auto"/>
        </w:rPr>
        <w:t>Vice President Finance</w:t>
      </w:r>
    </w:p>
    <w:p>
      <w:pPr>
        <w:spacing w:after="0"/>
        <w:tabs>
          <w:tab w:leader="none" w:pos="44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and Chief Financial Officer</w:t>
      </w:r>
    </w:p>
    <w:p>
      <w:pPr>
        <w:spacing w:after="0"/>
        <w:tabs>
          <w:tab w:leader="none" w:pos="4200" w:val="left"/>
        </w:tabs>
        <w:rPr>
          <w:sz w:val="20"/>
          <w:szCs w:val="20"/>
          <w:color w:val="auto"/>
        </w:rPr>
      </w:pPr>
      <w:r>
        <w:rPr>
          <w:rFonts w:ascii="Courier New" w:cs="Courier New" w:eastAsia="Courier New" w:hAnsi="Courier New"/>
          <w:sz w:val="18"/>
          <w:szCs w:val="18"/>
          <w:color w:val="auto"/>
        </w:rPr>
        <w:t>Stephen P. Wolfe</w:t>
      </w:r>
      <w:r>
        <w:rPr>
          <w:sz w:val="20"/>
          <w:szCs w:val="20"/>
          <w:color w:val="auto"/>
        </w:rPr>
        <w:tab/>
      </w:r>
      <w:r>
        <w:rPr>
          <w:rFonts w:ascii="Courier New" w:cs="Courier New" w:eastAsia="Courier New" w:hAnsi="Courier New"/>
          <w:sz w:val="16"/>
          <w:szCs w:val="16"/>
          <w:color w:val="auto"/>
        </w:rPr>
        <w:t>(Principal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3,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3, 2000</w:t>
      </w:r>
    </w:p>
    <w:p>
      <w:pPr>
        <w:sectPr>
          <w:pgSz w:w="11900" w:h="16838" w:orient="portrait"/>
          <w:cols w:equalWidth="0" w:num="2">
            <w:col w:w="8140" w:space="720"/>
            <w:col w:w="1359"/>
          </w:cols>
          <w:pgMar w:left="240" w:top="71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RANDY B. JAMES</w:t>
            </w:r>
          </w:p>
        </w:tc>
        <w:tc>
          <w:tcPr>
            <w:tcW w:w="4740" w:type="dxa"/>
            <w:vAlign w:val="bottom"/>
          </w:tcPr>
          <w:p>
            <w:pPr>
              <w:ind w:left="740"/>
              <w:spacing w:after="0"/>
              <w:rPr>
                <w:sz w:val="20"/>
                <w:szCs w:val="20"/>
                <w:color w:val="auto"/>
              </w:rPr>
            </w:pPr>
            <w:r>
              <w:rPr>
                <w:rFonts w:ascii="Courier New" w:cs="Courier New" w:eastAsia="Courier New" w:hAnsi="Courier New"/>
                <w:sz w:val="18"/>
                <w:szCs w:val="18"/>
                <w:color w:val="auto"/>
              </w:rPr>
              <w:t>Vice President and Controller</w:t>
            </w: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w w:val="95"/>
              </w:rPr>
              <w:t>May 3,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1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Randy B. James</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RONALD O. BAUKOL</w:t>
            </w:r>
          </w:p>
        </w:tc>
        <w:tc>
          <w:tcPr>
            <w:tcW w:w="4740" w:type="dxa"/>
            <w:vAlign w:val="bottom"/>
          </w:tcPr>
          <w:p>
            <w:pPr>
              <w:ind w:left="74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w w:val="95"/>
              </w:rPr>
              <w:t>May 3,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O. Baukol</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ROBERT C. BUHRMASTER</w:t>
            </w:r>
          </w:p>
        </w:tc>
        <w:tc>
          <w:tcPr>
            <w:tcW w:w="4740" w:type="dxa"/>
            <w:vAlign w:val="bottom"/>
          </w:tcPr>
          <w:p>
            <w:pPr>
              <w:ind w:left="74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w w:val="95"/>
              </w:rPr>
              <w:t>May 3,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C. Buhrmaster</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WINSLOW H. BUXTON</w:t>
            </w:r>
          </w:p>
        </w:tc>
        <w:tc>
          <w:tcPr>
            <w:tcW w:w="4740" w:type="dxa"/>
            <w:vAlign w:val="bottom"/>
          </w:tcPr>
          <w:p>
            <w:pPr>
              <w:ind w:left="74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w w:val="95"/>
              </w:rPr>
              <w:t>May 3,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Winslow H. Buxton</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JANET K. COOPER</w:t>
            </w:r>
          </w:p>
        </w:tc>
        <w:tc>
          <w:tcPr>
            <w:tcW w:w="4740" w:type="dxa"/>
            <w:vAlign w:val="bottom"/>
          </w:tcPr>
          <w:p>
            <w:pPr>
              <w:ind w:left="74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w w:val="95"/>
              </w:rPr>
              <w:t>May 3,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Janet K. Cooper</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KATHERINE J. HARLESS</w:t>
            </w:r>
          </w:p>
        </w:tc>
        <w:tc>
          <w:tcPr>
            <w:tcW w:w="4740" w:type="dxa"/>
            <w:vAlign w:val="bottom"/>
          </w:tcPr>
          <w:p>
            <w:pPr>
              <w:ind w:left="74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w w:val="95"/>
              </w:rPr>
              <w:t>May 3,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Katherine J. Harless</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ROBERT H. NASSAU</w:t>
            </w:r>
          </w:p>
        </w:tc>
        <w:tc>
          <w:tcPr>
            <w:tcW w:w="4740" w:type="dxa"/>
            <w:vAlign w:val="bottom"/>
          </w:tcPr>
          <w:p>
            <w:pPr>
              <w:ind w:left="74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w w:val="95"/>
              </w:rPr>
              <w:t>May 3,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H. Nassau</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DALE R. OLSETH</w:t>
            </w:r>
          </w:p>
        </w:tc>
        <w:tc>
          <w:tcPr>
            <w:tcW w:w="4740" w:type="dxa"/>
            <w:vAlign w:val="bottom"/>
          </w:tcPr>
          <w:p>
            <w:pPr>
              <w:ind w:left="74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w w:val="95"/>
              </w:rPr>
              <w:t>May 3,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Dale R. Olseth</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CHRISTOPHER A. TWOMEY</w:t>
            </w:r>
          </w:p>
        </w:tc>
        <w:tc>
          <w:tcPr>
            <w:tcW w:w="4740" w:type="dxa"/>
            <w:vAlign w:val="bottom"/>
          </w:tcPr>
          <w:p>
            <w:pPr>
              <w:ind w:left="74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w w:val="95"/>
              </w:rPr>
              <w:t>May 3,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Christopher A. Twomey</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GREGG W. STEINHAFEL</w:t>
            </w:r>
          </w:p>
        </w:tc>
        <w:tc>
          <w:tcPr>
            <w:tcW w:w="4740" w:type="dxa"/>
            <w:vAlign w:val="bottom"/>
          </w:tcPr>
          <w:p>
            <w:pPr>
              <w:ind w:left="74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w w:val="95"/>
              </w:rPr>
              <w:t>May 3,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Gregg W. Steinhafel</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EDWIN H. WINGATE</w:t>
            </w:r>
          </w:p>
        </w:tc>
        <w:tc>
          <w:tcPr>
            <w:tcW w:w="4740" w:type="dxa"/>
            <w:vAlign w:val="bottom"/>
          </w:tcPr>
          <w:p>
            <w:pPr>
              <w:ind w:left="74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w w:val="95"/>
              </w:rPr>
              <w:t>May 3,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Edwin H. Wingate</w:t>
            </w:r>
          </w:p>
        </w:tc>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8" w:name="page9"/>
    <w:bookmarkEnd w:id="8"/>
    <w:p>
      <w:pPr>
        <w:ind w:left="3580"/>
        <w:spacing w:after="0"/>
        <w:rPr>
          <w:sz w:val="20"/>
          <w:szCs w:val="20"/>
          <w:color w:val="auto"/>
        </w:rPr>
      </w:pPr>
      <w:r>
        <w:rPr>
          <w:rFonts w:ascii="Courier New" w:cs="Courier New" w:eastAsia="Courier New" w:hAnsi="Courier New"/>
          <w:sz w:val="18"/>
          <w:szCs w:val="18"/>
          <w:color w:val="auto"/>
        </w:rPr>
        <w:t>EXHIBIT LIST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Instruments defining the rights of security holders, including indentures</w:t>
      </w:r>
    </w:p>
    <w:p>
      <w:pPr>
        <w:spacing w:after="0" w:line="223" w:lineRule="exact"/>
        <w:rPr>
          <w:rFonts w:ascii="Courier New" w:cs="Courier New" w:eastAsia="Courier New" w:hAnsi="Courier New"/>
          <w:sz w:val="16"/>
          <w:szCs w:val="16"/>
          <w:color w:val="auto"/>
        </w:rPr>
      </w:pPr>
    </w:p>
    <w:p>
      <w:pPr>
        <w:ind w:left="1900" w:right="2199" w:hanging="948"/>
        <w:spacing w:after="0" w:line="27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4(a)</w:t>
      </w:r>
      <w:r>
        <w:rPr>
          <w:rFonts w:ascii="Courier New" w:cs="Courier New" w:eastAsia="Courier New" w:hAnsi="Courier New"/>
          <w:sz w:val="16"/>
          <w:szCs w:val="16"/>
          <w:color w:val="auto"/>
        </w:rPr>
        <w:t>Specimen form of Common Stock certificate (incorporated by reference to Exhibit 4(c) to Registrant's Registration Statement on Form S-8, Registration No. 2-94417)</w:t>
      </w:r>
    </w:p>
    <w:p>
      <w:pPr>
        <w:spacing w:after="0" w:line="178" w:lineRule="exact"/>
        <w:rPr>
          <w:rFonts w:ascii="Courier New" w:cs="Courier New" w:eastAsia="Courier New" w:hAnsi="Courier New"/>
          <w:sz w:val="16"/>
          <w:szCs w:val="16"/>
          <w:color w:val="auto"/>
        </w:rPr>
      </w:pPr>
    </w:p>
    <w:p>
      <w:pPr>
        <w:ind w:left="1900" w:right="2099" w:hanging="948"/>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4(b)Certificate of Incorporation of Registrant (incorporated by reference to Exhibit 4.2 to Registrant's Registration Statement on Form S-3, Registration No. 33-16125)</w:t>
      </w:r>
    </w:p>
    <w:p>
      <w:pPr>
        <w:spacing w:after="0" w:line="208" w:lineRule="exact"/>
        <w:rPr>
          <w:rFonts w:ascii="Courier New" w:cs="Courier New" w:eastAsia="Courier New" w:hAnsi="Courier New"/>
          <w:sz w:val="16"/>
          <w:szCs w:val="16"/>
          <w:color w:val="auto"/>
        </w:rPr>
      </w:pPr>
    </w:p>
    <w:p>
      <w:pPr>
        <w:ind w:left="1900" w:right="1779" w:hanging="948"/>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4(c)Certificate of Amendment to Certificate of Incorporation dated December 9, 1986 (incorporated by reference to Exhibit 3 to Registrant's Quarterly Report on Form 10-Q for the quarter ended January 30, 1987, Commission File No. 1-8649)</w:t>
      </w:r>
    </w:p>
    <w:p>
      <w:pPr>
        <w:spacing w:after="0" w:line="207" w:lineRule="exact"/>
        <w:rPr>
          <w:rFonts w:ascii="Courier New" w:cs="Courier New" w:eastAsia="Courier New" w:hAnsi="Courier New"/>
          <w:sz w:val="16"/>
          <w:szCs w:val="16"/>
          <w:color w:val="auto"/>
        </w:rPr>
      </w:pPr>
    </w:p>
    <w:p>
      <w:pPr>
        <w:ind w:left="1900" w:right="2099" w:hanging="948"/>
        <w:spacing w:after="0" w:line="27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4(d)</w:t>
      </w:r>
      <w:r>
        <w:rPr>
          <w:rFonts w:ascii="Courier New" w:cs="Courier New" w:eastAsia="Courier New" w:hAnsi="Courier New"/>
          <w:sz w:val="16"/>
          <w:szCs w:val="16"/>
          <w:color w:val="auto"/>
        </w:rPr>
        <w:t>Certificate of Designation to Certificate of Incorporation dated May 28, 1998 (incorporated by reference to Exhibit (c)(1) to Registrant's Current Report on Form 8-K dated May 27, 1998, Commission File No. 1-8649)</w:t>
      </w:r>
    </w:p>
    <w:p>
      <w:pPr>
        <w:spacing w:after="0" w:line="182" w:lineRule="exact"/>
        <w:rPr>
          <w:rFonts w:ascii="Courier New" w:cs="Courier New" w:eastAsia="Courier New" w:hAnsi="Courier New"/>
          <w:sz w:val="16"/>
          <w:szCs w:val="16"/>
          <w:color w:val="auto"/>
        </w:rPr>
      </w:pPr>
    </w:p>
    <w:p>
      <w:pPr>
        <w:ind w:left="1900" w:right="1779" w:hanging="948"/>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4(e)Bylaws of Registrant, as amended (incorporated by reference to Exhibit 3(ii) and 4(d) to Registrant's Form 10-Q for the quarter ended April 30, 1999)</w:t>
      </w:r>
    </w:p>
    <w:p>
      <w:pPr>
        <w:spacing w:after="0" w:line="208" w:lineRule="exact"/>
        <w:rPr>
          <w:rFonts w:ascii="Courier New" w:cs="Courier New" w:eastAsia="Courier New" w:hAnsi="Courier New"/>
          <w:sz w:val="16"/>
          <w:szCs w:val="16"/>
          <w:color w:val="auto"/>
        </w:rPr>
      </w:pPr>
    </w:p>
    <w:p>
      <w:pPr>
        <w:ind w:left="1900" w:right="1999" w:hanging="948"/>
        <w:spacing w:after="0" w:line="27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4(f)</w:t>
      </w:r>
      <w:r>
        <w:rPr>
          <w:rFonts w:ascii="Courier New" w:cs="Courier New" w:eastAsia="Courier New" w:hAnsi="Courier New"/>
          <w:sz w:val="16"/>
          <w:szCs w:val="16"/>
          <w:color w:val="auto"/>
        </w:rPr>
        <w:t>Rights Agreement dated as of May 20, 1998, between the Registrant and Norwest Bank Minnesota National Association, relating to rights to purchase Series B Junior Participating Voting Preferred Stock (incorporated by reference to Exhibit (c)(1) to Registrant's Current Report on Form 8-K dated May 27, 1998, Commission File No. 1-8649).</w:t>
      </w:r>
    </w:p>
    <w:p>
      <w:pPr>
        <w:spacing w:after="0" w:line="185" w:lineRule="exact"/>
        <w:rPr>
          <w:rFonts w:ascii="Courier New" w:cs="Courier New" w:eastAsia="Courier New" w:hAnsi="Courier New"/>
          <w:sz w:val="16"/>
          <w:szCs w:val="16"/>
          <w:color w:val="auto"/>
        </w:rPr>
      </w:pPr>
    </w:p>
    <w:p>
      <w:pPr>
        <w:ind w:left="1900" w:right="1879" w:hanging="948"/>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4(g)Indenture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204"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Opinion of counsel regarding legality.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23(a)</w:t>
            </w:r>
          </w:p>
        </w:tc>
        <w:tc>
          <w:tcPr>
            <w:tcW w:w="5740" w:type="dxa"/>
            <w:vAlign w:val="bottom"/>
          </w:tcPr>
          <w:p>
            <w:pPr>
              <w:ind w:left="680"/>
              <w:spacing w:after="0"/>
              <w:rPr>
                <w:sz w:val="20"/>
                <w:szCs w:val="20"/>
                <w:color w:val="auto"/>
              </w:rPr>
            </w:pPr>
            <w:r>
              <w:rPr>
                <w:rFonts w:ascii="Courier New" w:cs="Courier New" w:eastAsia="Courier New" w:hAnsi="Courier New"/>
                <w:sz w:val="18"/>
                <w:szCs w:val="18"/>
                <w:color w:val="auto"/>
              </w:rPr>
              <w:t>Consent of KPMG LLP.</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23(b)</w:t>
            </w:r>
          </w:p>
        </w:tc>
        <w:tc>
          <w:tcPr>
            <w:tcW w:w="5740" w:type="dxa"/>
            <w:vAlign w:val="bottom"/>
          </w:tcPr>
          <w:p>
            <w:pPr>
              <w:ind w:left="680"/>
              <w:spacing w:after="0"/>
              <w:rPr>
                <w:sz w:val="20"/>
                <w:szCs w:val="20"/>
                <w:color w:val="auto"/>
              </w:rPr>
            </w:pPr>
            <w:r>
              <w:rPr>
                <w:rFonts w:ascii="Courier New" w:cs="Courier New" w:eastAsia="Courier New" w:hAnsi="Courier New"/>
                <w:sz w:val="18"/>
                <w:szCs w:val="18"/>
                <w:color w:val="auto"/>
              </w:rPr>
              <w:t>Consent of counsel (contained in Exhibit 5).</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5740" w:type="dxa"/>
            <w:vAlign w:val="bottom"/>
          </w:tcPr>
          <w:p>
            <w:pPr>
              <w:ind w:left="680"/>
              <w:spacing w:after="0"/>
              <w:rPr>
                <w:sz w:val="20"/>
                <w:szCs w:val="20"/>
                <w:color w:val="auto"/>
              </w:rPr>
            </w:pPr>
            <w:r>
              <w:rPr>
                <w:rFonts w:ascii="Courier New" w:cs="Courier New" w:eastAsia="Courier New" w:hAnsi="Courier New"/>
                <w:sz w:val="18"/>
                <w:szCs w:val="18"/>
                <w:color w:val="auto"/>
                <w:w w:val="97"/>
              </w:rPr>
              <w:t>Powers of Attorney (contained in signature page)</w:t>
            </w:r>
          </w:p>
        </w:tc>
      </w:tr>
    </w:tbl>
    <w:p>
      <w:pPr>
        <w:sectPr>
          <w:pgSz w:w="11900" w:h="16838" w:orient="portrait"/>
          <w:cols w:equalWidth="0" w:num="1">
            <w:col w:w="10219"/>
          </w:cols>
          <w:pgMar w:left="240" w:top="717" w:right="1440" w:bottom="1440" w:gutter="0" w:footer="0" w:header="0"/>
        </w:sectPr>
      </w:pPr>
    </w:p>
    <w:bookmarkStart w:id="9" w:name="page10"/>
    <w:bookmarkEnd w:id="9"/>
    <w:p>
      <w:pPr>
        <w:ind w:left="6540"/>
        <w:spacing w:after="0"/>
        <w:rPr>
          <w:sz w:val="20"/>
          <w:szCs w:val="20"/>
          <w:color w:val="auto"/>
        </w:rPr>
      </w:pPr>
      <w:r>
        <w:rPr>
          <w:rFonts w:ascii="Courier New" w:cs="Courier New" w:eastAsia="Courier New" w:hAnsi="Courier New"/>
          <w:sz w:val="16"/>
          <w:szCs w:val="16"/>
          <w:color w:val="auto"/>
        </w:rPr>
        <w:t>EXHIBIT 5</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Toro Company</w:t>
      </w:r>
    </w:p>
    <w:p>
      <w:pPr>
        <w:spacing w:after="0" w:line="238" w:lineRule="auto"/>
        <w:rPr>
          <w:sz w:val="20"/>
          <w:szCs w:val="20"/>
          <w:color w:val="auto"/>
        </w:rPr>
      </w:pPr>
      <w:r>
        <w:rPr>
          <w:rFonts w:ascii="Courier New" w:cs="Courier New" w:eastAsia="Courier New" w:hAnsi="Courier New"/>
          <w:sz w:val="18"/>
          <w:szCs w:val="18"/>
          <w:color w:val="auto"/>
        </w:rPr>
        <w:t>8111 Lyndale Avenue South</w:t>
      </w:r>
    </w:p>
    <w:p>
      <w:pPr>
        <w:spacing w:after="0"/>
        <w:rPr>
          <w:sz w:val="20"/>
          <w:szCs w:val="20"/>
          <w:color w:val="auto"/>
        </w:rPr>
      </w:pPr>
      <w:r>
        <w:rPr>
          <w:rFonts w:ascii="Courier New" w:cs="Courier New" w:eastAsia="Courier New" w:hAnsi="Courier New"/>
          <w:sz w:val="18"/>
          <w:szCs w:val="18"/>
          <w:color w:val="auto"/>
        </w:rPr>
        <w:t>Minneapolis, Minnesota 55420</w:t>
      </w:r>
    </w:p>
    <w:p>
      <w:pPr>
        <w:sectPr>
          <w:pgSz w:w="11900" w:h="16838" w:orient="portrait"/>
          <w:cols w:equalWidth="0" w:num="1">
            <w:col w:w="10219"/>
          </w:cols>
          <w:pgMar w:left="240" w:top="547" w:right="1440" w:bottom="1440" w:gutter="0" w:footer="0" w:header="0"/>
        </w:sect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Statement on Form S-8</w:t>
      </w:r>
    </w:p>
    <w:p>
      <w:pPr>
        <w:spacing w:after="0" w:line="200" w:lineRule="exact"/>
        <w:rPr>
          <w:sz w:val="20"/>
          <w:szCs w:val="20"/>
          <w:color w:val="auto"/>
        </w:rPr>
      </w:pPr>
    </w:p>
    <w:p>
      <w:pPr>
        <w:sectPr>
          <w:pgSz w:w="11900" w:h="16838" w:orient="portrait"/>
          <w:cols w:equalWidth="0" w:num="2">
            <w:col w:w="1280" w:space="620"/>
            <w:col w:w="8319"/>
          </w:cols>
          <w:pgMar w:left="240" w:top="54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I am Vice President, Secretary and General Counsel of The Toro Company (the "Company"). In connection with the Registration Statement on Form S-8 filed by the Company with the Securities and Exchange Commission relating to an aggregate of up to 25,000 shares of Common Stock, $1.00 par value per share (the "Common Stock"), and up to 25,000 related Preferred Share Purchase Rights (the "Rights") of the Company, to be issued in connection with the Toro Australia Pty Limited General Employee Stock Plan, please be advised that as counsel to the Company, upon examination of such corporate documents and records as I have deemed necessary or appropriate for the purpose of rendering this opinion, it is my opinion that:</w:t>
      </w:r>
    </w:p>
    <w:p>
      <w:pPr>
        <w:spacing w:after="0" w:line="215" w:lineRule="exact"/>
        <w:rPr>
          <w:sz w:val="20"/>
          <w:szCs w:val="20"/>
          <w:color w:val="auto"/>
        </w:rPr>
      </w:pPr>
    </w:p>
    <w:p>
      <w:pPr>
        <w:ind w:left="540" w:right="2099" w:hanging="532"/>
        <w:spacing w:after="0" w:line="236"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being offered by the Company, when issued in accordance with proper corporate authorizations, will be legally issued, fully paid and non-assessable; and</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that the Rights Agreement dated as of May 20, 1998 (the "Rights Agreement")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210"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7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Lawrence McIntyre</w:t>
      </w:r>
    </w:p>
    <w:p>
      <w:pPr>
        <w:spacing w:after="0" w:line="238" w:lineRule="auto"/>
        <w:rPr>
          <w:sz w:val="20"/>
          <w:szCs w:val="20"/>
          <w:color w:val="auto"/>
        </w:rPr>
      </w:pPr>
      <w:r>
        <w:rPr>
          <w:rFonts w:ascii="Courier New" w:cs="Courier New" w:eastAsia="Courier New" w:hAnsi="Courier New"/>
          <w:sz w:val="18"/>
          <w:szCs w:val="18"/>
          <w:color w:val="auto"/>
        </w:rPr>
        <w:t>Vice President, Secretary</w:t>
      </w:r>
    </w:p>
    <w:p>
      <w:pPr>
        <w:spacing w:after="0"/>
        <w:rPr>
          <w:sz w:val="20"/>
          <w:szCs w:val="20"/>
          <w:color w:val="auto"/>
        </w:rPr>
      </w:pPr>
      <w:r>
        <w:rPr>
          <w:rFonts w:ascii="Courier New" w:cs="Courier New" w:eastAsia="Courier New" w:hAnsi="Courier New"/>
          <w:sz w:val="18"/>
          <w:szCs w:val="18"/>
          <w:color w:val="auto"/>
        </w:rPr>
        <w:t>and General Counsel</w:t>
      </w:r>
    </w:p>
    <w:p>
      <w:pPr>
        <w:sectPr>
          <w:pgSz w:w="11900" w:h="16838" w:orient="portrait"/>
          <w:cols w:equalWidth="0" w:num="1">
            <w:col w:w="10219"/>
          </w:cols>
          <w:pgMar w:left="240" w:top="547" w:right="1440" w:bottom="1440" w:gutter="0" w:footer="0" w:header="0"/>
          <w:type w:val="continuous"/>
        </w:sectPr>
      </w:pPr>
    </w:p>
    <w:bookmarkStart w:id="10" w:name="page11"/>
    <w:bookmarkEnd w:id="10"/>
    <w:p>
      <w:pPr>
        <w:ind w:left="6540"/>
        <w:spacing w:after="0"/>
        <w:rPr>
          <w:sz w:val="20"/>
          <w:szCs w:val="20"/>
          <w:color w:val="auto"/>
        </w:rPr>
      </w:pPr>
      <w:r>
        <w:rPr>
          <w:rFonts w:ascii="Courier New" w:cs="Courier New" w:eastAsia="Courier New" w:hAnsi="Courier New"/>
          <w:sz w:val="18"/>
          <w:szCs w:val="18"/>
          <w:color w:val="auto"/>
        </w:rPr>
        <w:t>EXHIBIT 23(a)</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consent to the use of our reports dated December 13, 1999 incorporated by reference in this Form S-8.</w:t>
      </w:r>
    </w:p>
    <w:p>
      <w:pPr>
        <w:spacing w:after="0" w:line="203"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KPMG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38" w:lineRule="auto"/>
        <w:rPr>
          <w:sz w:val="20"/>
          <w:szCs w:val="20"/>
          <w:color w:val="auto"/>
        </w:rPr>
      </w:pPr>
      <w:r>
        <w:rPr>
          <w:rFonts w:ascii="Courier New" w:cs="Courier New" w:eastAsia="Courier New" w:hAnsi="Courier New"/>
          <w:sz w:val="18"/>
          <w:szCs w:val="18"/>
          <w:color w:val="auto"/>
        </w:rPr>
        <w:t>May 2, 2000</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upperLetter"/>
      <w:start w:val="1"/>
    </w:lvl>
    <w:lvl w:ilvl="1">
      <w:lvlJc w:val="left"/>
      <w:lvlText w:val="(%2)"/>
      <w:numFmt w:val="decimal"/>
      <w:start w:val="1"/>
    </w:lvl>
  </w:abstractNum>
  <w:abstractNum w:abstractNumId="3">
    <w:nsid w:val="2EB141F2"/>
    <w:multiLevelType w:val="hybridMultilevel"/>
    <w:lvl w:ilvl="0">
      <w:lvlJc w:val="left"/>
      <w:lvlText w:val="(%1)"/>
      <w:numFmt w:val="lowerRoman"/>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8"/>
    </w:lvl>
  </w:abstractNum>
  <w:abstractNum w:abstractNumId="7">
    <w:nsid w:val="515F007C"/>
    <w:multiLevelType w:val="hybridMultilevel"/>
    <w:lvl w:ilvl="0">
      <w:lvlJc w:val="left"/>
      <w:lvlText w:val="4"/>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2019-12-11T18:31:34Z</dcterms:created>
  <dcterms:modified xsi:type="dcterms:W3CDTF">2019-12-11T18:31:34Z</dcterms:modified>
</cp:coreProperties>
</file>