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479"/>
        <w:spacing w:after="0"/>
        <w:rPr>
          <w:sz w:val="20"/>
          <w:szCs w:val="20"/>
          <w:color w:val="auto"/>
        </w:rPr>
      </w:pPr>
      <w:r>
        <w:rPr>
          <w:rFonts w:ascii="Arial" w:cs="Arial" w:eastAsia="Arial" w:hAnsi="Arial"/>
          <w:sz w:val="25"/>
          <w:szCs w:val="25"/>
          <w:b w:val="1"/>
          <w:bCs w:val="1"/>
          <w:color w:val="auto"/>
        </w:rPr>
        <w:t>UNITED STATES</w:t>
      </w:r>
    </w:p>
    <w:p>
      <w:pPr>
        <w:spacing w:after="0" w:line="253" w:lineRule="exact"/>
        <w:rPr>
          <w:sz w:val="20"/>
          <w:szCs w:val="20"/>
          <w:color w:val="auto"/>
        </w:rPr>
      </w:pPr>
    </w:p>
    <w:p>
      <w:pPr>
        <w:jc w:val="center"/>
        <w:ind w:right="-47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2"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ind w:right="-479"/>
        <w:spacing w:after="0"/>
        <w:rPr>
          <w:sz w:val="20"/>
          <w:szCs w:val="20"/>
          <w:color w:val="auto"/>
        </w:rPr>
      </w:pPr>
      <w:r>
        <w:rPr>
          <w:rFonts w:ascii="Arial" w:cs="Arial" w:eastAsia="Arial" w:hAnsi="Arial"/>
          <w:sz w:val="32"/>
          <w:szCs w:val="32"/>
          <w:b w:val="1"/>
          <w:bCs w:val="1"/>
          <w:color w:val="auto"/>
        </w:rPr>
        <w:t>FORM 10-Q</w:t>
      </w:r>
    </w:p>
    <w:p>
      <w:pPr>
        <w:spacing w:after="0" w:line="335" w:lineRule="exact"/>
        <w:rPr>
          <w:sz w:val="20"/>
          <w:szCs w:val="20"/>
          <w:color w:val="auto"/>
        </w:rPr>
      </w:pPr>
    </w:p>
    <w:p>
      <w:pPr>
        <w:jc w:val="center"/>
        <w:ind w:right="-479"/>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50"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For the Quarterly Period Ended January 30, 2004</w:t>
      </w:r>
    </w:p>
    <w:p>
      <w:pPr>
        <w:spacing w:after="0" w:line="200" w:lineRule="exact"/>
        <w:rPr>
          <w:sz w:val="20"/>
          <w:szCs w:val="20"/>
          <w:color w:val="auto"/>
        </w:rPr>
      </w:pPr>
    </w:p>
    <w:p>
      <w:pPr>
        <w:spacing w:after="0" w:line="216" w:lineRule="exact"/>
        <w:rPr>
          <w:sz w:val="20"/>
          <w:szCs w:val="20"/>
          <w:color w:val="auto"/>
        </w:rPr>
      </w:pPr>
    </w:p>
    <w:p>
      <w:pPr>
        <w:ind w:left="3400"/>
        <w:spacing w:after="0"/>
        <w:rPr>
          <w:sz w:val="20"/>
          <w:szCs w:val="20"/>
          <w:color w:val="auto"/>
        </w:rPr>
      </w:pPr>
      <w:r>
        <w:rPr>
          <w:rFonts w:ascii="Arial" w:cs="Arial" w:eastAsia="Arial" w:hAnsi="Arial"/>
          <w:sz w:val="43"/>
          <w:szCs w:val="43"/>
          <w:b w:val="1"/>
          <w:bCs w:val="1"/>
          <w:color w:val="auto"/>
        </w:rPr>
        <w:t>THE TORO COMPANY</w:t>
      </w:r>
    </w:p>
    <w:p>
      <w:pPr>
        <w:spacing w:after="0" w:line="200" w:lineRule="exact"/>
        <w:rPr>
          <w:sz w:val="20"/>
          <w:szCs w:val="20"/>
          <w:color w:val="auto"/>
        </w:rPr>
      </w:pPr>
    </w:p>
    <w:p>
      <w:pPr>
        <w:spacing w:after="0" w:line="266"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940"/>
          </w:cols>
          <w:pgMar w:left="240" w:top="122" w:right="719" w:bottom="1440" w:gutter="0" w:footer="0" w:header="0"/>
        </w:sectPr>
      </w:pPr>
    </w:p>
    <w:p>
      <w:pPr>
        <w:spacing w:after="0" w:line="221" w:lineRule="exact"/>
        <w:rPr>
          <w:sz w:val="20"/>
          <w:szCs w:val="20"/>
          <w:color w:val="auto"/>
        </w:rPr>
      </w:pPr>
    </w:p>
    <w:p>
      <w:pPr>
        <w:jc w:val="center"/>
        <w:ind w:left="7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jc w:val="center"/>
        <w:ind w:left="780"/>
        <w:spacing w:after="0"/>
        <w:rPr>
          <w:sz w:val="20"/>
          <w:szCs w:val="20"/>
          <w:color w:val="auto"/>
        </w:rPr>
      </w:pPr>
      <w:r>
        <w:rPr>
          <w:rFonts w:ascii="Arial" w:cs="Arial" w:eastAsia="Arial" w:hAnsi="Arial"/>
          <w:sz w:val="16"/>
          <w:szCs w:val="16"/>
          <w:color w:val="auto"/>
        </w:rPr>
        <w:t>(State of Incorporation)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(Commission File Number)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(I.R.S. Employer Identification Number)</w:t>
      </w:r>
    </w:p>
    <w:p>
      <w:pPr>
        <w:spacing w:after="0" w:line="189" w:lineRule="exact"/>
        <w:rPr>
          <w:sz w:val="20"/>
          <w:szCs w:val="20"/>
          <w:color w:val="auto"/>
        </w:rPr>
      </w:pPr>
    </w:p>
    <w:p>
      <w:pPr>
        <w:sectPr>
          <w:pgSz w:w="11900" w:h="16838" w:orient="portrait"/>
          <w:cols w:equalWidth="0" w:num="3">
            <w:col w:w="4000" w:space="720"/>
            <w:col w:w="2120" w:space="720"/>
            <w:col w:w="3380"/>
          </w:cols>
          <w:pgMar w:left="240" w:top="122" w:right="719" w:bottom="1440" w:gutter="0" w:footer="0" w:header="0"/>
          <w:type w:val="continuous"/>
        </w:sectPr>
      </w:pPr>
    </w:p>
    <w:p>
      <w:pPr>
        <w:jc w:val="center"/>
        <w:ind w:right="-479"/>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Telephone number: (952) 888-8801</w:t>
      </w:r>
    </w:p>
    <w:p>
      <w:pPr>
        <w:spacing w:after="0" w:line="184"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57" w:lineRule="exact"/>
        <w:rPr>
          <w:sz w:val="20"/>
          <w:szCs w:val="20"/>
          <w:color w:val="auto"/>
        </w:rPr>
      </w:pPr>
    </w:p>
    <w:p>
      <w:pPr>
        <w:ind w:left="3780"/>
        <w:spacing w:after="0"/>
        <w:tabs>
          <w:tab w:leader="none" w:pos="71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Act).</w:t>
      </w:r>
    </w:p>
    <w:p>
      <w:pPr>
        <w:spacing w:after="0" w:line="200" w:lineRule="exact"/>
        <w:rPr>
          <w:sz w:val="20"/>
          <w:szCs w:val="20"/>
          <w:color w:val="auto"/>
        </w:rPr>
      </w:pPr>
    </w:p>
    <w:p>
      <w:pPr>
        <w:spacing w:after="0" w:line="201" w:lineRule="exact"/>
        <w:rPr>
          <w:sz w:val="20"/>
          <w:szCs w:val="20"/>
          <w:color w:val="auto"/>
        </w:rPr>
      </w:pPr>
    </w:p>
    <w:p>
      <w:pPr>
        <w:ind w:left="3780"/>
        <w:spacing w:after="0"/>
        <w:tabs>
          <w:tab w:leader="none" w:pos="71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Common Stock outstanding as of February 27, 2004 was 24,209,567.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2" w:right="719" w:bottom="1440" w:gutter="0" w:footer="0" w:header="0"/>
          <w:type w:val="continuous"/>
        </w:sectPr>
      </w:pPr>
    </w:p>
    <w:bookmarkStart w:id="2" w:name="page3"/>
    <w:bookmarkEnd w:id="2"/>
    <w:p>
      <w:pPr>
        <w:jc w:val="center"/>
        <w:ind w:right="-29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 FINANCIAL INFORMATION</w:t>
        </w:r>
      </w:hyperlink>
    </w:p>
    <w:p>
      <w:pPr>
        <w:ind w:left="62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Condensed Consolidated Statements of Earnings</w:t>
        </w:r>
      </w:hyperlink>
    </w:p>
    <w:p>
      <w:pPr>
        <w:ind w:left="6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Condensed Consolidated Balance Sheets</w:t>
        </w:r>
      </w:hyperlink>
    </w:p>
    <w:p>
      <w:pPr>
        <w:ind w:left="620"/>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Condensed Consolidated Statements of Cash Flows</w:t>
        </w:r>
      </w:hyperlink>
    </w:p>
    <w:p>
      <w:pPr>
        <w:ind w:left="620"/>
        <w:spacing w:after="0" w:line="230"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Notes to Condensed Consolidated Financial Statements</w:t>
        </w:r>
      </w:hyperlink>
    </w:p>
    <w:p>
      <w:pPr>
        <w:spacing w:after="0" w:line="1" w:lineRule="exact"/>
        <w:rPr>
          <w:sz w:val="20"/>
          <w:szCs w:val="20"/>
          <w:color w:val="auto"/>
        </w:rPr>
      </w:pPr>
    </w:p>
    <w:p>
      <w:pPr>
        <w:ind w:left="320"/>
        <w:spacing w:after="0" w:line="230" w:lineRule="auto"/>
        <w:rPr>
          <w:rFonts w:ascii="Arial" w:cs="Arial" w:eastAsia="Arial" w:hAnsi="Arial"/>
          <w:sz w:val="22"/>
          <w:szCs w:val="22"/>
          <w:u w:val="single" w:color="auto"/>
          <w:color w:val="0000EE"/>
        </w:rPr>
      </w:pPr>
      <w:hyperlink w:anchor="page14">
        <w:r>
          <w:rPr>
            <w:rFonts w:ascii="Arial" w:cs="Arial" w:eastAsia="Arial" w:hAnsi="Arial"/>
            <w:sz w:val="22"/>
            <w:szCs w:val="22"/>
            <w:u w:val="single" w:color="auto"/>
            <w:color w:val="0000EE"/>
          </w:rPr>
          <w:t>Item 2. MANAGEMENT’S DISCUSSION AND ANALYSIS OF FINANCIAL CONDITION AND RESULTS</w:t>
        </w:r>
      </w:hyperlink>
      <w:r>
        <w:rPr>
          <w:rFonts w:ascii="Arial" w:cs="Arial" w:eastAsia="Arial" w:hAnsi="Arial"/>
          <w:sz w:val="22"/>
          <w:szCs w:val="22"/>
          <w:u w:val="single" w:color="auto"/>
          <w:color w:val="0000EE"/>
        </w:rPr>
        <w:t xml:space="preserve"> </w:t>
      </w:r>
      <w:hyperlink w:anchor="page14">
        <w:r>
          <w:rPr>
            <w:rFonts w:ascii="Arial" w:cs="Arial" w:eastAsia="Arial" w:hAnsi="Arial"/>
            <w:sz w:val="22"/>
            <w:szCs w:val="22"/>
            <w:u w:val="single" w:color="auto"/>
            <w:color w:val="0000EE"/>
          </w:rPr>
          <w:t>OF OPERATIONS</w:t>
        </w:r>
      </w:hyperlink>
    </w:p>
    <w:p>
      <w:pPr>
        <w:spacing w:after="0" w:line="1" w:lineRule="exact"/>
        <w:rPr>
          <w:sz w:val="20"/>
          <w:szCs w:val="20"/>
          <w:color w:val="auto"/>
        </w:rPr>
      </w:pPr>
    </w:p>
    <w:p>
      <w:pPr>
        <w:ind w:left="320" w:right="1540"/>
        <w:spacing w:after="0" w:line="230"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Item 3. QUANTITATIVE AND QUALITIATIVE DISCLOSURES ABOUT MARKET RISK</w:t>
        </w:r>
      </w:hyperlink>
      <w:r>
        <w:rPr>
          <w:rFonts w:ascii="Arial" w:cs="Arial" w:eastAsia="Arial" w:hAnsi="Arial"/>
          <w:sz w:val="22"/>
          <w:szCs w:val="22"/>
          <w:u w:val="single" w:color="auto"/>
          <w:color w:val="0000EE"/>
        </w:rPr>
        <w:t xml:space="preserve"> </w:t>
      </w:r>
      <w:hyperlink w:anchor="page23">
        <w:r>
          <w:rPr>
            <w:rFonts w:ascii="Arial" w:cs="Arial" w:eastAsia="Arial" w:hAnsi="Arial"/>
            <w:sz w:val="22"/>
            <w:szCs w:val="22"/>
            <w:u w:val="single" w:color="auto"/>
            <w:color w:val="0000EE"/>
          </w:rPr>
          <w:t>Item 4. CONTROLS AND PROCEDURES</w:t>
        </w:r>
      </w:hyperlink>
    </w:p>
    <w:p>
      <w:pPr>
        <w:spacing w:after="0" w:line="231"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PART II. OTHER INFORMATION</w:t>
        </w:r>
      </w:hyperlink>
    </w:p>
    <w:p>
      <w:pPr>
        <w:spacing w:after="0" w:line="1" w:lineRule="exact"/>
        <w:rPr>
          <w:sz w:val="20"/>
          <w:szCs w:val="20"/>
          <w:color w:val="auto"/>
        </w:rPr>
      </w:pPr>
    </w:p>
    <w:p>
      <w:pPr>
        <w:ind w:left="320" w:right="540"/>
        <w:spacing w:after="0" w:line="230"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Item 2. CHANGES IN SECURITIES, USE OF PROCEEDS, AND ISSUER PURCHASES OF EQUITY</w:t>
        </w:r>
      </w:hyperlink>
      <w:r>
        <w:rPr>
          <w:rFonts w:ascii="Arial" w:cs="Arial" w:eastAsia="Arial" w:hAnsi="Arial"/>
          <w:sz w:val="22"/>
          <w:szCs w:val="22"/>
          <w:u w:val="single" w:color="auto"/>
          <w:color w:val="0000EE"/>
        </w:rPr>
        <w:t xml:space="preserve"> </w:t>
      </w:r>
      <w:hyperlink w:anchor="page23">
        <w:r>
          <w:rPr>
            <w:rFonts w:ascii="Arial" w:cs="Arial" w:eastAsia="Arial" w:hAnsi="Arial"/>
            <w:sz w:val="22"/>
            <w:szCs w:val="22"/>
            <w:u w:val="single" w:color="auto"/>
            <w:color w:val="0000EE"/>
          </w:rPr>
          <w:t>SECURITIES</w:t>
        </w:r>
      </w:hyperlink>
    </w:p>
    <w:p>
      <w:pPr>
        <w:ind w:left="320"/>
        <w:spacing w:after="0" w:line="231"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Item 6. EXHIBITS AND REPORTS ON FORM 8-K</w:t>
        </w:r>
      </w:hyperlink>
    </w:p>
    <w:p>
      <w:pPr>
        <w:spacing w:after="0" w:line="231" w:lineRule="auto"/>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EXHIBIT INDEX</w:t>
        </w:r>
      </w:hyperlink>
    </w:p>
    <w:p>
      <w:pPr>
        <w:spacing w:after="0" w:line="230" w:lineRule="auto"/>
        <w:rPr>
          <w:sz w:val="20"/>
          <w:szCs w:val="20"/>
          <w:color w:val="auto"/>
        </w:rPr>
      </w:pPr>
      <w:r>
        <w:rPr>
          <w:rFonts w:ascii="Arial" w:cs="Arial" w:eastAsia="Arial" w:hAnsi="Arial"/>
          <w:sz w:val="22"/>
          <w:szCs w:val="22"/>
          <w:u w:val="single" w:color="auto"/>
          <w:color w:val="0000EE"/>
        </w:rPr>
        <w:t>Certification of Chief Executive Officer</w:t>
      </w:r>
    </w:p>
    <w:p>
      <w:pPr>
        <w:spacing w:after="0" w:line="231" w:lineRule="auto"/>
        <w:rPr>
          <w:sz w:val="20"/>
          <w:szCs w:val="20"/>
          <w:color w:val="auto"/>
        </w:rPr>
      </w:pPr>
      <w:r>
        <w:rPr>
          <w:rFonts w:ascii="Arial" w:cs="Arial" w:eastAsia="Arial" w:hAnsi="Arial"/>
          <w:sz w:val="22"/>
          <w:szCs w:val="22"/>
          <w:u w:val="single" w:color="auto"/>
          <w:color w:val="0000EE"/>
        </w:rPr>
        <w:t>Certification of Chief Financial Officer</w:t>
      </w:r>
    </w:p>
    <w:p>
      <w:pPr>
        <w:spacing w:after="0"/>
        <w:rPr>
          <w:sz w:val="20"/>
          <w:szCs w:val="20"/>
          <w:color w:val="auto"/>
        </w:rPr>
      </w:pPr>
      <w:r>
        <w:rPr>
          <w:rFonts w:ascii="Arial" w:cs="Arial" w:eastAsia="Arial" w:hAnsi="Arial"/>
          <w:sz w:val="22"/>
          <w:szCs w:val="22"/>
          <w:u w:val="single" w:color="auto"/>
          <w:color w:val="0000EE"/>
        </w:rPr>
        <w:t>Certification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80"/>
          </w:cols>
          <w:pgMar w:left="820" w:top="111" w:right="10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INDEX TO FORM 10-Q</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3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9"/>
              </w:rPr>
              <w:t>Page Number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38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020" w:type="dxa"/>
            <w:vAlign w:val="bottom"/>
          </w:tcPr>
          <w:p>
            <w:pPr>
              <w:spacing w:after="0"/>
              <w:rPr>
                <w:sz w:val="6"/>
                <w:szCs w:val="6"/>
                <w:color w:val="auto"/>
              </w:rPr>
            </w:pPr>
          </w:p>
        </w:tc>
        <w:tc>
          <w:tcPr>
            <w:tcW w:w="93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PART I.</w:t>
            </w:r>
          </w:p>
        </w:tc>
        <w:tc>
          <w:tcPr>
            <w:tcW w:w="9380" w:type="dxa"/>
            <w:vAlign w:val="bottom"/>
            <w:shd w:val="clear" w:color="auto" w:fill="EEEEEE"/>
          </w:tcPr>
          <w:p>
            <w:pPr>
              <w:ind w:left="340"/>
              <w:spacing w:after="0"/>
              <w:rPr>
                <w:sz w:val="20"/>
                <w:szCs w:val="20"/>
                <w:color w:val="auto"/>
              </w:rPr>
            </w:pPr>
            <w:r>
              <w:rPr>
                <w:rFonts w:ascii="Arial" w:cs="Arial" w:eastAsia="Arial" w:hAnsi="Arial"/>
                <w:sz w:val="18"/>
                <w:szCs w:val="18"/>
                <w:b w:val="1"/>
                <w:bCs w:val="1"/>
                <w:color w:val="auto"/>
              </w:rPr>
              <w:t>FINANCIAL INFORMATION:</w:t>
            </w:r>
          </w:p>
        </w:tc>
        <w:tc>
          <w:tcPr>
            <w:tcW w:w="10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380" w:type="dxa"/>
            <w:vAlign w:val="bottom"/>
          </w:tcPr>
          <w:p>
            <w:pPr>
              <w:ind w:left="340"/>
              <w:spacing w:after="0"/>
              <w:rPr>
                <w:sz w:val="20"/>
                <w:szCs w:val="20"/>
                <w:color w:val="auto"/>
              </w:rPr>
            </w:pPr>
            <w:r>
              <w:rPr>
                <w:rFonts w:ascii="Arial" w:cs="Arial" w:eastAsia="Arial" w:hAnsi="Arial"/>
                <w:sz w:val="18"/>
                <w:szCs w:val="18"/>
                <w:color w:val="auto"/>
              </w:rPr>
              <w:t>Financial Statements</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9380" w:type="dxa"/>
            <w:vAlign w:val="bottom"/>
            <w:shd w:val="clear" w:color="auto" w:fill="EEEEEE"/>
          </w:tcPr>
          <w:p>
            <w:pPr>
              <w:ind w:left="460"/>
              <w:spacing w:after="0" w:line="201" w:lineRule="exact"/>
              <w:rPr>
                <w:sz w:val="20"/>
                <w:szCs w:val="20"/>
                <w:color w:val="auto"/>
              </w:rPr>
            </w:pPr>
            <w:r>
              <w:rPr>
                <w:rFonts w:ascii="Arial" w:cs="Arial" w:eastAsia="Arial" w:hAnsi="Arial"/>
                <w:sz w:val="18"/>
                <w:szCs w:val="18"/>
                <w:color w:val="auto"/>
              </w:rPr>
              <w:t>Condensed Consolidated Statements of Earnings (Unaudited) -</w:t>
            </w:r>
          </w:p>
        </w:tc>
        <w:tc>
          <w:tcPr>
            <w:tcW w:w="10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9380" w:type="dxa"/>
            <w:vAlign w:val="bottom"/>
            <w:shd w:val="clear" w:color="auto" w:fill="EEEEEE"/>
          </w:tcPr>
          <w:p>
            <w:pPr>
              <w:ind w:left="600"/>
              <w:spacing w:after="0"/>
              <w:rPr>
                <w:sz w:val="20"/>
                <w:szCs w:val="20"/>
                <w:color w:val="auto"/>
              </w:rPr>
            </w:pPr>
            <w:r>
              <w:rPr>
                <w:rFonts w:ascii="Arial" w:cs="Arial" w:eastAsia="Arial" w:hAnsi="Arial"/>
                <w:sz w:val="18"/>
                <w:szCs w:val="18"/>
                <w:color w:val="auto"/>
              </w:rPr>
              <w:t>Three Months Ended January 30, 2004 and January 31, 2003</w:t>
            </w:r>
          </w:p>
        </w:tc>
        <w:tc>
          <w:tcPr>
            <w:tcW w:w="100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380" w:type="dxa"/>
            <w:vAlign w:val="bottom"/>
          </w:tcPr>
          <w:p>
            <w:pPr>
              <w:ind w:left="460"/>
              <w:spacing w:after="0" w:line="201" w:lineRule="exact"/>
              <w:rPr>
                <w:sz w:val="20"/>
                <w:szCs w:val="20"/>
                <w:color w:val="auto"/>
              </w:rPr>
            </w:pPr>
            <w:r>
              <w:rPr>
                <w:rFonts w:ascii="Arial" w:cs="Arial" w:eastAsia="Arial" w:hAnsi="Arial"/>
                <w:sz w:val="18"/>
                <w:szCs w:val="18"/>
                <w:color w:val="auto"/>
              </w:rPr>
              <w:t>Condensed Consolidated Balance Sheets (Unaudited) -</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380" w:type="dxa"/>
            <w:vAlign w:val="bottom"/>
          </w:tcPr>
          <w:p>
            <w:pPr>
              <w:ind w:left="600"/>
              <w:spacing w:after="0"/>
              <w:rPr>
                <w:sz w:val="20"/>
                <w:szCs w:val="20"/>
                <w:color w:val="auto"/>
              </w:rPr>
            </w:pPr>
            <w:r>
              <w:rPr>
                <w:rFonts w:ascii="Arial" w:cs="Arial" w:eastAsia="Arial" w:hAnsi="Arial"/>
                <w:sz w:val="18"/>
                <w:szCs w:val="18"/>
                <w:color w:val="auto"/>
              </w:rPr>
              <w:t>January 30, 2004, January 31, 2003 and October 31, 2003</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9380" w:type="dxa"/>
            <w:vAlign w:val="bottom"/>
            <w:shd w:val="clear" w:color="auto" w:fill="EEEEEE"/>
          </w:tcPr>
          <w:p>
            <w:pPr>
              <w:ind w:left="460"/>
              <w:spacing w:after="0" w:line="201" w:lineRule="exact"/>
              <w:rPr>
                <w:sz w:val="20"/>
                <w:szCs w:val="20"/>
                <w:color w:val="auto"/>
              </w:rPr>
            </w:pPr>
            <w:r>
              <w:rPr>
                <w:rFonts w:ascii="Arial" w:cs="Arial" w:eastAsia="Arial" w:hAnsi="Arial"/>
                <w:sz w:val="18"/>
                <w:szCs w:val="18"/>
                <w:color w:val="auto"/>
              </w:rPr>
              <w:t>Condensed Consolidated Statements of Cash Flows (Unaudited) -</w:t>
            </w:r>
          </w:p>
        </w:tc>
        <w:tc>
          <w:tcPr>
            <w:tcW w:w="10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9380" w:type="dxa"/>
            <w:vAlign w:val="bottom"/>
            <w:shd w:val="clear" w:color="auto" w:fill="EEEEEE"/>
          </w:tcPr>
          <w:p>
            <w:pPr>
              <w:ind w:left="600"/>
              <w:spacing w:after="0"/>
              <w:rPr>
                <w:sz w:val="20"/>
                <w:szCs w:val="20"/>
                <w:color w:val="auto"/>
              </w:rPr>
            </w:pPr>
            <w:r>
              <w:rPr>
                <w:rFonts w:ascii="Arial" w:cs="Arial" w:eastAsia="Arial" w:hAnsi="Arial"/>
                <w:sz w:val="18"/>
                <w:szCs w:val="18"/>
                <w:color w:val="auto"/>
              </w:rPr>
              <w:t>Three Months Ended January 30, 2004 and January 31, 2003</w:t>
            </w:r>
          </w:p>
        </w:tc>
        <w:tc>
          <w:tcPr>
            <w:tcW w:w="100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380" w:type="dxa"/>
            <w:vAlign w:val="bottom"/>
          </w:tcPr>
          <w:p>
            <w:pPr>
              <w:ind w:left="460"/>
              <w:spacing w:after="0"/>
              <w:rPr>
                <w:sz w:val="20"/>
                <w:szCs w:val="20"/>
                <w:color w:val="auto"/>
              </w:rPr>
            </w:pPr>
            <w:r>
              <w:rPr>
                <w:rFonts w:ascii="Arial" w:cs="Arial" w:eastAsia="Arial" w:hAnsi="Arial"/>
                <w:sz w:val="18"/>
                <w:szCs w:val="18"/>
                <w:color w:val="auto"/>
              </w:rPr>
              <w:t>Notes to Condensed Consolidated Financial Statements (Unaudited)</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Item 2.</w:t>
            </w:r>
          </w:p>
        </w:tc>
        <w:tc>
          <w:tcPr>
            <w:tcW w:w="9380" w:type="dxa"/>
            <w:vAlign w:val="bottom"/>
            <w:shd w:val="clear" w:color="auto" w:fill="EEEEEE"/>
          </w:tcPr>
          <w:p>
            <w:pPr>
              <w:ind w:left="4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00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380" w:type="dxa"/>
            <w:vAlign w:val="bottom"/>
          </w:tcPr>
          <w:p>
            <w:pPr>
              <w:ind w:left="460"/>
              <w:spacing w:after="0"/>
              <w:rPr>
                <w:sz w:val="20"/>
                <w:szCs w:val="20"/>
                <w:color w:val="auto"/>
              </w:rPr>
            </w:pPr>
            <w:r>
              <w:rPr>
                <w:rFonts w:ascii="Arial" w:cs="Arial" w:eastAsia="Arial" w:hAnsi="Arial"/>
                <w:sz w:val="18"/>
                <w:szCs w:val="18"/>
                <w:color w:val="auto"/>
              </w:rPr>
              <w:t>Quantitative and Qualitative Disclosures about Market Risk</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Item 4.</w:t>
            </w:r>
          </w:p>
        </w:tc>
        <w:tc>
          <w:tcPr>
            <w:tcW w:w="9380" w:type="dxa"/>
            <w:vAlign w:val="bottom"/>
            <w:shd w:val="clear" w:color="auto" w:fill="EEEEEE"/>
          </w:tcPr>
          <w:p>
            <w:pPr>
              <w:ind w:left="460"/>
              <w:spacing w:after="0"/>
              <w:rPr>
                <w:sz w:val="20"/>
                <w:szCs w:val="20"/>
                <w:color w:val="auto"/>
              </w:rPr>
            </w:pPr>
            <w:r>
              <w:rPr>
                <w:rFonts w:ascii="Arial" w:cs="Arial" w:eastAsia="Arial" w:hAnsi="Arial"/>
                <w:sz w:val="18"/>
                <w:szCs w:val="18"/>
                <w:color w:val="auto"/>
              </w:rPr>
              <w:t>Controls and Procedures</w:t>
            </w:r>
          </w:p>
        </w:tc>
        <w:tc>
          <w:tcPr>
            <w:tcW w:w="100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380" w:type="dxa"/>
            <w:vAlign w:val="bottom"/>
          </w:tcPr>
          <w:p>
            <w:pPr>
              <w:ind w:left="340"/>
              <w:spacing w:after="0"/>
              <w:rPr>
                <w:sz w:val="20"/>
                <w:szCs w:val="20"/>
                <w:color w:val="auto"/>
              </w:rPr>
            </w:pPr>
            <w:r>
              <w:rPr>
                <w:rFonts w:ascii="Arial" w:cs="Arial" w:eastAsia="Arial" w:hAnsi="Arial"/>
                <w:sz w:val="18"/>
                <w:szCs w:val="18"/>
                <w:b w:val="1"/>
                <w:bCs w:val="1"/>
                <w:color w:val="auto"/>
              </w:rPr>
              <w:t>OTHER INFORMATION:</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Item 2.</w:t>
            </w:r>
          </w:p>
        </w:tc>
        <w:tc>
          <w:tcPr>
            <w:tcW w:w="9380" w:type="dxa"/>
            <w:vAlign w:val="bottom"/>
            <w:shd w:val="clear" w:color="auto" w:fill="EEEEEE"/>
          </w:tcPr>
          <w:p>
            <w:pPr>
              <w:ind w:left="460"/>
              <w:spacing w:after="0"/>
              <w:rPr>
                <w:sz w:val="20"/>
                <w:szCs w:val="20"/>
                <w:color w:val="auto"/>
              </w:rPr>
            </w:pPr>
            <w:r>
              <w:rPr>
                <w:rFonts w:ascii="Arial" w:cs="Arial" w:eastAsia="Arial" w:hAnsi="Arial"/>
                <w:sz w:val="18"/>
                <w:szCs w:val="18"/>
                <w:color w:val="auto"/>
              </w:rPr>
              <w:t>Changes in Securities, Use of Proceeds, and Issuer Purchases of Equity Securities</w:t>
            </w:r>
          </w:p>
        </w:tc>
        <w:tc>
          <w:tcPr>
            <w:tcW w:w="100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380" w:type="dxa"/>
            <w:vAlign w:val="bottom"/>
          </w:tcPr>
          <w:p>
            <w:pPr>
              <w:ind w:left="460"/>
              <w:spacing w:after="0"/>
              <w:rPr>
                <w:sz w:val="20"/>
                <w:szCs w:val="20"/>
                <w:color w:val="auto"/>
              </w:rPr>
            </w:pPr>
            <w:r>
              <w:rPr>
                <w:rFonts w:ascii="Arial" w:cs="Arial" w:eastAsia="Arial" w:hAnsi="Arial"/>
                <w:sz w:val="18"/>
                <w:szCs w:val="18"/>
                <w:color w:val="auto"/>
              </w:rPr>
              <w:t>Exhibits and Reports on Form 8-K</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9380" w:type="dxa"/>
            <w:vAlign w:val="bottom"/>
            <w:shd w:val="clear" w:color="auto" w:fill="EEEEEE"/>
          </w:tcPr>
          <w:p>
            <w:pPr>
              <w:ind w:left="460"/>
              <w:spacing w:after="0"/>
              <w:rPr>
                <w:sz w:val="20"/>
                <w:szCs w:val="20"/>
                <w:color w:val="auto"/>
              </w:rPr>
            </w:pPr>
            <w:r>
              <w:rPr>
                <w:rFonts w:ascii="Arial" w:cs="Arial" w:eastAsia="Arial" w:hAnsi="Arial"/>
                <w:sz w:val="18"/>
                <w:szCs w:val="18"/>
                <w:color w:val="auto"/>
              </w:rPr>
              <w:t>Signatures</w:t>
            </w:r>
          </w:p>
        </w:tc>
        <w:tc>
          <w:tcPr>
            <w:tcW w:w="100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380" w:type="dxa"/>
            <w:vAlign w:val="bottom"/>
          </w:tcPr>
          <w:p>
            <w:pPr>
              <w:ind w:left="4620"/>
              <w:spacing w:after="0"/>
              <w:rPr>
                <w:sz w:val="20"/>
                <w:szCs w:val="20"/>
                <w:color w:val="auto"/>
              </w:rPr>
            </w:pPr>
            <w:r>
              <w:rPr>
                <w:rFonts w:ascii="Arial" w:cs="Arial" w:eastAsia="Arial" w:hAnsi="Arial"/>
                <w:sz w:val="18"/>
                <w:szCs w:val="18"/>
                <w:color w:val="auto"/>
              </w:rPr>
              <w:t>2</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93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Item 1. FINANCIAL INFORMATION</w:t>
      </w:r>
    </w:p>
    <w:p>
      <w:pPr>
        <w:spacing w:after="0" w:line="18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shares in thousands, except per share data)</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42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13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January 30,</w:t>
            </w:r>
          </w:p>
        </w:tc>
        <w:tc>
          <w:tcPr>
            <w:tcW w:w="300" w:type="dxa"/>
            <w:vAlign w:val="bottom"/>
          </w:tcPr>
          <w:p>
            <w:pPr>
              <w:spacing w:after="0"/>
              <w:rPr>
                <w:sz w:val="16"/>
                <w:szCs w:val="16"/>
                <w:color w:val="auto"/>
              </w:rPr>
            </w:pPr>
          </w:p>
        </w:tc>
        <w:tc>
          <w:tcPr>
            <w:tcW w:w="13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ind w:right="31"/>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42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8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9"/>
              </w:rPr>
              <w:t>313,573</w:t>
            </w:r>
          </w:p>
        </w:tc>
        <w:tc>
          <w:tcPr>
            <w:tcW w:w="4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ind w:left="540"/>
              <w:spacing w:after="0"/>
              <w:rPr>
                <w:sz w:val="20"/>
                <w:szCs w:val="20"/>
                <w:color w:val="auto"/>
              </w:rPr>
            </w:pPr>
            <w:r>
              <w:rPr>
                <w:rFonts w:ascii="Arial" w:cs="Arial" w:eastAsia="Arial" w:hAnsi="Arial"/>
                <w:sz w:val="10"/>
                <w:szCs w:val="10"/>
                <w:color w:val="auto"/>
                <w:w w:val="71"/>
              </w:rPr>
              <w:t>$</w:t>
            </w:r>
          </w:p>
        </w:tc>
        <w:tc>
          <w:tcPr>
            <w:tcW w:w="6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9"/>
              </w:rPr>
              <w:t>295,962</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9"/>
              </w:rPr>
              <w:t>200,963</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9"/>
              </w:rPr>
              <w:t>190,381</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9"/>
              </w:rPr>
              <w:t>112,610</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9"/>
              </w:rPr>
              <w:t>105,581</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96,037</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96,351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EEEEEE"/>
          </w:tcPr>
          <w:p>
            <w:pPr>
              <w:spacing w:after="0"/>
              <w:rPr>
                <w:sz w:val="20"/>
                <w:szCs w:val="20"/>
                <w:color w:val="auto"/>
              </w:rPr>
            </w:pPr>
            <w:r>
              <w:rPr>
                <w:rFonts w:ascii="Arial" w:cs="Arial" w:eastAsia="Arial" w:hAnsi="Arial"/>
                <w:sz w:val="18"/>
                <w:szCs w:val="18"/>
                <w:color w:val="auto"/>
              </w:rPr>
              <w:t>Restructuring and other income</w:t>
            </w:r>
          </w:p>
        </w:tc>
        <w:tc>
          <w:tcPr>
            <w:tcW w:w="3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(22)</w:t>
            </w: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tcBorders>
              <w:left w:val="single" w:sz="8" w:color="EEEEEE"/>
            </w:tcBorders>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vMerge w:val="restart"/>
          </w:tcPr>
          <w:p>
            <w:pPr>
              <w:ind w:left="120"/>
              <w:spacing w:after="0"/>
              <w:rPr>
                <w:sz w:val="20"/>
                <w:szCs w:val="20"/>
                <w:color w:val="auto"/>
              </w:rPr>
            </w:pPr>
            <w:r>
              <w:rPr>
                <w:rFonts w:ascii="Arial" w:cs="Arial" w:eastAsia="Arial" w:hAnsi="Arial"/>
                <w:sz w:val="18"/>
                <w:szCs w:val="18"/>
                <w:color w:val="auto"/>
              </w:rPr>
              <w:t>Earnings from operations</w:t>
            </w:r>
          </w:p>
        </w:tc>
        <w:tc>
          <w:tcPr>
            <w:tcW w:w="320" w:type="dxa"/>
            <w:vAlign w:val="bottom"/>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16,595</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9,230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(3,882)</w:t>
            </w: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tcBorders>
              <w:left w:val="single" w:sz="8" w:color="EEEEEE"/>
            </w:tcBorders>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(4,092)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1,309</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5,282</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Earnings before income taxes</w:t>
            </w:r>
          </w:p>
        </w:tc>
        <w:tc>
          <w:tcPr>
            <w:tcW w:w="32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14,022</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10,420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4,697</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3,439</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Net earnings</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9,325</w:t>
            </w:r>
          </w:p>
        </w:tc>
        <w:tc>
          <w:tcPr>
            <w:tcW w:w="400" w:type="dxa"/>
            <w:vAlign w:val="bottom"/>
            <w:shd w:val="clear" w:color="auto" w:fill="EEEEEE"/>
          </w:tcPr>
          <w:p>
            <w:pPr>
              <w:spacing w:after="0"/>
              <w:rPr>
                <w:sz w:val="19"/>
                <w:szCs w:val="19"/>
                <w:color w:val="auto"/>
              </w:rPr>
            </w:pPr>
          </w:p>
        </w:tc>
        <w:tc>
          <w:tcPr>
            <w:tcW w:w="620" w:type="dxa"/>
            <w:vAlign w:val="bottom"/>
            <w:gridSpan w:val="2"/>
            <w:shd w:val="clear" w:color="auto" w:fill="EEEEEE"/>
          </w:tcPr>
          <w:p>
            <w:pPr>
              <w:ind w:left="540"/>
              <w:spacing w:after="0"/>
              <w:rPr>
                <w:sz w:val="20"/>
                <w:szCs w:val="20"/>
                <w:color w:val="auto"/>
              </w:rPr>
            </w:pPr>
            <w:r>
              <w:rPr>
                <w:rFonts w:ascii="Arial" w:cs="Arial" w:eastAsia="Arial" w:hAnsi="Arial"/>
                <w:sz w:val="10"/>
                <w:szCs w:val="10"/>
                <w:color w:val="auto"/>
                <w:w w:val="71"/>
              </w:rPr>
              <w:t>$</w:t>
            </w:r>
          </w:p>
        </w:tc>
        <w:tc>
          <w:tcPr>
            <w:tcW w:w="6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6,981</w:t>
            </w:r>
          </w:p>
        </w:tc>
        <w:tc>
          <w:tcPr>
            <w:tcW w:w="4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Basic net earnings per share of common stock</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gridSpan w:val="2"/>
            <w:vMerge w:val="restart"/>
          </w:tcPr>
          <w:p>
            <w:pPr>
              <w:ind w:left="540"/>
              <w:spacing w:after="0"/>
              <w:rPr>
                <w:sz w:val="20"/>
                <w:szCs w:val="20"/>
                <w:color w:val="auto"/>
              </w:rPr>
            </w:pPr>
            <w:r>
              <w:rPr>
                <w:rFonts w:ascii="Arial" w:cs="Arial" w:eastAsia="Arial" w:hAnsi="Arial"/>
                <w:sz w:val="10"/>
                <w:szCs w:val="10"/>
                <w:color w:val="auto"/>
                <w:w w:val="71"/>
              </w:rPr>
              <w:t>$</w:t>
            </w:r>
          </w:p>
        </w:tc>
        <w:tc>
          <w:tcPr>
            <w:tcW w:w="620" w:type="dxa"/>
            <w:vAlign w:val="bottom"/>
            <w:tcBorders>
              <w:left w:val="single" w:sz="8" w:color="808080"/>
              <w:right w:val="single" w:sz="8" w:color="808080"/>
            </w:tcBorders>
            <w:shd w:val="clear" w:color="auto" w:fill="808080"/>
          </w:tcPr>
          <w:p>
            <w:pPr>
              <w:spacing w:after="0"/>
              <w:rPr>
                <w:sz w:val="5"/>
                <w:szCs w:val="5"/>
                <w:color w:val="auto"/>
              </w:rPr>
            </w:pPr>
          </w:p>
        </w:tc>
        <w:tc>
          <w:tcPr>
            <w:tcW w:w="40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8440" w:type="dxa"/>
            <w:vAlign w:val="bottom"/>
            <w:gridSpan w:val="2"/>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0.37</w:t>
            </w:r>
          </w:p>
        </w:tc>
        <w:tc>
          <w:tcPr>
            <w:tcW w:w="400" w:type="dxa"/>
            <w:vAlign w:val="bottom"/>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0.28</w:t>
            </w:r>
          </w:p>
        </w:tc>
        <w:tc>
          <w:tcPr>
            <w:tcW w:w="4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Borders>
              <w:left w:val="single" w:sz="8" w:color="808080"/>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420" w:type="dxa"/>
            <w:vAlign w:val="bottom"/>
            <w:shd w:val="clear" w:color="auto" w:fill="EEEEEE"/>
          </w:tcPr>
          <w:p>
            <w:pPr>
              <w:spacing w:after="0"/>
              <w:rPr>
                <w:sz w:val="20"/>
                <w:szCs w:val="20"/>
                <w:color w:val="auto"/>
              </w:rPr>
            </w:pPr>
            <w:r>
              <w:rPr>
                <w:rFonts w:ascii="Arial" w:cs="Arial" w:eastAsia="Arial" w:hAnsi="Arial"/>
                <w:sz w:val="18"/>
                <w:szCs w:val="18"/>
                <w:color w:val="auto"/>
              </w:rPr>
              <w:t>Diluted net earnings per share of common stock</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0.36</w:t>
            </w:r>
          </w:p>
        </w:tc>
        <w:tc>
          <w:tcPr>
            <w:tcW w:w="400" w:type="dxa"/>
            <w:vAlign w:val="bottom"/>
            <w:shd w:val="clear" w:color="auto" w:fill="EEEEEE"/>
          </w:tcPr>
          <w:p>
            <w:pPr>
              <w:spacing w:after="0"/>
              <w:rPr>
                <w:sz w:val="19"/>
                <w:szCs w:val="19"/>
                <w:color w:val="auto"/>
              </w:rPr>
            </w:pPr>
          </w:p>
        </w:tc>
        <w:tc>
          <w:tcPr>
            <w:tcW w:w="620" w:type="dxa"/>
            <w:vAlign w:val="bottom"/>
            <w:gridSpan w:val="2"/>
            <w:shd w:val="clear" w:color="auto" w:fill="EEEEEE"/>
          </w:tcPr>
          <w:p>
            <w:pPr>
              <w:ind w:left="540"/>
              <w:spacing w:after="0"/>
              <w:rPr>
                <w:sz w:val="20"/>
                <w:szCs w:val="20"/>
                <w:color w:val="auto"/>
              </w:rPr>
            </w:pPr>
            <w:r>
              <w:rPr>
                <w:rFonts w:ascii="Arial" w:cs="Arial" w:eastAsia="Arial" w:hAnsi="Arial"/>
                <w:sz w:val="10"/>
                <w:szCs w:val="10"/>
                <w:color w:val="auto"/>
                <w:w w:val="71"/>
              </w:rPr>
              <w:t>$</w:t>
            </w:r>
          </w:p>
        </w:tc>
        <w:tc>
          <w:tcPr>
            <w:tcW w:w="6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0.27</w:t>
            </w:r>
          </w:p>
        </w:tc>
        <w:tc>
          <w:tcPr>
            <w:tcW w:w="4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shares of common stock outstanding -</w:t>
            </w:r>
          </w:p>
        </w:tc>
        <w:tc>
          <w:tcPr>
            <w:tcW w:w="320" w:type="dxa"/>
            <w:vAlign w:val="bottom"/>
          </w:tcPr>
          <w:p>
            <w:pPr>
              <w:spacing w:after="0"/>
              <w:rPr>
                <w:sz w:val="6"/>
                <w:szCs w:val="6"/>
                <w:color w:val="auto"/>
              </w:rPr>
            </w:pPr>
          </w:p>
        </w:tc>
        <w:tc>
          <w:tcPr>
            <w:tcW w:w="620" w:type="dxa"/>
            <w:vAlign w:val="bottom"/>
            <w:tcBorders>
              <w:right w:val="single" w:sz="8" w:color="808080"/>
            </w:tcBorders>
            <w:shd w:val="clear" w:color="auto" w:fill="808080"/>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Borders>
              <w:left w:val="single" w:sz="8" w:color="808080"/>
              <w:right w:val="single" w:sz="8" w:color="808080"/>
            </w:tcBorders>
            <w:shd w:val="clear" w:color="auto" w:fill="808080"/>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84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tcPr>
          <w:p>
            <w:pPr>
              <w:ind w:left="12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24,926</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24,921</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Weighted average number of shares of common stock outstanding -</w:t>
            </w:r>
          </w:p>
        </w:tc>
        <w:tc>
          <w:tcPr>
            <w:tcW w:w="320" w:type="dxa"/>
            <w:vAlign w:val="bottom"/>
            <w:shd w:val="clear" w:color="auto" w:fill="EEEEEE"/>
          </w:tcPr>
          <w:p>
            <w:pPr>
              <w:spacing w:after="0"/>
              <w:rPr>
                <w:sz w:val="17"/>
                <w:szCs w:val="17"/>
                <w:color w:val="auto"/>
              </w:rPr>
            </w:pPr>
          </w:p>
        </w:tc>
        <w:tc>
          <w:tcPr>
            <w:tcW w:w="620" w:type="dxa"/>
            <w:vAlign w:val="bottom"/>
            <w:tcBorders>
              <w:right w:val="single" w:sz="8" w:color="EEEEEE"/>
            </w:tcBorders>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620" w:type="dxa"/>
            <w:vAlign w:val="bottom"/>
            <w:tcBorders>
              <w:left w:val="single" w:sz="8" w:color="EEEEEE"/>
              <w:right w:val="single" w:sz="8" w:color="EEEEEE"/>
            </w:tcBorders>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Dilutive</w:t>
            </w:r>
          </w:p>
        </w:tc>
        <w:tc>
          <w:tcPr>
            <w:tcW w:w="320" w:type="dxa"/>
            <w:vAlign w:val="bottom"/>
            <w:shd w:val="clear" w:color="auto" w:fill="EEEEEE"/>
          </w:tcPr>
          <w:p>
            <w:pPr>
              <w:spacing w:after="0"/>
              <w:rPr>
                <w:sz w:val="20"/>
                <w:szCs w:val="20"/>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26,129</w:t>
            </w:r>
          </w:p>
        </w:tc>
        <w:tc>
          <w:tcPr>
            <w:tcW w:w="40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6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25,843</w:t>
            </w:r>
          </w:p>
        </w:tc>
        <w:tc>
          <w:tcPr>
            <w:tcW w:w="4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Shares and per share data have been adjusted for all periods presented to reflect a two-for-one stock split effective April 1, 2003.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200" w:type="dxa"/>
            <w:vAlign w:val="bottom"/>
            <w:gridSpan w:val="3"/>
          </w:tcPr>
          <w:p>
            <w:pPr>
              <w:ind w:left="240"/>
              <w:spacing w:after="0"/>
              <w:rPr>
                <w:sz w:val="20"/>
                <w:szCs w:val="20"/>
                <w:color w:val="auto"/>
              </w:rPr>
            </w:pPr>
            <w:r>
              <w:rPr>
                <w:rFonts w:ascii="Arial" w:cs="Arial" w:eastAsia="Arial" w:hAnsi="Arial"/>
                <w:sz w:val="14"/>
                <w:szCs w:val="14"/>
                <w:b w:val="1"/>
                <w:bCs w:val="1"/>
                <w:color w:val="auto"/>
              </w:rPr>
              <w:t>January 30,</w:t>
            </w:r>
          </w:p>
        </w:tc>
        <w:tc>
          <w:tcPr>
            <w:tcW w:w="300" w:type="dxa"/>
            <w:vAlign w:val="bottom"/>
          </w:tcPr>
          <w:p>
            <w:pPr>
              <w:spacing w:after="0"/>
              <w:rPr>
                <w:sz w:val="14"/>
                <w:szCs w:val="14"/>
                <w:color w:val="auto"/>
              </w:rPr>
            </w:pPr>
          </w:p>
        </w:tc>
        <w:tc>
          <w:tcPr>
            <w:tcW w:w="1200" w:type="dxa"/>
            <w:vAlign w:val="bottom"/>
            <w:gridSpan w:val="3"/>
          </w:tcPr>
          <w:p>
            <w:pPr>
              <w:ind w:left="240"/>
              <w:spacing w:after="0"/>
              <w:rPr>
                <w:sz w:val="20"/>
                <w:szCs w:val="20"/>
                <w:color w:val="auto"/>
              </w:rPr>
            </w:pPr>
            <w:r>
              <w:rPr>
                <w:rFonts w:ascii="Arial" w:cs="Arial" w:eastAsia="Arial" w:hAnsi="Arial"/>
                <w:sz w:val="14"/>
                <w:szCs w:val="14"/>
                <w:b w:val="1"/>
                <w:bCs w:val="1"/>
                <w:color w:val="auto"/>
              </w:rPr>
              <w:t>January 31,</w:t>
            </w:r>
          </w:p>
        </w:tc>
        <w:tc>
          <w:tcPr>
            <w:tcW w:w="300" w:type="dxa"/>
            <w:vAlign w:val="bottom"/>
          </w:tcPr>
          <w:p>
            <w:pPr>
              <w:spacing w:after="0"/>
              <w:rPr>
                <w:sz w:val="14"/>
                <w:szCs w:val="14"/>
                <w:color w:val="auto"/>
              </w:rPr>
            </w:pPr>
          </w:p>
        </w:tc>
        <w:tc>
          <w:tcPr>
            <w:tcW w:w="1200" w:type="dxa"/>
            <w:vAlign w:val="bottom"/>
            <w:gridSpan w:val="3"/>
          </w:tcPr>
          <w:p>
            <w:pPr>
              <w:ind w:left="24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jc w:val="right"/>
              <w:ind w:right="71"/>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jc w:val="right"/>
              <w:ind w:right="71"/>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jc w:val="right"/>
              <w:ind w:right="71"/>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EEEEEE"/>
          </w:tcPr>
          <w:p>
            <w:pPr>
              <w:spacing w:after="0"/>
              <w:rPr>
                <w:sz w:val="20"/>
                <w:szCs w:val="20"/>
                <w:color w:val="auto"/>
              </w:rPr>
            </w:pPr>
            <w:r>
              <w:rPr>
                <w:rFonts w:ascii="Arial" w:cs="Arial" w:eastAsia="Arial" w:hAnsi="Arial"/>
                <w:sz w:val="18"/>
                <w:szCs w:val="18"/>
                <w:color w:val="auto"/>
              </w:rPr>
              <w:t>ASSETS</w:t>
            </w: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17,925</w:t>
            </w:r>
          </w:p>
        </w:tc>
        <w:tc>
          <w:tcPr>
            <w:tcW w:w="300" w:type="dxa"/>
            <w:vAlign w:val="bottom"/>
          </w:tcPr>
          <w:p>
            <w:pPr>
              <w:spacing w:after="0"/>
              <w:rPr>
                <w:sz w:val="18"/>
                <w:szCs w:val="18"/>
                <w:color w:val="auto"/>
              </w:rPr>
            </w:pPr>
          </w:p>
        </w:tc>
        <w:tc>
          <w:tcPr>
            <w:tcW w:w="62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18"/>
                <w:szCs w:val="18"/>
                <w:color w:val="auto"/>
              </w:rPr>
            </w:pPr>
          </w:p>
        </w:tc>
        <w:tc>
          <w:tcPr>
            <w:tcW w:w="62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110,287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EEEEE"/>
          </w:tcPr>
          <w:p>
            <w:pPr>
              <w:spacing w:after="0"/>
              <w:rPr>
                <w:sz w:val="20"/>
                <w:szCs w:val="20"/>
                <w:color w:val="auto"/>
              </w:rPr>
            </w:pPr>
            <w:r>
              <w:rPr>
                <w:rFonts w:ascii="Arial" w:cs="Arial" w:eastAsia="Arial" w:hAnsi="Arial"/>
                <w:sz w:val="18"/>
                <w:szCs w:val="18"/>
                <w:color w:val="auto"/>
              </w:rPr>
              <w:t>Receivables, net</w:t>
            </w: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311,451</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311,892</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280,124</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Inventories, net</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271,071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267,376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228,909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EEEEE"/>
          </w:tcPr>
          <w:p>
            <w:pPr>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13,710</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11,689</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12,484</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43,253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39,474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42,111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current assets</w:t>
            </w: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6"/>
              </w:rPr>
              <w:t>657,410</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6"/>
              </w:rPr>
              <w:t>630,518</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6"/>
              </w:rPr>
              <w:t>673,915</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22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469,281</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449,040</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469,924</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6"/>
              </w:rPr>
              <w:t>308,552</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6"/>
              </w:rPr>
              <w:t>289,566</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6"/>
              </w:rPr>
              <w:t>310,808</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160,729</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159,474</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159,116</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EEEEE"/>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1,181</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4,196</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1,181</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20,088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14,253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12,353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EEEEE"/>
          </w:tcPr>
          <w:p>
            <w:pPr>
              <w:spacing w:after="0"/>
              <w:rPr>
                <w:sz w:val="20"/>
                <w:szCs w:val="20"/>
                <w:color w:val="auto"/>
              </w:rPr>
            </w:pPr>
            <w:r>
              <w:rPr>
                <w:rFonts w:ascii="Arial" w:cs="Arial" w:eastAsia="Arial" w:hAnsi="Arial"/>
                <w:sz w:val="18"/>
                <w:szCs w:val="18"/>
                <w:color w:val="auto"/>
              </w:rPr>
              <w:t>Goodwill</w:t>
            </w: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78,081</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77,891</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78,013</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32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2,672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1,769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2,854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assets</w:t>
            </w:r>
          </w:p>
        </w:tc>
        <w:tc>
          <w:tcPr>
            <w:tcW w:w="320" w:type="dxa"/>
            <w:vAlign w:val="bottom"/>
            <w:tcBorders>
              <w:right w:val="single" w:sz="8" w:color="EEEEEE"/>
            </w:tcBorders>
            <w:shd w:val="clear" w:color="auto" w:fill="EEEEEE"/>
          </w:tcPr>
          <w:p>
            <w:pPr>
              <w:ind w:left="2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920,161</w:t>
            </w:r>
          </w:p>
        </w:tc>
        <w:tc>
          <w:tcPr>
            <w:tcW w:w="30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ind w:left="5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888,101</w:t>
            </w:r>
          </w:p>
        </w:tc>
        <w:tc>
          <w:tcPr>
            <w:tcW w:w="30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ind w:left="5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927,432</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200" w:type="dxa"/>
            <w:vAlign w:val="bottom"/>
            <w:shd w:val="clear" w:color="auto" w:fill="EEEEEE"/>
          </w:tcPr>
          <w:p>
            <w:pPr>
              <w:spacing w:after="0"/>
              <w:rPr>
                <w:sz w:val="3"/>
                <w:szCs w:val="3"/>
                <w:color w:val="auto"/>
              </w:rPr>
            </w:pPr>
          </w:p>
        </w:tc>
        <w:tc>
          <w:tcPr>
            <w:tcW w:w="320" w:type="dxa"/>
            <w:vAlign w:val="bottom"/>
            <w:tcBorders>
              <w:right w:val="single" w:sz="8" w:color="808080"/>
            </w:tcBorders>
            <w:shd w:val="clear" w:color="auto" w:fill="EEEEEE"/>
          </w:tcPr>
          <w:p>
            <w:pPr>
              <w:spacing w:after="0"/>
              <w:rPr>
                <w:sz w:val="3"/>
                <w:szCs w:val="3"/>
                <w:color w:val="auto"/>
              </w:rPr>
            </w:pPr>
          </w:p>
        </w:tc>
        <w:tc>
          <w:tcPr>
            <w:tcW w:w="580" w:type="dxa"/>
            <w:vAlign w:val="bottom"/>
            <w:tcBorders>
              <w:bottom w:val="single" w:sz="8" w:color="808080"/>
            </w:tcBorders>
            <w:shd w:val="clear" w:color="auto" w:fill="808080"/>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320" w:type="dxa"/>
            <w:vAlign w:val="bottom"/>
            <w:tcBorders>
              <w:right w:val="single" w:sz="8" w:color="808080"/>
            </w:tcBorders>
            <w:shd w:val="clear" w:color="auto" w:fill="EEEEEE"/>
          </w:tcPr>
          <w:p>
            <w:pPr>
              <w:spacing w:after="0"/>
              <w:rPr>
                <w:sz w:val="3"/>
                <w:szCs w:val="3"/>
                <w:color w:val="auto"/>
              </w:rPr>
            </w:pPr>
          </w:p>
        </w:tc>
        <w:tc>
          <w:tcPr>
            <w:tcW w:w="580" w:type="dxa"/>
            <w:vAlign w:val="bottom"/>
            <w:tcBorders>
              <w:bottom w:val="single" w:sz="8" w:color="808080"/>
            </w:tcBorders>
            <w:shd w:val="clear" w:color="auto" w:fill="808080"/>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320" w:type="dxa"/>
            <w:vAlign w:val="bottom"/>
            <w:tcBorders>
              <w:right w:val="single" w:sz="8" w:color="808080"/>
            </w:tcBorders>
            <w:shd w:val="clear" w:color="auto" w:fill="EEEEEE"/>
          </w:tcPr>
          <w:p>
            <w:pPr>
              <w:spacing w:after="0"/>
              <w:rPr>
                <w:sz w:val="3"/>
                <w:szCs w:val="3"/>
                <w:color w:val="auto"/>
              </w:rPr>
            </w:pPr>
          </w:p>
        </w:tc>
        <w:tc>
          <w:tcPr>
            <w:tcW w:w="580" w:type="dxa"/>
            <w:vAlign w:val="bottom"/>
            <w:tcBorders>
              <w:bottom w:val="single" w:sz="8" w:color="808080"/>
            </w:tcBorders>
            <w:shd w:val="clear" w:color="auto" w:fill="808080"/>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7220" w:type="dxa"/>
            <w:vAlign w:val="bottom"/>
            <w:gridSpan w:val="2"/>
          </w:tcPr>
          <w:p>
            <w:pPr>
              <w:spacing w:after="0"/>
              <w:rPr>
                <w:sz w:val="20"/>
                <w:szCs w:val="20"/>
                <w:color w:val="auto"/>
              </w:rPr>
            </w:pPr>
            <w:r>
              <w:rPr>
                <w:rFonts w:ascii="Arial" w:cs="Arial" w:eastAsia="Arial" w:hAnsi="Arial"/>
                <w:sz w:val="18"/>
                <w:szCs w:val="18"/>
                <w:color w:val="auto"/>
              </w:rPr>
              <w:t>LIABILITIES AND STOCKHOLDERS’ EQUITY</w:t>
            </w: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EEEEE"/>
          </w:tcPr>
          <w:p>
            <w:pPr>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Borders>
              <w:right w:val="single" w:sz="8" w:color="EEEEEE"/>
            </w:tcBorders>
            <w:shd w:val="clear" w:color="auto" w:fill="EEEEEE"/>
          </w:tcPr>
          <w:p>
            <w:pPr>
              <w:ind w:left="2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225</w:t>
            </w:r>
          </w:p>
        </w:tc>
        <w:tc>
          <w:tcPr>
            <w:tcW w:w="30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ind w:left="5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15,846</w:t>
            </w:r>
          </w:p>
        </w:tc>
        <w:tc>
          <w:tcPr>
            <w:tcW w:w="30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ind w:left="5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3,830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Short-term debt</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2,308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25,024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w:t>
            </w: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84,766</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90,397</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73,976</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6"/>
              </w:rPr>
              <w:t>212,790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6"/>
              </w:rPr>
              <w:t>194,917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6"/>
              </w:rPr>
              <w:t>223,192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6"/>
              </w:rPr>
              <w:t>300,089</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6"/>
              </w:rPr>
              <w:t>326,184</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6"/>
              </w:rPr>
              <w:t>303,136</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22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175,080</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178,724</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175,091</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EEEEE"/>
          </w:tcPr>
          <w:p>
            <w:pPr>
              <w:spacing w:after="0"/>
              <w:rPr>
                <w:sz w:val="20"/>
                <w:szCs w:val="20"/>
                <w:color w:val="auto"/>
              </w:rPr>
            </w:pPr>
            <w:r>
              <w:rPr>
                <w:rFonts w:ascii="Arial" w:cs="Arial" w:eastAsia="Arial" w:hAnsi="Arial"/>
                <w:sz w:val="18"/>
                <w:szCs w:val="18"/>
                <w:color w:val="auto"/>
              </w:rPr>
              <w:t>Deferred revenue and other long-term liabilities</w:t>
            </w: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11,775</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8,259</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12,003</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0" w:type="dxa"/>
            <w:vAlign w:val="bottom"/>
            <w:shd w:val="clear" w:color="auto" w:fill="EEEEEE"/>
          </w:tcPr>
          <w:p>
            <w:pPr>
              <w:ind w:left="120"/>
              <w:spacing w:after="0" w:line="201" w:lineRule="exact"/>
              <w:rPr>
                <w:sz w:val="20"/>
                <w:szCs w:val="20"/>
                <w:color w:val="auto"/>
              </w:rPr>
            </w:pPr>
            <w:r>
              <w:rPr>
                <w:rFonts w:ascii="Arial" w:cs="Arial" w:eastAsia="Arial" w:hAnsi="Arial"/>
                <w:sz w:val="18"/>
                <w:szCs w:val="18"/>
                <w:color w:val="auto"/>
                <w:w w:val="98"/>
              </w:rPr>
              <w:t>Preferred stock, par value $1.00 per share, authorized 1,000,000 voting and 850,000 non-</w:t>
            </w:r>
          </w:p>
        </w:tc>
        <w:tc>
          <w:tcPr>
            <w:tcW w:w="32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2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2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voting shares, none issued and outstanding</w:t>
            </w:r>
          </w:p>
        </w:tc>
        <w:tc>
          <w:tcPr>
            <w:tcW w:w="320" w:type="dxa"/>
            <w:vAlign w:val="bottom"/>
            <w:tcBorders>
              <w:right w:val="single" w:sz="8" w:color="EEEEEE"/>
            </w:tcBorders>
            <w:shd w:val="clear" w:color="auto" w:fill="EEEEEE"/>
          </w:tcPr>
          <w:p>
            <w:pPr>
              <w:spacing w:after="0"/>
              <w:rPr>
                <w:sz w:val="20"/>
                <w:szCs w:val="20"/>
                <w:color w:val="auto"/>
              </w:rPr>
            </w:pPr>
          </w:p>
        </w:tc>
        <w:tc>
          <w:tcPr>
            <w:tcW w:w="8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20"/>
                <w:szCs w:val="20"/>
                <w:color w:val="auto"/>
              </w:rPr>
            </w:pPr>
          </w:p>
        </w:tc>
        <w:tc>
          <w:tcPr>
            <w:tcW w:w="320" w:type="dxa"/>
            <w:vAlign w:val="bottom"/>
            <w:tcBorders>
              <w:right w:val="single" w:sz="8" w:color="EEEEEE"/>
            </w:tcBorders>
            <w:shd w:val="clear" w:color="auto" w:fill="EEEEEE"/>
          </w:tcPr>
          <w:p>
            <w:pPr>
              <w:spacing w:after="0"/>
              <w:rPr>
                <w:sz w:val="20"/>
                <w:szCs w:val="20"/>
                <w:color w:val="auto"/>
              </w:rPr>
            </w:pPr>
          </w:p>
        </w:tc>
        <w:tc>
          <w:tcPr>
            <w:tcW w:w="8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20"/>
                <w:szCs w:val="20"/>
                <w:color w:val="auto"/>
              </w:rPr>
            </w:pPr>
          </w:p>
        </w:tc>
        <w:tc>
          <w:tcPr>
            <w:tcW w:w="320" w:type="dxa"/>
            <w:vAlign w:val="bottom"/>
            <w:tcBorders>
              <w:right w:val="single" w:sz="8" w:color="EEEEEE"/>
            </w:tcBorders>
            <w:shd w:val="clear" w:color="auto" w:fill="EEEEEE"/>
          </w:tcPr>
          <w:p>
            <w:pPr>
              <w:spacing w:after="0"/>
              <w:rPr>
                <w:sz w:val="20"/>
                <w:szCs w:val="20"/>
                <w:color w:val="auto"/>
              </w:rPr>
            </w:pPr>
          </w:p>
        </w:tc>
        <w:tc>
          <w:tcPr>
            <w:tcW w:w="8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0" w:type="dxa"/>
            <w:vAlign w:val="bottom"/>
          </w:tcPr>
          <w:p>
            <w:pPr>
              <w:ind w:left="120"/>
              <w:spacing w:after="0" w:line="201" w:lineRule="exact"/>
              <w:rPr>
                <w:sz w:val="20"/>
                <w:szCs w:val="20"/>
                <w:color w:val="auto"/>
              </w:rPr>
            </w:pPr>
            <w:r>
              <w:rPr>
                <w:rFonts w:ascii="Arial" w:cs="Arial" w:eastAsia="Arial" w:hAnsi="Arial"/>
                <w:sz w:val="18"/>
                <w:szCs w:val="18"/>
                <w:color w:val="auto"/>
              </w:rPr>
              <w:t>Common stock, par value $1.00 per share, authorized 50,000,000 shares, issued and</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60"/>
              <w:spacing w:after="0"/>
              <w:rPr>
                <w:sz w:val="20"/>
                <w:szCs w:val="20"/>
                <w:color w:val="auto"/>
              </w:rPr>
            </w:pPr>
            <w:r>
              <w:rPr>
                <w:rFonts w:ascii="Arial" w:cs="Arial" w:eastAsia="Arial" w:hAnsi="Arial"/>
                <w:sz w:val="18"/>
                <w:szCs w:val="18"/>
                <w:color w:val="auto"/>
                <w:w w:val="96"/>
              </w:rPr>
              <w:t>outstanding 24,091,130 shares as of January 30, 2004 (net of 2,924,980 treasury shares),</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60"/>
              <w:spacing w:after="0"/>
              <w:rPr>
                <w:sz w:val="20"/>
                <w:szCs w:val="20"/>
                <w:color w:val="auto"/>
              </w:rPr>
            </w:pPr>
            <w:r>
              <w:rPr>
                <w:rFonts w:ascii="Arial" w:cs="Arial" w:eastAsia="Arial" w:hAnsi="Arial"/>
                <w:sz w:val="18"/>
                <w:szCs w:val="18"/>
                <w:color w:val="auto"/>
                <w:w w:val="92"/>
              </w:rPr>
              <w:t>24,437,062 shares as of January 31, 2003 (net of 2,579,048 treasury shares), and 24,388,999</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tcPr>
          <w:p>
            <w:pPr>
              <w:ind w:left="260"/>
              <w:spacing w:after="0"/>
              <w:rPr>
                <w:sz w:val="20"/>
                <w:szCs w:val="20"/>
                <w:color w:val="auto"/>
              </w:rPr>
            </w:pPr>
            <w:r>
              <w:rPr>
                <w:rFonts w:ascii="Arial" w:cs="Arial" w:eastAsia="Arial" w:hAnsi="Arial"/>
                <w:sz w:val="18"/>
                <w:szCs w:val="18"/>
                <w:color w:val="auto"/>
              </w:rPr>
              <w:t>shares as of October 31, 2003 (net of 2,627,111 treasury shares)</w:t>
            </w: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24,091</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24,438</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24,389</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Additional paid-in capital</w:t>
            </w:r>
          </w:p>
        </w:tc>
        <w:tc>
          <w:tcPr>
            <w:tcW w:w="32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15,864</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7,658</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421,621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347,845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417,973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92"/>
              </w:rPr>
              <w:t>(12,495)</w:t>
            </w: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92"/>
              </w:rPr>
              <w:t>(13,213)</w:t>
            </w: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92"/>
              </w:rPr>
              <w:t>(12,818)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00" w:type="dxa"/>
            <w:vAlign w:val="bottom"/>
          </w:tcPr>
          <w:p>
            <w:pPr>
              <w:ind w:left="260"/>
              <w:spacing w:after="0"/>
              <w:rPr>
                <w:sz w:val="20"/>
                <w:szCs w:val="20"/>
                <w:color w:val="auto"/>
              </w:rPr>
            </w:pPr>
            <w:r>
              <w:rPr>
                <w:rFonts w:ascii="Arial" w:cs="Arial" w:eastAsia="Arial" w:hAnsi="Arial"/>
                <w:sz w:val="18"/>
                <w:szCs w:val="18"/>
                <w:color w:val="auto"/>
              </w:rPr>
              <w:t>Total stockholders’ equity</w:t>
            </w:r>
          </w:p>
        </w:tc>
        <w:tc>
          <w:tcPr>
            <w:tcW w:w="320" w:type="dxa"/>
            <w:vAlign w:val="bottom"/>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6"/>
              </w:rPr>
              <w:t>433,217</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6"/>
              </w:rPr>
              <w:t>374,934</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6"/>
              </w:rPr>
              <w:t>437,202</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right w:val="single" w:sz="8" w:color="EEEEEE"/>
            </w:tcBorders>
            <w:shd w:val="clear" w:color="auto" w:fill="EEEEEE"/>
          </w:tcPr>
          <w:p>
            <w:pPr>
              <w:ind w:left="2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920,161</w:t>
            </w:r>
          </w:p>
        </w:tc>
        <w:tc>
          <w:tcPr>
            <w:tcW w:w="30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ind w:left="5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888,101</w:t>
            </w:r>
          </w:p>
        </w:tc>
        <w:tc>
          <w:tcPr>
            <w:tcW w:w="30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ind w:left="5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927,432</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200" w:type="dxa"/>
            <w:vAlign w:val="bottom"/>
            <w:tcBorders>
              <w:top w:val="single" w:sz="8" w:color="EEEEEE"/>
            </w:tcBorders>
          </w:tcPr>
          <w:p>
            <w:pPr>
              <w:spacing w:after="0"/>
              <w:rPr>
                <w:sz w:val="3"/>
                <w:szCs w:val="3"/>
                <w:color w:val="auto"/>
              </w:rPr>
            </w:pPr>
          </w:p>
        </w:tc>
        <w:tc>
          <w:tcPr>
            <w:tcW w:w="320" w:type="dxa"/>
            <w:vAlign w:val="bottom"/>
            <w:tcBorders>
              <w:top w:val="single" w:sz="8" w:color="EEEEEE"/>
              <w:right w:val="single" w:sz="8" w:color="808080"/>
            </w:tcBorders>
          </w:tcPr>
          <w:p>
            <w:pPr>
              <w:spacing w:after="0"/>
              <w:rPr>
                <w:sz w:val="3"/>
                <w:szCs w:val="3"/>
                <w:color w:val="auto"/>
              </w:rPr>
            </w:pPr>
          </w:p>
        </w:tc>
        <w:tc>
          <w:tcPr>
            <w:tcW w:w="580" w:type="dxa"/>
            <w:vAlign w:val="bottom"/>
            <w:tcBorders>
              <w:top w:val="single" w:sz="8" w:color="808080"/>
            </w:tcBorders>
            <w:shd w:val="clear" w:color="auto" w:fill="808080"/>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320" w:type="dxa"/>
            <w:vAlign w:val="bottom"/>
            <w:tcBorders>
              <w:top w:val="single" w:sz="8" w:color="EEEEEE"/>
              <w:right w:val="single" w:sz="8" w:color="808080"/>
            </w:tcBorders>
          </w:tcPr>
          <w:p>
            <w:pPr>
              <w:spacing w:after="0"/>
              <w:rPr>
                <w:sz w:val="3"/>
                <w:szCs w:val="3"/>
                <w:color w:val="auto"/>
              </w:rPr>
            </w:pPr>
          </w:p>
        </w:tc>
        <w:tc>
          <w:tcPr>
            <w:tcW w:w="580" w:type="dxa"/>
            <w:vAlign w:val="bottom"/>
            <w:tcBorders>
              <w:top w:val="single" w:sz="8" w:color="808080"/>
            </w:tcBorders>
            <w:shd w:val="clear" w:color="auto" w:fill="808080"/>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320" w:type="dxa"/>
            <w:vAlign w:val="bottom"/>
            <w:tcBorders>
              <w:top w:val="single" w:sz="8" w:color="EEEEEE"/>
              <w:right w:val="single" w:sz="8" w:color="808080"/>
            </w:tcBorders>
          </w:tcPr>
          <w:p>
            <w:pPr>
              <w:spacing w:after="0"/>
              <w:rPr>
                <w:sz w:val="3"/>
                <w:szCs w:val="3"/>
                <w:color w:val="auto"/>
              </w:rPr>
            </w:pPr>
          </w:p>
        </w:tc>
        <w:tc>
          <w:tcPr>
            <w:tcW w:w="580" w:type="dxa"/>
            <w:vAlign w:val="bottom"/>
            <w:tcBorders>
              <w:top w:val="single" w:sz="8" w:color="808080"/>
            </w:tcBorders>
            <w:shd w:val="clear" w:color="auto" w:fill="808080"/>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Shares and per share data have been adjusted for all periods presented to reflect a two-for-one stock split effective April 1, 2003.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3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4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40" w:type="dxa"/>
            <w:vAlign w:val="bottom"/>
          </w:tcPr>
          <w:p>
            <w:pPr>
              <w:spacing w:after="0"/>
              <w:rPr>
                <w:sz w:val="17"/>
                <w:szCs w:val="17"/>
                <w:color w:val="auto"/>
              </w:rPr>
            </w:pPr>
          </w:p>
        </w:tc>
        <w:tc>
          <w:tcPr>
            <w:tcW w:w="152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January 30,</w:t>
            </w:r>
          </w:p>
        </w:tc>
        <w:tc>
          <w:tcPr>
            <w:tcW w:w="320" w:type="dxa"/>
            <w:vAlign w:val="bottom"/>
          </w:tcPr>
          <w:p>
            <w:pPr>
              <w:spacing w:after="0"/>
              <w:rPr>
                <w:sz w:val="17"/>
                <w:szCs w:val="17"/>
                <w:color w:val="auto"/>
              </w:rPr>
            </w:pPr>
          </w:p>
        </w:tc>
        <w:tc>
          <w:tcPr>
            <w:tcW w:w="15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jc w:val="right"/>
              <w:ind w:right="11"/>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jc w:val="right"/>
              <w:ind w:right="11"/>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4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4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Net earnings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9,325</w:t>
            </w:r>
          </w:p>
        </w:tc>
        <w:tc>
          <w:tcPr>
            <w:tcW w:w="5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6,981</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Adjustments to reconcile net earnings to net cash used in operating activities:</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20"/>
              <w:spacing w:after="0"/>
              <w:rPr>
                <w:sz w:val="20"/>
                <w:szCs w:val="20"/>
                <w:color w:val="auto"/>
              </w:rPr>
            </w:pPr>
            <w:r>
              <w:rPr>
                <w:rFonts w:ascii="Arial" w:cs="Arial" w:eastAsia="Arial" w:hAnsi="Arial"/>
                <w:sz w:val="18"/>
                <w:szCs w:val="18"/>
                <w:color w:val="auto"/>
              </w:rPr>
              <w:t>Non-cash asset impairment (recovery)</w:t>
            </w:r>
          </w:p>
        </w:tc>
        <w:tc>
          <w:tcPr>
            <w:tcW w:w="420" w:type="dxa"/>
            <w:vAlign w:val="bottom"/>
          </w:tcPr>
          <w:p>
            <w:pPr>
              <w:spacing w:after="0"/>
              <w:rPr>
                <w:sz w:val="18"/>
                <w:szCs w:val="18"/>
                <w:color w:val="auto"/>
              </w:rPr>
            </w:pPr>
          </w:p>
        </w:tc>
        <w:tc>
          <w:tcPr>
            <w:tcW w:w="1100" w:type="dxa"/>
            <w:vAlign w:val="bottom"/>
            <w:gridSpan w:val="2"/>
          </w:tcPr>
          <w:p>
            <w:pPr>
              <w:jc w:val="right"/>
              <w:ind w:right="388"/>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Provision for depreciation and amortization</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8,560</w:t>
            </w: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7,925</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20"/>
              <w:spacing w:after="0"/>
              <w:rPr>
                <w:sz w:val="20"/>
                <w:szCs w:val="20"/>
                <w:color w:val="auto"/>
              </w:rPr>
            </w:pPr>
            <w:r>
              <w:rPr>
                <w:rFonts w:ascii="Arial" w:cs="Arial" w:eastAsia="Arial" w:hAnsi="Arial"/>
                <w:sz w:val="18"/>
                <w:szCs w:val="18"/>
                <w:color w:val="auto"/>
              </w:rPr>
              <w:t>Gain on disposal of property, plant, and equipment</w:t>
            </w:r>
          </w:p>
        </w:tc>
        <w:tc>
          <w:tcPr>
            <w:tcW w:w="420" w:type="dxa"/>
            <w:vAlign w:val="bottom"/>
          </w:tcPr>
          <w:p>
            <w:pPr>
              <w:spacing w:after="0"/>
              <w:rPr>
                <w:sz w:val="18"/>
                <w:szCs w:val="18"/>
                <w:color w:val="auto"/>
              </w:rPr>
            </w:pPr>
          </w:p>
        </w:tc>
        <w:tc>
          <w:tcPr>
            <w:tcW w:w="1100" w:type="dxa"/>
            <w:vAlign w:val="bottom"/>
            <w:gridSpan w:val="2"/>
          </w:tcPr>
          <w:p>
            <w:pPr>
              <w:jc w:val="right"/>
              <w:ind w:right="388"/>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Increase in deferred income taxes</w:t>
            </w: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88"/>
              <w:spacing w:after="0"/>
              <w:rPr>
                <w:sz w:val="20"/>
                <w:szCs w:val="20"/>
                <w:color w:val="auto"/>
              </w:rPr>
            </w:pPr>
            <w:r>
              <w:rPr>
                <w:rFonts w:ascii="Arial" w:cs="Arial" w:eastAsia="Arial" w:hAnsi="Arial"/>
                <w:sz w:val="18"/>
                <w:szCs w:val="18"/>
                <w:color w:val="auto"/>
              </w:rPr>
              <w:t>(921)</w:t>
            </w:r>
          </w:p>
        </w:tc>
        <w:tc>
          <w:tcPr>
            <w:tcW w:w="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108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20"/>
              <w:spacing w:after="0"/>
              <w:rPr>
                <w:sz w:val="20"/>
                <w:szCs w:val="20"/>
                <w:color w:val="auto"/>
              </w:rPr>
            </w:pPr>
            <w:r>
              <w:rPr>
                <w:rFonts w:ascii="Arial" w:cs="Arial" w:eastAsia="Arial" w:hAnsi="Arial"/>
                <w:sz w:val="18"/>
                <w:szCs w:val="18"/>
                <w:color w:val="auto"/>
              </w:rPr>
              <w:t>Tax benefits related to employee stock option transactions</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522</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rPr>
              <w:t>Receivables, net</w:t>
            </w:r>
          </w:p>
        </w:tc>
        <w:tc>
          <w:tcPr>
            <w:tcW w:w="420" w:type="dxa"/>
            <w:vAlign w:val="bottom"/>
          </w:tcPr>
          <w:p>
            <w:pPr>
              <w:spacing w:after="0"/>
              <w:rPr>
                <w:sz w:val="18"/>
                <w:szCs w:val="18"/>
                <w:color w:val="auto"/>
              </w:rPr>
            </w:pPr>
          </w:p>
        </w:tc>
        <w:tc>
          <w:tcPr>
            <w:tcW w:w="1100" w:type="dxa"/>
            <w:vAlign w:val="bottom"/>
            <w:gridSpan w:val="2"/>
          </w:tcPr>
          <w:p>
            <w:pPr>
              <w:jc w:val="right"/>
              <w:ind w:right="388"/>
              <w:spacing w:after="0"/>
              <w:rPr>
                <w:sz w:val="20"/>
                <w:szCs w:val="20"/>
                <w:color w:val="auto"/>
              </w:rPr>
            </w:pPr>
            <w:r>
              <w:rPr>
                <w:rFonts w:ascii="Arial" w:cs="Arial" w:eastAsia="Arial" w:hAnsi="Arial"/>
                <w:sz w:val="18"/>
                <w:szCs w:val="18"/>
                <w:color w:val="auto"/>
                <w:w w:val="92"/>
              </w:rPr>
              <w:t>(40,286)</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(54,800)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Inventories, net</w:t>
            </w: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88"/>
              <w:spacing w:after="0"/>
              <w:rPr>
                <w:sz w:val="20"/>
                <w:szCs w:val="20"/>
                <w:color w:val="auto"/>
              </w:rPr>
            </w:pPr>
            <w:r>
              <w:rPr>
                <w:rFonts w:ascii="Arial" w:cs="Arial" w:eastAsia="Arial" w:hAnsi="Arial"/>
                <w:sz w:val="18"/>
                <w:szCs w:val="18"/>
                <w:color w:val="auto"/>
                <w:w w:val="92"/>
              </w:rPr>
              <w:t>(39,289)</w:t>
            </w:r>
          </w:p>
        </w:tc>
        <w:tc>
          <w:tcPr>
            <w:tcW w:w="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108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89"/>
              </w:rPr>
              <w:t>(46,134)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3,173</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Accounts payable, accrued expenses, and deferred revenue</w:t>
            </w: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88"/>
              <w:spacing w:after="0"/>
              <w:rPr>
                <w:sz w:val="20"/>
                <w:szCs w:val="20"/>
                <w:color w:val="auto"/>
              </w:rPr>
            </w:pPr>
            <w:r>
              <w:rPr>
                <w:rFonts w:ascii="Arial" w:cs="Arial" w:eastAsia="Arial" w:hAnsi="Arial"/>
                <w:sz w:val="18"/>
                <w:szCs w:val="18"/>
                <w:color w:val="auto"/>
              </w:rPr>
              <w:t>(449)</w:t>
            </w:r>
          </w:p>
        </w:tc>
        <w:tc>
          <w:tcPr>
            <w:tcW w:w="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12,915</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80808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808080"/>
            </w:tcBorders>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040" w:type="dxa"/>
            <w:vAlign w:val="bottom"/>
          </w:tcPr>
          <w:p>
            <w:pPr>
              <w:ind w:left="400"/>
              <w:spacing w:after="0"/>
              <w:rPr>
                <w:sz w:val="20"/>
                <w:szCs w:val="20"/>
                <w:color w:val="auto"/>
              </w:rPr>
            </w:pPr>
            <w:r>
              <w:rPr>
                <w:rFonts w:ascii="Arial" w:cs="Arial" w:eastAsia="Arial" w:hAnsi="Arial"/>
                <w:sz w:val="18"/>
                <w:szCs w:val="18"/>
                <w:color w:val="auto"/>
              </w:rPr>
              <w:t>Net cash used in operating activities</w:t>
            </w:r>
          </w:p>
        </w:tc>
        <w:tc>
          <w:tcPr>
            <w:tcW w:w="420" w:type="dxa"/>
            <w:vAlign w:val="bottom"/>
          </w:tcPr>
          <w:p>
            <w:pPr>
              <w:spacing w:after="0"/>
              <w:rPr>
                <w:sz w:val="20"/>
                <w:szCs w:val="20"/>
                <w:color w:val="auto"/>
              </w:rPr>
            </w:pPr>
          </w:p>
        </w:tc>
        <w:tc>
          <w:tcPr>
            <w:tcW w:w="1100" w:type="dxa"/>
            <w:vAlign w:val="bottom"/>
            <w:gridSpan w:val="2"/>
          </w:tcPr>
          <w:p>
            <w:pPr>
              <w:jc w:val="right"/>
              <w:ind w:right="388"/>
              <w:spacing w:after="0"/>
              <w:rPr>
                <w:sz w:val="20"/>
                <w:szCs w:val="20"/>
                <w:color w:val="auto"/>
              </w:rPr>
            </w:pPr>
            <w:r>
              <w:rPr>
                <w:rFonts w:ascii="Arial" w:cs="Arial" w:eastAsia="Arial" w:hAnsi="Arial"/>
                <w:sz w:val="18"/>
                <w:szCs w:val="18"/>
                <w:color w:val="auto"/>
                <w:w w:val="92"/>
              </w:rPr>
              <w:t>(59,530)</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(74,974)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20"/>
              <w:spacing w:after="0"/>
              <w:rPr>
                <w:sz w:val="20"/>
                <w:szCs w:val="20"/>
                <w:color w:val="auto"/>
              </w:rPr>
            </w:pPr>
            <w:r>
              <w:rPr>
                <w:rFonts w:ascii="Arial" w:cs="Arial" w:eastAsia="Arial" w:hAnsi="Arial"/>
                <w:sz w:val="18"/>
                <w:szCs w:val="18"/>
                <w:color w:val="auto"/>
              </w:rPr>
              <w:t>Purchases of property, plant, and equipment</w:t>
            </w:r>
          </w:p>
        </w:tc>
        <w:tc>
          <w:tcPr>
            <w:tcW w:w="420" w:type="dxa"/>
            <w:vAlign w:val="bottom"/>
          </w:tcPr>
          <w:p>
            <w:pPr>
              <w:spacing w:after="0"/>
              <w:rPr>
                <w:sz w:val="18"/>
                <w:szCs w:val="18"/>
                <w:color w:val="auto"/>
              </w:rPr>
            </w:pPr>
          </w:p>
        </w:tc>
        <w:tc>
          <w:tcPr>
            <w:tcW w:w="1100" w:type="dxa"/>
            <w:vAlign w:val="bottom"/>
            <w:gridSpan w:val="2"/>
          </w:tcPr>
          <w:p>
            <w:pPr>
              <w:jc w:val="right"/>
              <w:ind w:right="388"/>
              <w:spacing w:after="0"/>
              <w:rPr>
                <w:sz w:val="20"/>
                <w:szCs w:val="20"/>
                <w:color w:val="auto"/>
              </w:rPr>
            </w:pPr>
            <w:r>
              <w:rPr>
                <w:rFonts w:ascii="Arial" w:cs="Arial" w:eastAsia="Arial" w:hAnsi="Arial"/>
                <w:sz w:val="18"/>
                <w:szCs w:val="18"/>
                <w:color w:val="auto"/>
                <w:w w:val="92"/>
              </w:rPr>
              <w:t>(10,015)</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(11,182)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Proceeds from disposal of property, plant, and equipment</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1,285</w:t>
            </w: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20"/>
              <w:spacing w:after="0"/>
              <w:rPr>
                <w:sz w:val="20"/>
                <w:szCs w:val="20"/>
                <w:color w:val="auto"/>
              </w:rPr>
            </w:pPr>
            <w:r>
              <w:rPr>
                <w:rFonts w:ascii="Arial" w:cs="Arial" w:eastAsia="Arial" w:hAnsi="Arial"/>
                <w:sz w:val="18"/>
                <w:szCs w:val="18"/>
                <w:color w:val="auto"/>
              </w:rPr>
              <w:t>(Increase) decrease in investment in affiliates</w:t>
            </w:r>
          </w:p>
        </w:tc>
        <w:tc>
          <w:tcPr>
            <w:tcW w:w="420" w:type="dxa"/>
            <w:vAlign w:val="bottom"/>
          </w:tcPr>
          <w:p>
            <w:pPr>
              <w:spacing w:after="0"/>
              <w:rPr>
                <w:sz w:val="18"/>
                <w:szCs w:val="18"/>
                <w:color w:val="auto"/>
              </w:rPr>
            </w:pPr>
          </w:p>
        </w:tc>
        <w:tc>
          <w:tcPr>
            <w:tcW w:w="1100" w:type="dxa"/>
            <w:vAlign w:val="bottom"/>
            <w:gridSpan w:val="2"/>
          </w:tcPr>
          <w:p>
            <w:pPr>
              <w:jc w:val="right"/>
              <w:ind w:right="388"/>
              <w:spacing w:after="0"/>
              <w:rPr>
                <w:sz w:val="20"/>
                <w:szCs w:val="20"/>
                <w:color w:val="auto"/>
              </w:rPr>
            </w:pPr>
            <w:r>
              <w:rPr>
                <w:rFonts w:ascii="Arial" w:cs="Arial" w:eastAsia="Arial" w:hAnsi="Arial"/>
                <w:sz w:val="18"/>
                <w:szCs w:val="18"/>
                <w:color w:val="auto"/>
              </w:rPr>
              <w:t>(1,065)</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Decrease (increase) in other assets</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w:t>
            </w: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108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20"/>
              <w:spacing w:after="0"/>
              <w:rPr>
                <w:sz w:val="20"/>
                <w:szCs w:val="20"/>
                <w:color w:val="auto"/>
              </w:rPr>
            </w:pPr>
            <w:r>
              <w:rPr>
                <w:rFonts w:ascii="Arial" w:cs="Arial" w:eastAsia="Arial" w:hAnsi="Arial"/>
                <w:sz w:val="18"/>
                <w:szCs w:val="18"/>
                <w:color w:val="auto"/>
              </w:rPr>
              <w:t>Proceeds from sale of business</w:t>
            </w:r>
          </w:p>
        </w:tc>
        <w:tc>
          <w:tcPr>
            <w:tcW w:w="420" w:type="dxa"/>
            <w:vAlign w:val="bottom"/>
          </w:tcPr>
          <w:p>
            <w:pPr>
              <w:spacing w:after="0"/>
              <w:rPr>
                <w:sz w:val="18"/>
                <w:szCs w:val="18"/>
                <w:color w:val="auto"/>
              </w:rPr>
            </w:pPr>
          </w:p>
        </w:tc>
        <w:tc>
          <w:tcPr>
            <w:tcW w:w="110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1,016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EEEEEE"/>
          </w:tcPr>
          <w:p>
            <w:pPr>
              <w:ind w:left="40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88"/>
              <w:spacing w:after="0"/>
              <w:rPr>
                <w:sz w:val="20"/>
                <w:szCs w:val="20"/>
                <w:color w:val="auto"/>
              </w:rPr>
            </w:pPr>
            <w:r>
              <w:rPr>
                <w:rFonts w:ascii="Arial" w:cs="Arial" w:eastAsia="Arial" w:hAnsi="Arial"/>
                <w:sz w:val="18"/>
                <w:szCs w:val="18"/>
                <w:color w:val="auto"/>
              </w:rPr>
              <w:t>(9,717)</w:t>
            </w:r>
          </w:p>
        </w:tc>
        <w:tc>
          <w:tcPr>
            <w:tcW w:w="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108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89"/>
              </w:rPr>
              <w:t>(11,207)</w:t>
            </w:r>
          </w:p>
        </w:tc>
        <w:tc>
          <w:tcPr>
            <w:tcW w:w="0" w:type="dxa"/>
            <w:vAlign w:val="bottom"/>
          </w:tcPr>
          <w:p>
            <w:pPr>
              <w:spacing w:after="0"/>
              <w:rPr>
                <w:sz w:val="1"/>
                <w:szCs w:val="1"/>
                <w:color w:val="auto"/>
              </w:rPr>
            </w:pPr>
          </w:p>
        </w:tc>
      </w:tr>
      <w:tr>
        <w:trPr>
          <w:trHeight w:val="237"/>
        </w:trPr>
        <w:tc>
          <w:tcPr>
            <w:tcW w:w="80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tcPr>
          <w:p>
            <w:pPr>
              <w:spacing w:after="0"/>
              <w:rPr>
                <w:sz w:val="20"/>
                <w:szCs w:val="20"/>
                <w:color w:val="auto"/>
              </w:rPr>
            </w:pPr>
          </w:p>
        </w:tc>
        <w:tc>
          <w:tcPr>
            <w:tcW w:w="580" w:type="dxa"/>
            <w:vAlign w:val="bottom"/>
            <w:tcBorders>
              <w:top w:val="single" w:sz="8" w:color="808080"/>
            </w:tcBorders>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Borders>
              <w:top w:val="single" w:sz="8" w:color="808080"/>
            </w:tcBorders>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Increase in short-term debt</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w:t>
            </w: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23,806</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20"/>
              <w:spacing w:after="0"/>
              <w:rPr>
                <w:sz w:val="20"/>
                <w:szCs w:val="20"/>
                <w:color w:val="auto"/>
              </w:rPr>
            </w:pPr>
            <w:r>
              <w:rPr>
                <w:rFonts w:ascii="Arial" w:cs="Arial" w:eastAsia="Arial" w:hAnsi="Arial"/>
                <w:sz w:val="18"/>
                <w:szCs w:val="18"/>
                <w:color w:val="auto"/>
              </w:rPr>
              <w:t>Repayments of long-term debt</w:t>
            </w:r>
          </w:p>
        </w:tc>
        <w:tc>
          <w:tcPr>
            <w:tcW w:w="420" w:type="dxa"/>
            <w:vAlign w:val="bottom"/>
          </w:tcPr>
          <w:p>
            <w:pPr>
              <w:spacing w:after="0"/>
              <w:rPr>
                <w:sz w:val="18"/>
                <w:szCs w:val="18"/>
                <w:color w:val="auto"/>
              </w:rPr>
            </w:pPr>
          </w:p>
        </w:tc>
        <w:tc>
          <w:tcPr>
            <w:tcW w:w="1100" w:type="dxa"/>
            <w:vAlign w:val="bottom"/>
            <w:gridSpan w:val="2"/>
          </w:tcPr>
          <w:p>
            <w:pPr>
              <w:jc w:val="right"/>
              <w:ind w:right="388"/>
              <w:spacing w:after="0"/>
              <w:rPr>
                <w:sz w:val="20"/>
                <w:szCs w:val="20"/>
                <w:color w:val="auto"/>
              </w:rPr>
            </w:pPr>
            <w:r>
              <w:rPr>
                <w:rFonts w:ascii="Arial" w:cs="Arial" w:eastAsia="Arial" w:hAnsi="Arial"/>
                <w:sz w:val="18"/>
                <w:szCs w:val="18"/>
                <w:color w:val="auto"/>
              </w:rPr>
              <w:t>(3,616)</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Increase in other long-term liabilities</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20"/>
              <w:spacing w:after="0"/>
              <w:rPr>
                <w:sz w:val="20"/>
                <w:szCs w:val="20"/>
                <w:color w:val="auto"/>
              </w:rPr>
            </w:pPr>
            <w:r>
              <w:rPr>
                <w:rFonts w:ascii="Arial" w:cs="Arial" w:eastAsia="Arial" w:hAnsi="Arial"/>
                <w:sz w:val="18"/>
                <w:szCs w:val="18"/>
                <w:color w:val="auto"/>
              </w:rPr>
              <w:t>Proceeds from exercise of stock options</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1,565</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1,693</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Purchases of common stock</w:t>
            </w: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88"/>
              <w:spacing w:after="0"/>
              <w:rPr>
                <w:sz w:val="20"/>
                <w:szCs w:val="20"/>
                <w:color w:val="auto"/>
              </w:rPr>
            </w:pPr>
            <w:r>
              <w:rPr>
                <w:rFonts w:ascii="Arial" w:cs="Arial" w:eastAsia="Arial" w:hAnsi="Arial"/>
                <w:sz w:val="18"/>
                <w:szCs w:val="18"/>
                <w:color w:val="auto"/>
                <w:w w:val="92"/>
              </w:rPr>
              <w:t>(19,786)</w:t>
            </w:r>
          </w:p>
        </w:tc>
        <w:tc>
          <w:tcPr>
            <w:tcW w:w="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108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20"/>
              <w:spacing w:after="0"/>
              <w:rPr>
                <w:sz w:val="20"/>
                <w:szCs w:val="20"/>
                <w:color w:val="auto"/>
              </w:rPr>
            </w:pPr>
            <w:r>
              <w:rPr>
                <w:rFonts w:ascii="Arial" w:cs="Arial" w:eastAsia="Arial" w:hAnsi="Arial"/>
                <w:sz w:val="18"/>
                <w:szCs w:val="18"/>
                <w:color w:val="auto"/>
              </w:rPr>
              <w:t>Dividends on common stock</w:t>
            </w:r>
          </w:p>
        </w:tc>
        <w:tc>
          <w:tcPr>
            <w:tcW w:w="420" w:type="dxa"/>
            <w:vAlign w:val="bottom"/>
          </w:tcPr>
          <w:p>
            <w:pPr>
              <w:spacing w:after="0"/>
              <w:rPr>
                <w:sz w:val="18"/>
                <w:szCs w:val="18"/>
                <w:color w:val="auto"/>
              </w:rPr>
            </w:pPr>
          </w:p>
        </w:tc>
        <w:tc>
          <w:tcPr>
            <w:tcW w:w="1100" w:type="dxa"/>
            <w:vAlign w:val="bottom"/>
            <w:gridSpan w:val="2"/>
          </w:tcPr>
          <w:p>
            <w:pPr>
              <w:jc w:val="right"/>
              <w:ind w:right="388"/>
              <w:spacing w:after="0"/>
              <w:rPr>
                <w:sz w:val="20"/>
                <w:szCs w:val="20"/>
                <w:color w:val="auto"/>
              </w:rPr>
            </w:pPr>
            <w:r>
              <w:rPr>
                <w:rFonts w:ascii="Arial" w:cs="Arial" w:eastAsia="Arial" w:hAnsi="Arial"/>
                <w:sz w:val="18"/>
                <w:szCs w:val="18"/>
                <w:color w:val="auto"/>
              </w:rPr>
              <w:t>(1,501)</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EEEEEE"/>
          </w:tcPr>
          <w:p>
            <w:pPr>
              <w:ind w:left="400"/>
              <w:spacing w:after="0"/>
              <w:rPr>
                <w:sz w:val="20"/>
                <w:szCs w:val="20"/>
                <w:color w:val="auto"/>
              </w:rPr>
            </w:pPr>
            <w:r>
              <w:rPr>
                <w:rFonts w:ascii="Arial" w:cs="Arial" w:eastAsia="Arial" w:hAnsi="Arial"/>
                <w:sz w:val="18"/>
                <w:szCs w:val="18"/>
                <w:color w:val="auto"/>
              </w:rPr>
              <w:t>Net cash (used in) provided by financing activities</w:t>
            </w: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88"/>
              <w:spacing w:after="0"/>
              <w:rPr>
                <w:sz w:val="20"/>
                <w:szCs w:val="20"/>
                <w:color w:val="auto"/>
              </w:rPr>
            </w:pPr>
            <w:r>
              <w:rPr>
                <w:rFonts w:ascii="Arial" w:cs="Arial" w:eastAsia="Arial" w:hAnsi="Arial"/>
                <w:sz w:val="18"/>
                <w:szCs w:val="18"/>
                <w:color w:val="auto"/>
                <w:w w:val="92"/>
              </w:rPr>
              <w:t>(23,182)</w:t>
            </w:r>
          </w:p>
        </w:tc>
        <w:tc>
          <w:tcPr>
            <w:tcW w:w="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23,421</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060" w:type="dxa"/>
            <w:vAlign w:val="bottom"/>
            <w:gridSpan w:val="2"/>
          </w:tcPr>
          <w:p>
            <w:pPr>
              <w:spacing w:after="0"/>
              <w:rPr>
                <w:sz w:val="20"/>
                <w:szCs w:val="20"/>
                <w:color w:val="auto"/>
              </w:rPr>
            </w:pPr>
            <w:r>
              <w:rPr>
                <w:rFonts w:ascii="Arial" w:cs="Arial" w:eastAsia="Arial" w:hAnsi="Arial"/>
                <w:sz w:val="18"/>
                <w:szCs w:val="18"/>
                <w:color w:val="auto"/>
              </w:rPr>
              <w:t>Effect of exchange rates on cash</w:t>
            </w:r>
          </w:p>
        </w:tc>
        <w:tc>
          <w:tcPr>
            <w:tcW w:w="420" w:type="dxa"/>
            <w:vAlign w:val="bottom"/>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67</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EEEEEE"/>
          </w:tcPr>
          <w:p>
            <w:pPr>
              <w:spacing w:after="0"/>
              <w:rPr>
                <w:sz w:val="20"/>
                <w:szCs w:val="20"/>
                <w:color w:val="auto"/>
              </w:rPr>
            </w:pPr>
            <w:r>
              <w:rPr>
                <w:rFonts w:ascii="Arial" w:cs="Arial" w:eastAsia="Arial" w:hAnsi="Arial"/>
                <w:sz w:val="18"/>
                <w:szCs w:val="18"/>
                <w:color w:val="auto"/>
              </w:rPr>
              <w:t>Net decrease in cash and cash equivalents</w:t>
            </w: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88"/>
              <w:spacing w:after="0"/>
              <w:rPr>
                <w:sz w:val="20"/>
                <w:szCs w:val="20"/>
                <w:color w:val="auto"/>
              </w:rPr>
            </w:pPr>
            <w:r>
              <w:rPr>
                <w:rFonts w:ascii="Arial" w:cs="Arial" w:eastAsia="Arial" w:hAnsi="Arial"/>
                <w:sz w:val="18"/>
                <w:szCs w:val="18"/>
                <w:color w:val="auto"/>
                <w:w w:val="92"/>
              </w:rPr>
              <w:t>(92,362)</w:t>
            </w:r>
          </w:p>
        </w:tc>
        <w:tc>
          <w:tcPr>
            <w:tcW w:w="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108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89"/>
              </w:rPr>
              <w:t>(62,729)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Cash and cash equivalents as of the beginning of the period</w:t>
            </w:r>
          </w:p>
        </w:tc>
        <w:tc>
          <w:tcPr>
            <w:tcW w:w="42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6"/>
              </w:rPr>
              <w:t>110,287</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98"/>
              </w:rPr>
              <w:t>62,816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804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as of the end of the period</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17,925</w:t>
            </w:r>
          </w:p>
        </w:tc>
        <w:tc>
          <w:tcPr>
            <w:tcW w:w="520" w:type="dxa"/>
            <w:vAlign w:val="bottom"/>
            <w:shd w:val="clear" w:color="auto" w:fill="EEEEEE"/>
          </w:tcPr>
          <w:p>
            <w:pPr>
              <w:spacing w:after="0"/>
              <w:rPr>
                <w:sz w:val="18"/>
                <w:szCs w:val="18"/>
                <w:color w:val="auto"/>
              </w:rPr>
            </w:pPr>
          </w:p>
        </w:tc>
        <w:tc>
          <w:tcPr>
            <w:tcW w:w="7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40" w:type="dxa"/>
            <w:vAlign w:val="bottom"/>
            <w:shd w:val="clear" w:color="auto" w:fill="EEEEEE"/>
          </w:tcPr>
          <w:p>
            <w:pPr>
              <w:spacing w:after="0"/>
              <w:rPr>
                <w:sz w:val="3"/>
                <w:szCs w:val="3"/>
                <w:color w:val="auto"/>
              </w:rPr>
            </w:pPr>
          </w:p>
        </w:tc>
        <w:tc>
          <w:tcPr>
            <w:tcW w:w="420" w:type="dxa"/>
            <w:vAlign w:val="bottom"/>
            <w:shd w:val="clear" w:color="auto" w:fill="EEEEEE"/>
          </w:tcPr>
          <w:p>
            <w:pPr>
              <w:spacing w:after="0"/>
              <w:rPr>
                <w:sz w:val="3"/>
                <w:szCs w:val="3"/>
                <w:color w:val="auto"/>
              </w:rPr>
            </w:pPr>
          </w:p>
        </w:tc>
        <w:tc>
          <w:tcPr>
            <w:tcW w:w="580" w:type="dxa"/>
            <w:vAlign w:val="bottom"/>
            <w:tcBorders>
              <w:bottom w:val="single" w:sz="8" w:color="808080"/>
            </w:tcBorders>
            <w:shd w:val="clear" w:color="auto" w:fill="808080"/>
          </w:tcPr>
          <w:p>
            <w:pPr>
              <w:spacing w:after="0"/>
              <w:rPr>
                <w:sz w:val="3"/>
                <w:szCs w:val="3"/>
                <w:color w:val="auto"/>
              </w:rPr>
            </w:pPr>
          </w:p>
        </w:tc>
        <w:tc>
          <w:tcPr>
            <w:tcW w:w="520" w:type="dxa"/>
            <w:vAlign w:val="bottom"/>
            <w:shd w:val="clear" w:color="auto" w:fill="EEEEEE"/>
          </w:tcPr>
          <w:p>
            <w:pPr>
              <w:spacing w:after="0"/>
              <w:rPr>
                <w:sz w:val="3"/>
                <w:szCs w:val="3"/>
                <w:color w:val="auto"/>
              </w:rPr>
            </w:pPr>
          </w:p>
        </w:tc>
        <w:tc>
          <w:tcPr>
            <w:tcW w:w="320" w:type="dxa"/>
            <w:vAlign w:val="bottom"/>
            <w:shd w:val="clear" w:color="auto" w:fill="EEEEEE"/>
          </w:tcPr>
          <w:p>
            <w:pPr>
              <w:spacing w:after="0"/>
              <w:rPr>
                <w:sz w:val="3"/>
                <w:szCs w:val="3"/>
                <w:color w:val="auto"/>
              </w:rPr>
            </w:pPr>
          </w:p>
        </w:tc>
        <w:tc>
          <w:tcPr>
            <w:tcW w:w="440" w:type="dxa"/>
            <w:vAlign w:val="bottom"/>
            <w:tcBorders>
              <w:right w:val="single" w:sz="8" w:color="808080"/>
            </w:tcBorders>
            <w:shd w:val="clear" w:color="auto" w:fill="EEEEEE"/>
          </w:tcPr>
          <w:p>
            <w:pPr>
              <w:spacing w:after="0"/>
              <w:rPr>
                <w:sz w:val="3"/>
                <w:szCs w:val="3"/>
                <w:color w:val="auto"/>
              </w:rPr>
            </w:pPr>
          </w:p>
        </w:tc>
        <w:tc>
          <w:tcPr>
            <w:tcW w:w="560" w:type="dxa"/>
            <w:vAlign w:val="bottom"/>
            <w:tcBorders>
              <w:bottom w:val="single" w:sz="8" w:color="808080"/>
            </w:tcBorders>
            <w:shd w:val="clear" w:color="auto" w:fill="808080"/>
          </w:tcPr>
          <w:p>
            <w:pPr>
              <w:spacing w:after="0"/>
              <w:rPr>
                <w:sz w:val="3"/>
                <w:szCs w:val="3"/>
                <w:color w:val="auto"/>
              </w:rPr>
            </w:pPr>
          </w:p>
        </w:tc>
        <w:tc>
          <w:tcPr>
            <w:tcW w:w="520" w:type="dxa"/>
            <w:vAlign w:val="bottom"/>
            <w:shd w:val="clear" w:color="auto" w:fill="EEEEEE"/>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8060" w:type="dxa"/>
            <w:vAlign w:val="bottom"/>
            <w:gridSpan w:val="2"/>
          </w:tcPr>
          <w:p>
            <w:pPr>
              <w:spacing w:after="0"/>
              <w:rPr>
                <w:sz w:val="20"/>
                <w:szCs w:val="20"/>
                <w:color w:val="auto"/>
              </w:rPr>
            </w:pPr>
            <w:r>
              <w:rPr>
                <w:rFonts w:ascii="Arial" w:cs="Arial" w:eastAsia="Arial" w:hAnsi="Arial"/>
                <w:sz w:val="18"/>
                <w:szCs w:val="18"/>
                <w:color w:val="auto"/>
              </w:rPr>
              <w:t>Supplemental disclosures of cash flow information:</w:t>
            </w: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Stock issued in connection with stock compensation plans</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5,567</w:t>
            </w:r>
          </w:p>
        </w:tc>
        <w:tc>
          <w:tcPr>
            <w:tcW w:w="520" w:type="dxa"/>
            <w:vAlign w:val="bottom"/>
            <w:shd w:val="clear" w:color="auto" w:fill="EEEEEE"/>
          </w:tcPr>
          <w:p>
            <w:pPr>
              <w:spacing w:after="0"/>
              <w:rPr>
                <w:sz w:val="18"/>
                <w:szCs w:val="18"/>
                <w:color w:val="auto"/>
              </w:rPr>
            </w:pPr>
          </w:p>
        </w:tc>
        <w:tc>
          <w:tcPr>
            <w:tcW w:w="7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3,672</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Pr>
          <w:p>
            <w:pPr>
              <w:ind w:left="120"/>
              <w:spacing w:after="0"/>
              <w:rPr>
                <w:sz w:val="20"/>
                <w:szCs w:val="20"/>
                <w:color w:val="auto"/>
              </w:rPr>
            </w:pPr>
            <w:r>
              <w:rPr>
                <w:rFonts w:ascii="Arial" w:cs="Arial" w:eastAsia="Arial" w:hAnsi="Arial"/>
                <w:sz w:val="18"/>
                <w:szCs w:val="18"/>
                <w:color w:val="auto"/>
              </w:rPr>
              <w:t>Accounts receivable converted to long-term notes receivable</w:t>
            </w:r>
          </w:p>
        </w:tc>
        <w:tc>
          <w:tcPr>
            <w:tcW w:w="4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6,439</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30, 2004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instructions to Form 10-Q and do not include all the information and notes required by accounting principles generally accepted in the United States of America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three months ended January 30, 2004 cannot be annualized to determine the expected results for the fiscal year ending October 31, 2004. Certain amounts from prior period’s financial statements have been reclassified to conform to this period’s presentation.</w:t>
      </w:r>
    </w:p>
    <w:p>
      <w:pPr>
        <w:spacing w:after="0" w:line="13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company’s fiscal year ends on October 31, and quarterly results are reported based on three 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quarter end.</w:t>
      </w:r>
    </w:p>
    <w:p>
      <w:pPr>
        <w:spacing w:after="0" w:line="15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notes included in the company’s Annual Report on Form 10-K for the fiscal year ended October 31, 2003. The policies described in that report are used for preparing quarterly reports.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18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preparing the consolidated financial statements in conformity with accounting principles generally accepted in the United States of America, management must make decisions which impact the reported amounts and the related disclosures. Such decisions include the selection of the appropriate accounting principles to be applied and the assumptions on which to base accounting estimates. In reaching such decisions, management applies judgments based on its understanding and analysis of the relevant circumstances, historical experience, and actuarial valuations. Actual amounts could differ from those estimated at the time the consolidated financial statements are prepared. Note 1 to the consolidated financial statements in the company’s Annual Report on Form 10-K provides a summary of the significant accounting policies followed in the preparation of the financial statements. Other footnotes in the company’s Annual Report on Form 10-K describe various elements of the financial statements and the assumptions made in determining specific amounts.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and the components of other comprehensive income (loss)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w w:val="96"/>
              </w:rPr>
              <w:t>Three Months Ended</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88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02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January 30,</w:t>
            </w:r>
          </w:p>
        </w:tc>
        <w:tc>
          <w:tcPr>
            <w:tcW w:w="440" w:type="dxa"/>
            <w:vAlign w:val="bottom"/>
          </w:tcPr>
          <w:p>
            <w:pPr>
              <w:spacing w:after="0"/>
              <w:rPr>
                <w:sz w:val="16"/>
                <w:szCs w:val="16"/>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January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820" w:type="dxa"/>
            <w:vAlign w:val="bottom"/>
            <w:gridSpan w:val="2"/>
          </w:tcPr>
          <w:p>
            <w:pPr>
              <w:ind w:left="860"/>
              <w:spacing w:after="0"/>
              <w:rPr>
                <w:sz w:val="20"/>
                <w:szCs w:val="20"/>
                <w:color w:val="auto"/>
              </w:rPr>
            </w:pPr>
            <w:r>
              <w:rPr>
                <w:rFonts w:ascii="Arial" w:cs="Arial" w:eastAsia="Arial" w:hAnsi="Arial"/>
                <w:sz w:val="14"/>
                <w:szCs w:val="14"/>
                <w:b w:val="1"/>
                <w:bCs w:val="1"/>
                <w:color w:val="auto"/>
              </w:rPr>
              <w:t>(Dollars in thousands)</w:t>
            </w:r>
          </w:p>
        </w:tc>
        <w:tc>
          <w:tcPr>
            <w:tcW w:w="3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7"/>
                <w:szCs w:val="17"/>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880" w:type="dxa"/>
            <w:vAlign w:val="bottom"/>
          </w:tcPr>
          <w:p>
            <w:pPr>
              <w:spacing w:after="0"/>
              <w:rPr>
                <w:sz w:val="4"/>
                <w:szCs w:val="4"/>
                <w:color w:val="auto"/>
              </w:rPr>
            </w:pPr>
          </w:p>
        </w:tc>
        <w:tc>
          <w:tcPr>
            <w:tcW w:w="3940" w:type="dxa"/>
            <w:vAlign w:val="bottom"/>
          </w:tcPr>
          <w:p>
            <w:pPr>
              <w:spacing w:after="0"/>
              <w:rPr>
                <w:sz w:val="4"/>
                <w:szCs w:val="4"/>
                <w:color w:val="auto"/>
              </w:rPr>
            </w:pPr>
          </w:p>
        </w:tc>
        <w:tc>
          <w:tcPr>
            <w:tcW w:w="290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880" w:type="dxa"/>
            <w:vAlign w:val="bottom"/>
            <w:vMerge w:val="restart"/>
          </w:tcPr>
          <w:p>
            <w:pPr>
              <w:spacing w:after="0"/>
              <w:rPr>
                <w:sz w:val="5"/>
                <w:szCs w:val="5"/>
                <w:color w:val="auto"/>
              </w:rPr>
            </w:pPr>
          </w:p>
        </w:tc>
        <w:tc>
          <w:tcPr>
            <w:tcW w:w="39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Net earnings</w:t>
            </w:r>
          </w:p>
        </w:tc>
        <w:tc>
          <w:tcPr>
            <w:tcW w:w="36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$9,325</w:t>
            </w:r>
          </w:p>
        </w:tc>
        <w:tc>
          <w:tcPr>
            <w:tcW w:w="30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$ 6,981</w:t>
            </w:r>
          </w:p>
        </w:tc>
        <w:tc>
          <w:tcPr>
            <w:tcW w:w="460" w:type="dxa"/>
            <w:vAlign w:val="bottom"/>
            <w:tcBorders>
              <w:left w:val="single" w:sz="8" w:color="EEEEEE"/>
            </w:tcBorders>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Cumulative translation adjustments</w:t>
            </w:r>
          </w:p>
        </w:tc>
        <w:tc>
          <w:tcPr>
            <w:tcW w:w="36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1,057</w:t>
            </w:r>
          </w:p>
        </w:tc>
        <w:tc>
          <w:tcPr>
            <w:tcW w:w="30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592</w:t>
            </w:r>
          </w:p>
        </w:tc>
        <w:tc>
          <w:tcPr>
            <w:tcW w:w="460" w:type="dxa"/>
            <w:vAlign w:val="bottom"/>
            <w:tcBorders>
              <w:left w:val="single" w:sz="8" w:color="EEEEEE"/>
            </w:tcBorders>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Unrealized loss on derivative instruments</w:t>
            </w:r>
          </w:p>
        </w:tc>
        <w:tc>
          <w:tcPr>
            <w:tcW w:w="3220" w:type="dxa"/>
            <w:vAlign w:val="bottom"/>
            <w:gridSpan w:val="2"/>
          </w:tcPr>
          <w:p>
            <w:pPr>
              <w:spacing w:after="0"/>
              <w:rPr>
                <w:sz w:val="19"/>
                <w:szCs w:val="19"/>
                <w:color w:val="auto"/>
              </w:rPr>
            </w:pPr>
          </w:p>
        </w:tc>
        <w:tc>
          <w:tcPr>
            <w:tcW w:w="700" w:type="dxa"/>
            <w:vAlign w:val="bottom"/>
            <w:gridSpan w:val="2"/>
          </w:tcPr>
          <w:p>
            <w:pPr>
              <w:jc w:val="right"/>
              <w:ind w:right="188"/>
              <w:spacing w:after="0"/>
              <w:rPr>
                <w:sz w:val="20"/>
                <w:szCs w:val="20"/>
                <w:color w:val="auto"/>
              </w:rPr>
            </w:pPr>
            <w:r>
              <w:rPr>
                <w:rFonts w:ascii="Arial" w:cs="Arial" w:eastAsia="Arial" w:hAnsi="Arial"/>
                <w:sz w:val="18"/>
                <w:szCs w:val="18"/>
                <w:color w:val="auto"/>
                <w:w w:val="99"/>
              </w:rPr>
              <w:t>(734)</w:t>
            </w:r>
          </w:p>
        </w:tc>
        <w:tc>
          <w:tcPr>
            <w:tcW w:w="1820" w:type="dxa"/>
            <w:vAlign w:val="bottom"/>
            <w:gridSpan w:val="4"/>
          </w:tcPr>
          <w:p>
            <w:pPr>
              <w:jc w:val="right"/>
              <w:ind w:right="400"/>
              <w:spacing w:after="0"/>
              <w:rPr>
                <w:sz w:val="20"/>
                <w:szCs w:val="20"/>
                <w:color w:val="auto"/>
              </w:rPr>
            </w:pPr>
            <w:r>
              <w:rPr>
                <w:rFonts w:ascii="Arial" w:cs="Arial" w:eastAsia="Arial" w:hAnsi="Arial"/>
                <w:sz w:val="18"/>
                <w:szCs w:val="18"/>
                <w:color w:val="auto"/>
              </w:rPr>
              <w:t>(1,202)</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808080"/>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Comprehensive income</w:t>
            </w:r>
          </w:p>
        </w:tc>
        <w:tc>
          <w:tcPr>
            <w:tcW w:w="36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$9,648</w:t>
            </w:r>
          </w:p>
        </w:tc>
        <w:tc>
          <w:tcPr>
            <w:tcW w:w="30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$ 6,371</w:t>
            </w:r>
          </w:p>
        </w:tc>
        <w:tc>
          <w:tcPr>
            <w:tcW w:w="460" w:type="dxa"/>
            <w:vAlign w:val="bottom"/>
            <w:tcBorders>
              <w:left w:val="single" w:sz="8" w:color="EEEEEE"/>
            </w:tcBorders>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880" w:type="dxa"/>
            <w:vAlign w:val="bottom"/>
          </w:tcPr>
          <w:p>
            <w:pPr>
              <w:spacing w:after="0"/>
              <w:rPr>
                <w:sz w:val="6"/>
                <w:szCs w:val="6"/>
                <w:color w:val="auto"/>
              </w:rPr>
            </w:pPr>
          </w:p>
        </w:tc>
        <w:tc>
          <w:tcPr>
            <w:tcW w:w="3940" w:type="dxa"/>
            <w:vAlign w:val="bottom"/>
          </w:tcPr>
          <w:p>
            <w:pPr>
              <w:spacing w:after="0"/>
              <w:rPr>
                <w:sz w:val="6"/>
                <w:szCs w:val="6"/>
                <w:color w:val="auto"/>
              </w:rPr>
            </w:pPr>
          </w:p>
        </w:tc>
        <w:tc>
          <w:tcPr>
            <w:tcW w:w="2900" w:type="dxa"/>
            <w:vAlign w:val="bottom"/>
            <w:vMerge w:val="restart"/>
          </w:tcPr>
          <w:p>
            <w:pPr>
              <w:jc w:val="right"/>
              <w:ind w:right="1874"/>
              <w:spacing w:after="0"/>
              <w:rPr>
                <w:sz w:val="20"/>
                <w:szCs w:val="20"/>
                <w:color w:val="auto"/>
              </w:rPr>
            </w:pPr>
            <w:r>
              <w:rPr>
                <w:rFonts w:ascii="Arial" w:cs="Arial" w:eastAsia="Arial" w:hAnsi="Arial"/>
                <w:sz w:val="18"/>
                <w:szCs w:val="18"/>
                <w:color w:val="auto"/>
              </w:rPr>
              <w:t>6</w:t>
            </w:r>
          </w:p>
        </w:tc>
        <w:tc>
          <w:tcPr>
            <w:tcW w:w="320" w:type="dxa"/>
            <w:vAlign w:val="bottom"/>
            <w:tcBorders>
              <w:right w:val="single" w:sz="8" w:color="808080"/>
            </w:tcBorders>
          </w:tcPr>
          <w:p>
            <w:pPr>
              <w:spacing w:after="0"/>
              <w:rPr>
                <w:sz w:val="6"/>
                <w:szCs w:val="6"/>
                <w:color w:val="auto"/>
              </w:rPr>
            </w:pPr>
          </w:p>
        </w:tc>
        <w:tc>
          <w:tcPr>
            <w:tcW w:w="400" w:type="dxa"/>
            <w:vAlign w:val="bottom"/>
            <w:shd w:val="clear" w:color="auto" w:fill="808080"/>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shd w:val="clear" w:color="auto" w:fill="808080"/>
          </w:tcPr>
          <w:p>
            <w:pPr>
              <w:spacing w:after="0"/>
              <w:rPr>
                <w:sz w:val="6"/>
                <w:szCs w:val="6"/>
                <w:color w:val="auto"/>
              </w:rPr>
            </w:pPr>
          </w:p>
        </w:tc>
        <w:tc>
          <w:tcPr>
            <w:tcW w:w="460" w:type="dxa"/>
            <w:vAlign w:val="bottom"/>
            <w:tcBorders>
              <w:left w:val="single" w:sz="8" w:color="808080"/>
            </w:tcBorders>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8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8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accounts for stock-based employee compensation plans under the recognition and measurement principles of Accounting Principles Board Opinion No. 25, “Accounting for Stock Issued to Employees,” (APB No. 25), and related Interpretations. The following table illustrates the effect on net earnings and net earnings per share if the company had applied the fair value recognition provisions of Statement of Financial Accounting Standards (SFAS) No. 123, “Accounting for Stock-Based Compensation.”</w:t>
      </w:r>
    </w:p>
    <w:p>
      <w:pPr>
        <w:spacing w:after="0" w:line="354"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44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1180" w:type="dxa"/>
            <w:vAlign w:val="bottom"/>
            <w:gridSpan w:val="3"/>
          </w:tcPr>
          <w:p>
            <w:pPr>
              <w:ind w:left="220"/>
              <w:spacing w:after="0"/>
              <w:rPr>
                <w:sz w:val="20"/>
                <w:szCs w:val="20"/>
                <w:color w:val="auto"/>
              </w:rPr>
            </w:pPr>
            <w:r>
              <w:rPr>
                <w:rFonts w:ascii="Arial" w:cs="Arial" w:eastAsia="Arial" w:hAnsi="Arial"/>
                <w:sz w:val="14"/>
                <w:szCs w:val="14"/>
                <w:b w:val="1"/>
                <w:bCs w:val="1"/>
                <w:color w:val="auto"/>
              </w:rPr>
              <w:t>January 30,</w:t>
            </w:r>
          </w:p>
        </w:tc>
        <w:tc>
          <w:tcPr>
            <w:tcW w:w="460" w:type="dxa"/>
            <w:vAlign w:val="bottom"/>
          </w:tcPr>
          <w:p>
            <w:pPr>
              <w:spacing w:after="0"/>
              <w:rPr>
                <w:sz w:val="17"/>
                <w:szCs w:val="17"/>
                <w:color w:val="auto"/>
              </w:rPr>
            </w:pPr>
          </w:p>
        </w:tc>
        <w:tc>
          <w:tcPr>
            <w:tcW w:w="1180" w:type="dxa"/>
            <w:vAlign w:val="bottom"/>
            <w:gridSpan w:val="3"/>
          </w:tcPr>
          <w:p>
            <w:pPr>
              <w:ind w:left="22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200"/>
        </w:trPr>
        <w:tc>
          <w:tcPr>
            <w:tcW w:w="746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3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40" w:type="dxa"/>
            <w:vAlign w:val="bottom"/>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EEEEEE"/>
          </w:tcPr>
          <w:p>
            <w:pPr>
              <w:spacing w:after="0"/>
              <w:rPr>
                <w:sz w:val="20"/>
                <w:szCs w:val="20"/>
                <w:color w:val="auto"/>
              </w:rPr>
            </w:pPr>
            <w:r>
              <w:rPr>
                <w:rFonts w:ascii="Arial" w:cs="Arial" w:eastAsia="Arial" w:hAnsi="Arial"/>
                <w:sz w:val="18"/>
                <w:szCs w:val="18"/>
                <w:color w:val="auto"/>
              </w:rPr>
              <w:t>Net earnings, as reported</w:t>
            </w:r>
          </w:p>
        </w:tc>
        <w:tc>
          <w:tcPr>
            <w:tcW w:w="300" w:type="dxa"/>
            <w:vAlign w:val="bottom"/>
            <w:shd w:val="clear" w:color="auto" w:fill="EEEEEE"/>
          </w:tcPr>
          <w:p>
            <w:pPr>
              <w:ind w:left="200"/>
              <w:spacing w:after="0"/>
              <w:rPr>
                <w:sz w:val="20"/>
                <w:szCs w:val="20"/>
                <w:color w:val="auto"/>
              </w:rPr>
            </w:pPr>
            <w:r>
              <w:rPr>
                <w:rFonts w:ascii="Arial" w:cs="Arial" w:eastAsia="Arial" w:hAnsi="Arial"/>
                <w:sz w:val="15"/>
                <w:szCs w:val="15"/>
                <w:color w:val="auto"/>
                <w:w w:val="71"/>
              </w:rPr>
              <w:t>$</w:t>
            </w:r>
          </w:p>
        </w:tc>
        <w:tc>
          <w:tcPr>
            <w:tcW w:w="48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9,325</w:t>
            </w:r>
          </w:p>
        </w:tc>
        <w:tc>
          <w:tcPr>
            <w:tcW w:w="400" w:type="dxa"/>
            <w:vAlign w:val="bottom"/>
            <w:shd w:val="clear" w:color="auto" w:fill="EEEEEE"/>
          </w:tcPr>
          <w:p>
            <w:pPr>
              <w:spacing w:after="0"/>
              <w:rPr>
                <w:sz w:val="18"/>
                <w:szCs w:val="18"/>
                <w:color w:val="auto"/>
              </w:rPr>
            </w:pPr>
          </w:p>
        </w:tc>
        <w:tc>
          <w:tcPr>
            <w:tcW w:w="760" w:type="dxa"/>
            <w:vAlign w:val="bottom"/>
            <w:gridSpan w:val="2"/>
            <w:shd w:val="clear" w:color="auto" w:fill="EEEEEE"/>
          </w:tcPr>
          <w:p>
            <w:pPr>
              <w:ind w:left="660"/>
              <w:spacing w:after="0"/>
              <w:rPr>
                <w:sz w:val="20"/>
                <w:szCs w:val="20"/>
                <w:color w:val="auto"/>
              </w:rPr>
            </w:pPr>
            <w:r>
              <w:rPr>
                <w:rFonts w:ascii="Arial" w:cs="Arial" w:eastAsia="Arial" w:hAnsi="Arial"/>
                <w:sz w:val="15"/>
                <w:szCs w:val="15"/>
                <w:color w:val="auto"/>
                <w:w w:val="71"/>
              </w:rPr>
              <w:t>$</w:t>
            </w:r>
          </w:p>
        </w:tc>
        <w:tc>
          <w:tcPr>
            <w:tcW w:w="48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6,981</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Add: Stock-based employee compensation costs, net of tax, included in net earnings</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1,122</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Deduct: Stock-based employee compensation costs, including stock options, net of tax, if fair</w:t>
            </w:r>
          </w:p>
        </w:tc>
        <w:tc>
          <w:tcPr>
            <w:tcW w:w="300" w:type="dxa"/>
            <w:vAlign w:val="bottom"/>
            <w:shd w:val="clear" w:color="auto" w:fill="EEEEEE"/>
          </w:tcPr>
          <w:p>
            <w:pPr>
              <w:spacing w:after="0"/>
              <w:rPr>
                <w:sz w:val="17"/>
                <w:szCs w:val="17"/>
                <w:color w:val="auto"/>
              </w:rPr>
            </w:pPr>
          </w:p>
        </w:tc>
        <w:tc>
          <w:tcPr>
            <w:tcW w:w="480" w:type="dxa"/>
            <w:vAlign w:val="bottom"/>
            <w:tcBorders>
              <w:left w:val="single" w:sz="8" w:color="EEEEEE"/>
            </w:tcBorders>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480" w:type="dxa"/>
            <w:vAlign w:val="bottom"/>
            <w:tcBorders>
              <w:left w:val="single" w:sz="8" w:color="EEEEEE"/>
              <w:right w:val="single" w:sz="8" w:color="EEEEEE"/>
            </w:tcBorders>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value method had been applied</w:t>
            </w:r>
          </w:p>
        </w:tc>
        <w:tc>
          <w:tcPr>
            <w:tcW w:w="300" w:type="dxa"/>
            <w:vAlign w:val="bottom"/>
            <w:shd w:val="clear" w:color="auto" w:fill="EEEEEE"/>
          </w:tcPr>
          <w:p>
            <w:pPr>
              <w:spacing w:after="0"/>
              <w:rPr>
                <w:sz w:val="20"/>
                <w:szCs w:val="20"/>
                <w:color w:val="auto"/>
              </w:rPr>
            </w:pPr>
          </w:p>
        </w:tc>
        <w:tc>
          <w:tcPr>
            <w:tcW w:w="880" w:type="dxa"/>
            <w:vAlign w:val="bottom"/>
            <w:tcBorders>
              <w:left w:val="single" w:sz="8" w:color="EEEEEE"/>
            </w:tcBorders>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(2,773)</w:t>
            </w:r>
          </w:p>
        </w:tc>
        <w:tc>
          <w:tcPr>
            <w:tcW w:w="4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880" w:type="dxa"/>
            <w:vAlign w:val="bottom"/>
            <w:tcBorders>
              <w:left w:val="single" w:sz="8" w:color="EEEEEE"/>
            </w:tcBorders>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(4,729)</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8"/>
                <w:szCs w:val="18"/>
                <w:color w:val="auto"/>
              </w:rPr>
              <w:t>Pro forma net earnings</w:t>
            </w:r>
          </w:p>
        </w:tc>
        <w:tc>
          <w:tcPr>
            <w:tcW w:w="300" w:type="dxa"/>
            <w:vAlign w:val="bottom"/>
            <w:vMerge w:val="restart"/>
          </w:tcPr>
          <w:p>
            <w:pPr>
              <w:ind w:left="200"/>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2"/>
            <w:vMerge w:val="restart"/>
          </w:tcPr>
          <w:p>
            <w:pPr>
              <w:ind w:left="660"/>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60" w:type="dxa"/>
            <w:vAlign w:val="bottom"/>
            <w:gridSpan w:val="2"/>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7,674</w:t>
            </w:r>
          </w:p>
        </w:tc>
        <w:tc>
          <w:tcPr>
            <w:tcW w:w="4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3,084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Borders>
              <w:lef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Borders>
              <w:left w:val="single" w:sz="8" w:color="808080"/>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40" w:type="dxa"/>
            <w:vAlign w:val="bottom"/>
            <w:shd w:val="clear" w:color="auto" w:fill="EEEEEE"/>
          </w:tcPr>
          <w:p>
            <w:pPr>
              <w:spacing w:after="0"/>
              <w:rPr>
                <w:sz w:val="20"/>
                <w:szCs w:val="20"/>
                <w:color w:val="auto"/>
              </w:rPr>
            </w:pPr>
            <w:r>
              <w:rPr>
                <w:rFonts w:ascii="Arial" w:cs="Arial" w:eastAsia="Arial" w:hAnsi="Arial"/>
                <w:sz w:val="18"/>
                <w:szCs w:val="18"/>
                <w:color w:val="auto"/>
              </w:rPr>
              <w:t>Net earnings per share data:</w:t>
            </w:r>
          </w:p>
        </w:tc>
        <w:tc>
          <w:tcPr>
            <w:tcW w:w="300" w:type="dxa"/>
            <w:vAlign w:val="bottom"/>
            <w:shd w:val="clear" w:color="auto" w:fill="EEEEEE"/>
          </w:tcPr>
          <w:p>
            <w:pPr>
              <w:spacing w:after="0"/>
              <w:rPr>
                <w:sz w:val="19"/>
                <w:szCs w:val="19"/>
                <w:color w:val="auto"/>
              </w:rPr>
            </w:pPr>
          </w:p>
        </w:tc>
        <w:tc>
          <w:tcPr>
            <w:tcW w:w="480" w:type="dxa"/>
            <w:vAlign w:val="bottom"/>
            <w:tcBorders>
              <w:left w:val="single" w:sz="8" w:color="EEEEEE"/>
            </w:tcBorders>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480" w:type="dxa"/>
            <w:vAlign w:val="bottom"/>
            <w:tcBorders>
              <w:left w:val="single" w:sz="8" w:color="EEEEEE"/>
              <w:right w:val="single" w:sz="8" w:color="EEEEEE"/>
            </w:tcBorders>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40" w:type="dxa"/>
            <w:vAlign w:val="bottom"/>
          </w:tcPr>
          <w:p>
            <w:pPr>
              <w:ind w:left="120"/>
              <w:spacing w:after="0"/>
              <w:rPr>
                <w:sz w:val="20"/>
                <w:szCs w:val="20"/>
                <w:color w:val="auto"/>
              </w:rPr>
            </w:pPr>
            <w:r>
              <w:rPr>
                <w:rFonts w:ascii="Arial" w:cs="Arial" w:eastAsia="Arial" w:hAnsi="Arial"/>
                <w:sz w:val="18"/>
                <w:szCs w:val="18"/>
                <w:color w:val="auto"/>
              </w:rPr>
              <w:t>As reported — Basic</w:t>
            </w:r>
          </w:p>
        </w:tc>
        <w:tc>
          <w:tcPr>
            <w:tcW w:w="300" w:type="dxa"/>
            <w:vAlign w:val="bottom"/>
          </w:tcPr>
          <w:p>
            <w:pPr>
              <w:ind w:left="20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0.37</w:t>
            </w:r>
          </w:p>
        </w:tc>
        <w:tc>
          <w:tcPr>
            <w:tcW w:w="400" w:type="dxa"/>
            <w:vAlign w:val="bottom"/>
          </w:tcPr>
          <w:p>
            <w:pPr>
              <w:spacing w:after="0"/>
              <w:rPr>
                <w:sz w:val="19"/>
                <w:szCs w:val="19"/>
                <w:color w:val="auto"/>
              </w:rPr>
            </w:pPr>
          </w:p>
        </w:tc>
        <w:tc>
          <w:tcPr>
            <w:tcW w:w="76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Borders>
              <w:lef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Borders>
              <w:left w:val="single" w:sz="8" w:color="808080"/>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Pro forma — Basic</w:t>
            </w:r>
          </w:p>
        </w:tc>
        <w:tc>
          <w:tcPr>
            <w:tcW w:w="300" w:type="dxa"/>
            <w:vAlign w:val="bottom"/>
            <w:shd w:val="clear" w:color="auto" w:fill="EEEEEE"/>
          </w:tcPr>
          <w:p>
            <w:pPr>
              <w:ind w:left="200"/>
              <w:spacing w:after="0"/>
              <w:rPr>
                <w:sz w:val="20"/>
                <w:szCs w:val="20"/>
                <w:color w:val="auto"/>
              </w:rPr>
            </w:pPr>
            <w:r>
              <w:rPr>
                <w:rFonts w:ascii="Arial" w:cs="Arial" w:eastAsia="Arial" w:hAnsi="Arial"/>
                <w:sz w:val="15"/>
                <w:szCs w:val="15"/>
                <w:color w:val="auto"/>
                <w:w w:val="71"/>
              </w:rPr>
              <w:t>$</w:t>
            </w:r>
          </w:p>
        </w:tc>
        <w:tc>
          <w:tcPr>
            <w:tcW w:w="48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0.31</w:t>
            </w:r>
          </w:p>
        </w:tc>
        <w:tc>
          <w:tcPr>
            <w:tcW w:w="400" w:type="dxa"/>
            <w:vAlign w:val="bottom"/>
            <w:shd w:val="clear" w:color="auto" w:fill="EEEEEE"/>
          </w:tcPr>
          <w:p>
            <w:pPr>
              <w:spacing w:after="0"/>
              <w:rPr>
                <w:sz w:val="19"/>
                <w:szCs w:val="19"/>
                <w:color w:val="auto"/>
              </w:rPr>
            </w:pPr>
          </w:p>
        </w:tc>
        <w:tc>
          <w:tcPr>
            <w:tcW w:w="760" w:type="dxa"/>
            <w:vAlign w:val="bottom"/>
            <w:gridSpan w:val="2"/>
            <w:shd w:val="clear" w:color="auto" w:fill="EEEEEE"/>
          </w:tcPr>
          <w:p>
            <w:pPr>
              <w:ind w:left="660"/>
              <w:spacing w:after="0"/>
              <w:rPr>
                <w:sz w:val="20"/>
                <w:szCs w:val="20"/>
                <w:color w:val="auto"/>
              </w:rPr>
            </w:pPr>
            <w:r>
              <w:rPr>
                <w:rFonts w:ascii="Arial" w:cs="Arial" w:eastAsia="Arial" w:hAnsi="Arial"/>
                <w:sz w:val="15"/>
                <w:szCs w:val="15"/>
                <w:color w:val="auto"/>
                <w:w w:val="71"/>
              </w:rPr>
              <w:t>$</w:t>
            </w:r>
          </w:p>
        </w:tc>
        <w:tc>
          <w:tcPr>
            <w:tcW w:w="48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0.12</w:t>
            </w:r>
          </w:p>
        </w:tc>
        <w:tc>
          <w:tcPr>
            <w:tcW w:w="4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440" w:type="dxa"/>
            <w:vAlign w:val="bottom"/>
            <w:vMerge w:val="restart"/>
          </w:tcPr>
          <w:p>
            <w:pPr>
              <w:ind w:left="120"/>
              <w:spacing w:after="0"/>
              <w:rPr>
                <w:sz w:val="20"/>
                <w:szCs w:val="20"/>
                <w:color w:val="auto"/>
              </w:rPr>
            </w:pPr>
            <w:r>
              <w:rPr>
                <w:rFonts w:ascii="Arial" w:cs="Arial" w:eastAsia="Arial" w:hAnsi="Arial"/>
                <w:sz w:val="18"/>
                <w:szCs w:val="18"/>
                <w:color w:val="auto"/>
              </w:rPr>
              <w:t>As reported — Diluted</w:t>
            </w:r>
          </w:p>
        </w:tc>
        <w:tc>
          <w:tcPr>
            <w:tcW w:w="300" w:type="dxa"/>
            <w:vAlign w:val="bottom"/>
            <w:vMerge w:val="restart"/>
          </w:tcPr>
          <w:p>
            <w:pPr>
              <w:ind w:left="200"/>
              <w:spacing w:after="0"/>
              <w:rPr>
                <w:sz w:val="20"/>
                <w:szCs w:val="20"/>
                <w:color w:val="auto"/>
              </w:rPr>
            </w:pPr>
            <w:r>
              <w:rPr>
                <w:rFonts w:ascii="Arial" w:cs="Arial" w:eastAsia="Arial" w:hAnsi="Arial"/>
                <w:sz w:val="15"/>
                <w:szCs w:val="15"/>
                <w:color w:val="auto"/>
                <w:w w:val="71"/>
              </w:rPr>
              <w:t>$</w:t>
            </w:r>
          </w:p>
        </w:tc>
        <w:tc>
          <w:tcPr>
            <w:tcW w:w="480" w:type="dxa"/>
            <w:vAlign w:val="bottom"/>
            <w:tcBorders>
              <w:left w:val="single" w:sz="8" w:color="808080"/>
            </w:tcBorders>
            <w:shd w:val="clear" w:color="auto" w:fill="808080"/>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gridSpan w:val="2"/>
            <w:vMerge w:val="restart"/>
          </w:tcPr>
          <w:p>
            <w:pPr>
              <w:ind w:left="660"/>
              <w:spacing w:after="0"/>
              <w:rPr>
                <w:sz w:val="20"/>
                <w:szCs w:val="20"/>
                <w:color w:val="auto"/>
              </w:rPr>
            </w:pPr>
            <w:r>
              <w:rPr>
                <w:rFonts w:ascii="Arial" w:cs="Arial" w:eastAsia="Arial" w:hAnsi="Arial"/>
                <w:sz w:val="15"/>
                <w:szCs w:val="15"/>
                <w:color w:val="auto"/>
                <w:w w:val="71"/>
              </w:rPr>
              <w:t>$</w:t>
            </w:r>
          </w:p>
        </w:tc>
        <w:tc>
          <w:tcPr>
            <w:tcW w:w="480" w:type="dxa"/>
            <w:vAlign w:val="bottom"/>
            <w:tcBorders>
              <w:left w:val="single" w:sz="8" w:color="808080"/>
              <w:right w:val="single" w:sz="8" w:color="808080"/>
            </w:tcBorders>
            <w:shd w:val="clear" w:color="auto" w:fill="808080"/>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4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0.36</w:t>
            </w:r>
          </w:p>
        </w:tc>
        <w:tc>
          <w:tcPr>
            <w:tcW w:w="400" w:type="dxa"/>
            <w:vAlign w:val="bottom"/>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0.27</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Borders>
              <w:lef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Borders>
              <w:left w:val="single" w:sz="8" w:color="808080"/>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Pro forma – Diluted</w:t>
            </w:r>
          </w:p>
        </w:tc>
        <w:tc>
          <w:tcPr>
            <w:tcW w:w="300" w:type="dxa"/>
            <w:vAlign w:val="bottom"/>
            <w:shd w:val="clear" w:color="auto" w:fill="EEEEEE"/>
          </w:tcPr>
          <w:p>
            <w:pPr>
              <w:ind w:left="200"/>
              <w:spacing w:after="0"/>
              <w:rPr>
                <w:sz w:val="20"/>
                <w:szCs w:val="20"/>
                <w:color w:val="auto"/>
              </w:rPr>
            </w:pPr>
            <w:r>
              <w:rPr>
                <w:rFonts w:ascii="Arial" w:cs="Arial" w:eastAsia="Arial" w:hAnsi="Arial"/>
                <w:sz w:val="15"/>
                <w:szCs w:val="15"/>
                <w:color w:val="auto"/>
                <w:w w:val="71"/>
              </w:rPr>
              <w:t>$</w:t>
            </w:r>
          </w:p>
        </w:tc>
        <w:tc>
          <w:tcPr>
            <w:tcW w:w="48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0.30</w:t>
            </w:r>
          </w:p>
        </w:tc>
        <w:tc>
          <w:tcPr>
            <w:tcW w:w="400" w:type="dxa"/>
            <w:vAlign w:val="bottom"/>
            <w:shd w:val="clear" w:color="auto" w:fill="EEEEEE"/>
          </w:tcPr>
          <w:p>
            <w:pPr>
              <w:spacing w:after="0"/>
              <w:rPr>
                <w:sz w:val="19"/>
                <w:szCs w:val="19"/>
                <w:color w:val="auto"/>
              </w:rPr>
            </w:pPr>
          </w:p>
        </w:tc>
        <w:tc>
          <w:tcPr>
            <w:tcW w:w="760" w:type="dxa"/>
            <w:vAlign w:val="bottom"/>
            <w:gridSpan w:val="2"/>
            <w:shd w:val="clear" w:color="auto" w:fill="EEEEEE"/>
          </w:tcPr>
          <w:p>
            <w:pPr>
              <w:ind w:left="660"/>
              <w:spacing w:after="0"/>
              <w:rPr>
                <w:sz w:val="20"/>
                <w:szCs w:val="20"/>
                <w:color w:val="auto"/>
              </w:rPr>
            </w:pPr>
            <w:r>
              <w:rPr>
                <w:rFonts w:ascii="Arial" w:cs="Arial" w:eastAsia="Arial" w:hAnsi="Arial"/>
                <w:sz w:val="15"/>
                <w:szCs w:val="15"/>
                <w:color w:val="auto"/>
                <w:w w:val="71"/>
              </w:rPr>
              <w:t>$</w:t>
            </w:r>
          </w:p>
        </w:tc>
        <w:tc>
          <w:tcPr>
            <w:tcW w:w="48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0.12</w:t>
            </w:r>
          </w:p>
        </w:tc>
        <w:tc>
          <w:tcPr>
            <w:tcW w:w="4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Borders>
              <w:lef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Borders>
              <w:left w:val="single" w:sz="8" w:color="808080"/>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Per share data has been adjusted for all periods presented to reflect a two-for-one stock split effective April 1, 2003.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Inventories are valued at the lower of cost or net realizable value, with cost determined by the last-in, first-out (LIFO) method for most inventories.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Inventories were as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80" w:type="dxa"/>
            <w:vAlign w:val="bottom"/>
            <w:gridSpan w:val="3"/>
          </w:tcPr>
          <w:p>
            <w:pPr>
              <w:ind w:left="320"/>
              <w:spacing w:after="0"/>
              <w:rPr>
                <w:sz w:val="20"/>
                <w:szCs w:val="20"/>
                <w:color w:val="auto"/>
              </w:rPr>
            </w:pPr>
            <w:r>
              <w:rPr>
                <w:rFonts w:ascii="Arial" w:cs="Arial" w:eastAsia="Arial" w:hAnsi="Arial"/>
                <w:sz w:val="14"/>
                <w:szCs w:val="14"/>
                <w:b w:val="1"/>
                <w:bCs w:val="1"/>
                <w:color w:val="auto"/>
              </w:rPr>
              <w:t>January 30,</w:t>
            </w:r>
          </w:p>
        </w:tc>
        <w:tc>
          <w:tcPr>
            <w:tcW w:w="420" w:type="dxa"/>
            <w:vAlign w:val="bottom"/>
          </w:tcPr>
          <w:p>
            <w:pPr>
              <w:spacing w:after="0"/>
              <w:rPr>
                <w:sz w:val="14"/>
                <w:szCs w:val="14"/>
                <w:color w:val="auto"/>
              </w:rPr>
            </w:pPr>
          </w:p>
        </w:tc>
        <w:tc>
          <w:tcPr>
            <w:tcW w:w="1380" w:type="dxa"/>
            <w:vAlign w:val="bottom"/>
            <w:gridSpan w:val="3"/>
          </w:tcPr>
          <w:p>
            <w:pPr>
              <w:ind w:left="320"/>
              <w:spacing w:after="0"/>
              <w:rPr>
                <w:sz w:val="20"/>
                <w:szCs w:val="20"/>
                <w:color w:val="auto"/>
              </w:rPr>
            </w:pPr>
            <w:r>
              <w:rPr>
                <w:rFonts w:ascii="Arial" w:cs="Arial" w:eastAsia="Arial" w:hAnsi="Arial"/>
                <w:sz w:val="14"/>
                <w:szCs w:val="14"/>
                <w:b w:val="1"/>
                <w:bCs w:val="1"/>
                <w:color w:val="auto"/>
              </w:rPr>
              <w:t>January 31,</w:t>
            </w:r>
          </w:p>
        </w:tc>
        <w:tc>
          <w:tcPr>
            <w:tcW w:w="440" w:type="dxa"/>
            <w:vAlign w:val="bottom"/>
          </w:tcPr>
          <w:p>
            <w:pPr>
              <w:spacing w:after="0"/>
              <w:rPr>
                <w:sz w:val="14"/>
                <w:szCs w:val="14"/>
                <w:color w:val="auto"/>
              </w:rPr>
            </w:pPr>
          </w:p>
        </w:tc>
        <w:tc>
          <w:tcPr>
            <w:tcW w:w="1380" w:type="dxa"/>
            <w:vAlign w:val="bottom"/>
            <w:gridSpan w:val="3"/>
          </w:tcPr>
          <w:p>
            <w:pPr>
              <w:ind w:left="320"/>
              <w:spacing w:after="0"/>
              <w:rPr>
                <w:sz w:val="20"/>
                <w:szCs w:val="20"/>
                <w:color w:val="auto"/>
              </w:rPr>
            </w:pPr>
            <w:r>
              <w:rPr>
                <w:rFonts w:ascii="Arial" w:cs="Arial" w:eastAsia="Arial" w:hAnsi="Arial"/>
                <w:sz w:val="14"/>
                <w:szCs w:val="14"/>
                <w:b w:val="1"/>
                <w:bCs w:val="1"/>
                <w:color w:val="auto"/>
              </w:rPr>
              <w:t>October 31,</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380" w:type="dxa"/>
            <w:vAlign w:val="bottom"/>
            <w:gridSpan w:val="2"/>
          </w:tcPr>
          <w:p>
            <w:pPr>
              <w:ind w:left="580"/>
              <w:spacing w:after="0"/>
              <w:rPr>
                <w:sz w:val="20"/>
                <w:szCs w:val="20"/>
                <w:color w:val="auto"/>
              </w:rPr>
            </w:pPr>
            <w:r>
              <w:rPr>
                <w:rFonts w:ascii="Arial" w:cs="Arial" w:eastAsia="Arial" w:hAnsi="Arial"/>
                <w:sz w:val="14"/>
                <w:szCs w:val="14"/>
                <w:b w:val="1"/>
                <w:bCs w:val="1"/>
                <w:color w:val="auto"/>
              </w:rPr>
              <w:t>(Dollars in thousands)</w:t>
            </w: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7"/>
                <w:szCs w:val="17"/>
                <w:color w:val="auto"/>
              </w:rPr>
            </w:pPr>
          </w:p>
        </w:tc>
        <w:tc>
          <w:tcPr>
            <w:tcW w:w="13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580" w:type="dxa"/>
            <w:vAlign w:val="bottom"/>
          </w:tcPr>
          <w:p>
            <w:pPr>
              <w:spacing w:after="0"/>
              <w:rPr>
                <w:sz w:val="3"/>
                <w:szCs w:val="3"/>
                <w:color w:val="auto"/>
              </w:rPr>
            </w:pPr>
          </w:p>
        </w:tc>
        <w:tc>
          <w:tcPr>
            <w:tcW w:w="38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580" w:type="dxa"/>
            <w:vAlign w:val="bottom"/>
            <w:vMerge w:val="restart"/>
          </w:tcPr>
          <w:p>
            <w:pPr>
              <w:spacing w:after="0"/>
              <w:rPr>
                <w:sz w:val="6"/>
                <w:szCs w:val="6"/>
                <w:color w:val="auto"/>
              </w:rPr>
            </w:pPr>
          </w:p>
        </w:tc>
        <w:tc>
          <w:tcPr>
            <w:tcW w:w="38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Raw materials and work in process</w:t>
            </w:r>
          </w:p>
        </w:tc>
        <w:tc>
          <w:tcPr>
            <w:tcW w:w="1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80,269</w:t>
            </w:r>
          </w:p>
        </w:tc>
        <w:tc>
          <w:tcPr>
            <w:tcW w:w="4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74,834</w:t>
            </w:r>
          </w:p>
        </w:tc>
        <w:tc>
          <w:tcPr>
            <w:tcW w:w="42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67,753</w:t>
            </w:r>
          </w:p>
        </w:tc>
        <w:tc>
          <w:tcPr>
            <w:tcW w:w="44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Finished goods and service parts</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240,436</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233,973</w:t>
            </w:r>
          </w:p>
        </w:tc>
        <w:tc>
          <w:tcPr>
            <w:tcW w:w="4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208,176</w:t>
            </w: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tcPr>
          <w:p>
            <w:pPr>
              <w:spacing w:after="0"/>
              <w:rPr>
                <w:sz w:val="18"/>
                <w:szCs w:val="18"/>
                <w:color w:val="auto"/>
              </w:rPr>
            </w:pPr>
          </w:p>
        </w:tc>
        <w:tc>
          <w:tcPr>
            <w:tcW w:w="38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320,705</w:t>
            </w:r>
          </w:p>
        </w:tc>
        <w:tc>
          <w:tcPr>
            <w:tcW w:w="4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308,807</w:t>
            </w:r>
          </w:p>
        </w:tc>
        <w:tc>
          <w:tcPr>
            <w:tcW w:w="42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275,929</w:t>
            </w:r>
          </w:p>
        </w:tc>
        <w:tc>
          <w:tcPr>
            <w:tcW w:w="44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Less: LIFO</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32,151</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26,903</w:t>
            </w:r>
          </w:p>
        </w:tc>
        <w:tc>
          <w:tcPr>
            <w:tcW w:w="4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32,151</w:t>
            </w: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Other reserves</w:t>
            </w:r>
          </w:p>
        </w:tc>
        <w:tc>
          <w:tcPr>
            <w:tcW w:w="14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17,483</w:t>
            </w:r>
          </w:p>
        </w:tc>
        <w:tc>
          <w:tcPr>
            <w:tcW w:w="4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14,528</w:t>
            </w:r>
          </w:p>
        </w:tc>
        <w:tc>
          <w:tcPr>
            <w:tcW w:w="4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14,869</w:t>
            </w:r>
          </w:p>
        </w:tc>
        <w:tc>
          <w:tcPr>
            <w:tcW w:w="44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380" w:type="dxa"/>
            <w:vAlign w:val="bottom"/>
            <w:gridSpan w:val="2"/>
          </w:tcPr>
          <w:p>
            <w:pPr>
              <w:ind w:left="580"/>
              <w:spacing w:after="0"/>
              <w:rPr>
                <w:sz w:val="20"/>
                <w:szCs w:val="20"/>
                <w:color w:val="auto"/>
              </w:rPr>
            </w:pPr>
            <w:r>
              <w:rPr>
                <w:rFonts w:ascii="Arial" w:cs="Arial" w:eastAsia="Arial" w:hAnsi="Arial"/>
                <w:sz w:val="18"/>
                <w:szCs w:val="18"/>
                <w:color w:val="auto"/>
              </w:rPr>
              <w:t>Total</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271,071</w:t>
            </w:r>
          </w:p>
        </w:tc>
        <w:tc>
          <w:tcPr>
            <w:tcW w:w="4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267,376</w:t>
            </w:r>
          </w:p>
        </w:tc>
        <w:tc>
          <w:tcPr>
            <w:tcW w:w="42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$228,909</w:t>
            </w: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3800" w:type="dxa"/>
            <w:vAlign w:val="bottom"/>
          </w:tcPr>
          <w:p>
            <w:pPr>
              <w:spacing w:after="0"/>
              <w:rPr>
                <w:sz w:val="5"/>
                <w:szCs w:val="5"/>
                <w:color w:val="auto"/>
              </w:rPr>
            </w:pPr>
          </w:p>
        </w:tc>
        <w:tc>
          <w:tcPr>
            <w:tcW w:w="1480" w:type="dxa"/>
            <w:vAlign w:val="bottom"/>
            <w:vMerge w:val="restart"/>
          </w:tcPr>
          <w:p>
            <w:pPr>
              <w:jc w:val="right"/>
              <w:ind w:right="1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8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Activity</w:t>
      </w: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fiscal 2003, the company announced plans to close its two-cycle engine manufacturing facility located in Oxford, Mississippi, which will cease operations in fiscal 2004. Approximately 115 job positions and related staff reductions will be lost in connection with closing this facility. As of the end of the first quarter of fiscal 2004, the restructuring and other expense reserve also included costs that will be incurred until the Madera, California manufacturing facility is sold and until all operations at the Riverside, California facility are relocated to other facilities. Therefore, the company will incur ongoing costs after the facilities are closed and until they are sold, which is captioned in “Other” below.</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an analysis of the company’s restructuring and other expense and reserve accounts:</w:t>
      </w:r>
    </w:p>
    <w:p>
      <w:pPr>
        <w:spacing w:after="0" w:line="38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Asset</w:t>
            </w:r>
          </w:p>
        </w:tc>
        <w:tc>
          <w:tcPr>
            <w:tcW w:w="46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Arial" w:cs="Arial" w:eastAsia="Arial" w:hAnsi="Arial"/>
                <w:sz w:val="14"/>
                <w:szCs w:val="14"/>
                <w:b w:val="1"/>
                <w:bCs w:val="1"/>
                <w:color w:val="auto"/>
                <w:w w:val="94"/>
              </w:rPr>
              <w:t>Severance</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57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8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8"/>
              </w:rPr>
              <w:t>Impairment</w:t>
            </w:r>
          </w:p>
        </w:tc>
        <w:tc>
          <w:tcPr>
            <w:tcW w:w="460" w:type="dxa"/>
            <w:vAlign w:val="bottom"/>
          </w:tcPr>
          <w:p>
            <w:pPr>
              <w:spacing w:after="0"/>
              <w:rPr>
                <w:sz w:val="17"/>
                <w:szCs w:val="17"/>
                <w:color w:val="auto"/>
              </w:rPr>
            </w:pPr>
          </w:p>
        </w:tc>
        <w:tc>
          <w:tcPr>
            <w:tcW w:w="740" w:type="dxa"/>
            <w:vAlign w:val="bottom"/>
            <w:gridSpan w:val="4"/>
          </w:tcPr>
          <w:p>
            <w:pPr>
              <w:ind w:left="40"/>
              <w:spacing w:after="0"/>
              <w:rPr>
                <w:sz w:val="20"/>
                <w:szCs w:val="20"/>
                <w:color w:val="auto"/>
              </w:rPr>
            </w:pPr>
            <w:r>
              <w:rPr>
                <w:rFonts w:ascii="Arial" w:cs="Arial" w:eastAsia="Arial" w:hAnsi="Arial"/>
                <w:sz w:val="14"/>
                <w:szCs w:val="14"/>
                <w:b w:val="1"/>
                <w:bCs w:val="1"/>
                <w:color w:val="auto"/>
                <w:w w:val="98"/>
              </w:rPr>
              <w:t>&amp; Benefits</w:t>
            </w:r>
          </w:p>
        </w:tc>
        <w:tc>
          <w:tcPr>
            <w:tcW w:w="460" w:type="dxa"/>
            <w:vAlign w:val="bottom"/>
          </w:tcPr>
          <w:p>
            <w:pPr>
              <w:spacing w:after="0"/>
              <w:rPr>
                <w:sz w:val="17"/>
                <w:szCs w:val="17"/>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Other</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68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Balance as of October 31, 2003</w:t>
            </w:r>
          </w:p>
        </w:tc>
        <w:tc>
          <w:tcPr>
            <w:tcW w:w="80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 —</w:t>
            </w:r>
          </w:p>
        </w:tc>
        <w:tc>
          <w:tcPr>
            <w:tcW w:w="8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$844</w:t>
            </w:r>
          </w:p>
        </w:tc>
        <w:tc>
          <w:tcPr>
            <w:tcW w:w="32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$229</w:t>
            </w:r>
          </w:p>
        </w:tc>
        <w:tc>
          <w:tcPr>
            <w:tcW w:w="18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$1,073</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Changes in estimates</w:t>
            </w:r>
          </w:p>
        </w:tc>
        <w:tc>
          <w:tcPr>
            <w:tcW w:w="800" w:type="dxa"/>
            <w:vAlign w:val="bottom"/>
            <w:gridSpan w:val="3"/>
          </w:tcPr>
          <w:p>
            <w:pPr>
              <w:jc w:val="right"/>
              <w:ind w:right="320"/>
              <w:spacing w:after="0"/>
              <w:rPr>
                <w:sz w:val="20"/>
                <w:szCs w:val="20"/>
                <w:color w:val="auto"/>
              </w:rPr>
            </w:pPr>
            <w:r>
              <w:rPr>
                <w:rFonts w:ascii="Arial" w:cs="Arial" w:eastAsia="Arial" w:hAnsi="Arial"/>
                <w:sz w:val="18"/>
                <w:szCs w:val="18"/>
                <w:color w:val="auto"/>
              </w:rPr>
              <w:t>(52)</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580" w:type="dxa"/>
            <w:vAlign w:val="bottom"/>
            <w:gridSpan w:val="4"/>
          </w:tcPr>
          <w:p>
            <w:pPr>
              <w:jc w:val="right"/>
              <w:ind w:right="3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Other costs</w:t>
            </w:r>
          </w:p>
        </w:tc>
        <w:tc>
          <w:tcPr>
            <w:tcW w:w="18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Utilization</w:t>
            </w:r>
          </w:p>
        </w:tc>
        <w:tc>
          <w:tcPr>
            <w:tcW w:w="1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52</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540" w:type="dxa"/>
            <w:vAlign w:val="bottom"/>
            <w:gridSpan w:val="2"/>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(47)</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80808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80808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80808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80808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Balance as of January 30, 2004</w:t>
            </w:r>
          </w:p>
        </w:tc>
        <w:tc>
          <w:tcPr>
            <w:tcW w:w="80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 —</w:t>
            </w:r>
          </w:p>
        </w:tc>
        <w:tc>
          <w:tcPr>
            <w:tcW w:w="8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$844</w:t>
            </w:r>
          </w:p>
        </w:tc>
        <w:tc>
          <w:tcPr>
            <w:tcW w:w="32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$1,056</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5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 majority of the remaining accruals to be utilized by the end of the second quarter of fiscal 2004.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Data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basic and dilutive weighted average shares of common stock outstanding are as follows:</w:t>
      </w:r>
    </w:p>
    <w:p>
      <w:pPr>
        <w:spacing w:after="0" w:line="39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100" w:type="dxa"/>
            <w:vAlign w:val="bottom"/>
            <w:gridSpan w:val="3"/>
          </w:tcPr>
          <w:p>
            <w:pPr>
              <w:ind w:left="180"/>
              <w:spacing w:after="0"/>
              <w:rPr>
                <w:sz w:val="20"/>
                <w:szCs w:val="20"/>
                <w:color w:val="auto"/>
              </w:rPr>
            </w:pPr>
            <w:r>
              <w:rPr>
                <w:rFonts w:ascii="Arial" w:cs="Arial" w:eastAsia="Arial" w:hAnsi="Arial"/>
                <w:sz w:val="14"/>
                <w:szCs w:val="14"/>
                <w:b w:val="1"/>
                <w:bCs w:val="1"/>
                <w:color w:val="auto"/>
              </w:rPr>
              <w:t>January 30,</w:t>
            </w:r>
          </w:p>
        </w:tc>
        <w:tc>
          <w:tcPr>
            <w:tcW w:w="460" w:type="dxa"/>
            <w:vAlign w:val="bottom"/>
          </w:tcPr>
          <w:p>
            <w:pPr>
              <w:spacing w:after="0"/>
              <w:rPr>
                <w:sz w:val="14"/>
                <w:szCs w:val="14"/>
                <w:color w:val="auto"/>
              </w:rPr>
            </w:pPr>
          </w:p>
        </w:tc>
        <w:tc>
          <w:tcPr>
            <w:tcW w:w="1120" w:type="dxa"/>
            <w:vAlign w:val="bottom"/>
            <w:gridSpan w:val="3"/>
          </w:tcPr>
          <w:p>
            <w:pPr>
              <w:ind w:left="18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200"/>
        </w:trPr>
        <w:tc>
          <w:tcPr>
            <w:tcW w:w="7600" w:type="dxa"/>
            <w:vAlign w:val="bottom"/>
            <w:gridSpan w:val="2"/>
          </w:tcPr>
          <w:p>
            <w:pPr>
              <w:spacing w:after="0"/>
              <w:rPr>
                <w:sz w:val="20"/>
                <w:szCs w:val="20"/>
                <w:color w:val="auto"/>
              </w:rPr>
            </w:pPr>
            <w:r>
              <w:rPr>
                <w:rFonts w:ascii="Arial" w:cs="Arial" w:eastAsia="Arial" w:hAnsi="Arial"/>
                <w:sz w:val="14"/>
                <w:szCs w:val="14"/>
                <w:b w:val="1"/>
                <w:bCs w:val="1"/>
                <w:color w:val="auto"/>
              </w:rPr>
              <w:t>(Shares in thousands)</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580" w:type="dxa"/>
            <w:vAlign w:val="bottom"/>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Basic</w:t>
            </w: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Weighted average number of shares of common stock</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24,883</w:t>
            </w:r>
          </w:p>
        </w:tc>
        <w:tc>
          <w:tcPr>
            <w:tcW w:w="3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24,879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EEEEEE"/>
          </w:tcPr>
          <w:p>
            <w:pPr>
              <w:spacing w:after="0"/>
              <w:rPr>
                <w:sz w:val="20"/>
                <w:szCs w:val="20"/>
                <w:color w:val="auto"/>
              </w:rPr>
            </w:pPr>
            <w:r>
              <w:rPr>
                <w:rFonts w:ascii="Arial" w:cs="Arial" w:eastAsia="Arial" w:hAnsi="Arial"/>
                <w:sz w:val="18"/>
                <w:szCs w:val="18"/>
                <w:color w:val="auto"/>
              </w:rPr>
              <w:t>Assumed issuance of contingent shares</w:t>
            </w:r>
          </w:p>
        </w:tc>
        <w:tc>
          <w:tcPr>
            <w:tcW w:w="240" w:type="dxa"/>
            <w:vAlign w:val="bottom"/>
            <w:shd w:val="clear" w:color="auto" w:fill="EEEEEE"/>
          </w:tcPr>
          <w:p>
            <w:pPr>
              <w:spacing w:after="0"/>
              <w:rPr>
                <w:sz w:val="18"/>
                <w:szCs w:val="18"/>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3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spacing w:after="0"/>
              <w:rPr>
                <w:sz w:val="18"/>
                <w:szCs w:val="18"/>
                <w:color w:val="auto"/>
              </w:rPr>
            </w:pPr>
          </w:p>
        </w:tc>
        <w:tc>
          <w:tcPr>
            <w:tcW w:w="520" w:type="dxa"/>
            <w:vAlign w:val="bottom"/>
            <w:tcBorders>
              <w:bottom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600" w:type="dxa"/>
            <w:vAlign w:val="bottom"/>
            <w:gridSpan w:val="2"/>
          </w:tcPr>
          <w:p>
            <w:pPr>
              <w:spacing w:after="0"/>
              <w:rPr>
                <w:sz w:val="20"/>
                <w:szCs w:val="20"/>
                <w:color w:val="auto"/>
              </w:rPr>
            </w:pPr>
            <w:r>
              <w:rPr>
                <w:rFonts w:ascii="Arial" w:cs="Arial" w:eastAsia="Arial" w:hAnsi="Arial"/>
                <w:sz w:val="18"/>
                <w:szCs w:val="18"/>
                <w:color w:val="auto"/>
                <w:w w:val="96"/>
              </w:rPr>
              <w:t>Weighted average number of shares of common stock and assumed issuance of contingent shares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24,926</w:t>
            </w:r>
          </w:p>
        </w:tc>
        <w:tc>
          <w:tcPr>
            <w:tcW w:w="36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24,921</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Dilutive</w:t>
            </w: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w w:val="95"/>
              </w:rPr>
              <w:t>Weighted average number of shares of common stock and assumed issuance of contingent shares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24,926</w:t>
            </w:r>
          </w:p>
        </w:tc>
        <w:tc>
          <w:tcPr>
            <w:tcW w:w="3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24,921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EEEEEE"/>
          </w:tcPr>
          <w:p>
            <w:pPr>
              <w:spacing w:after="0"/>
              <w:rPr>
                <w:sz w:val="20"/>
                <w:szCs w:val="20"/>
                <w:color w:val="auto"/>
              </w:rPr>
            </w:pPr>
            <w:r>
              <w:rPr>
                <w:rFonts w:ascii="Arial" w:cs="Arial" w:eastAsia="Arial" w:hAnsi="Arial"/>
                <w:sz w:val="18"/>
                <w:szCs w:val="18"/>
                <w:color w:val="auto"/>
              </w:rPr>
              <w:t>Assumed conversion of stock options</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1,203</w:t>
            </w:r>
          </w:p>
        </w:tc>
        <w:tc>
          <w:tcPr>
            <w:tcW w:w="360" w:type="dxa"/>
            <w:vAlign w:val="bottom"/>
            <w:shd w:val="clear" w:color="auto" w:fill="EEEEEE"/>
          </w:tcPr>
          <w:p>
            <w:pPr>
              <w:spacing w:after="0"/>
              <w:rPr>
                <w:sz w:val="18"/>
                <w:szCs w:val="18"/>
                <w:color w:val="auto"/>
              </w:rPr>
            </w:pPr>
          </w:p>
        </w:tc>
        <w:tc>
          <w:tcPr>
            <w:tcW w:w="12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922</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0" w:type="dxa"/>
            <w:vAlign w:val="bottom"/>
            <w:gridSpan w:val="2"/>
          </w:tcPr>
          <w:p>
            <w:pPr>
              <w:spacing w:after="0"/>
              <w:rPr>
                <w:sz w:val="20"/>
                <w:szCs w:val="20"/>
                <w:color w:val="auto"/>
              </w:rPr>
            </w:pPr>
            <w:r>
              <w:rPr>
                <w:rFonts w:ascii="Arial" w:cs="Arial" w:eastAsia="Arial" w:hAnsi="Arial"/>
                <w:sz w:val="18"/>
                <w:szCs w:val="18"/>
                <w:color w:val="auto"/>
                <w:w w:val="94"/>
              </w:rPr>
              <w:t>Weighted average number of shares of common stock, assumed issuance of contingent shares, and</w:t>
            </w:r>
          </w:p>
        </w:tc>
        <w:tc>
          <w:tcPr>
            <w:tcW w:w="240" w:type="dxa"/>
            <w:vAlign w:val="bottom"/>
          </w:tcPr>
          <w:p>
            <w:pPr>
              <w:spacing w:after="0"/>
              <w:rPr>
                <w:sz w:val="19"/>
                <w:szCs w:val="19"/>
                <w:color w:val="auto"/>
              </w:rPr>
            </w:pPr>
          </w:p>
        </w:tc>
        <w:tc>
          <w:tcPr>
            <w:tcW w:w="500" w:type="dxa"/>
            <w:vAlign w:val="bottom"/>
            <w:tcBorders>
              <w:top w:val="single" w:sz="8" w:color="808080"/>
            </w:tcBorders>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top w:val="single" w:sz="8" w:color="808080"/>
            </w:tcBorders>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580" w:type="dxa"/>
            <w:vAlign w:val="bottom"/>
          </w:tcPr>
          <w:p>
            <w:pPr>
              <w:ind w:left="120"/>
              <w:spacing w:after="0"/>
              <w:rPr>
                <w:sz w:val="20"/>
                <w:szCs w:val="20"/>
                <w:color w:val="auto"/>
              </w:rPr>
            </w:pPr>
            <w:r>
              <w:rPr>
                <w:rFonts w:ascii="Arial" w:cs="Arial" w:eastAsia="Arial" w:hAnsi="Arial"/>
                <w:sz w:val="18"/>
                <w:szCs w:val="18"/>
                <w:color w:val="auto"/>
              </w:rPr>
              <w:t>assumed conversion of stock options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26,129</w:t>
            </w:r>
          </w:p>
        </w:tc>
        <w:tc>
          <w:tcPr>
            <w:tcW w:w="36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25,843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Shares have been adjusted for all periods presented to reflect a two-for-one stock split effective April 1, 2003.</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202"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The Other segment consists of corporate activities, including corporate financing activities and elimination of intersegment revenues and expenses.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summarized financial information concerning the company’s reportable segments:</w:t>
      </w:r>
    </w:p>
    <w:p>
      <w:pPr>
        <w:spacing w:after="0" w:line="392" w:lineRule="exact"/>
        <w:rPr>
          <w:sz w:val="20"/>
          <w:szCs w:val="20"/>
          <w:color w:val="auto"/>
        </w:rPr>
      </w:pPr>
    </w:p>
    <w:tbl>
      <w:tblPr>
        <w:tblLayout w:type="fixed"/>
        <w:tblInd w:w="580" w:type="dxa"/>
        <w:tblCellMar>
          <w:top w:w="0" w:type="dxa"/>
          <w:left w:w="0" w:type="dxa"/>
          <w:bottom w:w="0" w:type="dxa"/>
          <w:right w:w="0" w:type="dxa"/>
        </w:tblCellMar>
      </w:tblPr>
      <w:tr>
        <w:trPr>
          <w:trHeight w:val="200"/>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300" w:type="dxa"/>
            <w:vAlign w:val="bottom"/>
          </w:tcPr>
          <w:p>
            <w:pPr>
              <w:jc w:val="right"/>
              <w:ind w:right="192"/>
              <w:spacing w:after="0"/>
              <w:rPr>
                <w:sz w:val="20"/>
                <w:szCs w:val="20"/>
                <w:color w:val="auto"/>
              </w:rPr>
            </w:pPr>
            <w:r>
              <w:rPr>
                <w:rFonts w:ascii="Arial" w:cs="Arial" w:eastAsia="Arial" w:hAnsi="Arial"/>
                <w:sz w:val="14"/>
                <w:szCs w:val="14"/>
                <w:b w:val="1"/>
                <w:bCs w:val="1"/>
                <w:color w:val="auto"/>
              </w:rPr>
              <w:t>Professional</w:t>
            </w:r>
          </w:p>
        </w:tc>
        <w:tc>
          <w:tcPr>
            <w:tcW w:w="200" w:type="dxa"/>
            <w:vAlign w:val="bottom"/>
          </w:tcPr>
          <w:p>
            <w:pPr>
              <w:spacing w:after="0"/>
              <w:rPr>
                <w:sz w:val="17"/>
                <w:szCs w:val="17"/>
                <w:color w:val="auto"/>
              </w:rPr>
            </w:pPr>
          </w:p>
        </w:tc>
        <w:tc>
          <w:tcPr>
            <w:tcW w:w="10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Residential</w:t>
            </w:r>
          </w:p>
        </w:tc>
        <w:tc>
          <w:tcPr>
            <w:tcW w:w="220" w:type="dxa"/>
            <w:vAlign w:val="bottom"/>
          </w:tcPr>
          <w:p>
            <w:pPr>
              <w:spacing w:after="0"/>
              <w:rPr>
                <w:sz w:val="17"/>
                <w:szCs w:val="17"/>
                <w:color w:val="auto"/>
              </w:rPr>
            </w:pPr>
          </w:p>
        </w:tc>
        <w:tc>
          <w:tcPr>
            <w:tcW w:w="1160" w:type="dxa"/>
            <w:vAlign w:val="bottom"/>
          </w:tcPr>
          <w:p>
            <w:pPr>
              <w:jc w:val="right"/>
              <w:ind w:right="136"/>
              <w:spacing w:after="0"/>
              <w:rPr>
                <w:sz w:val="20"/>
                <w:szCs w:val="20"/>
                <w:color w:val="auto"/>
              </w:rPr>
            </w:pPr>
            <w:r>
              <w:rPr>
                <w:rFonts w:ascii="Arial" w:cs="Arial" w:eastAsia="Arial" w:hAnsi="Arial"/>
                <w:sz w:val="14"/>
                <w:szCs w:val="14"/>
                <w:b w:val="1"/>
                <w:bCs w:val="1"/>
                <w:color w:val="auto"/>
              </w:rPr>
              <w:t>Distribution</w:t>
            </w:r>
          </w:p>
        </w:tc>
        <w:tc>
          <w:tcPr>
            <w:tcW w:w="200" w:type="dxa"/>
            <w:vAlign w:val="bottom"/>
          </w:tcPr>
          <w:p>
            <w:pPr>
              <w:spacing w:after="0"/>
              <w:rPr>
                <w:sz w:val="17"/>
                <w:szCs w:val="17"/>
                <w:color w:val="auto"/>
              </w:rPr>
            </w:pPr>
          </w:p>
        </w:tc>
        <w:tc>
          <w:tcPr>
            <w:tcW w:w="1240" w:type="dxa"/>
            <w:vAlign w:val="bottom"/>
          </w:tcPr>
          <w:p>
            <w:pPr>
              <w:jc w:val="right"/>
              <w:ind w:right="36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7"/>
                <w:szCs w:val="17"/>
                <w:color w:val="auto"/>
              </w:rPr>
            </w:pPr>
          </w:p>
        </w:tc>
        <w:tc>
          <w:tcPr>
            <w:tcW w:w="1120" w:type="dxa"/>
            <w:vAlign w:val="bottom"/>
          </w:tcPr>
          <w:p>
            <w:pPr>
              <w:jc w:val="right"/>
              <w:ind w:right="3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5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Three months ended January 30, 2004</w:t>
            </w:r>
          </w:p>
        </w:tc>
        <w:tc>
          <w:tcPr>
            <w:tcW w:w="1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Net sales</w:t>
            </w:r>
          </w:p>
        </w:tc>
        <w:tc>
          <w:tcPr>
            <w:tcW w:w="1300" w:type="dxa"/>
            <w:vAlign w:val="bottom"/>
          </w:tcPr>
          <w:p>
            <w:pPr>
              <w:jc w:val="right"/>
              <w:ind w:right="332"/>
              <w:spacing w:after="0"/>
              <w:rPr>
                <w:sz w:val="20"/>
                <w:szCs w:val="20"/>
                <w:color w:val="auto"/>
              </w:rPr>
            </w:pPr>
            <w:r>
              <w:rPr>
                <w:rFonts w:ascii="Arial" w:cs="Arial" w:eastAsia="Arial" w:hAnsi="Arial"/>
                <w:sz w:val="18"/>
                <w:szCs w:val="18"/>
                <w:color w:val="auto"/>
              </w:rPr>
              <w:t>$207,678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97,887</w:t>
            </w:r>
          </w:p>
        </w:tc>
        <w:tc>
          <w:tcPr>
            <w:tcW w:w="1380" w:type="dxa"/>
            <w:vAlign w:val="bottom"/>
            <w:gridSpan w:val="2"/>
          </w:tcPr>
          <w:p>
            <w:pPr>
              <w:jc w:val="right"/>
              <w:ind w:right="256"/>
              <w:spacing w:after="0"/>
              <w:rPr>
                <w:sz w:val="20"/>
                <w:szCs w:val="20"/>
                <w:color w:val="auto"/>
              </w:rPr>
            </w:pPr>
            <w:r>
              <w:rPr>
                <w:rFonts w:ascii="Arial" w:cs="Arial" w:eastAsia="Arial" w:hAnsi="Arial"/>
                <w:sz w:val="18"/>
                <w:szCs w:val="18"/>
                <w:color w:val="auto"/>
              </w:rPr>
              <w:t>$19,653</w:t>
            </w:r>
          </w:p>
        </w:tc>
        <w:tc>
          <w:tcPr>
            <w:tcW w:w="1440" w:type="dxa"/>
            <w:vAlign w:val="bottom"/>
            <w:gridSpan w:val="2"/>
          </w:tcPr>
          <w:p>
            <w:pPr>
              <w:jc w:val="right"/>
              <w:ind w:right="208"/>
              <w:spacing w:after="0"/>
              <w:rPr>
                <w:sz w:val="20"/>
                <w:szCs w:val="20"/>
                <w:color w:val="auto"/>
              </w:rPr>
            </w:pPr>
            <w:r>
              <w:rPr>
                <w:rFonts w:ascii="Arial" w:cs="Arial" w:eastAsia="Arial" w:hAnsi="Arial"/>
                <w:sz w:val="18"/>
                <w:szCs w:val="18"/>
                <w:color w:val="auto"/>
              </w:rPr>
              <w:t>$ (11,645)</w:t>
            </w:r>
          </w:p>
        </w:tc>
        <w:tc>
          <w:tcPr>
            <w:tcW w:w="1340" w:type="dxa"/>
            <w:vAlign w:val="bottom"/>
            <w:gridSpan w:val="2"/>
          </w:tcPr>
          <w:p>
            <w:pPr>
              <w:jc w:val="right"/>
              <w:ind w:right="216"/>
              <w:spacing w:after="0"/>
              <w:rPr>
                <w:sz w:val="20"/>
                <w:szCs w:val="20"/>
                <w:color w:val="auto"/>
              </w:rPr>
            </w:pPr>
            <w:r>
              <w:rPr>
                <w:rFonts w:ascii="Arial" w:cs="Arial" w:eastAsia="Arial" w:hAnsi="Arial"/>
                <w:sz w:val="18"/>
                <w:szCs w:val="18"/>
                <w:color w:val="auto"/>
              </w:rPr>
              <w:t>$313,573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Intersegment gross sales</w:t>
            </w:r>
          </w:p>
        </w:tc>
        <w:tc>
          <w:tcPr>
            <w:tcW w:w="130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rPr>
              <w:t>13,934</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831</w:t>
            </w: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256"/>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208"/>
              <w:spacing w:after="0"/>
              <w:rPr>
                <w:sz w:val="20"/>
                <w:szCs w:val="20"/>
                <w:color w:val="auto"/>
              </w:rPr>
            </w:pPr>
            <w:r>
              <w:rPr>
                <w:rFonts w:ascii="Arial" w:cs="Arial" w:eastAsia="Arial" w:hAnsi="Arial"/>
                <w:sz w:val="18"/>
                <w:szCs w:val="18"/>
                <w:color w:val="auto"/>
              </w:rPr>
              <w:t>(14,765)</w:t>
            </w: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2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Earnings (loss) before income taxes</w:t>
            </w:r>
          </w:p>
        </w:tc>
        <w:tc>
          <w:tcPr>
            <w:tcW w:w="1300" w:type="dxa"/>
            <w:vAlign w:val="bottom"/>
          </w:tcPr>
          <w:p>
            <w:pPr>
              <w:jc w:val="right"/>
              <w:ind w:right="332"/>
              <w:spacing w:after="0"/>
              <w:rPr>
                <w:sz w:val="20"/>
                <w:szCs w:val="20"/>
                <w:color w:val="auto"/>
              </w:rPr>
            </w:pPr>
            <w:r>
              <w:rPr>
                <w:rFonts w:ascii="Arial" w:cs="Arial" w:eastAsia="Arial" w:hAnsi="Arial"/>
                <w:sz w:val="18"/>
                <w:szCs w:val="18"/>
                <w:color w:val="auto"/>
              </w:rPr>
              <w:t>28,449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8,337</w:t>
            </w:r>
          </w:p>
        </w:tc>
        <w:tc>
          <w:tcPr>
            <w:tcW w:w="1380" w:type="dxa"/>
            <w:vAlign w:val="bottom"/>
            <w:gridSpan w:val="2"/>
          </w:tcPr>
          <w:p>
            <w:pPr>
              <w:jc w:val="right"/>
              <w:ind w:right="196"/>
              <w:spacing w:after="0"/>
              <w:rPr>
                <w:sz w:val="20"/>
                <w:szCs w:val="20"/>
                <w:color w:val="auto"/>
              </w:rPr>
            </w:pPr>
            <w:r>
              <w:rPr>
                <w:rFonts w:ascii="Arial" w:cs="Arial" w:eastAsia="Arial" w:hAnsi="Arial"/>
                <w:sz w:val="18"/>
                <w:szCs w:val="18"/>
                <w:color w:val="auto"/>
              </w:rPr>
              <w:t>(2,173)</w:t>
            </w:r>
          </w:p>
        </w:tc>
        <w:tc>
          <w:tcPr>
            <w:tcW w:w="1440" w:type="dxa"/>
            <w:vAlign w:val="bottom"/>
            <w:gridSpan w:val="2"/>
          </w:tcPr>
          <w:p>
            <w:pPr>
              <w:jc w:val="right"/>
              <w:ind w:right="208"/>
              <w:spacing w:after="0"/>
              <w:rPr>
                <w:sz w:val="20"/>
                <w:szCs w:val="20"/>
                <w:color w:val="auto"/>
              </w:rPr>
            </w:pPr>
            <w:r>
              <w:rPr>
                <w:rFonts w:ascii="Arial" w:cs="Arial" w:eastAsia="Arial" w:hAnsi="Arial"/>
                <w:sz w:val="18"/>
                <w:szCs w:val="18"/>
                <w:color w:val="auto"/>
              </w:rPr>
              <w:t>(20,591)</w:t>
            </w:r>
          </w:p>
        </w:tc>
        <w:tc>
          <w:tcPr>
            <w:tcW w:w="1340" w:type="dxa"/>
            <w:vAlign w:val="bottom"/>
            <w:gridSpan w:val="2"/>
          </w:tcPr>
          <w:p>
            <w:pPr>
              <w:jc w:val="right"/>
              <w:ind w:right="216"/>
              <w:spacing w:after="0"/>
              <w:rPr>
                <w:sz w:val="20"/>
                <w:szCs w:val="20"/>
                <w:color w:val="auto"/>
              </w:rPr>
            </w:pPr>
            <w:r>
              <w:rPr>
                <w:rFonts w:ascii="Arial" w:cs="Arial" w:eastAsia="Arial" w:hAnsi="Arial"/>
                <w:sz w:val="18"/>
                <w:szCs w:val="18"/>
                <w:color w:val="auto"/>
              </w:rPr>
              <w:t>14,022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Total assets</w:t>
            </w:r>
          </w:p>
        </w:tc>
        <w:tc>
          <w:tcPr>
            <w:tcW w:w="130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rPr>
              <w:t>457,759</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86"/>
              </w:rPr>
              <w:t>203,154</w:t>
            </w:r>
          </w:p>
        </w:tc>
        <w:tc>
          <w:tcPr>
            <w:tcW w:w="1380" w:type="dxa"/>
            <w:vAlign w:val="bottom"/>
            <w:gridSpan w:val="2"/>
            <w:shd w:val="clear" w:color="auto" w:fill="EEEEEE"/>
          </w:tcPr>
          <w:p>
            <w:pPr>
              <w:jc w:val="right"/>
              <w:ind w:right="256"/>
              <w:spacing w:after="0"/>
              <w:rPr>
                <w:sz w:val="20"/>
                <w:szCs w:val="20"/>
                <w:color w:val="auto"/>
              </w:rPr>
            </w:pPr>
            <w:r>
              <w:rPr>
                <w:rFonts w:ascii="Arial" w:cs="Arial" w:eastAsia="Arial" w:hAnsi="Arial"/>
                <w:sz w:val="18"/>
                <w:szCs w:val="18"/>
                <w:color w:val="auto"/>
              </w:rPr>
              <w:t>43,480</w:t>
            </w:r>
          </w:p>
        </w:tc>
        <w:tc>
          <w:tcPr>
            <w:tcW w:w="1440" w:type="dxa"/>
            <w:vAlign w:val="bottom"/>
            <w:gridSpan w:val="2"/>
            <w:shd w:val="clear" w:color="auto" w:fill="EEEEEE"/>
          </w:tcPr>
          <w:p>
            <w:pPr>
              <w:jc w:val="right"/>
              <w:ind w:right="268"/>
              <w:spacing w:after="0"/>
              <w:rPr>
                <w:sz w:val="20"/>
                <w:szCs w:val="20"/>
                <w:color w:val="auto"/>
              </w:rPr>
            </w:pPr>
            <w:r>
              <w:rPr>
                <w:rFonts w:ascii="Arial" w:cs="Arial" w:eastAsia="Arial" w:hAnsi="Arial"/>
                <w:sz w:val="18"/>
                <w:szCs w:val="18"/>
                <w:color w:val="auto"/>
              </w:rPr>
              <w:t>215,768</w:t>
            </w:r>
          </w:p>
        </w:tc>
        <w:tc>
          <w:tcPr>
            <w:tcW w:w="1340" w:type="dxa"/>
            <w:vAlign w:val="bottom"/>
            <w:gridSpan w:val="2"/>
            <w:shd w:val="clear" w:color="auto" w:fill="EEEEEE"/>
          </w:tcPr>
          <w:p>
            <w:pPr>
              <w:jc w:val="right"/>
              <w:ind w:right="216"/>
              <w:spacing w:after="0"/>
              <w:rPr>
                <w:sz w:val="20"/>
                <w:szCs w:val="20"/>
                <w:color w:val="auto"/>
              </w:rPr>
            </w:pPr>
            <w:r>
              <w:rPr>
                <w:rFonts w:ascii="Arial" w:cs="Arial" w:eastAsia="Arial" w:hAnsi="Arial"/>
                <w:sz w:val="18"/>
                <w:szCs w:val="18"/>
                <w:color w:val="auto"/>
              </w:rPr>
              <w:t>920,161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Three months ended January 31, 2003</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130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rPr>
              <w:t>$193,444</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94,665</w:t>
            </w:r>
          </w:p>
        </w:tc>
        <w:tc>
          <w:tcPr>
            <w:tcW w:w="1380" w:type="dxa"/>
            <w:vAlign w:val="bottom"/>
            <w:gridSpan w:val="2"/>
            <w:shd w:val="clear" w:color="auto" w:fill="EEEEEE"/>
          </w:tcPr>
          <w:p>
            <w:pPr>
              <w:jc w:val="right"/>
              <w:ind w:right="256"/>
              <w:spacing w:after="0"/>
              <w:rPr>
                <w:sz w:val="20"/>
                <w:szCs w:val="20"/>
                <w:color w:val="auto"/>
              </w:rPr>
            </w:pPr>
            <w:r>
              <w:rPr>
                <w:rFonts w:ascii="Arial" w:cs="Arial" w:eastAsia="Arial" w:hAnsi="Arial"/>
                <w:sz w:val="18"/>
                <w:szCs w:val="18"/>
                <w:color w:val="auto"/>
              </w:rPr>
              <w:t>$18,600</w:t>
            </w:r>
          </w:p>
        </w:tc>
        <w:tc>
          <w:tcPr>
            <w:tcW w:w="1440" w:type="dxa"/>
            <w:vAlign w:val="bottom"/>
            <w:gridSpan w:val="2"/>
            <w:shd w:val="clear" w:color="auto" w:fill="EEEEEE"/>
          </w:tcPr>
          <w:p>
            <w:pPr>
              <w:jc w:val="right"/>
              <w:ind w:right="208"/>
              <w:spacing w:after="0"/>
              <w:rPr>
                <w:sz w:val="20"/>
                <w:szCs w:val="20"/>
                <w:color w:val="auto"/>
              </w:rPr>
            </w:pPr>
            <w:r>
              <w:rPr>
                <w:rFonts w:ascii="Arial" w:cs="Arial" w:eastAsia="Arial" w:hAnsi="Arial"/>
                <w:sz w:val="18"/>
                <w:szCs w:val="18"/>
                <w:color w:val="auto"/>
              </w:rPr>
              <w:t>$ (10,747)</w:t>
            </w:r>
          </w:p>
        </w:tc>
        <w:tc>
          <w:tcPr>
            <w:tcW w:w="1340" w:type="dxa"/>
            <w:vAlign w:val="bottom"/>
            <w:gridSpan w:val="2"/>
            <w:shd w:val="clear" w:color="auto" w:fill="EEEEEE"/>
          </w:tcPr>
          <w:p>
            <w:pPr>
              <w:jc w:val="right"/>
              <w:ind w:right="216"/>
              <w:spacing w:after="0"/>
              <w:rPr>
                <w:sz w:val="20"/>
                <w:szCs w:val="20"/>
                <w:color w:val="auto"/>
              </w:rPr>
            </w:pPr>
            <w:r>
              <w:rPr>
                <w:rFonts w:ascii="Arial" w:cs="Arial" w:eastAsia="Arial" w:hAnsi="Arial"/>
                <w:sz w:val="18"/>
                <w:szCs w:val="18"/>
                <w:color w:val="auto"/>
              </w:rPr>
              <w:t>$295,962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Intersegment gross sales</w:t>
            </w:r>
          </w:p>
        </w:tc>
        <w:tc>
          <w:tcPr>
            <w:tcW w:w="1300" w:type="dxa"/>
            <w:vAlign w:val="bottom"/>
          </w:tcPr>
          <w:p>
            <w:pPr>
              <w:jc w:val="right"/>
              <w:ind w:right="332"/>
              <w:spacing w:after="0"/>
              <w:rPr>
                <w:sz w:val="20"/>
                <w:szCs w:val="20"/>
                <w:color w:val="auto"/>
              </w:rPr>
            </w:pPr>
            <w:r>
              <w:rPr>
                <w:rFonts w:ascii="Arial" w:cs="Arial" w:eastAsia="Arial" w:hAnsi="Arial"/>
                <w:sz w:val="18"/>
                <w:szCs w:val="18"/>
                <w:color w:val="auto"/>
              </w:rPr>
              <w:t>12,044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843</w:t>
            </w:r>
          </w:p>
        </w:tc>
        <w:tc>
          <w:tcPr>
            <w:tcW w:w="220" w:type="dxa"/>
            <w:vAlign w:val="bottom"/>
          </w:tcPr>
          <w:p>
            <w:pPr>
              <w:spacing w:after="0"/>
              <w:rPr>
                <w:sz w:val="18"/>
                <w:szCs w:val="18"/>
                <w:color w:val="auto"/>
              </w:rPr>
            </w:pPr>
          </w:p>
        </w:tc>
        <w:tc>
          <w:tcPr>
            <w:tcW w:w="116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8"/>
              <w:spacing w:after="0"/>
              <w:rPr>
                <w:sz w:val="20"/>
                <w:szCs w:val="20"/>
                <w:color w:val="auto"/>
              </w:rPr>
            </w:pPr>
            <w:r>
              <w:rPr>
                <w:rFonts w:ascii="Arial" w:cs="Arial" w:eastAsia="Arial" w:hAnsi="Arial"/>
                <w:sz w:val="18"/>
                <w:szCs w:val="18"/>
                <w:color w:val="auto"/>
              </w:rPr>
              <w:t>(12,887)</w:t>
            </w:r>
          </w:p>
        </w:tc>
        <w:tc>
          <w:tcPr>
            <w:tcW w:w="220" w:type="dxa"/>
            <w:vAlign w:val="bottom"/>
          </w:tcPr>
          <w:p>
            <w:pPr>
              <w:spacing w:after="0"/>
              <w:rPr>
                <w:sz w:val="18"/>
                <w:szCs w:val="18"/>
                <w:color w:val="auto"/>
              </w:rPr>
            </w:pPr>
          </w:p>
        </w:tc>
        <w:tc>
          <w:tcPr>
            <w:tcW w:w="112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Earnings (loss) before income taxes</w:t>
            </w:r>
          </w:p>
        </w:tc>
        <w:tc>
          <w:tcPr>
            <w:tcW w:w="130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rPr>
              <w:t>27,756</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8,661</w:t>
            </w:r>
          </w:p>
        </w:tc>
        <w:tc>
          <w:tcPr>
            <w:tcW w:w="1380" w:type="dxa"/>
            <w:vAlign w:val="bottom"/>
            <w:gridSpan w:val="2"/>
            <w:shd w:val="clear" w:color="auto" w:fill="EEEEEE"/>
          </w:tcPr>
          <w:p>
            <w:pPr>
              <w:jc w:val="right"/>
              <w:ind w:right="196"/>
              <w:spacing w:after="0"/>
              <w:rPr>
                <w:sz w:val="20"/>
                <w:szCs w:val="20"/>
                <w:color w:val="auto"/>
              </w:rPr>
            </w:pPr>
            <w:r>
              <w:rPr>
                <w:rFonts w:ascii="Arial" w:cs="Arial" w:eastAsia="Arial" w:hAnsi="Arial"/>
                <w:sz w:val="18"/>
                <w:szCs w:val="18"/>
                <w:color w:val="auto"/>
              </w:rPr>
              <w:t>(3,358)</w:t>
            </w:r>
          </w:p>
        </w:tc>
        <w:tc>
          <w:tcPr>
            <w:tcW w:w="1440" w:type="dxa"/>
            <w:vAlign w:val="bottom"/>
            <w:gridSpan w:val="2"/>
            <w:shd w:val="clear" w:color="auto" w:fill="EEEEEE"/>
          </w:tcPr>
          <w:p>
            <w:pPr>
              <w:jc w:val="right"/>
              <w:ind w:right="208"/>
              <w:spacing w:after="0"/>
              <w:rPr>
                <w:sz w:val="20"/>
                <w:szCs w:val="20"/>
                <w:color w:val="auto"/>
              </w:rPr>
            </w:pPr>
            <w:r>
              <w:rPr>
                <w:rFonts w:ascii="Arial" w:cs="Arial" w:eastAsia="Arial" w:hAnsi="Arial"/>
                <w:sz w:val="18"/>
                <w:szCs w:val="18"/>
                <w:color w:val="auto"/>
              </w:rPr>
              <w:t>(22,639)</w:t>
            </w:r>
          </w:p>
        </w:tc>
        <w:tc>
          <w:tcPr>
            <w:tcW w:w="1340" w:type="dxa"/>
            <w:vAlign w:val="bottom"/>
            <w:gridSpan w:val="2"/>
            <w:shd w:val="clear" w:color="auto" w:fill="EEEEEE"/>
          </w:tcPr>
          <w:p>
            <w:pPr>
              <w:jc w:val="right"/>
              <w:ind w:right="216"/>
              <w:spacing w:after="0"/>
              <w:rPr>
                <w:sz w:val="20"/>
                <w:szCs w:val="20"/>
                <w:color w:val="auto"/>
              </w:rPr>
            </w:pPr>
            <w:r>
              <w:rPr>
                <w:rFonts w:ascii="Arial" w:cs="Arial" w:eastAsia="Arial" w:hAnsi="Arial"/>
                <w:sz w:val="18"/>
                <w:szCs w:val="18"/>
                <w:color w:val="auto"/>
              </w:rPr>
              <w:t>10,420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Total assets</w:t>
            </w:r>
          </w:p>
        </w:tc>
        <w:tc>
          <w:tcPr>
            <w:tcW w:w="1300" w:type="dxa"/>
            <w:vAlign w:val="bottom"/>
          </w:tcPr>
          <w:p>
            <w:pPr>
              <w:jc w:val="right"/>
              <w:ind w:right="332"/>
              <w:spacing w:after="0"/>
              <w:rPr>
                <w:sz w:val="20"/>
                <w:szCs w:val="20"/>
                <w:color w:val="auto"/>
              </w:rPr>
            </w:pPr>
            <w:r>
              <w:rPr>
                <w:rFonts w:ascii="Arial" w:cs="Arial" w:eastAsia="Arial" w:hAnsi="Arial"/>
                <w:sz w:val="18"/>
                <w:szCs w:val="18"/>
                <w:color w:val="auto"/>
              </w:rPr>
              <w:t>449,869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w w:val="86"/>
              </w:rPr>
              <w:t>193,068</w:t>
            </w:r>
          </w:p>
        </w:tc>
        <w:tc>
          <w:tcPr>
            <w:tcW w:w="1380" w:type="dxa"/>
            <w:vAlign w:val="bottom"/>
            <w:gridSpan w:val="2"/>
          </w:tcPr>
          <w:p>
            <w:pPr>
              <w:jc w:val="right"/>
              <w:ind w:right="256"/>
              <w:spacing w:after="0"/>
              <w:rPr>
                <w:sz w:val="20"/>
                <w:szCs w:val="20"/>
                <w:color w:val="auto"/>
              </w:rPr>
            </w:pPr>
            <w:r>
              <w:rPr>
                <w:rFonts w:ascii="Arial" w:cs="Arial" w:eastAsia="Arial" w:hAnsi="Arial"/>
                <w:sz w:val="18"/>
                <w:szCs w:val="18"/>
                <w:color w:val="auto"/>
              </w:rPr>
              <w:t>36,158</w:t>
            </w: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209,006</w:t>
            </w:r>
          </w:p>
        </w:tc>
        <w:tc>
          <w:tcPr>
            <w:tcW w:w="1340" w:type="dxa"/>
            <w:vAlign w:val="bottom"/>
            <w:gridSpan w:val="2"/>
          </w:tcPr>
          <w:p>
            <w:pPr>
              <w:jc w:val="right"/>
              <w:ind w:right="216"/>
              <w:spacing w:after="0"/>
              <w:rPr>
                <w:sz w:val="20"/>
                <w:szCs w:val="20"/>
                <w:color w:val="auto"/>
              </w:rPr>
            </w:pPr>
            <w:r>
              <w:rPr>
                <w:rFonts w:ascii="Arial" w:cs="Arial" w:eastAsia="Arial" w:hAnsi="Arial"/>
                <w:sz w:val="18"/>
                <w:szCs w:val="18"/>
                <w:color w:val="auto"/>
              </w:rPr>
              <w:t>888,101</w:t>
            </w: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details of the Other segment earnings (loss) before income taxes:</w:t>
      </w:r>
    </w:p>
    <w:p>
      <w:pPr>
        <w:spacing w:after="0" w:line="392"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6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76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150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January 30,</w:t>
            </w:r>
          </w:p>
        </w:tc>
        <w:tc>
          <w:tcPr>
            <w:tcW w:w="480" w:type="dxa"/>
            <w:vAlign w:val="bottom"/>
          </w:tcPr>
          <w:p>
            <w:pPr>
              <w:spacing w:after="0"/>
              <w:rPr>
                <w:sz w:val="17"/>
                <w:szCs w:val="17"/>
                <w:color w:val="auto"/>
              </w:rPr>
            </w:pPr>
          </w:p>
        </w:tc>
        <w:tc>
          <w:tcPr>
            <w:tcW w:w="15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200"/>
        </w:trPr>
        <w:tc>
          <w:tcPr>
            <w:tcW w:w="678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0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7"/>
                <w:szCs w:val="17"/>
                <w:color w:val="auto"/>
              </w:rPr>
            </w:pPr>
          </w:p>
        </w:tc>
        <w:tc>
          <w:tcPr>
            <w:tcW w:w="15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760" w:type="dxa"/>
            <w:vAlign w:val="bottom"/>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EEEEEE"/>
          </w:tcPr>
          <w:p>
            <w:pPr>
              <w:spacing w:after="0"/>
              <w:rPr>
                <w:sz w:val="20"/>
                <w:szCs w:val="20"/>
                <w:color w:val="auto"/>
              </w:rPr>
            </w:pPr>
            <w:r>
              <w:rPr>
                <w:rFonts w:ascii="Arial" w:cs="Arial" w:eastAsia="Arial" w:hAnsi="Arial"/>
                <w:sz w:val="18"/>
                <w:szCs w:val="18"/>
                <w:color w:val="auto"/>
              </w:rPr>
              <w:t>Corporate expenses</w:t>
            </w:r>
          </w:p>
        </w:tc>
        <w:tc>
          <w:tcPr>
            <w:tcW w:w="1500" w:type="dxa"/>
            <w:vAlign w:val="bottom"/>
            <w:gridSpan w:val="3"/>
            <w:shd w:val="clear" w:color="auto" w:fill="EEEEEE"/>
          </w:tcPr>
          <w:p>
            <w:pPr>
              <w:jc w:val="right"/>
              <w:ind w:right="348"/>
              <w:spacing w:after="0"/>
              <w:rPr>
                <w:sz w:val="20"/>
                <w:szCs w:val="20"/>
                <w:color w:val="auto"/>
              </w:rPr>
            </w:pPr>
            <w:r>
              <w:rPr>
                <w:rFonts w:ascii="Arial" w:cs="Arial" w:eastAsia="Arial" w:hAnsi="Arial"/>
                <w:sz w:val="18"/>
                <w:szCs w:val="18"/>
                <w:color w:val="auto"/>
              </w:rPr>
              <w:t>$(20,477)</w:t>
            </w:r>
          </w:p>
        </w:tc>
        <w:tc>
          <w:tcPr>
            <w:tcW w:w="2000" w:type="dxa"/>
            <w:vAlign w:val="bottom"/>
            <w:gridSpan w:val="4"/>
            <w:shd w:val="clear" w:color="auto" w:fill="EEEEEE"/>
          </w:tcPr>
          <w:p>
            <w:pPr>
              <w:jc w:val="right"/>
              <w:ind w:right="420"/>
              <w:spacing w:after="0"/>
              <w:rPr>
                <w:sz w:val="20"/>
                <w:szCs w:val="20"/>
                <w:color w:val="auto"/>
              </w:rPr>
            </w:pPr>
            <w:r>
              <w:rPr>
                <w:rFonts w:ascii="Arial" w:cs="Arial" w:eastAsia="Arial" w:hAnsi="Arial"/>
                <w:sz w:val="18"/>
                <w:szCs w:val="18"/>
                <w:color w:val="auto"/>
              </w:rPr>
              <w:t>$(24,244)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Finance charge revenue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464</w:t>
            </w:r>
          </w:p>
        </w:tc>
        <w:tc>
          <w:tcPr>
            <w:tcW w:w="46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848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EEEEEE"/>
          </w:tcPr>
          <w:p>
            <w:pPr>
              <w:spacing w:after="0"/>
              <w:rPr>
                <w:sz w:val="20"/>
                <w:szCs w:val="20"/>
                <w:color w:val="auto"/>
              </w:rPr>
            </w:pPr>
            <w:r>
              <w:rPr>
                <w:rFonts w:ascii="Arial" w:cs="Arial" w:eastAsia="Arial" w:hAnsi="Arial"/>
                <w:sz w:val="18"/>
                <w:szCs w:val="18"/>
                <w:color w:val="auto"/>
              </w:rPr>
              <w:t>Elimination of corporate financing expense</w:t>
            </w:r>
          </w:p>
        </w:tc>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2,529</w:t>
            </w:r>
          </w:p>
        </w:tc>
        <w:tc>
          <w:tcPr>
            <w:tcW w:w="46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2,332</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Interest expense, net</w:t>
            </w:r>
          </w:p>
        </w:tc>
        <w:tc>
          <w:tcPr>
            <w:tcW w:w="1500" w:type="dxa"/>
            <w:vAlign w:val="bottom"/>
            <w:gridSpan w:val="3"/>
          </w:tcPr>
          <w:p>
            <w:pPr>
              <w:jc w:val="right"/>
              <w:ind w:right="348"/>
              <w:spacing w:after="0"/>
              <w:rPr>
                <w:sz w:val="20"/>
                <w:szCs w:val="20"/>
                <w:color w:val="auto"/>
              </w:rPr>
            </w:pPr>
            <w:r>
              <w:rPr>
                <w:rFonts w:ascii="Arial" w:cs="Arial" w:eastAsia="Arial" w:hAnsi="Arial"/>
                <w:sz w:val="18"/>
                <w:szCs w:val="18"/>
                <w:color w:val="auto"/>
              </w:rPr>
              <w:t>(3,882)</w:t>
            </w:r>
          </w:p>
        </w:tc>
        <w:tc>
          <w:tcPr>
            <w:tcW w:w="2000" w:type="dxa"/>
            <w:vAlign w:val="bottom"/>
            <w:gridSpan w:val="4"/>
          </w:tcPr>
          <w:p>
            <w:pPr>
              <w:jc w:val="right"/>
              <w:ind w:right="420"/>
              <w:spacing w:after="0"/>
              <w:rPr>
                <w:sz w:val="20"/>
                <w:szCs w:val="20"/>
                <w:color w:val="auto"/>
              </w:rPr>
            </w:pPr>
            <w:r>
              <w:rPr>
                <w:rFonts w:ascii="Arial" w:cs="Arial" w:eastAsia="Arial" w:hAnsi="Arial"/>
                <w:sz w:val="18"/>
                <w:szCs w:val="18"/>
                <w:color w:val="auto"/>
              </w:rPr>
              <w:t>(4,092)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EEEEEE"/>
          </w:tcPr>
          <w:p>
            <w:pPr>
              <w:spacing w:after="0"/>
              <w:rPr>
                <w:sz w:val="20"/>
                <w:szCs w:val="20"/>
                <w:color w:val="auto"/>
              </w:rPr>
            </w:pPr>
            <w:r>
              <w:rPr>
                <w:rFonts w:ascii="Arial" w:cs="Arial" w:eastAsia="Arial" w:hAnsi="Arial"/>
                <w:sz w:val="18"/>
                <w:szCs w:val="18"/>
                <w:color w:val="auto"/>
              </w:rPr>
              <w:t>Other income</w:t>
            </w:r>
          </w:p>
        </w:tc>
        <w:tc>
          <w:tcPr>
            <w:tcW w:w="460" w:type="dxa"/>
            <w:vAlign w:val="bottom"/>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775</w:t>
            </w:r>
          </w:p>
        </w:tc>
        <w:tc>
          <w:tcPr>
            <w:tcW w:w="46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2"/>
            <w:shd w:val="clear" w:color="auto" w:fill="EEEEEE"/>
          </w:tcPr>
          <w:p>
            <w:pPr>
              <w:spacing w:after="0"/>
              <w:rPr>
                <w:sz w:val="18"/>
                <w:szCs w:val="18"/>
                <w:color w:val="auto"/>
              </w:rPr>
            </w:pPr>
          </w:p>
        </w:tc>
        <w:tc>
          <w:tcPr>
            <w:tcW w:w="5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2,517</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00" w:type="dxa"/>
            <w:vAlign w:val="bottom"/>
            <w:gridSpan w:val="3"/>
          </w:tcPr>
          <w:p>
            <w:pPr>
              <w:jc w:val="right"/>
              <w:ind w:right="348"/>
              <w:spacing w:after="0"/>
              <w:rPr>
                <w:sz w:val="20"/>
                <w:szCs w:val="20"/>
                <w:color w:val="auto"/>
              </w:rPr>
            </w:pPr>
            <w:r>
              <w:rPr>
                <w:rFonts w:ascii="Arial" w:cs="Arial" w:eastAsia="Arial" w:hAnsi="Arial"/>
                <w:sz w:val="18"/>
                <w:szCs w:val="18"/>
                <w:color w:val="auto"/>
              </w:rPr>
              <w:t>$(20,591)</w:t>
            </w:r>
          </w:p>
        </w:tc>
        <w:tc>
          <w:tcPr>
            <w:tcW w:w="2000" w:type="dxa"/>
            <w:vAlign w:val="bottom"/>
            <w:gridSpan w:val="4"/>
          </w:tcPr>
          <w:p>
            <w:pPr>
              <w:jc w:val="right"/>
              <w:ind w:right="420"/>
              <w:spacing w:after="0"/>
              <w:rPr>
                <w:sz w:val="20"/>
                <w:szCs w:val="20"/>
                <w:color w:val="auto"/>
              </w:rPr>
            </w:pPr>
            <w:r>
              <w:rPr>
                <w:rFonts w:ascii="Arial" w:cs="Arial" w:eastAsia="Arial" w:hAnsi="Arial"/>
                <w:sz w:val="18"/>
                <w:szCs w:val="18"/>
                <w:color w:val="auto"/>
              </w:rPr>
              <w:t>$(22,639)</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net carrying amount of goodwill for the first quarter of fiscal 2004 were as follows: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Professional</w:t>
            </w:r>
          </w:p>
        </w:tc>
        <w:tc>
          <w:tcPr>
            <w:tcW w:w="440" w:type="dxa"/>
            <w:vAlign w:val="bottom"/>
          </w:tcPr>
          <w:p>
            <w:pPr>
              <w:spacing w:after="0"/>
              <w:rPr>
                <w:sz w:val="14"/>
                <w:szCs w:val="14"/>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Residential</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260" w:type="dxa"/>
            <w:vAlign w:val="bottom"/>
            <w:gridSpan w:val="2"/>
          </w:tcPr>
          <w:p>
            <w:pPr>
              <w:ind w:left="580"/>
              <w:spacing w:after="0"/>
              <w:rPr>
                <w:sz w:val="20"/>
                <w:szCs w:val="20"/>
                <w:color w:val="auto"/>
              </w:rPr>
            </w:pPr>
            <w:r>
              <w:rPr>
                <w:rFonts w:ascii="Arial" w:cs="Arial" w:eastAsia="Arial" w:hAnsi="Arial"/>
                <w:sz w:val="14"/>
                <w:szCs w:val="14"/>
                <w:b w:val="1"/>
                <w:bCs w:val="1"/>
                <w:color w:val="auto"/>
              </w:rPr>
              <w:t>(Dollars in thousands)</w:t>
            </w:r>
          </w:p>
        </w:tc>
        <w:tc>
          <w:tcPr>
            <w:tcW w:w="1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Segment</w:t>
            </w:r>
          </w:p>
        </w:tc>
        <w:tc>
          <w:tcPr>
            <w:tcW w:w="440" w:type="dxa"/>
            <w:vAlign w:val="bottom"/>
          </w:tcPr>
          <w:p>
            <w:pPr>
              <w:spacing w:after="0"/>
              <w:rPr>
                <w:sz w:val="17"/>
                <w:szCs w:val="17"/>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3"/>
          </w:tcPr>
          <w:p>
            <w:pPr>
              <w:ind w:left="140"/>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5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580" w:type="dxa"/>
            <w:vAlign w:val="bottom"/>
            <w:vMerge w:val="restart"/>
          </w:tcPr>
          <w:p>
            <w:pPr>
              <w:spacing w:after="0"/>
              <w:rPr>
                <w:sz w:val="6"/>
                <w:szCs w:val="6"/>
                <w:color w:val="auto"/>
              </w:rPr>
            </w:pPr>
          </w:p>
        </w:tc>
        <w:tc>
          <w:tcPr>
            <w:tcW w:w="36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680" w:type="dxa"/>
            <w:vAlign w:val="bottom"/>
            <w:shd w:val="clear" w:color="auto" w:fill="EEEEEE"/>
          </w:tcPr>
          <w:p>
            <w:pPr>
              <w:spacing w:after="0"/>
              <w:rPr>
                <w:sz w:val="20"/>
                <w:szCs w:val="20"/>
                <w:color w:val="auto"/>
              </w:rPr>
            </w:pPr>
            <w:r>
              <w:rPr>
                <w:rFonts w:ascii="Arial" w:cs="Arial" w:eastAsia="Arial" w:hAnsi="Arial"/>
                <w:sz w:val="18"/>
                <w:szCs w:val="18"/>
                <w:color w:val="auto"/>
              </w:rPr>
              <w:t>Balance as of October 31, 2003</w:t>
            </w:r>
          </w:p>
        </w:tc>
        <w:tc>
          <w:tcPr>
            <w:tcW w:w="2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$68,985</w:t>
            </w:r>
          </w:p>
        </w:tc>
        <w:tc>
          <w:tcPr>
            <w:tcW w:w="50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$9,028</w:t>
            </w:r>
          </w:p>
        </w:tc>
        <w:tc>
          <w:tcPr>
            <w:tcW w:w="40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$78,013</w:t>
            </w: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Translation adjustment</w:t>
            </w:r>
          </w:p>
        </w:tc>
        <w:tc>
          <w:tcPr>
            <w:tcW w:w="278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50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0" w:type="dxa"/>
            <w:vAlign w:val="bottom"/>
            <w:vMerge w:val="restart"/>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580" w:type="dxa"/>
            <w:vAlign w:val="bottom"/>
            <w:vMerge w:val="continue"/>
          </w:tcPr>
          <w:p>
            <w:pPr>
              <w:spacing w:after="0"/>
              <w:rPr>
                <w:sz w:val="22"/>
                <w:szCs w:val="22"/>
                <w:color w:val="auto"/>
              </w:rPr>
            </w:pPr>
          </w:p>
        </w:tc>
        <w:tc>
          <w:tcPr>
            <w:tcW w:w="3680" w:type="dxa"/>
            <w:vAlign w:val="bottom"/>
            <w:shd w:val="clear" w:color="auto" w:fill="EEEEEE"/>
          </w:tcPr>
          <w:p>
            <w:pPr>
              <w:spacing w:after="0"/>
              <w:rPr>
                <w:sz w:val="20"/>
                <w:szCs w:val="20"/>
                <w:color w:val="auto"/>
              </w:rPr>
            </w:pPr>
            <w:r>
              <w:rPr>
                <w:rFonts w:ascii="Arial" w:cs="Arial" w:eastAsia="Arial" w:hAnsi="Arial"/>
                <w:sz w:val="18"/>
                <w:szCs w:val="18"/>
                <w:color w:val="auto"/>
              </w:rPr>
              <w:t>Balance as of January 30, 2004</w:t>
            </w:r>
          </w:p>
        </w:tc>
        <w:tc>
          <w:tcPr>
            <w:tcW w:w="2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$69,003</w:t>
            </w:r>
          </w:p>
        </w:tc>
        <w:tc>
          <w:tcPr>
            <w:tcW w:w="500" w:type="dxa"/>
            <w:vAlign w:val="bottom"/>
            <w:shd w:val="clear" w:color="auto" w:fill="EEEEEE"/>
          </w:tcPr>
          <w:p>
            <w:pPr>
              <w:spacing w:after="0"/>
              <w:rPr>
                <w:sz w:val="22"/>
                <w:szCs w:val="22"/>
                <w:color w:val="auto"/>
              </w:rPr>
            </w:pPr>
          </w:p>
        </w:tc>
        <w:tc>
          <w:tcPr>
            <w:tcW w:w="11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$9,078</w:t>
            </w:r>
          </w:p>
        </w:tc>
        <w:tc>
          <w:tcPr>
            <w:tcW w:w="400" w:type="dxa"/>
            <w:vAlign w:val="bottom"/>
            <w:shd w:val="clear" w:color="auto" w:fill="EEEEEE"/>
          </w:tcPr>
          <w:p>
            <w:pPr>
              <w:spacing w:after="0"/>
              <w:rPr>
                <w:sz w:val="22"/>
                <w:szCs w:val="22"/>
                <w:color w:val="auto"/>
              </w:rPr>
            </w:pP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$78,081</w:t>
            </w:r>
          </w:p>
        </w:tc>
        <w:tc>
          <w:tcPr>
            <w:tcW w:w="20" w:type="dxa"/>
            <w:vAlign w:val="bottom"/>
            <w:shd w:val="clear" w:color="auto" w:fill="EEEEEE"/>
          </w:tcPr>
          <w:p>
            <w:pPr>
              <w:spacing w:after="0"/>
              <w:rPr>
                <w:sz w:val="22"/>
                <w:szCs w:val="22"/>
                <w:color w:val="auto"/>
              </w:rPr>
            </w:pPr>
          </w:p>
        </w:tc>
        <w:tc>
          <w:tcPr>
            <w:tcW w:w="440" w:type="dxa"/>
            <w:vAlign w:val="bottom"/>
            <w:shd w:val="clear" w:color="auto" w:fill="EEEEEE"/>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580" w:type="dxa"/>
            <w:vAlign w:val="bottom"/>
          </w:tcPr>
          <w:p>
            <w:pPr>
              <w:spacing w:after="0"/>
              <w:rPr>
                <w:sz w:val="24"/>
                <w:szCs w:val="24"/>
                <w:color w:val="auto"/>
              </w:rPr>
            </w:pPr>
          </w:p>
        </w:tc>
        <w:tc>
          <w:tcPr>
            <w:tcW w:w="3680" w:type="dxa"/>
            <w:vAlign w:val="bottom"/>
            <w:tcBorders>
              <w:top w:val="single" w:sz="8" w:color="EEEEEE"/>
            </w:tcBorders>
          </w:tcPr>
          <w:p>
            <w:pPr>
              <w:spacing w:after="0"/>
              <w:rPr>
                <w:sz w:val="24"/>
                <w:szCs w:val="24"/>
                <w:color w:val="auto"/>
              </w:rPr>
            </w:pPr>
          </w:p>
        </w:tc>
        <w:tc>
          <w:tcPr>
            <w:tcW w:w="1900" w:type="dxa"/>
            <w:vAlign w:val="bottom"/>
            <w:tcBorders>
              <w:top w:val="single" w:sz="8" w:color="EEEEEE"/>
            </w:tcBorders>
          </w:tcPr>
          <w:p>
            <w:pPr>
              <w:jc w:val="right"/>
              <w:ind w:right="310"/>
              <w:spacing w:after="0"/>
              <w:rPr>
                <w:sz w:val="20"/>
                <w:szCs w:val="20"/>
                <w:color w:val="auto"/>
              </w:rPr>
            </w:pPr>
            <w:r>
              <w:rPr>
                <w:rFonts w:ascii="Arial" w:cs="Arial" w:eastAsia="Arial" w:hAnsi="Arial"/>
                <w:sz w:val="18"/>
                <w:szCs w:val="18"/>
                <w:color w:val="auto"/>
              </w:rPr>
              <w:t>9</w:t>
            </w:r>
          </w:p>
        </w:tc>
        <w:tc>
          <w:tcPr>
            <w:tcW w:w="380" w:type="dxa"/>
            <w:vAlign w:val="bottom"/>
            <w:tcBorders>
              <w:top w:val="single" w:sz="8" w:color="EEEEEE"/>
            </w:tcBorders>
          </w:tcPr>
          <w:p>
            <w:pPr>
              <w:spacing w:after="0"/>
              <w:rPr>
                <w:sz w:val="24"/>
                <w:szCs w:val="24"/>
                <w:color w:val="auto"/>
              </w:rPr>
            </w:pPr>
          </w:p>
        </w:tc>
        <w:tc>
          <w:tcPr>
            <w:tcW w:w="500" w:type="dxa"/>
            <w:vAlign w:val="bottom"/>
            <w:tcBorders>
              <w:top w:val="single" w:sz="8" w:color="808080"/>
            </w:tcBorders>
          </w:tcPr>
          <w:p>
            <w:pPr>
              <w:spacing w:after="0"/>
              <w:rPr>
                <w:sz w:val="24"/>
                <w:szCs w:val="24"/>
                <w:color w:val="auto"/>
              </w:rPr>
            </w:pPr>
          </w:p>
        </w:tc>
        <w:tc>
          <w:tcPr>
            <w:tcW w:w="500" w:type="dxa"/>
            <w:vAlign w:val="bottom"/>
            <w:tcBorders>
              <w:top w:val="single" w:sz="8" w:color="EEEEEE"/>
            </w:tcBorders>
          </w:tcPr>
          <w:p>
            <w:pPr>
              <w:spacing w:after="0"/>
              <w:rPr>
                <w:sz w:val="24"/>
                <w:szCs w:val="24"/>
                <w:color w:val="auto"/>
              </w:rPr>
            </w:pPr>
          </w:p>
        </w:tc>
        <w:tc>
          <w:tcPr>
            <w:tcW w:w="440" w:type="dxa"/>
            <w:vAlign w:val="bottom"/>
            <w:tcBorders>
              <w:top w:val="single" w:sz="8" w:color="EEEEEE"/>
            </w:tcBorders>
          </w:tcPr>
          <w:p>
            <w:pPr>
              <w:spacing w:after="0"/>
              <w:rPr>
                <w:sz w:val="24"/>
                <w:szCs w:val="24"/>
                <w:color w:val="auto"/>
              </w:rPr>
            </w:pPr>
          </w:p>
        </w:tc>
        <w:tc>
          <w:tcPr>
            <w:tcW w:w="300" w:type="dxa"/>
            <w:vAlign w:val="bottom"/>
            <w:tcBorders>
              <w:top w:val="single" w:sz="8" w:color="EEEEEE"/>
            </w:tcBorders>
          </w:tcPr>
          <w:p>
            <w:pPr>
              <w:spacing w:after="0"/>
              <w:rPr>
                <w:sz w:val="24"/>
                <w:szCs w:val="24"/>
                <w:color w:val="auto"/>
              </w:rPr>
            </w:pPr>
          </w:p>
        </w:tc>
        <w:tc>
          <w:tcPr>
            <w:tcW w:w="420" w:type="dxa"/>
            <w:vAlign w:val="bottom"/>
            <w:tcBorders>
              <w:top w:val="single" w:sz="8" w:color="808080"/>
            </w:tcBorders>
          </w:tcPr>
          <w:p>
            <w:pPr>
              <w:spacing w:after="0"/>
              <w:rPr>
                <w:sz w:val="24"/>
                <w:szCs w:val="24"/>
                <w:color w:val="auto"/>
              </w:rPr>
            </w:pPr>
          </w:p>
        </w:tc>
        <w:tc>
          <w:tcPr>
            <w:tcW w:w="400" w:type="dxa"/>
            <w:vAlign w:val="bottom"/>
            <w:tcBorders>
              <w:top w:val="single" w:sz="8" w:color="EEEEEE"/>
            </w:tcBorders>
          </w:tcPr>
          <w:p>
            <w:pPr>
              <w:spacing w:after="0"/>
              <w:rPr>
                <w:sz w:val="24"/>
                <w:szCs w:val="24"/>
                <w:color w:val="auto"/>
              </w:rPr>
            </w:pPr>
          </w:p>
        </w:tc>
        <w:tc>
          <w:tcPr>
            <w:tcW w:w="440" w:type="dxa"/>
            <w:vAlign w:val="bottom"/>
            <w:tcBorders>
              <w:top w:val="single" w:sz="8" w:color="EEEEEE"/>
            </w:tcBorders>
          </w:tcPr>
          <w:p>
            <w:pPr>
              <w:spacing w:after="0"/>
              <w:rPr>
                <w:sz w:val="24"/>
                <w:szCs w:val="24"/>
                <w:color w:val="auto"/>
              </w:rPr>
            </w:pPr>
          </w:p>
        </w:tc>
        <w:tc>
          <w:tcPr>
            <w:tcW w:w="360" w:type="dxa"/>
            <w:vAlign w:val="bottom"/>
            <w:tcBorders>
              <w:top w:val="single" w:sz="8" w:color="EEEEEE"/>
            </w:tcBorders>
          </w:tcPr>
          <w:p>
            <w:pPr>
              <w:spacing w:after="0"/>
              <w:rPr>
                <w:sz w:val="24"/>
                <w:szCs w:val="24"/>
                <w:color w:val="auto"/>
              </w:rPr>
            </w:pPr>
          </w:p>
        </w:tc>
        <w:tc>
          <w:tcPr>
            <w:tcW w:w="500" w:type="dxa"/>
            <w:vAlign w:val="bottom"/>
            <w:tcBorders>
              <w:top w:val="single" w:sz="8" w:color="808080"/>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440" w:type="dxa"/>
            <w:vAlign w:val="bottom"/>
            <w:tcBorders>
              <w:top w:val="single" w:sz="8" w:color="EEEEEE"/>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8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amortizable intangible assets were as follows:</w:t>
      </w:r>
    </w:p>
    <w:p>
      <w:pPr>
        <w:spacing w:after="0" w:line="392"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w w:val="96"/>
              </w:rPr>
              <w:t>January 30, 2004</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w w:val="94"/>
              </w:rPr>
              <w:t>October 31, 2003</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90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Gross Carrying</w:t>
            </w:r>
          </w:p>
        </w:tc>
        <w:tc>
          <w:tcPr>
            <w:tcW w:w="200" w:type="dxa"/>
            <w:vAlign w:val="bottom"/>
          </w:tcPr>
          <w:p>
            <w:pPr>
              <w:spacing w:after="0"/>
              <w:rPr>
                <w:sz w:val="17"/>
                <w:szCs w:val="17"/>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7"/>
                <w:szCs w:val="17"/>
                <w:color w:val="auto"/>
              </w:rPr>
            </w:pPr>
          </w:p>
        </w:tc>
        <w:tc>
          <w:tcPr>
            <w:tcW w:w="1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7"/>
                <w:szCs w:val="17"/>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200"/>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7"/>
                <w:szCs w:val="17"/>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7"/>
                <w:szCs w:val="17"/>
                <w:color w:val="auto"/>
              </w:rPr>
            </w:pPr>
          </w:p>
        </w:tc>
        <w:tc>
          <w:tcPr>
            <w:tcW w:w="1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7"/>
                <w:szCs w:val="17"/>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900" w:type="dxa"/>
            <w:vAlign w:val="bottom"/>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9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Patents</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$6,553</w:t>
            </w:r>
          </w:p>
        </w:tc>
        <w:tc>
          <w:tcPr>
            <w:tcW w:w="400" w:type="dxa"/>
            <w:vAlign w:val="bottom"/>
            <w:shd w:val="clear" w:color="auto" w:fill="EEEEEE"/>
          </w:tcPr>
          <w:p>
            <w:pPr>
              <w:spacing w:after="0"/>
              <w:rPr>
                <w:sz w:val="18"/>
                <w:szCs w:val="18"/>
                <w:color w:val="auto"/>
              </w:rPr>
            </w:pPr>
          </w:p>
        </w:tc>
        <w:tc>
          <w:tcPr>
            <w:tcW w:w="1580" w:type="dxa"/>
            <w:vAlign w:val="bottom"/>
            <w:gridSpan w:val="4"/>
            <w:shd w:val="clear" w:color="auto" w:fill="EEEEEE"/>
          </w:tcPr>
          <w:p>
            <w:pPr>
              <w:jc w:val="right"/>
              <w:ind w:right="400"/>
              <w:spacing w:after="0"/>
              <w:rPr>
                <w:sz w:val="20"/>
                <w:szCs w:val="20"/>
                <w:color w:val="auto"/>
              </w:rPr>
            </w:pPr>
            <w:r>
              <w:rPr>
                <w:rFonts w:ascii="Arial" w:cs="Arial" w:eastAsia="Arial" w:hAnsi="Arial"/>
                <w:sz w:val="18"/>
                <w:szCs w:val="18"/>
                <w:color w:val="auto"/>
              </w:rPr>
              <w:t>$(5,017)</w:t>
            </w:r>
          </w:p>
        </w:tc>
        <w:tc>
          <w:tcPr>
            <w:tcW w:w="10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$6,553</w:t>
            </w:r>
          </w:p>
        </w:tc>
        <w:tc>
          <w:tcPr>
            <w:tcW w:w="380" w:type="dxa"/>
            <w:vAlign w:val="bottom"/>
            <w:shd w:val="clear" w:color="auto" w:fill="EEEEEE"/>
          </w:tcPr>
          <w:p>
            <w:pPr>
              <w:spacing w:after="0"/>
              <w:rPr>
                <w:sz w:val="18"/>
                <w:szCs w:val="18"/>
                <w:color w:val="auto"/>
              </w:rPr>
            </w:pPr>
          </w:p>
        </w:tc>
        <w:tc>
          <w:tcPr>
            <w:tcW w:w="158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$(4,931)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Non-compete agreements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spacing w:after="0"/>
              <w:rPr>
                <w:sz w:val="18"/>
                <w:szCs w:val="18"/>
                <w:color w:val="auto"/>
              </w:rPr>
            </w:pPr>
          </w:p>
        </w:tc>
        <w:tc>
          <w:tcPr>
            <w:tcW w:w="1580" w:type="dxa"/>
            <w:vAlign w:val="bottom"/>
            <w:gridSpan w:val="4"/>
          </w:tcPr>
          <w:p>
            <w:pPr>
              <w:jc w:val="right"/>
              <w:ind w:right="400"/>
              <w:spacing w:after="0"/>
              <w:rPr>
                <w:sz w:val="20"/>
                <w:szCs w:val="20"/>
                <w:color w:val="auto"/>
              </w:rPr>
            </w:pPr>
            <w:r>
              <w:rPr>
                <w:rFonts w:ascii="Arial" w:cs="Arial" w:eastAsia="Arial" w:hAnsi="Arial"/>
                <w:sz w:val="18"/>
                <w:szCs w:val="18"/>
                <w:color w:val="auto"/>
              </w:rPr>
              <w:t>(644)</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8"/>
                <w:szCs w:val="18"/>
                <w:color w:val="auto"/>
              </w:rPr>
            </w:pPr>
          </w:p>
        </w:tc>
        <w:tc>
          <w:tcPr>
            <w:tcW w:w="1580" w:type="dxa"/>
            <w:vAlign w:val="bottom"/>
            <w:gridSpan w:val="4"/>
          </w:tcPr>
          <w:p>
            <w:pPr>
              <w:jc w:val="right"/>
              <w:ind w:right="38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1,700</w:t>
            </w:r>
          </w:p>
        </w:tc>
        <w:tc>
          <w:tcPr>
            <w:tcW w:w="400" w:type="dxa"/>
            <w:vAlign w:val="bottom"/>
            <w:shd w:val="clear" w:color="auto" w:fill="EEEEEE"/>
          </w:tcPr>
          <w:p>
            <w:pPr>
              <w:spacing w:after="0"/>
              <w:rPr>
                <w:sz w:val="18"/>
                <w:szCs w:val="18"/>
                <w:color w:val="auto"/>
              </w:rPr>
            </w:pPr>
          </w:p>
        </w:tc>
        <w:tc>
          <w:tcPr>
            <w:tcW w:w="1580" w:type="dxa"/>
            <w:vAlign w:val="bottom"/>
            <w:gridSpan w:val="4"/>
            <w:shd w:val="clear" w:color="auto" w:fill="EEEEEE"/>
          </w:tcPr>
          <w:p>
            <w:pPr>
              <w:jc w:val="right"/>
              <w:ind w:right="400"/>
              <w:spacing w:after="0"/>
              <w:rPr>
                <w:sz w:val="20"/>
                <w:szCs w:val="20"/>
                <w:color w:val="auto"/>
              </w:rPr>
            </w:pPr>
            <w:r>
              <w:rPr>
                <w:rFonts w:ascii="Arial" w:cs="Arial" w:eastAsia="Arial" w:hAnsi="Arial"/>
                <w:sz w:val="18"/>
                <w:szCs w:val="18"/>
                <w:color w:val="auto"/>
              </w:rPr>
              <w:t>(920)</w:t>
            </w:r>
          </w:p>
        </w:tc>
        <w:tc>
          <w:tcPr>
            <w:tcW w:w="10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1,700</w:t>
            </w:r>
          </w:p>
        </w:tc>
        <w:tc>
          <w:tcPr>
            <w:tcW w:w="380" w:type="dxa"/>
            <w:vAlign w:val="bottom"/>
            <w:shd w:val="clear" w:color="auto" w:fill="EEEEEE"/>
          </w:tcPr>
          <w:p>
            <w:pPr>
              <w:spacing w:after="0"/>
              <w:rPr>
                <w:sz w:val="18"/>
                <w:szCs w:val="18"/>
                <w:color w:val="auto"/>
              </w:rPr>
            </w:pPr>
          </w:p>
        </w:tc>
        <w:tc>
          <w:tcPr>
            <w:tcW w:w="158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20" w:type="dxa"/>
            <w:vAlign w:val="bottom"/>
            <w:gridSpan w:val="2"/>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9,253</w:t>
            </w:r>
          </w:p>
        </w:tc>
        <w:tc>
          <w:tcPr>
            <w:tcW w:w="40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77"/>
              </w:rPr>
              <w:t>(6,581)</w:t>
            </w:r>
          </w:p>
        </w:tc>
        <w:tc>
          <w:tcPr>
            <w:tcW w:w="44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79"/>
              </w:rPr>
              <w:t>9,253</w:t>
            </w:r>
          </w:p>
        </w:tc>
        <w:tc>
          <w:tcPr>
            <w:tcW w:w="38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77"/>
              </w:rPr>
              <w:t>(6,399)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90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Total other intangible assets, net</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$2,672</w:t>
            </w:r>
          </w:p>
        </w:tc>
        <w:tc>
          <w:tcPr>
            <w:tcW w:w="4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460" w:type="dxa"/>
            <w:vAlign w:val="bottom"/>
            <w:tcBorders>
              <w:right w:val="single" w:sz="8" w:color="EEEEEE"/>
            </w:tcBorders>
            <w:shd w:val="clear" w:color="auto" w:fill="EEEEEE"/>
          </w:tcPr>
          <w:p>
            <w:pPr>
              <w:spacing w:after="0"/>
              <w:rPr>
                <w:sz w:val="20"/>
                <w:szCs w:val="20"/>
                <w:color w:val="auto"/>
              </w:rPr>
            </w:pPr>
          </w:p>
        </w:tc>
        <w:tc>
          <w:tcPr>
            <w:tcW w:w="480" w:type="dxa"/>
            <w:vAlign w:val="bottom"/>
            <w:tcBorders>
              <w:right w:val="single" w:sz="8" w:color="EEEEEE"/>
            </w:tcBorders>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10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$2,854</w:t>
            </w:r>
          </w:p>
        </w:tc>
        <w:tc>
          <w:tcPr>
            <w:tcW w:w="3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460" w:type="dxa"/>
            <w:vAlign w:val="bottom"/>
            <w:tcBorders>
              <w:right w:val="single" w:sz="8" w:color="EEEEEE"/>
            </w:tcBorders>
            <w:shd w:val="clear" w:color="auto" w:fill="EEEEEE"/>
          </w:tcPr>
          <w:p>
            <w:pPr>
              <w:spacing w:after="0"/>
              <w:rPr>
                <w:sz w:val="20"/>
                <w:szCs w:val="20"/>
                <w:color w:val="auto"/>
              </w:rPr>
            </w:pPr>
          </w:p>
        </w:tc>
        <w:tc>
          <w:tcPr>
            <w:tcW w:w="480" w:type="dxa"/>
            <w:vAlign w:val="bottom"/>
            <w:tcBorders>
              <w:right w:val="single" w:sz="8" w:color="EEEEEE"/>
            </w:tcBorders>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90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Amortization expense for intangible assets during the first quarter of fiscal 2004 was $182,000. Estimated amortization expense for the remainder of fiscal 2004 and succeeding fiscal years is as follows: 2004 (remainder), $466,000; 2005, $628,000; 2006, $601,000; 2007, $407,000; 2008, $281,000; 2009, $121,000 and after 2009, $168,000.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Guarantees</w:t>
      </w:r>
    </w:p>
    <w:p>
      <w:pPr>
        <w:spacing w:after="0" w:line="18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company’s products are warranted to the end-user to ensure end-user confidence in design, workmanship, and overall quality. Warranty lengths vary by product line, ranging from a period of six months to seven years, and coverage includes parts, labor, and other expenses for non-maintenance repairs, provided operator abuse, improper use, or negligence did not necessitate the repair. An authorized distributor or dealer must perform warranty work and submit claims for warranty reimbursement, which the company pays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factors. Special warranty reserves are also accrued for major rework campaigns. The company also sells additional warranty coverage on select products when the factory warranty period expires.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Warranty provisions, claims, and changes in estimates for the three-month periods ended were as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214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4"/>
                <w:szCs w:val="14"/>
                <w:color w:val="auto"/>
              </w:rPr>
            </w:pPr>
          </w:p>
        </w:tc>
        <w:tc>
          <w:tcPr>
            <w:tcW w:w="1000" w:type="dxa"/>
            <w:vAlign w:val="bottom"/>
          </w:tcPr>
          <w:p>
            <w:pPr>
              <w:ind w:left="180"/>
              <w:spacing w:after="0"/>
              <w:rPr>
                <w:sz w:val="20"/>
                <w:szCs w:val="20"/>
                <w:color w:val="auto"/>
              </w:rPr>
            </w:pPr>
            <w:r>
              <w:rPr>
                <w:rFonts w:ascii="Arial" w:cs="Arial" w:eastAsia="Arial" w:hAnsi="Arial"/>
                <w:sz w:val="14"/>
                <w:szCs w:val="14"/>
                <w:b w:val="1"/>
                <w:bCs w:val="1"/>
                <w:color w:val="auto"/>
              </w:rPr>
              <w:t>Beginning</w:t>
            </w:r>
          </w:p>
        </w:tc>
        <w:tc>
          <w:tcPr>
            <w:tcW w:w="28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Arial" w:cs="Arial" w:eastAsia="Arial" w:hAnsi="Arial"/>
                <w:sz w:val="14"/>
                <w:szCs w:val="14"/>
                <w:b w:val="1"/>
                <w:bCs w:val="1"/>
                <w:color w:val="auto"/>
              </w:rPr>
              <w:t>Warranty</w:t>
            </w:r>
          </w:p>
        </w:tc>
        <w:tc>
          <w:tcPr>
            <w:tcW w:w="280" w:type="dxa"/>
            <w:vAlign w:val="bottom"/>
          </w:tcPr>
          <w:p>
            <w:pPr>
              <w:spacing w:after="0"/>
              <w:rPr>
                <w:sz w:val="14"/>
                <w:szCs w:val="14"/>
                <w:color w:val="auto"/>
              </w:rPr>
            </w:pPr>
          </w:p>
        </w:tc>
        <w:tc>
          <w:tcPr>
            <w:tcW w:w="1120" w:type="dxa"/>
            <w:vAlign w:val="bottom"/>
          </w:tcPr>
          <w:p>
            <w:pPr>
              <w:jc w:val="right"/>
              <w:ind w:right="168"/>
              <w:spacing w:after="0"/>
              <w:rPr>
                <w:sz w:val="20"/>
                <w:szCs w:val="20"/>
                <w:color w:val="auto"/>
              </w:rPr>
            </w:pPr>
            <w:r>
              <w:rPr>
                <w:rFonts w:ascii="Arial" w:cs="Arial" w:eastAsia="Arial" w:hAnsi="Arial"/>
                <w:sz w:val="14"/>
                <w:szCs w:val="14"/>
                <w:b w:val="1"/>
                <w:bCs w:val="1"/>
                <w:color w:val="auto"/>
              </w:rPr>
              <w:t>Warranty</w:t>
            </w:r>
          </w:p>
        </w:tc>
        <w:tc>
          <w:tcPr>
            <w:tcW w:w="300" w:type="dxa"/>
            <w:vAlign w:val="bottom"/>
          </w:tcPr>
          <w:p>
            <w:pPr>
              <w:spacing w:after="0"/>
              <w:rPr>
                <w:sz w:val="14"/>
                <w:szCs w:val="14"/>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Changes in</w:t>
            </w:r>
          </w:p>
        </w:tc>
        <w:tc>
          <w:tcPr>
            <w:tcW w:w="28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Arial" w:cs="Arial" w:eastAsia="Arial" w:hAnsi="Arial"/>
                <w:sz w:val="14"/>
                <w:szCs w:val="14"/>
                <w:b w:val="1"/>
                <w:bCs w:val="1"/>
                <w:color w:val="auto"/>
              </w:rPr>
              <w:t>Ending</w:t>
            </w:r>
          </w:p>
        </w:tc>
        <w:tc>
          <w:tcPr>
            <w:tcW w:w="1440" w:type="dxa"/>
            <w:vAlign w:val="bottom"/>
          </w:tcPr>
          <w:p>
            <w:pPr>
              <w:spacing w:after="0"/>
              <w:rPr>
                <w:sz w:val="14"/>
                <w:szCs w:val="14"/>
                <w:color w:val="auto"/>
              </w:rPr>
            </w:pPr>
          </w:p>
        </w:tc>
      </w:tr>
      <w:tr>
        <w:trPr>
          <w:trHeight w:val="186"/>
        </w:trPr>
        <w:tc>
          <w:tcPr>
            <w:tcW w:w="1440" w:type="dxa"/>
            <w:vAlign w:val="bottom"/>
          </w:tcPr>
          <w:p>
            <w:pPr>
              <w:spacing w:after="0"/>
              <w:rPr>
                <w:sz w:val="16"/>
                <w:szCs w:val="16"/>
                <w:color w:val="auto"/>
              </w:rPr>
            </w:pPr>
          </w:p>
        </w:tc>
        <w:tc>
          <w:tcPr>
            <w:tcW w:w="2140" w:type="dxa"/>
            <w:vAlign w:val="bottom"/>
          </w:tcPr>
          <w:p>
            <w:pPr>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1000" w:type="dxa"/>
            <w:vAlign w:val="bottom"/>
          </w:tcPr>
          <w:p>
            <w:pPr>
              <w:ind w:left="260"/>
              <w:spacing w:after="0"/>
              <w:rPr>
                <w:sz w:val="20"/>
                <w:szCs w:val="20"/>
                <w:color w:val="auto"/>
              </w:rPr>
            </w:pPr>
            <w:r>
              <w:rPr>
                <w:rFonts w:ascii="Arial" w:cs="Arial" w:eastAsia="Arial" w:hAnsi="Arial"/>
                <w:sz w:val="14"/>
                <w:szCs w:val="14"/>
                <w:b w:val="1"/>
                <w:bCs w:val="1"/>
                <w:color w:val="auto"/>
              </w:rPr>
              <w:t>Balance</w:t>
            </w:r>
          </w:p>
        </w:tc>
        <w:tc>
          <w:tcPr>
            <w:tcW w:w="280" w:type="dxa"/>
            <w:vAlign w:val="bottom"/>
          </w:tcPr>
          <w:p>
            <w:pPr>
              <w:spacing w:after="0"/>
              <w:rPr>
                <w:sz w:val="16"/>
                <w:szCs w:val="16"/>
                <w:color w:val="auto"/>
              </w:rPr>
            </w:pPr>
          </w:p>
        </w:tc>
        <w:tc>
          <w:tcPr>
            <w:tcW w:w="940" w:type="dxa"/>
            <w:vAlign w:val="bottom"/>
          </w:tcPr>
          <w:p>
            <w:pPr>
              <w:ind w:left="160"/>
              <w:spacing w:after="0"/>
              <w:rPr>
                <w:sz w:val="20"/>
                <w:szCs w:val="20"/>
                <w:color w:val="auto"/>
              </w:rPr>
            </w:pPr>
            <w:r>
              <w:rPr>
                <w:rFonts w:ascii="Arial" w:cs="Arial" w:eastAsia="Arial" w:hAnsi="Arial"/>
                <w:sz w:val="14"/>
                <w:szCs w:val="14"/>
                <w:b w:val="1"/>
                <w:bCs w:val="1"/>
                <w:color w:val="auto"/>
              </w:rPr>
              <w:t>Provisions</w:t>
            </w:r>
          </w:p>
        </w:tc>
        <w:tc>
          <w:tcPr>
            <w:tcW w:w="280" w:type="dxa"/>
            <w:vAlign w:val="bottom"/>
          </w:tcPr>
          <w:p>
            <w:pPr>
              <w:spacing w:after="0"/>
              <w:rPr>
                <w:sz w:val="16"/>
                <w:szCs w:val="16"/>
                <w:color w:val="auto"/>
              </w:rPr>
            </w:pPr>
          </w:p>
        </w:tc>
        <w:tc>
          <w:tcPr>
            <w:tcW w:w="1120" w:type="dxa"/>
            <w:vAlign w:val="bottom"/>
          </w:tcPr>
          <w:p>
            <w:pPr>
              <w:jc w:val="right"/>
              <w:ind w:right="268"/>
              <w:spacing w:after="0"/>
              <w:rPr>
                <w:sz w:val="20"/>
                <w:szCs w:val="20"/>
                <w:color w:val="auto"/>
              </w:rPr>
            </w:pPr>
            <w:r>
              <w:rPr>
                <w:rFonts w:ascii="Arial" w:cs="Arial" w:eastAsia="Arial" w:hAnsi="Arial"/>
                <w:sz w:val="14"/>
                <w:szCs w:val="14"/>
                <w:b w:val="1"/>
                <w:bCs w:val="1"/>
                <w:color w:val="auto"/>
              </w:rPr>
              <w:t>Claims</w:t>
            </w:r>
          </w:p>
        </w:tc>
        <w:tc>
          <w:tcPr>
            <w:tcW w:w="30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Estimates</w:t>
            </w:r>
          </w:p>
        </w:tc>
        <w:tc>
          <w:tcPr>
            <w:tcW w:w="280" w:type="dxa"/>
            <w:vAlign w:val="bottom"/>
          </w:tcPr>
          <w:p>
            <w:pPr>
              <w:spacing w:after="0"/>
              <w:rPr>
                <w:sz w:val="16"/>
                <w:szCs w:val="16"/>
                <w:color w:val="auto"/>
              </w:rPr>
            </w:pPr>
          </w:p>
        </w:tc>
        <w:tc>
          <w:tcPr>
            <w:tcW w:w="1000" w:type="dxa"/>
            <w:vAlign w:val="bottom"/>
          </w:tcPr>
          <w:p>
            <w:pPr>
              <w:jc w:val="right"/>
              <w:ind w:right="168"/>
              <w:spacing w:after="0"/>
              <w:rPr>
                <w:sz w:val="20"/>
                <w:szCs w:val="20"/>
                <w:color w:val="auto"/>
              </w:rPr>
            </w:pPr>
            <w:r>
              <w:rPr>
                <w:rFonts w:ascii="Arial" w:cs="Arial" w:eastAsia="Arial" w:hAnsi="Arial"/>
                <w:sz w:val="14"/>
                <w:szCs w:val="14"/>
                <w:b w:val="1"/>
                <w:bCs w:val="1"/>
                <w:color w:val="auto"/>
              </w:rPr>
              <w:t>Balance</w:t>
            </w:r>
          </w:p>
        </w:tc>
        <w:tc>
          <w:tcPr>
            <w:tcW w:w="1440" w:type="dxa"/>
            <w:vAlign w:val="bottom"/>
          </w:tcPr>
          <w:p>
            <w:pPr>
              <w:spacing w:after="0"/>
              <w:rPr>
                <w:sz w:val="16"/>
                <w:szCs w:val="16"/>
                <w:color w:val="auto"/>
              </w:rPr>
            </w:pPr>
          </w:p>
        </w:tc>
      </w:tr>
      <w:tr>
        <w:trPr>
          <w:trHeight w:val="53"/>
        </w:trPr>
        <w:tc>
          <w:tcPr>
            <w:tcW w:w="1440" w:type="dxa"/>
            <w:vAlign w:val="bottom"/>
          </w:tcPr>
          <w:p>
            <w:pPr>
              <w:spacing w:after="0"/>
              <w:rPr>
                <w:sz w:val="4"/>
                <w:szCs w:val="4"/>
                <w:color w:val="auto"/>
              </w:rPr>
            </w:pPr>
          </w:p>
        </w:tc>
        <w:tc>
          <w:tcPr>
            <w:tcW w:w="214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1440" w:type="dxa"/>
            <w:vAlign w:val="bottom"/>
          </w:tcPr>
          <w:p>
            <w:pPr>
              <w:spacing w:after="0"/>
              <w:rPr>
                <w:sz w:val="4"/>
                <w:szCs w:val="4"/>
                <w:color w:val="auto"/>
              </w:rPr>
            </w:pPr>
          </w:p>
        </w:tc>
      </w:tr>
      <w:tr>
        <w:trPr>
          <w:trHeight w:val="276"/>
        </w:trPr>
        <w:tc>
          <w:tcPr>
            <w:tcW w:w="144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January 30, 2004</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$59,372</w:t>
            </w: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$7,876</w:t>
            </w:r>
          </w:p>
        </w:tc>
        <w:tc>
          <w:tcPr>
            <w:tcW w:w="1400" w:type="dxa"/>
            <w:vAlign w:val="bottom"/>
            <w:gridSpan w:val="2"/>
          </w:tcPr>
          <w:p>
            <w:pPr>
              <w:jc w:val="right"/>
              <w:ind w:right="208"/>
              <w:spacing w:after="0"/>
              <w:rPr>
                <w:sz w:val="20"/>
                <w:szCs w:val="20"/>
                <w:color w:val="auto"/>
              </w:rPr>
            </w:pPr>
            <w:r>
              <w:rPr>
                <w:rFonts w:ascii="Arial" w:cs="Arial" w:eastAsia="Arial" w:hAnsi="Arial"/>
                <w:sz w:val="18"/>
                <w:szCs w:val="18"/>
                <w:color w:val="auto"/>
              </w:rPr>
              <w:t>$(8,220)</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1,089</w:t>
            </w:r>
          </w:p>
        </w:tc>
        <w:tc>
          <w:tcPr>
            <w:tcW w:w="1280" w:type="dxa"/>
            <w:vAlign w:val="bottom"/>
            <w:gridSpan w:val="2"/>
          </w:tcPr>
          <w:p>
            <w:pPr>
              <w:jc w:val="right"/>
              <w:ind w:right="168"/>
              <w:spacing w:after="0"/>
              <w:rPr>
                <w:sz w:val="20"/>
                <w:szCs w:val="20"/>
                <w:color w:val="auto"/>
              </w:rPr>
            </w:pPr>
            <w:r>
              <w:rPr>
                <w:rFonts w:ascii="Arial" w:cs="Arial" w:eastAsia="Arial" w:hAnsi="Arial"/>
                <w:sz w:val="18"/>
                <w:szCs w:val="18"/>
                <w:color w:val="auto"/>
              </w:rPr>
              <w:t>$60,117</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January 31, 2003</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$53,590</w:t>
            </w: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$7,784</w:t>
            </w:r>
          </w:p>
        </w:tc>
        <w:tc>
          <w:tcPr>
            <w:tcW w:w="1400" w:type="dxa"/>
            <w:vAlign w:val="bottom"/>
            <w:gridSpan w:val="2"/>
          </w:tcPr>
          <w:p>
            <w:pPr>
              <w:jc w:val="right"/>
              <w:ind w:right="208"/>
              <w:spacing w:after="0"/>
              <w:rPr>
                <w:sz w:val="20"/>
                <w:szCs w:val="20"/>
                <w:color w:val="auto"/>
              </w:rPr>
            </w:pPr>
            <w:r>
              <w:rPr>
                <w:rFonts w:ascii="Arial" w:cs="Arial" w:eastAsia="Arial" w:hAnsi="Arial"/>
                <w:sz w:val="18"/>
                <w:szCs w:val="18"/>
                <w:color w:val="auto"/>
              </w:rPr>
              <w:t>$(9,243)</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811</w:t>
            </w:r>
          </w:p>
        </w:tc>
        <w:tc>
          <w:tcPr>
            <w:tcW w:w="1280" w:type="dxa"/>
            <w:vAlign w:val="bottom"/>
            <w:gridSpan w:val="2"/>
          </w:tcPr>
          <w:p>
            <w:pPr>
              <w:jc w:val="right"/>
              <w:ind w:right="168"/>
              <w:spacing w:after="0"/>
              <w:rPr>
                <w:sz w:val="20"/>
                <w:szCs w:val="20"/>
                <w:color w:val="auto"/>
              </w:rPr>
            </w:pPr>
            <w:r>
              <w:rPr>
                <w:rFonts w:ascii="Arial" w:cs="Arial" w:eastAsia="Arial" w:hAnsi="Arial"/>
                <w:sz w:val="18"/>
                <w:szCs w:val="18"/>
                <w:color w:val="auto"/>
              </w:rPr>
              <w:t>$52,942</w:t>
            </w:r>
          </w:p>
        </w:tc>
        <w:tc>
          <w:tcPr>
            <w:tcW w:w="1440" w:type="dxa"/>
            <w:vAlign w:val="bottom"/>
          </w:tcPr>
          <w:p>
            <w:pPr>
              <w:spacing w:after="0"/>
              <w:rPr>
                <w:sz w:val="20"/>
                <w:szCs w:val="20"/>
                <w:color w:val="auto"/>
              </w:rPr>
            </w:pPr>
          </w:p>
        </w:tc>
      </w:tr>
      <w:tr>
        <w:trPr>
          <w:trHeight w:val="392"/>
        </w:trPr>
        <w:tc>
          <w:tcPr>
            <w:tcW w:w="14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gridSpan w:val="2"/>
          </w:tcPr>
          <w:p>
            <w:pPr>
              <w:jc w:val="right"/>
              <w:ind w:right="208"/>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6"/>
        </w:trPr>
        <w:tc>
          <w:tcPr>
            <w:tcW w:w="144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uses derivative instruments to assist in the management of exposure to currency exchange rates. The company uses derivative instruments only in an attempt to limit underlying exposure to currency fluctuations, and not for trading purposes. The company documents all relationships between hedging instruments and the hedged items, as well as its risk-management objective and strategy for undertaking various hedge transactions. The company assesses, both at the hedge’s inception and on an ongoing basis, whether the derivatives that are used in hedging transactions are highly effective in offsetting changes in cash flows of the hedged item.</w:t>
      </w:r>
    </w:p>
    <w:p>
      <w:pPr>
        <w:spacing w:after="0" w:line="14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enters into foreign currency exchange contracts to hedge the risk from forecasted settlement in local currencies of trade sales and purchases. These contracts are designated as cash flow hedges with the fair value recorded in accumulated other comprehensive income (loss) and as a hedge asset or liability in prepaid expenses or accrued liabilities, as applicable. Once the forecasted transaction has been recognized as a sale or inventory purchase and a related asset or liability recorded in the balance sheet, the related fair value of the derivative hedge contract is reclassified from accumulated other comprehensive income (loss) into earnings. During the quarter ended January 30, 2004, the amount of losses reclassified to earnings for such cash flow hedges was $2.7 million. As of January 30, 2004, the amount of such contracts outstanding was $89.9 million. The unrecognized after-tax loss portion of the fair value of the contracts recorded in accumulated other comprehensive loss as of January 30, 2004 was $2.9 million.</w:t>
      </w:r>
    </w:p>
    <w:p>
      <w:pPr>
        <w:spacing w:after="0" w:line="12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also enters into other foreign currency exchange contracts. These contracts are intended to hedge intercompany financing transactions and other activities that are not subject to the accounting criteria of SFAS No. 133; therefore, changes in fair value of these instruments are recorded in other income, net.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8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January 2003, the Financial Accounting Standards Board (FASB) issued FASB Interpretation No. 46, “Consolidation of Variable Interest Entities” (FIN 46), which requires an entity to consolidate a variable interest entity if it is designated as the primary beneficiary of that entity even if the entity does not have a majority of voting interests. A variable interest entity is generally defined as an entity where its equity is inadequate to finance its activities or where the owners of the entity lack the risk and rewards of ownership. The provisions of this statement apply at inception for any entity created after January 31, 2003. For an entity created before February 1, 2003, the provisions of this interpretation must be applied as of the beginning of the first interim or annual period ending after December 15, 2003. The company has evaluated the provisions of FIN 46 and determined that the company does not have any material variable interest entities and does not have any variable interest entities that require consolidation into the company’s financial statements.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189"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The Toro Company is in the business of designing, manufacturing, and marketing professional turf maintenance equipment, turf and agricultural irrigation systems, landscaping equipment, and residential yard products worldwide. Our emphasis is to provide well-built, dependable, and innovative products supported by an extensive service network. A significant portion of our revenues has historically been attributable to new and enhanced products. As we begin our new initiative, “6 + 8”, we will aggressively invest in product development and brand building. The goals of this initiative are to achieve an after-tax return on sales of 6 percent or better and grow revenues at an average rate of 8 percent or better by the end of fiscal 2006.</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results for the first quarter of fiscal 2004 were very strong. Our net earnings rose 33.6 percent compared to the first quarter of fiscal 2003 on a sales growth rate of 6.0 percent. Sales for most of our product lines increased mainly as a result of successful new product introductions. In addition, our customers are anticipating strong retail demand during fiscal 2004 reflecting expectations of economic growth and positive response for our new products. Our financial condition remains strong with only modest increases in average receivables and inventory levels. As part of our next generation initiative “6 + 8”, we plan to leverage the positive momentum we have generated over the last several of years while investing in the future through investments in engineering, brand building, and market expansion. Our employees are embracing the ideas and tools introduced through the use of “Lean” manufacturing concepts, which are designed to eliminate waste throughout the company. The first quarter of fiscal 2004 results were strong, and we are optimistic results for the full fiscal year of 2004 will end strong. However, as net sales and earnings for the first quarter of our fiscal year are typically lower than other quarters, the results of our first quarter are not necessarily an indicator of spring season sales trends, which are still ahead. We expect an improvement in sales growth in fiscal 2004 compared to the sales growth in fiscal 2003, and also anticipate double-digit diluted earnings per share growth, while keeping a cautionary eye on the world economies, weather, and commodity prices which could cause actual results to differ from our outlook.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First quarter net earnings were $9.3 million or $0.36 per diluted share compared to $7.0 million or $0.27 per diluted share last year, a significant increase of over 33 percent. This increase is even greater considering last year’s earnings were benefited from a gain for a legal settlement of $3.4 million ($2.1 million net of tax). The primary factors contributing to this increase were higher sales volumes, an increase in gross margins, and lower selling, general, and administrative costs.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major operating costs and other income as a percentage of net sales: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00" w:type="dxa"/>
            <w:vAlign w:val="bottom"/>
          </w:tcPr>
          <w:p>
            <w:pPr>
              <w:spacing w:after="0"/>
              <w:rPr>
                <w:sz w:val="5"/>
                <w:szCs w:val="5"/>
                <w:color w:val="auto"/>
              </w:rPr>
            </w:pPr>
          </w:p>
        </w:tc>
        <w:tc>
          <w:tcPr>
            <w:tcW w:w="3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January 30,</w:t>
            </w:r>
          </w:p>
        </w:tc>
        <w:tc>
          <w:tcPr>
            <w:tcW w:w="300" w:type="dxa"/>
            <w:vAlign w:val="bottom"/>
          </w:tcPr>
          <w:p>
            <w:pPr>
              <w:spacing w:after="0"/>
              <w:rPr>
                <w:sz w:val="16"/>
                <w:szCs w:val="16"/>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January 31,</w:t>
            </w: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3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00" w:type="dxa"/>
            <w:vAlign w:val="bottom"/>
          </w:tcPr>
          <w:p>
            <w:pPr>
              <w:spacing w:after="0"/>
              <w:rPr>
                <w:sz w:val="5"/>
                <w:szCs w:val="5"/>
                <w:color w:val="auto"/>
              </w:rPr>
            </w:pPr>
          </w:p>
        </w:tc>
        <w:tc>
          <w:tcPr>
            <w:tcW w:w="3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00" w:type="dxa"/>
            <w:vAlign w:val="bottom"/>
            <w:vMerge w:val="restart"/>
          </w:tcPr>
          <w:p>
            <w:pPr>
              <w:spacing w:after="0"/>
              <w:rPr>
                <w:sz w:val="5"/>
                <w:szCs w:val="5"/>
                <w:color w:val="auto"/>
              </w:rPr>
            </w:pPr>
          </w:p>
        </w:tc>
        <w:tc>
          <w:tcPr>
            <w:tcW w:w="3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340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270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100.0%</w:t>
            </w:r>
          </w:p>
        </w:tc>
        <w:tc>
          <w:tcPr>
            <w:tcW w:w="132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100.0%</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0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Cost of sales</w:t>
            </w:r>
          </w:p>
        </w:tc>
        <w:tc>
          <w:tcPr>
            <w:tcW w:w="1940" w:type="dxa"/>
            <w:vAlign w:val="bottom"/>
            <w:gridSpan w:val="2"/>
          </w:tcPr>
          <w:p>
            <w:pPr>
              <w:spacing w:after="0"/>
              <w:rPr>
                <w:sz w:val="20"/>
                <w:szCs w:val="20"/>
                <w:color w:val="auto"/>
              </w:rPr>
            </w:pPr>
          </w:p>
        </w:tc>
        <w:tc>
          <w:tcPr>
            <w:tcW w:w="4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64.1</w:t>
            </w:r>
          </w:p>
        </w:tc>
        <w:tc>
          <w:tcPr>
            <w:tcW w:w="360" w:type="dxa"/>
            <w:vAlign w:val="bottom"/>
          </w:tcPr>
          <w:p>
            <w:pPr>
              <w:spacing w:after="0"/>
              <w:rPr>
                <w:sz w:val="20"/>
                <w:szCs w:val="20"/>
                <w:color w:val="auto"/>
              </w:rPr>
            </w:pPr>
          </w:p>
        </w:tc>
        <w:tc>
          <w:tcPr>
            <w:tcW w:w="560" w:type="dxa"/>
            <w:vAlign w:val="bottom"/>
            <w:gridSpan w:val="2"/>
          </w:tcPr>
          <w:p>
            <w:pPr>
              <w:spacing w:after="0"/>
              <w:rPr>
                <w:sz w:val="20"/>
                <w:szCs w:val="20"/>
                <w:color w:val="auto"/>
              </w:rPr>
            </w:pPr>
          </w:p>
        </w:tc>
        <w:tc>
          <w:tcPr>
            <w:tcW w:w="4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64.3</w:t>
            </w:r>
          </w:p>
        </w:tc>
        <w:tc>
          <w:tcPr>
            <w:tcW w:w="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0" w:type="dxa"/>
            <w:vAlign w:val="bottom"/>
            <w:shd w:val="clear" w:color="auto" w:fill="EEEEEE"/>
          </w:tcPr>
          <w:p>
            <w:pPr>
              <w:spacing w:after="0"/>
              <w:rPr>
                <w:sz w:val="20"/>
                <w:szCs w:val="20"/>
                <w:color w:val="auto"/>
              </w:rPr>
            </w:pPr>
            <w:r>
              <w:rPr>
                <w:rFonts w:ascii="Arial" w:cs="Arial" w:eastAsia="Arial" w:hAnsi="Arial"/>
                <w:sz w:val="18"/>
                <w:szCs w:val="18"/>
                <w:color w:val="auto"/>
              </w:rPr>
              <w:t>Gross profit</w:t>
            </w:r>
          </w:p>
        </w:tc>
        <w:tc>
          <w:tcPr>
            <w:tcW w:w="23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35.9</w:t>
            </w:r>
          </w:p>
        </w:tc>
        <w:tc>
          <w:tcPr>
            <w:tcW w:w="36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35.7</w:t>
            </w:r>
          </w:p>
        </w:tc>
        <w:tc>
          <w:tcPr>
            <w:tcW w:w="36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5"/>
              </w:rPr>
              <w:t>Selling, general, and administrative expense</w:t>
            </w:r>
          </w:p>
        </w:tc>
        <w:tc>
          <w:tcPr>
            <w:tcW w:w="2700" w:type="dxa"/>
            <w:vAlign w:val="bottom"/>
            <w:gridSpan w:val="4"/>
          </w:tcPr>
          <w:p>
            <w:pPr>
              <w:jc w:val="right"/>
              <w:ind w:right="300"/>
              <w:spacing w:after="0"/>
              <w:rPr>
                <w:sz w:val="20"/>
                <w:szCs w:val="20"/>
                <w:color w:val="auto"/>
              </w:rPr>
            </w:pPr>
            <w:r>
              <w:rPr>
                <w:rFonts w:ascii="Arial" w:cs="Arial" w:eastAsia="Arial" w:hAnsi="Arial"/>
                <w:sz w:val="18"/>
                <w:szCs w:val="18"/>
                <w:color w:val="auto"/>
              </w:rPr>
              <w:t>(30.6)</w:t>
            </w:r>
          </w:p>
        </w:tc>
        <w:tc>
          <w:tcPr>
            <w:tcW w:w="1320" w:type="dxa"/>
            <w:vAlign w:val="bottom"/>
            <w:gridSpan w:val="4"/>
          </w:tcPr>
          <w:p>
            <w:pPr>
              <w:jc w:val="right"/>
              <w:ind w:right="300"/>
              <w:spacing w:after="0"/>
              <w:rPr>
                <w:sz w:val="20"/>
                <w:szCs w:val="20"/>
                <w:color w:val="auto"/>
              </w:rPr>
            </w:pPr>
            <w:r>
              <w:rPr>
                <w:rFonts w:ascii="Arial" w:cs="Arial" w:eastAsia="Arial" w:hAnsi="Arial"/>
                <w:sz w:val="18"/>
                <w:szCs w:val="18"/>
                <w:color w:val="auto"/>
              </w:rPr>
              <w:t>(32.6)</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270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(1.2)</w:t>
            </w:r>
          </w:p>
        </w:tc>
        <w:tc>
          <w:tcPr>
            <w:tcW w:w="132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(1.4)</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Other income, net</w:t>
            </w:r>
          </w:p>
        </w:tc>
        <w:tc>
          <w:tcPr>
            <w:tcW w:w="234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0" w:type="dxa"/>
            <w:vAlign w:val="bottom"/>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270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(1.5)</w:t>
            </w:r>
          </w:p>
        </w:tc>
        <w:tc>
          <w:tcPr>
            <w:tcW w:w="132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(1.1)</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ind w:left="2000"/>
              <w:spacing w:after="0"/>
              <w:rPr>
                <w:sz w:val="20"/>
                <w:szCs w:val="20"/>
                <w:color w:val="auto"/>
              </w:rPr>
            </w:pPr>
            <w:r>
              <w:rPr>
                <w:rFonts w:ascii="Arial" w:cs="Arial" w:eastAsia="Arial" w:hAnsi="Arial"/>
                <w:sz w:val="18"/>
                <w:szCs w:val="18"/>
                <w:color w:val="auto"/>
              </w:rPr>
              <w:t>Net earnings</w:t>
            </w:r>
          </w:p>
        </w:tc>
        <w:tc>
          <w:tcPr>
            <w:tcW w:w="1940" w:type="dxa"/>
            <w:vAlign w:val="bottom"/>
            <w:gridSpan w:val="2"/>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00" w:type="dxa"/>
            <w:vAlign w:val="bottom"/>
            <w:gridSpan w:val="2"/>
            <w:vMerge w:val="continue"/>
          </w:tcPr>
          <w:p>
            <w:pPr>
              <w:spacing w:after="0"/>
              <w:rPr>
                <w:sz w:val="18"/>
                <w:szCs w:val="18"/>
                <w:color w:val="auto"/>
              </w:rPr>
            </w:pPr>
          </w:p>
        </w:tc>
        <w:tc>
          <w:tcPr>
            <w:tcW w:w="1940" w:type="dxa"/>
            <w:vAlign w:val="bottom"/>
            <w:gridSpan w:val="2"/>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560" w:type="dxa"/>
            <w:vAlign w:val="bottom"/>
            <w:gridSpan w:val="2"/>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2000" w:type="dxa"/>
            <w:vAlign w:val="bottom"/>
          </w:tcPr>
          <w:p>
            <w:pPr>
              <w:spacing w:after="0"/>
              <w:rPr>
                <w:sz w:val="6"/>
                <w:szCs w:val="6"/>
                <w:color w:val="auto"/>
              </w:rPr>
            </w:pPr>
          </w:p>
        </w:tc>
        <w:tc>
          <w:tcPr>
            <w:tcW w:w="3400" w:type="dxa"/>
            <w:vAlign w:val="bottom"/>
          </w:tcPr>
          <w:p>
            <w:pPr>
              <w:spacing w:after="0"/>
              <w:rPr>
                <w:sz w:val="6"/>
                <w:szCs w:val="6"/>
                <w:color w:val="auto"/>
              </w:rPr>
            </w:pPr>
          </w:p>
        </w:tc>
        <w:tc>
          <w:tcPr>
            <w:tcW w:w="1680" w:type="dxa"/>
            <w:vAlign w:val="bottom"/>
            <w:vMerge w:val="restart"/>
          </w:tcPr>
          <w:p>
            <w:pPr>
              <w:jc w:val="right"/>
              <w:ind w:right="1192"/>
              <w:spacing w:after="0"/>
              <w:rPr>
                <w:sz w:val="20"/>
                <w:szCs w:val="20"/>
                <w:color w:val="auto"/>
              </w:rPr>
            </w:pPr>
            <w:r>
              <w:rPr>
                <w:rFonts w:ascii="Arial" w:cs="Arial" w:eastAsia="Arial" w:hAnsi="Arial"/>
                <w:sz w:val="18"/>
                <w:szCs w:val="18"/>
                <w:color w:val="auto"/>
              </w:rPr>
              <w:t>12</w:t>
            </w:r>
          </w:p>
        </w:tc>
        <w:tc>
          <w:tcPr>
            <w:tcW w:w="260" w:type="dxa"/>
            <w:vAlign w:val="bottom"/>
            <w:tcBorders>
              <w:right w:val="single" w:sz="8" w:color="808080"/>
            </w:tcBorders>
          </w:tcPr>
          <w:p>
            <w:pPr>
              <w:spacing w:after="0"/>
              <w:rPr>
                <w:sz w:val="6"/>
                <w:szCs w:val="6"/>
                <w:color w:val="auto"/>
              </w:rPr>
            </w:pPr>
          </w:p>
        </w:tc>
        <w:tc>
          <w:tcPr>
            <w:tcW w:w="400" w:type="dxa"/>
            <w:vAlign w:val="bottom"/>
            <w:shd w:val="clear" w:color="auto" w:fill="808080"/>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Borders>
              <w:right w:val="single" w:sz="8" w:color="808080"/>
            </w:tcBorders>
          </w:tcPr>
          <w:p>
            <w:pPr>
              <w:spacing w:after="0"/>
              <w:rPr>
                <w:sz w:val="6"/>
                <w:szCs w:val="6"/>
                <w:color w:val="auto"/>
              </w:rPr>
            </w:pPr>
          </w:p>
        </w:tc>
        <w:tc>
          <w:tcPr>
            <w:tcW w:w="400" w:type="dxa"/>
            <w:vAlign w:val="bottom"/>
            <w:shd w:val="clear" w:color="auto" w:fill="808080"/>
          </w:tcPr>
          <w:p>
            <w:pPr>
              <w:spacing w:after="0"/>
              <w:rPr>
                <w:sz w:val="6"/>
                <w:szCs w:val="6"/>
                <w:color w:val="auto"/>
              </w:rPr>
            </w:pPr>
          </w:p>
        </w:tc>
        <w:tc>
          <w:tcPr>
            <w:tcW w:w="3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0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Worldwide consolidated net sales for the first quarter of fiscal 2004 were up 6.0 percent compared to last year’s first quarter due primarily to early stocking orders and market acceptance of new professional segment product introductions as well as favorable currency rates, which contributed almost one-third of the sales growth. International sales were up 11.7 percent compared to last year driven primarily by a weaker U.S. dollar as well as new product introductions. Disregarding currency effects, international sales increased 3.1 percent. Residential segment sales were also up due to increased sales into international markets as well as new product introductions. Distribution segment sales also increased for the quarter comparison due to strong shipments of commercial equipment and snowthrower products.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8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Gross profit for the first quarter of fiscal 2004 increased 6.7 percent compared to the first quarter of fiscal 2003. As a percentage of net sales, gross profit for the first quarter of fiscal 2004 was 35.9 percent compared to 35.7 percent in the first quarter of fiscal 2003. The increase was the result of the following factors: (i) cost reduction efforts that included moving production to lower cost facilities; (ii) ongoing benefits from past and continuing profit improvement initiatives; and (iii) favorable foreign currency exchange rates compared to the U.S. dollar. Somewhat offsetting those positive factors was higher outbound freight expense.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189"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Selling, general, and administrative expense (SG&amp;A) for the first quarter of fiscal 2004 decreased slightly by 0.3 percent compared to the same period last year. SG&amp;A as a percentage of net sales was 30.6 percent in the first quarter of fiscal 2004 compared to 32.6 percent in the first quarter of fiscal 2003. The decrease was due mainly to: (i) costs for distributor changes last year that did not occur this year; (ii) a decline in bad debt expense as we collected receivables previously written off; and (iii) lower incentive compensation expense. Somewhat offsetting those decreases were: (i) continued investments in information systems and (ii) increased investments in engineering as part of our new “6 + 8” initiative.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Other Income</w:t>
      </w:r>
    </w:p>
    <w:p>
      <w:pPr>
        <w:spacing w:after="0" w:line="20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the first quarter of fiscal 2004, we incurred $22,000 of restructuring and other income, net, primarily related to changes in reserve estimates for the previously announced closure of our Oxford, Mississippi facility. In the first quarter of fiscal 2003, there were no charges for restructuring and other expense.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Interest expense for the first quarter of fiscal 2004 decreased 5.1 percent compared to the first quarter of fiscal 2003, due primarily to lower levels of debt as we continue to use earnings to finance operating activities and pay down debt.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18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Other income, net for the first quarter of fiscal 2004 was $1.3 million compared to $5.3 million in the same period last year. The decrease was due primarily to the following items incurred or realized last year: (i) a gain from a legal settlement; (ii) insurance recoveries; and (iii) gain from the sale of a distributorship. Somewhat offsetting those declines were higher levels of royalty income in the first quarter of fiscal 2004 compared to the same period last year.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effective tax rate for the first quarter of fiscal 2004 was 33.5 percent compared to 33.0 percent in the first quarter of fiscal 2003. The increase was due to an anticipated increase in domestic earnings, which is expected to dilute the benefits of export tax benefits.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described previously, we operate in three reportable segments; professional, residential, and distribution. A fourth segment called “other” consists of corporate and financing functions. Operating earnings (loss) by segment is defined as earnings (loss) from operations plus other income, net for the professional, residential, and distribution segments. The other segment operating loss consists of corporate activities, including corporate financing activities, other income, net, and interest expense.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sales by segment:</w:t>
      </w:r>
    </w:p>
    <w:p>
      <w:pPr>
        <w:spacing w:after="0" w:line="392"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58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440" w:type="dxa"/>
            <w:vAlign w:val="bottom"/>
            <w:gridSpan w:val="4"/>
          </w:tcPr>
          <w:p>
            <w:pPr>
              <w:ind w:left="360"/>
              <w:spacing w:after="0"/>
              <w:rPr>
                <w:sz w:val="20"/>
                <w:szCs w:val="20"/>
                <w:color w:val="auto"/>
              </w:rPr>
            </w:pPr>
            <w:r>
              <w:rPr>
                <w:rFonts w:ascii="Arial" w:cs="Arial" w:eastAsia="Arial" w:hAnsi="Arial"/>
                <w:sz w:val="14"/>
                <w:szCs w:val="14"/>
                <w:b w:val="1"/>
                <w:bCs w:val="1"/>
                <w:color w:val="auto"/>
              </w:rPr>
              <w:t>January 30,</w:t>
            </w:r>
          </w:p>
        </w:tc>
        <w:tc>
          <w:tcPr>
            <w:tcW w:w="240" w:type="dxa"/>
            <w:vAlign w:val="bottom"/>
          </w:tcPr>
          <w:p>
            <w:pPr>
              <w:spacing w:after="0"/>
              <w:rPr>
                <w:sz w:val="16"/>
                <w:szCs w:val="16"/>
                <w:color w:val="auto"/>
              </w:rPr>
            </w:pPr>
          </w:p>
        </w:tc>
        <w:tc>
          <w:tcPr>
            <w:tcW w:w="1460" w:type="dxa"/>
            <w:vAlign w:val="bottom"/>
            <w:gridSpan w:val="3"/>
          </w:tcPr>
          <w:p>
            <w:pPr>
              <w:ind w:left="360"/>
              <w:spacing w:after="0"/>
              <w:rPr>
                <w:sz w:val="20"/>
                <w:szCs w:val="20"/>
                <w:color w:val="auto"/>
              </w:rPr>
            </w:pPr>
            <w:r>
              <w:rPr>
                <w:rFonts w:ascii="Arial" w:cs="Arial" w:eastAsia="Arial" w:hAnsi="Arial"/>
                <w:sz w:val="14"/>
                <w:szCs w:val="14"/>
                <w:b w:val="1"/>
                <w:bCs w:val="1"/>
                <w:color w:val="auto"/>
              </w:rPr>
              <w:t>January 31,</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7"/>
                <w:szCs w:val="17"/>
                <w:color w:val="auto"/>
              </w:rPr>
            </w:pPr>
          </w:p>
        </w:tc>
        <w:tc>
          <w:tcPr>
            <w:tcW w:w="12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58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Professional</w:t>
            </w:r>
          </w:p>
        </w:tc>
        <w:tc>
          <w:tcPr>
            <w:tcW w:w="420" w:type="dxa"/>
            <w:vAlign w:val="bottom"/>
            <w:shd w:val="clear" w:color="auto" w:fill="EEEEEE"/>
          </w:tcPr>
          <w:p>
            <w:pPr>
              <w:ind w:left="340"/>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207,678</w:t>
            </w:r>
          </w:p>
        </w:tc>
        <w:tc>
          <w:tcPr>
            <w:tcW w:w="420" w:type="dxa"/>
            <w:vAlign w:val="bottom"/>
            <w:tcBorders>
              <w:left w:val="single" w:sz="8" w:color="EEEEEE"/>
            </w:tcBorders>
            <w:shd w:val="clear" w:color="auto" w:fill="EEEEEE"/>
          </w:tcPr>
          <w:p>
            <w:pPr>
              <w:spacing w:after="0"/>
              <w:rPr>
                <w:sz w:val="18"/>
                <w:szCs w:val="18"/>
                <w:color w:val="auto"/>
              </w:rPr>
            </w:pP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$193,444</w:t>
            </w:r>
          </w:p>
        </w:tc>
        <w:tc>
          <w:tcPr>
            <w:tcW w:w="42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$14,234</w:t>
            </w:r>
          </w:p>
        </w:tc>
        <w:tc>
          <w:tcPr>
            <w:tcW w:w="340" w:type="dxa"/>
            <w:vAlign w:val="bottom"/>
            <w:tcBorders>
              <w:left w:val="single" w:sz="8" w:color="EEEEEE"/>
            </w:tcBorders>
            <w:shd w:val="clear" w:color="auto" w:fill="EEEEEE"/>
          </w:tcPr>
          <w:p>
            <w:pPr>
              <w:spacing w:after="0"/>
              <w:rPr>
                <w:sz w:val="18"/>
                <w:szCs w:val="18"/>
                <w:color w:val="auto"/>
              </w:rPr>
            </w:pPr>
          </w:p>
        </w:tc>
        <w:tc>
          <w:tcPr>
            <w:tcW w:w="1120" w:type="dxa"/>
            <w:vAlign w:val="bottom"/>
            <w:gridSpan w:val="2"/>
            <w:shd w:val="clear" w:color="auto" w:fill="EEEEEE"/>
          </w:tcPr>
          <w:p>
            <w:pPr>
              <w:jc w:val="right"/>
              <w:ind w:right="108"/>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Residential</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97,887</w:t>
            </w:r>
          </w:p>
        </w:tc>
        <w:tc>
          <w:tcPr>
            <w:tcW w:w="42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94,665</w:t>
            </w:r>
          </w:p>
        </w:tc>
        <w:tc>
          <w:tcPr>
            <w:tcW w:w="4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3,222</w:t>
            </w:r>
          </w:p>
        </w:tc>
        <w:tc>
          <w:tcPr>
            <w:tcW w:w="340" w:type="dxa"/>
            <w:vAlign w:val="bottom"/>
          </w:tcPr>
          <w:p>
            <w:pPr>
              <w:spacing w:after="0"/>
              <w:rPr>
                <w:sz w:val="18"/>
                <w:szCs w:val="18"/>
                <w:color w:val="auto"/>
              </w:rPr>
            </w:pPr>
          </w:p>
        </w:tc>
        <w:tc>
          <w:tcPr>
            <w:tcW w:w="1120" w:type="dxa"/>
            <w:vAlign w:val="bottom"/>
            <w:gridSpan w:val="2"/>
          </w:tcPr>
          <w:p>
            <w:pPr>
              <w:jc w:val="right"/>
              <w:ind w:right="268"/>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Distribution</w:t>
            </w:r>
          </w:p>
        </w:tc>
        <w:tc>
          <w:tcPr>
            <w:tcW w:w="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19,653</w:t>
            </w:r>
          </w:p>
        </w:tc>
        <w:tc>
          <w:tcPr>
            <w:tcW w:w="420" w:type="dxa"/>
            <w:vAlign w:val="bottom"/>
            <w:tcBorders>
              <w:left w:val="single" w:sz="8" w:color="EEEEEE"/>
            </w:tcBorders>
            <w:shd w:val="clear" w:color="auto" w:fill="EEEEEE"/>
          </w:tcPr>
          <w:p>
            <w:pPr>
              <w:spacing w:after="0"/>
              <w:rPr>
                <w:sz w:val="18"/>
                <w:szCs w:val="18"/>
                <w:color w:val="auto"/>
              </w:rPr>
            </w:pP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18,600</w:t>
            </w:r>
          </w:p>
        </w:tc>
        <w:tc>
          <w:tcPr>
            <w:tcW w:w="42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1,053</w:t>
            </w:r>
          </w:p>
        </w:tc>
        <w:tc>
          <w:tcPr>
            <w:tcW w:w="340" w:type="dxa"/>
            <w:vAlign w:val="bottom"/>
            <w:tcBorders>
              <w:left w:val="single" w:sz="8" w:color="EEEEEE"/>
            </w:tcBorders>
            <w:shd w:val="clear" w:color="auto" w:fill="EEEEEE"/>
          </w:tcPr>
          <w:p>
            <w:pPr>
              <w:spacing w:after="0"/>
              <w:rPr>
                <w:sz w:val="18"/>
                <w:szCs w:val="18"/>
                <w:color w:val="auto"/>
              </w:rPr>
            </w:pPr>
          </w:p>
        </w:tc>
        <w:tc>
          <w:tcPr>
            <w:tcW w:w="1120" w:type="dxa"/>
            <w:vAlign w:val="bottom"/>
            <w:gridSpan w:val="2"/>
            <w:shd w:val="clear" w:color="auto" w:fill="EEEEEE"/>
          </w:tcPr>
          <w:p>
            <w:pPr>
              <w:jc w:val="right"/>
              <w:ind w:right="268"/>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(11,645)</w:t>
            </w:r>
          </w:p>
        </w:tc>
        <w:tc>
          <w:tcPr>
            <w:tcW w:w="1700" w:type="dxa"/>
            <w:vAlign w:val="bottom"/>
            <w:gridSpan w:val="4"/>
          </w:tcPr>
          <w:p>
            <w:pPr>
              <w:jc w:val="right"/>
              <w:ind w:right="380"/>
              <w:spacing w:after="0"/>
              <w:rPr>
                <w:sz w:val="20"/>
                <w:szCs w:val="20"/>
                <w:color w:val="auto"/>
              </w:rPr>
            </w:pPr>
            <w:r>
              <w:rPr>
                <w:rFonts w:ascii="Arial" w:cs="Arial" w:eastAsia="Arial" w:hAnsi="Arial"/>
                <w:sz w:val="18"/>
                <w:szCs w:val="18"/>
                <w:color w:val="auto"/>
              </w:rPr>
              <w:t>(10,747)</w:t>
            </w:r>
          </w:p>
        </w:tc>
        <w:tc>
          <w:tcPr>
            <w:tcW w:w="1420" w:type="dxa"/>
            <w:vAlign w:val="bottom"/>
            <w:gridSpan w:val="4"/>
          </w:tcPr>
          <w:p>
            <w:pPr>
              <w:jc w:val="right"/>
              <w:ind w:right="280"/>
              <w:spacing w:after="0"/>
              <w:rPr>
                <w:sz w:val="20"/>
                <w:szCs w:val="20"/>
                <w:color w:val="auto"/>
              </w:rPr>
            </w:pPr>
            <w:r>
              <w:rPr>
                <w:rFonts w:ascii="Arial" w:cs="Arial" w:eastAsia="Arial" w:hAnsi="Arial"/>
                <w:sz w:val="18"/>
                <w:szCs w:val="18"/>
                <w:color w:val="auto"/>
              </w:rPr>
              <w:t>(898)</w:t>
            </w:r>
          </w:p>
        </w:tc>
        <w:tc>
          <w:tcPr>
            <w:tcW w:w="1120" w:type="dxa"/>
            <w:vAlign w:val="bottom"/>
            <w:gridSpan w:val="2"/>
          </w:tcPr>
          <w:p>
            <w:pPr>
              <w:jc w:val="right"/>
              <w:ind w:right="208"/>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80808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Total *</w:t>
            </w:r>
          </w:p>
        </w:tc>
        <w:tc>
          <w:tcPr>
            <w:tcW w:w="420" w:type="dxa"/>
            <w:vAlign w:val="bottom"/>
            <w:shd w:val="clear" w:color="auto" w:fill="EEEEEE"/>
          </w:tcPr>
          <w:p>
            <w:pPr>
              <w:ind w:left="340"/>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313,573</w:t>
            </w:r>
          </w:p>
        </w:tc>
        <w:tc>
          <w:tcPr>
            <w:tcW w:w="420" w:type="dxa"/>
            <w:vAlign w:val="bottom"/>
            <w:tcBorders>
              <w:left w:val="single" w:sz="8" w:color="EEEEEE"/>
            </w:tcBorders>
            <w:shd w:val="clear" w:color="auto" w:fill="EEEEEE"/>
          </w:tcPr>
          <w:p>
            <w:pPr>
              <w:spacing w:after="0"/>
              <w:rPr>
                <w:sz w:val="18"/>
                <w:szCs w:val="18"/>
                <w:color w:val="auto"/>
              </w:rPr>
            </w:pP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$295,962</w:t>
            </w:r>
          </w:p>
        </w:tc>
        <w:tc>
          <w:tcPr>
            <w:tcW w:w="42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$17,611</w:t>
            </w:r>
          </w:p>
        </w:tc>
        <w:tc>
          <w:tcPr>
            <w:tcW w:w="340" w:type="dxa"/>
            <w:vAlign w:val="bottom"/>
            <w:tcBorders>
              <w:left w:val="single" w:sz="8" w:color="EEEEEE"/>
            </w:tcBorders>
            <w:shd w:val="clear" w:color="auto" w:fill="EEEEEE"/>
          </w:tcPr>
          <w:p>
            <w:pPr>
              <w:spacing w:after="0"/>
              <w:rPr>
                <w:sz w:val="18"/>
                <w:szCs w:val="18"/>
                <w:color w:val="auto"/>
              </w:rPr>
            </w:pPr>
          </w:p>
        </w:tc>
        <w:tc>
          <w:tcPr>
            <w:tcW w:w="1120" w:type="dxa"/>
            <w:vAlign w:val="bottom"/>
            <w:gridSpan w:val="2"/>
            <w:shd w:val="clear" w:color="auto" w:fill="EEEEEE"/>
          </w:tcPr>
          <w:p>
            <w:pPr>
              <w:jc w:val="right"/>
              <w:ind w:right="108"/>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71"/>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 Includes international sales of:</w:t>
            </w:r>
          </w:p>
        </w:tc>
        <w:tc>
          <w:tcPr>
            <w:tcW w:w="420" w:type="dxa"/>
            <w:vAlign w:val="bottom"/>
            <w:vMerge w:val="restart"/>
          </w:tcPr>
          <w:p>
            <w:pPr>
              <w:ind w:left="340"/>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808080"/>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420" w:type="dxa"/>
            <w:vAlign w:val="bottom"/>
            <w:tcBorders>
              <w:left w:val="single" w:sz="8" w:color="808080"/>
            </w:tcBorders>
          </w:tcPr>
          <w:p>
            <w:pPr>
              <w:spacing w:after="0"/>
              <w:rPr>
                <w:sz w:val="6"/>
                <w:szCs w:val="6"/>
                <w:color w:val="auto"/>
              </w:rPr>
            </w:pPr>
          </w:p>
        </w:tc>
        <w:tc>
          <w:tcPr>
            <w:tcW w:w="680" w:type="dxa"/>
            <w:vAlign w:val="bottom"/>
            <w:gridSpan w:val="2"/>
            <w:vMerge w:val="restart"/>
          </w:tcPr>
          <w:p>
            <w:pPr>
              <w:ind w:left="58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808080"/>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808080"/>
          </w:tcPr>
          <w:p>
            <w:pPr>
              <w:spacing w:after="0"/>
              <w:rPr>
                <w:sz w:val="6"/>
                <w:szCs w:val="6"/>
                <w:color w:val="auto"/>
              </w:rPr>
            </w:pPr>
          </w:p>
        </w:tc>
        <w:tc>
          <w:tcPr>
            <w:tcW w:w="340" w:type="dxa"/>
            <w:vAlign w:val="bottom"/>
            <w:tcBorders>
              <w:left w:val="single" w:sz="8" w:color="808080"/>
            </w:tcBorders>
          </w:tcPr>
          <w:p>
            <w:pPr>
              <w:spacing w:after="0"/>
              <w:rPr>
                <w:sz w:val="6"/>
                <w:szCs w:val="6"/>
                <w:color w:val="auto"/>
              </w:rPr>
            </w:pPr>
          </w:p>
        </w:tc>
        <w:tc>
          <w:tcPr>
            <w:tcW w:w="1120" w:type="dxa"/>
            <w:vAlign w:val="bottom"/>
            <w:gridSpan w:val="2"/>
            <w:vMerge w:val="restart"/>
          </w:tcPr>
          <w:p>
            <w:pPr>
              <w:jc w:val="right"/>
              <w:ind w:right="108"/>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4600" w:type="dxa"/>
            <w:vAlign w:val="bottom"/>
            <w:gridSpan w:val="2"/>
            <w:vMerge w:val="continue"/>
          </w:tcPr>
          <w:p>
            <w:pPr>
              <w:spacing w:after="0"/>
              <w:rPr>
                <w:sz w:val="20"/>
                <w:szCs w:val="20"/>
                <w:color w:val="auto"/>
              </w:rPr>
            </w:pPr>
          </w:p>
        </w:tc>
        <w:tc>
          <w:tcPr>
            <w:tcW w:w="4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75,378</w:t>
            </w:r>
          </w:p>
        </w:tc>
        <w:tc>
          <w:tcPr>
            <w:tcW w:w="42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67,456</w:t>
            </w:r>
          </w:p>
        </w:tc>
        <w:tc>
          <w:tcPr>
            <w:tcW w:w="42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7,922</w:t>
            </w:r>
          </w:p>
        </w:tc>
        <w:tc>
          <w:tcPr>
            <w:tcW w:w="34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operating earnings (loss) by segment:</w:t>
      </w:r>
    </w:p>
    <w:p>
      <w:pPr>
        <w:spacing w:after="0" w:line="392"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3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9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January 30,</w:t>
            </w:r>
          </w:p>
        </w:tc>
        <w:tc>
          <w:tcPr>
            <w:tcW w:w="420" w:type="dxa"/>
            <w:vAlign w:val="bottom"/>
          </w:tcPr>
          <w:p>
            <w:pPr>
              <w:spacing w:after="0"/>
              <w:rPr>
                <w:sz w:val="17"/>
                <w:szCs w:val="17"/>
                <w:color w:val="auto"/>
              </w:rPr>
            </w:pPr>
          </w:p>
        </w:tc>
        <w:tc>
          <w:tcPr>
            <w:tcW w:w="18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January 31,</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2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7"/>
                <w:szCs w:val="17"/>
                <w:color w:val="auto"/>
              </w:rPr>
            </w:pPr>
          </w:p>
        </w:tc>
        <w:tc>
          <w:tcPr>
            <w:tcW w:w="1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 Change</w:t>
            </w:r>
          </w:p>
        </w:tc>
        <w:tc>
          <w:tcPr>
            <w:tcW w:w="44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0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EEEEEE"/>
          </w:tcPr>
          <w:p>
            <w:pPr>
              <w:spacing w:after="0"/>
              <w:rPr>
                <w:sz w:val="20"/>
                <w:szCs w:val="20"/>
                <w:color w:val="auto"/>
              </w:rPr>
            </w:pPr>
            <w:r>
              <w:rPr>
                <w:rFonts w:ascii="Arial" w:cs="Arial" w:eastAsia="Arial" w:hAnsi="Arial"/>
                <w:sz w:val="18"/>
                <w:szCs w:val="18"/>
                <w:color w:val="auto"/>
              </w:rPr>
              <w:t>Professional</w:t>
            </w: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$ 28,449</w:t>
            </w:r>
          </w:p>
        </w:tc>
        <w:tc>
          <w:tcPr>
            <w:tcW w:w="660" w:type="dxa"/>
            <w:vAlign w:val="bottom"/>
            <w:shd w:val="clear" w:color="auto" w:fill="EEEEEE"/>
          </w:tcPr>
          <w:p>
            <w:pPr>
              <w:spacing w:after="0"/>
              <w:rPr>
                <w:sz w:val="18"/>
                <w:szCs w:val="18"/>
                <w:color w:val="auto"/>
              </w:rPr>
            </w:pPr>
          </w:p>
        </w:tc>
        <w:tc>
          <w:tcPr>
            <w:tcW w:w="16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$ 27,756</w:t>
            </w:r>
          </w:p>
        </w:tc>
        <w:tc>
          <w:tcPr>
            <w:tcW w:w="660" w:type="dxa"/>
            <w:vAlign w:val="bottom"/>
            <w:shd w:val="clear" w:color="auto" w:fill="EEEEEE"/>
          </w:tcPr>
          <w:p>
            <w:pPr>
              <w:spacing w:after="0"/>
              <w:rPr>
                <w:sz w:val="18"/>
                <w:szCs w:val="18"/>
                <w:color w:val="auto"/>
              </w:rPr>
            </w:pPr>
          </w:p>
        </w:tc>
        <w:tc>
          <w:tcPr>
            <w:tcW w:w="12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  693</w:t>
            </w:r>
          </w:p>
        </w:tc>
        <w:tc>
          <w:tcPr>
            <w:tcW w:w="46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88"/>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Residential</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8,337</w:t>
            </w:r>
          </w:p>
        </w:tc>
        <w:tc>
          <w:tcPr>
            <w:tcW w:w="66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8,661</w:t>
            </w:r>
          </w:p>
        </w:tc>
        <w:tc>
          <w:tcPr>
            <w:tcW w:w="660" w:type="dxa"/>
            <w:vAlign w:val="bottom"/>
          </w:tcPr>
          <w:p>
            <w:pPr>
              <w:spacing w:after="0"/>
              <w:rPr>
                <w:sz w:val="18"/>
                <w:szCs w:val="18"/>
                <w:color w:val="auto"/>
              </w:rPr>
            </w:pPr>
          </w:p>
        </w:tc>
        <w:tc>
          <w:tcPr>
            <w:tcW w:w="1680" w:type="dxa"/>
            <w:vAlign w:val="bottom"/>
            <w:gridSpan w:val="4"/>
          </w:tcPr>
          <w:p>
            <w:pPr>
              <w:jc w:val="right"/>
              <w:ind w:right="420"/>
              <w:spacing w:after="0"/>
              <w:rPr>
                <w:sz w:val="20"/>
                <w:szCs w:val="20"/>
                <w:color w:val="auto"/>
              </w:rPr>
            </w:pPr>
            <w:r>
              <w:rPr>
                <w:rFonts w:ascii="Arial" w:cs="Arial" w:eastAsia="Arial" w:hAnsi="Arial"/>
                <w:sz w:val="18"/>
                <w:szCs w:val="18"/>
                <w:color w:val="auto"/>
              </w:rPr>
              <w:t>(324)</w:t>
            </w:r>
          </w:p>
        </w:tc>
        <w:tc>
          <w:tcPr>
            <w:tcW w:w="1360" w:type="dxa"/>
            <w:vAlign w:val="bottom"/>
            <w:gridSpan w:val="2"/>
          </w:tcPr>
          <w:p>
            <w:pPr>
              <w:jc w:val="right"/>
              <w:ind w:right="188"/>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EEEEEE"/>
          </w:tcPr>
          <w:p>
            <w:pPr>
              <w:spacing w:after="0"/>
              <w:rPr>
                <w:sz w:val="20"/>
                <w:szCs w:val="20"/>
                <w:color w:val="auto"/>
              </w:rPr>
            </w:pPr>
            <w:r>
              <w:rPr>
                <w:rFonts w:ascii="Arial" w:cs="Arial" w:eastAsia="Arial" w:hAnsi="Arial"/>
                <w:sz w:val="18"/>
                <w:szCs w:val="18"/>
                <w:color w:val="auto"/>
              </w:rPr>
              <w:t>Distribution</w:t>
            </w:r>
          </w:p>
        </w:tc>
        <w:tc>
          <w:tcPr>
            <w:tcW w:w="1900" w:type="dxa"/>
            <w:vAlign w:val="bottom"/>
            <w:gridSpan w:val="3"/>
            <w:shd w:val="clear" w:color="auto" w:fill="EEEEEE"/>
          </w:tcPr>
          <w:p>
            <w:pPr>
              <w:jc w:val="right"/>
              <w:ind w:right="620"/>
              <w:spacing w:after="0"/>
              <w:rPr>
                <w:sz w:val="20"/>
                <w:szCs w:val="20"/>
                <w:color w:val="auto"/>
              </w:rPr>
            </w:pPr>
            <w:r>
              <w:rPr>
                <w:rFonts w:ascii="Arial" w:cs="Arial" w:eastAsia="Arial" w:hAnsi="Arial"/>
                <w:sz w:val="18"/>
                <w:szCs w:val="18"/>
                <w:color w:val="auto"/>
              </w:rPr>
              <w:t>(2,173)</w:t>
            </w:r>
          </w:p>
        </w:tc>
        <w:tc>
          <w:tcPr>
            <w:tcW w:w="2300" w:type="dxa"/>
            <w:vAlign w:val="bottom"/>
            <w:gridSpan w:val="4"/>
            <w:shd w:val="clear" w:color="auto" w:fill="EEEEEE"/>
          </w:tcPr>
          <w:p>
            <w:pPr>
              <w:jc w:val="right"/>
              <w:ind w:right="600"/>
              <w:spacing w:after="0"/>
              <w:rPr>
                <w:sz w:val="20"/>
                <w:szCs w:val="20"/>
                <w:color w:val="auto"/>
              </w:rPr>
            </w:pPr>
            <w:r>
              <w:rPr>
                <w:rFonts w:ascii="Arial" w:cs="Arial" w:eastAsia="Arial" w:hAnsi="Arial"/>
                <w:sz w:val="18"/>
                <w:szCs w:val="18"/>
                <w:color w:val="auto"/>
              </w:rPr>
              <w:t>(3,358)</w:t>
            </w:r>
          </w:p>
        </w:tc>
        <w:tc>
          <w:tcPr>
            <w:tcW w:w="12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1,185</w:t>
            </w:r>
          </w:p>
        </w:tc>
        <w:tc>
          <w:tcPr>
            <w:tcW w:w="46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48"/>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Other</w:t>
            </w:r>
          </w:p>
        </w:tc>
        <w:tc>
          <w:tcPr>
            <w:tcW w:w="1900" w:type="dxa"/>
            <w:vAlign w:val="bottom"/>
            <w:gridSpan w:val="3"/>
          </w:tcPr>
          <w:p>
            <w:pPr>
              <w:jc w:val="right"/>
              <w:ind w:right="620"/>
              <w:spacing w:after="0"/>
              <w:rPr>
                <w:sz w:val="20"/>
                <w:szCs w:val="20"/>
                <w:color w:val="auto"/>
              </w:rPr>
            </w:pPr>
            <w:r>
              <w:rPr>
                <w:rFonts w:ascii="Arial" w:cs="Arial" w:eastAsia="Arial" w:hAnsi="Arial"/>
                <w:sz w:val="18"/>
                <w:szCs w:val="18"/>
                <w:color w:val="auto"/>
              </w:rPr>
              <w:t>(20,591)</w:t>
            </w:r>
          </w:p>
        </w:tc>
        <w:tc>
          <w:tcPr>
            <w:tcW w:w="2300" w:type="dxa"/>
            <w:vAlign w:val="bottom"/>
            <w:gridSpan w:val="4"/>
          </w:tcPr>
          <w:p>
            <w:pPr>
              <w:jc w:val="right"/>
              <w:ind w:right="600"/>
              <w:spacing w:after="0"/>
              <w:rPr>
                <w:sz w:val="20"/>
                <w:szCs w:val="20"/>
                <w:color w:val="auto"/>
              </w:rPr>
            </w:pPr>
            <w:r>
              <w:rPr>
                <w:rFonts w:ascii="Arial" w:cs="Arial" w:eastAsia="Arial" w:hAnsi="Arial"/>
                <w:sz w:val="18"/>
                <w:szCs w:val="18"/>
                <w:color w:val="auto"/>
              </w:rPr>
              <w:t>(22,639)</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2,048</w:t>
            </w:r>
          </w:p>
        </w:tc>
        <w:tc>
          <w:tcPr>
            <w:tcW w:w="460" w:type="dxa"/>
            <w:vAlign w:val="bottom"/>
          </w:tcPr>
          <w:p>
            <w:pPr>
              <w:spacing w:after="0"/>
              <w:rPr>
                <w:sz w:val="18"/>
                <w:szCs w:val="18"/>
                <w:color w:val="auto"/>
              </w:rPr>
            </w:pPr>
          </w:p>
        </w:tc>
        <w:tc>
          <w:tcPr>
            <w:tcW w:w="1360" w:type="dxa"/>
            <w:vAlign w:val="bottom"/>
            <w:gridSpan w:val="2"/>
          </w:tcPr>
          <w:p>
            <w:pPr>
              <w:jc w:val="right"/>
              <w:ind w:right="248"/>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808080"/>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808080"/>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Total</w:t>
            </w: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$ 14,022</w:t>
            </w:r>
          </w:p>
        </w:tc>
        <w:tc>
          <w:tcPr>
            <w:tcW w:w="660" w:type="dxa"/>
            <w:vAlign w:val="bottom"/>
            <w:shd w:val="clear" w:color="auto" w:fill="EEEEEE"/>
          </w:tcPr>
          <w:p>
            <w:pPr>
              <w:spacing w:after="0"/>
              <w:rPr>
                <w:sz w:val="18"/>
                <w:szCs w:val="18"/>
                <w:color w:val="auto"/>
              </w:rPr>
            </w:pPr>
          </w:p>
        </w:tc>
        <w:tc>
          <w:tcPr>
            <w:tcW w:w="16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$ 10,420</w:t>
            </w:r>
          </w:p>
        </w:tc>
        <w:tc>
          <w:tcPr>
            <w:tcW w:w="660" w:type="dxa"/>
            <w:vAlign w:val="bottom"/>
            <w:shd w:val="clear" w:color="auto" w:fill="EEEEEE"/>
          </w:tcPr>
          <w:p>
            <w:pPr>
              <w:spacing w:after="0"/>
              <w:rPr>
                <w:sz w:val="18"/>
                <w:szCs w:val="18"/>
                <w:color w:val="auto"/>
              </w:rPr>
            </w:pPr>
          </w:p>
        </w:tc>
        <w:tc>
          <w:tcPr>
            <w:tcW w:w="12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$3,602</w:t>
            </w:r>
          </w:p>
        </w:tc>
        <w:tc>
          <w:tcPr>
            <w:tcW w:w="46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88"/>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580" w:type="dxa"/>
            <w:vAlign w:val="bottom"/>
            <w:tcBorders>
              <w:top w:val="single" w:sz="8" w:color="808080"/>
            </w:tcBorders>
            <w:shd w:val="clear" w:color="auto" w:fill="808080"/>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4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560" w:type="dxa"/>
            <w:vAlign w:val="bottom"/>
            <w:tcBorders>
              <w:top w:val="single" w:sz="8" w:color="808080"/>
            </w:tcBorders>
            <w:shd w:val="clear" w:color="auto" w:fill="808080"/>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420" w:type="dxa"/>
            <w:vAlign w:val="bottom"/>
            <w:tcBorders>
              <w:top w:val="single" w:sz="8" w:color="EEEEEE"/>
            </w:tcBorders>
          </w:tcPr>
          <w:p>
            <w:pPr>
              <w:spacing w:after="0"/>
              <w:rPr>
                <w:sz w:val="3"/>
                <w:szCs w:val="3"/>
                <w:color w:val="auto"/>
              </w:rPr>
            </w:pPr>
          </w:p>
        </w:tc>
        <w:tc>
          <w:tcPr>
            <w:tcW w:w="380" w:type="dxa"/>
            <w:vAlign w:val="bottom"/>
            <w:tcBorders>
              <w:top w:val="single" w:sz="8" w:color="EEEEEE"/>
            </w:tcBorders>
          </w:tcPr>
          <w:p>
            <w:pPr>
              <w:spacing w:after="0"/>
              <w:rPr>
                <w:sz w:val="3"/>
                <w:szCs w:val="3"/>
                <w:color w:val="auto"/>
              </w:rPr>
            </w:pPr>
          </w:p>
        </w:tc>
        <w:tc>
          <w:tcPr>
            <w:tcW w:w="420" w:type="dxa"/>
            <w:vAlign w:val="bottom"/>
            <w:tcBorders>
              <w:top w:val="single" w:sz="8" w:color="808080"/>
              <w:right w:val="single" w:sz="8" w:color="808080"/>
            </w:tcBorders>
            <w:shd w:val="clear" w:color="auto" w:fill="808080"/>
          </w:tcPr>
          <w:p>
            <w:pPr>
              <w:spacing w:after="0"/>
              <w:rPr>
                <w:sz w:val="3"/>
                <w:szCs w:val="3"/>
                <w:color w:val="auto"/>
              </w:rPr>
            </w:pPr>
          </w:p>
        </w:tc>
        <w:tc>
          <w:tcPr>
            <w:tcW w:w="460" w:type="dxa"/>
            <w:vAlign w:val="bottom"/>
            <w:tcBorders>
              <w:top w:val="single" w:sz="8" w:color="EEEEEE"/>
            </w:tcBorders>
          </w:tcPr>
          <w:p>
            <w:pPr>
              <w:spacing w:after="0"/>
              <w:rPr>
                <w:sz w:val="3"/>
                <w:szCs w:val="3"/>
                <w:color w:val="auto"/>
              </w:rPr>
            </w:pPr>
          </w:p>
        </w:tc>
        <w:tc>
          <w:tcPr>
            <w:tcW w:w="440" w:type="dxa"/>
            <w:vAlign w:val="bottom"/>
            <w:tcBorders>
              <w:top w:val="single" w:sz="8" w:color="EEEEEE"/>
            </w:tcBorders>
          </w:tcPr>
          <w:p>
            <w:pPr>
              <w:spacing w:after="0"/>
              <w:rPr>
                <w:sz w:val="3"/>
                <w:szCs w:val="3"/>
                <w:color w:val="auto"/>
              </w:rPr>
            </w:pPr>
          </w:p>
        </w:tc>
        <w:tc>
          <w:tcPr>
            <w:tcW w:w="92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02"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Worldwide net sales for the professional segment in the first quarter of fiscal 2004 were up 7.4 percent compared to the first quarter of fiscal 2003.</w:t>
      </w:r>
      <w:r>
        <w:rPr>
          <w:rFonts w:ascii="Arial" w:cs="Arial" w:eastAsia="Arial" w:hAnsi="Arial"/>
          <w:sz w:val="16"/>
          <w:szCs w:val="16"/>
          <w:i w:val="1"/>
          <w:iCs w:val="1"/>
          <w:color w:val="auto"/>
        </w:rPr>
        <w:t xml:space="preserve"> </w:t>
      </w:r>
      <w:r>
        <w:rPr>
          <w:rFonts w:ascii="Arial" w:cs="Arial" w:eastAsia="Arial" w:hAnsi="Arial"/>
          <w:sz w:val="16"/>
          <w:szCs w:val="16"/>
          <w:color w:val="auto"/>
        </w:rPr>
        <w:t>Worldwide shipments of most product lines were up due to early stocking orders and the success of introducing new products. Field inventory levels for some product lines in this segment increased for the quarter comparison due to strong early season stocking orders of new products as well as our customers anticipating strong retail sales during fiscal 2004. International professional segment net sales also benefited from a weaker U.S. dollar.</w:t>
      </w:r>
    </w:p>
    <w:p>
      <w:pPr>
        <w:spacing w:after="0" w:line="114"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i w:val="1"/>
          <w:iCs w:val="1"/>
          <w:color w:val="auto"/>
        </w:rPr>
        <w:t xml:space="preserve">Operating Earnings. </w:t>
      </w:r>
      <w:r>
        <w:rPr>
          <w:rFonts w:ascii="Arial" w:cs="Arial" w:eastAsia="Arial" w:hAnsi="Arial"/>
          <w:sz w:val="16"/>
          <w:szCs w:val="16"/>
          <w:color w:val="auto"/>
        </w:rPr>
        <w:t>Operating earnings for the professional segment were $28.4 million in the first quarter of fiscal 2004 compared to $27.8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quarter of fiscal 2003, an increase of 2.5 percent. Expressed as a percentage of net sales, professional segment operating margins were down to</w:t>
      </w:r>
    </w:p>
    <w:p>
      <w:pPr>
        <w:ind w:right="40"/>
        <w:spacing w:after="0" w:line="277" w:lineRule="auto"/>
        <w:rPr>
          <w:sz w:val="20"/>
          <w:szCs w:val="20"/>
          <w:color w:val="auto"/>
        </w:rPr>
      </w:pPr>
      <w:r>
        <w:rPr>
          <w:rFonts w:ascii="Arial" w:cs="Arial" w:eastAsia="Arial" w:hAnsi="Arial"/>
          <w:sz w:val="17"/>
          <w:szCs w:val="17"/>
          <w:color w:val="auto"/>
        </w:rPr>
        <w:t>13.7 percent compared to 14.3 percent in the first quarter of fiscal 2003. The decrease was due to a gain resulting from a legal settlement last year. Somewhat offsetting the profit decline was higher gross margins as a result of the same factors discussed previously in the Gross Profit section. In addition, SG&amp;A expense as a percentage of net sales was down due to leveraging the fixed portion of SG&amp;A costs over higher sales volumes.</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0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Worldwide net sales for the residential segment in the first quarter of fiscal 2004 were up 3.4 percent compared to the first quarter of fiscal 2003.</w:t>
      </w:r>
      <w:r>
        <w:rPr>
          <w:rFonts w:ascii="Arial" w:cs="Arial" w:eastAsia="Arial" w:hAnsi="Arial"/>
          <w:sz w:val="17"/>
          <w:szCs w:val="17"/>
          <w:i w:val="1"/>
          <w:iCs w:val="1"/>
          <w:color w:val="auto"/>
        </w:rPr>
        <w:t xml:space="preserve"> </w:t>
      </w:r>
      <w:r>
        <w:rPr>
          <w:rFonts w:ascii="Arial" w:cs="Arial" w:eastAsia="Arial" w:hAnsi="Arial"/>
          <w:sz w:val="17"/>
          <w:szCs w:val="17"/>
          <w:color w:val="auto"/>
        </w:rPr>
        <w:t>This increase was led by higher international sales due mainly to a weaker U.S. dollar and the introduction of new products. Snowthrower product shipments were also higher due to the successful introduction of our new two-stage snowthrower products as well as heavy snowfalls in key markets, which has also resulted in lower field inventory levels this year compared to last year. Lawn-Boy walk power mower sales also increased due mainly to higher shipments of new products to our distributors and dealers. Riding product sales were also up due to the introduction of new products and expanded store placement in the home center distribution channel for the new TimeCutter® zero-turning radius riding mowers. Electric blower product sales also increased due to abnormally low sales last year as a result of cold fall weather last year. Somewhat offsetting those increases were lower domestic shipments of Toro walk power mowers compared to the first quarter of fiscal 2003. Last year’s first quarter Toro walk power mower sales benefited from higher shipments to support early season retail promotional programs that will not occur in the same period this year.</w:t>
      </w:r>
    </w:p>
    <w:p>
      <w:pPr>
        <w:spacing w:after="0" w:line="141"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xml:space="preserve">Operating Earnings. </w:t>
      </w:r>
      <w:r>
        <w:rPr>
          <w:rFonts w:ascii="Arial" w:cs="Arial" w:eastAsia="Arial" w:hAnsi="Arial"/>
          <w:sz w:val="16"/>
          <w:szCs w:val="16"/>
          <w:color w:val="auto"/>
        </w:rPr>
        <w:t>Operating earnings for the residential segment decreased 3.7 percent in the first quarter of fiscal 2004 compared to the first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2003. Expressed as a percentage of net sales, residential segment operating margins decreased to 8.5 percent compared to 9.1 percent in the first quarter of fiscal 2003. The decrease was due mainly to lower gross margins as a result of higher tooling costs from new products introduced during the past year. In addition, SG&amp;A costs were higher due mainly to increased warranty costs as a result of a special reserve for a product modification.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Worldwide net sales for the distribution segment in the first quarter of fiscal 2004 were up 5.7 percent compared to the first quarter of fiscal 2003.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sales increase was due primarily to strong demand for commercial equipment and higher snowthrower shipments.</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Operating Losses. </w:t>
      </w:r>
      <w:r>
        <w:rPr>
          <w:rFonts w:ascii="Arial" w:cs="Arial" w:eastAsia="Arial" w:hAnsi="Arial"/>
          <w:sz w:val="18"/>
          <w:szCs w:val="18"/>
          <w:color w:val="auto"/>
        </w:rPr>
        <w:t>Operating losses for the distribution segment were $2.2 million in the first quarter of fiscal 2004 compared to $3.4 million in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2003. This favorable change was due to higher sales volumes as well as the impact of profit improvement initiatives at the company-owned distributorships.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02"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for the other segment include the elimination of sales from the professional and residential segments to the distribution segment.</w:t>
      </w:r>
      <w:r>
        <w:rPr>
          <w:rFonts w:ascii="Arial" w:cs="Arial" w:eastAsia="Arial" w:hAnsi="Arial"/>
          <w:sz w:val="17"/>
          <w:szCs w:val="17"/>
          <w:i w:val="1"/>
          <w:iCs w:val="1"/>
          <w:color w:val="auto"/>
        </w:rPr>
        <w:t xml:space="preserve"> </w:t>
      </w:r>
      <w:r>
        <w:rPr>
          <w:rFonts w:ascii="Arial" w:cs="Arial" w:eastAsia="Arial" w:hAnsi="Arial"/>
          <w:sz w:val="17"/>
          <w:szCs w:val="17"/>
          <w:color w:val="auto"/>
        </w:rPr>
        <w:t>Professional and residential segment shipments to the company-owned distribution companies are eliminated in the other segment because consolidated results reflect those sales in the distribution segment after products are sold by the company-owned distributorships. In addition, elimination of the professional and residential segments’ floor plan interest costs from Toro Credit Company are also included in this segment. The other segment net sales elimination increased 8.4 percent, reflecting higher levels of shipments to the distribution companies.</w:t>
      </w:r>
    </w:p>
    <w:p>
      <w:pPr>
        <w:spacing w:after="0" w:line="13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i w:val="1"/>
          <w:iCs w:val="1"/>
          <w:color w:val="auto"/>
        </w:rPr>
        <w:t>Operating Losses</w:t>
      </w:r>
      <w:r>
        <w:rPr>
          <w:rFonts w:ascii="Arial" w:cs="Arial" w:eastAsia="Arial" w:hAnsi="Arial"/>
          <w:sz w:val="16"/>
          <w:szCs w:val="16"/>
          <w:color w:val="auto"/>
        </w:rPr>
        <w:t>. Operating losses for the other segment were down 9.0 percent compared to the first quarter of fiscal 2003. This loss decline was due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following factors: (i) costs for distributor changes last year that did not occur this year; (ii) a decline in bad debt expense as we collected receivables previously written off; and (iii) lower interest expense. Somewhat offsetting those decreases were continued investments in information systems.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89"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During the first quarter of fiscal 2004, our financial condition remained strong and emphasis continued on improving asset management. Average working capital for the first three months of fiscal 2004 was $361.1 million compared to $296.7 million for the first three months of fiscal 2003. The increase of</w:t>
      </w:r>
    </w:p>
    <w:p>
      <w:pPr>
        <w:spacing w:after="0" w:line="271" w:lineRule="auto"/>
        <w:rPr>
          <w:sz w:val="20"/>
          <w:szCs w:val="20"/>
          <w:color w:val="auto"/>
        </w:rPr>
      </w:pPr>
      <w:r>
        <w:rPr>
          <w:rFonts w:ascii="Arial" w:cs="Arial" w:eastAsia="Arial" w:hAnsi="Arial"/>
          <w:sz w:val="17"/>
          <w:szCs w:val="17"/>
          <w:color w:val="auto"/>
        </w:rPr>
        <w:t>21.7 percent was due to lower average debt, higher average cash and cash equivalents, and higher average receivables, somewhat offset by higher average accounts payables and accrued liabilities. The primary factor contributing to the higher average working capital included lowering our average debt levels and using cash on hand to finance our operating activities. In addition, the main reason for the increase in average receivables was due to higher sales volumes and higher currency exchange rates. Average days outstanding for receivables remained unchanged at 88 days based on sales for the last twelve months ended January 30, 2004 compared to the twelve months ended January 31, 2003.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businesses are working capital intensive and require funding for purchases of raw materials used in production, replacement parts inventory, capital expenditures, expansion and upgrading of existing facilities, as well as for financing receivables from customers. We believe that cash generated from operations, together with our fixed rate long-term debt, bank credit lines, and cash on hand, provide us with adequate liquidity to meet our operating requirements. We believe that the combination of funds available through existing or anticipated financing arrangements, coupled with forecasted cash flows, will be sufficient to provide the necessary capital resources for our anticipated working capital, capital expenditures, debt repayments, and stock repurchases through at least the next twelve months.</w:t>
      </w:r>
    </w:p>
    <w:p>
      <w:pPr>
        <w:spacing w:after="0" w:line="153"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Cash Flow. </w:t>
      </w:r>
      <w:r>
        <w:rPr>
          <w:rFonts w:ascii="Arial" w:cs="Arial" w:eastAsia="Arial" w:hAnsi="Arial"/>
          <w:sz w:val="18"/>
          <w:szCs w:val="18"/>
          <w:color w:val="auto"/>
        </w:rPr>
        <w:t>Cash used in operating activities for the first three months of fiscal 2004 was 20.6 percent lower than the first three months of fiscal 2003, due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to higher earnings and lesser increases in receivables and inventory levels, somewhat offset by a lower increase in accounts payable and accrued liabilities. Cash used in investing activities was lower by 13.3 percent compared to the first quarter of fiscal 2003, due mainly to lower purchases of property, plant, and equipment as a result of higher levels of tooling and equipment costs incurred last year related to new products introduced during the past year. Cash used in financing activities was $23.2 million for the first three months of fiscal 2004 compared to cash provided by financing activities of $23.4 million for the first three months of fiscal 2003. This change was due to a lower increase in short-term debt during the first three months of fiscal 2004 compared to the first three months of fiscal 2003 as a result of using cash on hand to finance operating activities, as well as for repayments of long-term debt and repurchases of common stock.</w:t>
      </w:r>
    </w:p>
    <w:p>
      <w:pPr>
        <w:spacing w:after="0" w:line="152"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Credit Lines and Other Capital Resources. </w:t>
      </w:r>
      <w:r>
        <w:rPr>
          <w:rFonts w:ascii="Arial" w:cs="Arial" w:eastAsia="Arial" w:hAnsi="Arial"/>
          <w:sz w:val="17"/>
          <w:szCs w:val="17"/>
          <w:color w:val="auto"/>
        </w:rPr>
        <w:t>Our business is seasonal, with peak borrowing generally occurring between February and May each year. Our U.S.</w:t>
      </w:r>
      <w:r>
        <w:rPr>
          <w:rFonts w:ascii="Arial" w:cs="Arial" w:eastAsia="Arial" w:hAnsi="Arial"/>
          <w:sz w:val="17"/>
          <w:szCs w:val="17"/>
          <w:i w:val="1"/>
          <w:iCs w:val="1"/>
          <w:color w:val="auto"/>
        </w:rPr>
        <w:t xml:space="preserve"> </w:t>
      </w:r>
      <w:r>
        <w:rPr>
          <w:rFonts w:ascii="Arial" w:cs="Arial" w:eastAsia="Arial" w:hAnsi="Arial"/>
          <w:sz w:val="17"/>
          <w:szCs w:val="17"/>
          <w:color w:val="auto"/>
        </w:rPr>
        <w:t>seasonal working capital requirements are funded with a $175.0 million medium-term committed unsecured bank credit line with various banks, which expires in February 2005. We also have a $75.0 million secured credit line backed by a multi-year credit agreement. Interest expense on these credit lines is determined based on a LIBOR or commercial paper rate plus a basis point spread defined in the credit agreements. In addition, our non-U.S. operations and a domestic subsidiary also maintain unsecured short-term lines of credit of approximately $12.6 million. These facilities bear interest at various rates depending on the rates in their respective countries of operation. We also have a letter of credit subfacility as part of our credit agreements. Average borrowings were $2.7 million in the first quarter of fiscal 2004 compared to $10.0 million in the first quarter of fiscal 2003. The decrease in average short-term debt resulted primarily from the use of cash to finance working capital requirements and higher average levels of accounts payables and accrued liabilities. As of January 30, 2004, we had $260.3 million of unutilized availability under our credit agreements.</w:t>
      </w:r>
    </w:p>
    <w:p>
      <w:pPr>
        <w:spacing w:after="0" w:line="15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Significant financial covenants in our credit agreements are interest coverage and debt to total capitalization ratios. We were in compliance with all covenants related to our credit agreements as of January 30, 2004, and expect to be in compliance with all covenants for the remainder of fiscal 2004. Our credit agreements require compliance with all of the covenants defined in the agreements. However, if we are out of compliance with any debt covenant required by our credit agreements, the banks could terminate their commitments unless we could negotiate a covenant waiver from the banks. In addition, our long-term public notes and debentures could become due and payable if we were unable to obtain a covenant waiver or refinance our medium-term debt under our credit agreements. If our credit rating falls below investment grade, the interest rate we currently pay on outstanding debt on the credit agreements would increase, but the credit commitments could not be cancelled by the banks based only on a ratings downgrade. Our debt rating for long-term unsecured senior, non-credit enhanced debt has been unchanged for the first quarter of fiscal 2004 by Standard and Poor’s Ratings Group at BBB- and by Moody’s Investors Service at Baa3.</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off-balance sheet arrangements relates to customer financing activities and inventory purchase commitments as well as operating lease commitments. See our most recent Annual Report filed on Form 10-K for further details regarding our off-balance sheet arrangements and contractual obligations. There has been no material change in this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subject to the effects of inflation and changing prices. In our opinion, changes in net sales and net earnings that have resulted from inflation and changing prices have not been material during the periods presented. However, there is no assurance that inflation will not materially affect us in the future. In fiscal 2004, we expect steel and aluminum prices to increase. We will attempt to deal with these and other inflationary pressures by actively pursuing internal cost reduction efforts and introducing slight price increases.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preparing the consolidated financial statements in conformity with accounting principles generally accepted in the United States of America, we must make decisions which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actuarial valuations. Actual amounts could differ from those estimated at the time the consolidated financial statements are prepared.</w:t>
      </w:r>
    </w:p>
    <w:p>
      <w:pPr>
        <w:spacing w:after="0" w:line="13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significant accounting policies are described in Note 1 to the consolidated financial statements included in our Annual Report on Form 10-K for the fiscal year ended October 31, 2003. Not all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 (ii) different estimates reasonably could have been used or changes in the estimate that are reasonably likely to occur from period to period would have a material impact on the presentation of our financial condition, changes in financial condition or results of operations. Our critical accounting estimates include the following:</w:t>
      </w:r>
    </w:p>
    <w:p>
      <w:pPr>
        <w:spacing w:after="0" w:line="15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Warranty Reserve</w:t>
      </w:r>
      <w:r>
        <w:rPr>
          <w:rFonts w:ascii="Arial" w:cs="Arial" w:eastAsia="Arial" w:hAnsi="Arial"/>
          <w:sz w:val="17"/>
          <w:szCs w:val="17"/>
          <w:color w:val="auto"/>
        </w:rPr>
        <w:t>. Warranty coverage on our products ranges from a period of six months to seven years, and coverage includes parts, labor,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for non-maintenance repairs, provided operator abuse, improper use or negligence did not necessitate the repair. We accrue at the time of sale by product line a warranty reserve for estimated costs in connection with future warranty claims. We also establish reserves for major rework campaigns. The amount of our warranty reserves is based on the estimated number of products under warranty, historical average costs incurred to service warranty claims, the trend in the historical ratio of claims to sales, the historical length of time between the sale and resulting warranty claim, and other factors. We periodically assess the adequacy of our warranty reserves based on changes in these factors and record any necessary adjustments if actual claim experience indicates that adjustments are necessary. Actual claims could be higher or lower than amounts estimated, as the amount and value of warranty claims are subject to variation, including performance of new products, significant manufacturing or design defects not discovered until after the product is delivered to customers, product failure rates, higher or lower than expected service costs for a repair, and other similar factors. We believe that analysis of historical trends and knowledge of potential manufacturing or design problems provide sufficient information to establish a reasonable estimate for warranty claims at the time of sale. An unexpected increase in warranty claims or in the costs associated with servicing those claims would result in an increase in our warranty accrual and a decrease in our net earnings.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Accounts and Notes Receivable Valuation</w:t>
      </w:r>
      <w:r>
        <w:rPr>
          <w:rFonts w:ascii="Arial" w:cs="Arial" w:eastAsia="Arial" w:hAnsi="Arial"/>
          <w:sz w:val="17"/>
          <w:szCs w:val="17"/>
          <w:color w:val="auto"/>
        </w:rPr>
        <w:t>. We value accounts and notes receivable, net of an allowance for doubtful accounts. Each quarter, we estimate our</w:t>
      </w:r>
      <w:r>
        <w:rPr>
          <w:rFonts w:ascii="Arial" w:cs="Arial" w:eastAsia="Arial" w:hAnsi="Arial"/>
          <w:sz w:val="17"/>
          <w:szCs w:val="17"/>
          <w:i w:val="1"/>
          <w:iCs w:val="1"/>
          <w:color w:val="auto"/>
        </w:rPr>
        <w:t xml:space="preserve"> </w:t>
      </w:r>
      <w:r>
        <w:rPr>
          <w:rFonts w:ascii="Arial" w:cs="Arial" w:eastAsia="Arial" w:hAnsi="Arial"/>
          <w:sz w:val="17"/>
          <w:szCs w:val="17"/>
          <w:color w:val="auto"/>
        </w:rPr>
        <w:t>ability to collect outstanding receivables and establish an allowance for doubtful accounts. In doing so, we evaluate the age of our receivables, past collection history, current financial conditions of key customers, and economic conditions. Based on this evaluation, we establish a reserve for specific accounts and notes receivable that we believe are uncollectible, as well as an estimate of uncollectible receivables not specifically known. Portions of our accounts receivable are protected by a security interest in products held by customers, which minimizes our collection exposure. A deterioration in the financial condition of any key customer or a significant slow down in the economy could have a material negative impact on our ability to collect a portion or all of the accounts and notes receivable. We believe that analysis of historical trends and current knowledge of potential collection problems provides us sufficient information to establish a reasonable estimate for an allowance for doubtful accounts. However, since we cannot predict with certainty future changes in the financial stability of our customers, our actual future losses from uncollectible accounts may differ from our estimates. In the event we determined that a smaller or larger uncollectible accounts reserve was appropriate, we would record a credit or charge to selling, general, and administrative expense in the period in which we made such a determination.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8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Safe Harbor Statement</w:t>
      </w:r>
      <w:r>
        <w:rPr>
          <w:rFonts w:ascii="Arial" w:cs="Arial" w:eastAsia="Arial" w:hAnsi="Arial"/>
          <w:sz w:val="18"/>
          <w:szCs w:val="18"/>
          <w:color w:val="auto"/>
        </w:rPr>
        <w:t>.</w:t>
      </w:r>
      <w:r>
        <w:rPr>
          <w:rFonts w:ascii="Arial" w:cs="Arial" w:eastAsia="Arial" w:hAnsi="Arial"/>
          <w:sz w:val="18"/>
          <w:szCs w:val="18"/>
          <w:i w:val="1"/>
          <w:iCs w:val="1"/>
          <w:color w:val="auto"/>
        </w:rPr>
        <w:t xml:space="preserve"> This Quarterly Report on Form 10-Q contains or incorporates by reference not only historical information, but also forward-looking statements within the meaning of Section 27A of the Securities Act of 1933 and Section 21E of the Securities Exchange Act of 1934. In addition, we or others on our behalf may make forward-looking statements from time to time in oral presentations, including telephone conferences and/or web casts open to the public, in press releases or reports, on our Internet web site or otherwise. Statements that are not historical are forward-looking and reflect expectations and assumptions. We try to identify forward-looking statements in this report and elsewhere by using words such as “expect”, “looking ahead”, “anticipate”, “estimate”, “believe”, “should”, “intend”, and similar expressions. Our forward-looking statements generally relate to our future performance, including our anticipated operating results and liquidity requirements, our business strategies and goals, and the effect of laws, rules and regulations and outstanding litigation on our business.</w:t>
      </w:r>
    </w:p>
    <w:p>
      <w:pPr>
        <w:spacing w:after="0" w:line="1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Forward-looking statements involve risks and uncertainties. These uncertainties include factors that affect all businesses operating in a global market as well as matters specific to Toro. The following are some of the factors known to us that could cause our actual results to differ materially from what we have anticipated in our forward-looking statements:</w:t>
      </w:r>
    </w:p>
    <w:p>
      <w:pPr>
        <w:spacing w:after="0" w:line="181" w:lineRule="exact"/>
        <w:rPr>
          <w:sz w:val="20"/>
          <w:szCs w:val="20"/>
          <w:color w:val="auto"/>
        </w:rPr>
      </w:pPr>
    </w:p>
    <w:p>
      <w:pPr>
        <w:ind w:left="220" w:right="580" w:hanging="167"/>
        <w:spacing w:after="0" w:line="277"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global and domestic economies, including but not limited to slow growth rate, slow down in home sales, rise in interest rates, inflation, unemployment, and weaker consumer confidence, which could have a negative impact on our financial results.</w:t>
      </w:r>
    </w:p>
    <w:p>
      <w:pPr>
        <w:spacing w:after="0" w:line="170" w:lineRule="exact"/>
        <w:rPr>
          <w:rFonts w:ascii="Arial" w:cs="Arial" w:eastAsia="Arial" w:hAnsi="Arial"/>
          <w:sz w:val="18"/>
          <w:szCs w:val="18"/>
          <w:color w:val="auto"/>
        </w:rPr>
      </w:pPr>
    </w:p>
    <w:p>
      <w:pPr>
        <w:ind w:left="220" w:right="360" w:hanging="167"/>
        <w:spacing w:after="0" w:line="277"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threat of terrorist acts and war, which may result in heightened security and higher costs for import and export shipments of components or finished goods, and contraction of the U.S. and worldwide economies.</w:t>
      </w:r>
    </w:p>
    <w:p>
      <w:pPr>
        <w:spacing w:after="0" w:line="170" w:lineRule="exact"/>
        <w:rPr>
          <w:rFonts w:ascii="Arial" w:cs="Arial" w:eastAsia="Arial" w:hAnsi="Arial"/>
          <w:sz w:val="18"/>
          <w:szCs w:val="18"/>
          <w:color w:val="auto"/>
        </w:rPr>
      </w:pPr>
    </w:p>
    <w:p>
      <w:pPr>
        <w:ind w:left="220" w:right="120" w:hanging="167"/>
        <w:spacing w:after="0" w:line="277"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achieve goals of the “6 + 8” initiative, which is intended to increase our after-tax return on sales to 6 percent or better and grow revenues at an average rate of 8 percent or better by the end of fiscal 2006.</w:t>
      </w:r>
    </w:p>
    <w:p>
      <w:pPr>
        <w:spacing w:after="0" w:line="170" w:lineRule="exact"/>
        <w:rPr>
          <w:rFonts w:ascii="Arial" w:cs="Arial" w:eastAsia="Arial" w:hAnsi="Arial"/>
          <w:sz w:val="18"/>
          <w:szCs w:val="18"/>
          <w:color w:val="auto"/>
        </w:rPr>
      </w:pPr>
    </w:p>
    <w:p>
      <w:pPr>
        <w:ind w:left="220" w:right="140" w:hanging="167"/>
        <w:spacing w:after="0" w:line="277"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competition, including competitive pricing pressures, new product introductions, and financing programs offered by both domestic and foreign companies.</w:t>
      </w:r>
    </w:p>
    <w:p>
      <w:pPr>
        <w:spacing w:after="0" w:line="170" w:lineRule="exact"/>
        <w:rPr>
          <w:rFonts w:ascii="Arial" w:cs="Arial" w:eastAsia="Arial" w:hAnsi="Arial"/>
          <w:sz w:val="18"/>
          <w:szCs w:val="18"/>
          <w:color w:val="auto"/>
        </w:rPr>
      </w:pPr>
    </w:p>
    <w:p>
      <w:pPr>
        <w:ind w:left="220" w:right="560" w:hanging="167"/>
        <w:spacing w:after="0" w:line="277"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such as steel, aluminum, oil and natural gas, and the ability to maintain favorable supplier arrangements and relationships.</w:t>
      </w:r>
    </w:p>
    <w:p>
      <w:pPr>
        <w:spacing w:after="0" w:line="170" w:lineRule="exact"/>
        <w:rPr>
          <w:rFonts w:ascii="Arial" w:cs="Arial" w:eastAsia="Arial" w:hAnsi="Arial"/>
          <w:sz w:val="18"/>
          <w:szCs w:val="18"/>
          <w:color w:val="auto"/>
        </w:rPr>
      </w:pPr>
    </w:p>
    <w:p>
      <w:pPr>
        <w:ind w:left="220" w:hanging="167"/>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Weather conditions that reduce demand for our products.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acquire, develop, and integrate new businesses and manage alliances successfully, both of which are important to our revenue growth.</w:t>
      </w:r>
    </w:p>
    <w:p>
      <w:pPr>
        <w:spacing w:after="0" w:line="236" w:lineRule="exact"/>
        <w:rPr>
          <w:rFonts w:ascii="Arial" w:cs="Arial" w:eastAsia="Arial" w:hAnsi="Arial"/>
          <w:sz w:val="17"/>
          <w:szCs w:val="17"/>
          <w:color w:val="auto"/>
        </w:rPr>
      </w:pPr>
    </w:p>
    <w:p>
      <w:pPr>
        <w:ind w:left="220" w:hanging="167"/>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achieve projected sales and earnings growth for fiscal 2004.</w:t>
      </w:r>
    </w:p>
    <w:p>
      <w:pPr>
        <w:spacing w:after="0" w:line="225" w:lineRule="exact"/>
        <w:rPr>
          <w:rFonts w:ascii="Arial" w:cs="Arial" w:eastAsia="Arial" w:hAnsi="Arial"/>
          <w:sz w:val="18"/>
          <w:szCs w:val="18"/>
          <w:color w:val="auto"/>
        </w:rPr>
      </w:pPr>
    </w:p>
    <w:p>
      <w:pPr>
        <w:ind w:left="220" w:right="700" w:hanging="167"/>
        <w:spacing w:after="0" w:line="342" w:lineRule="auto"/>
        <w:tabs>
          <w:tab w:leader="none" w:pos="220" w:val="left"/>
        </w:tabs>
        <w:numPr>
          <w:ilvl w:val="0"/>
          <w:numId w:val="1"/>
        </w:numPr>
        <w:rPr>
          <w:rFonts w:ascii="Arial" w:cs="Arial" w:eastAsia="Arial" w:hAnsi="Arial"/>
          <w:sz w:val="16"/>
          <w:szCs w:val="16"/>
          <w:color w:val="auto"/>
        </w:rPr>
      </w:pPr>
      <w:r>
        <w:rPr>
          <w:rFonts w:ascii="Arial" w:cs="Arial" w:eastAsia="Arial" w:hAnsi="Arial"/>
          <w:sz w:val="16"/>
          <w:szCs w:val="16"/>
          <w:color w:val="auto"/>
        </w:rPr>
        <w:t>Market acceptance of new products as well as sales generated from these new products relative to expectations, based on existing and anticipated investments in manufacturing capacity and commitments to fund advertising, marketing, promotional programs, and research and development.</w:t>
      </w:r>
    </w:p>
    <w:p>
      <w:pPr>
        <w:spacing w:after="0" w:line="123" w:lineRule="exact"/>
        <w:rPr>
          <w:rFonts w:ascii="Arial" w:cs="Arial" w:eastAsia="Arial" w:hAnsi="Arial"/>
          <w:sz w:val="16"/>
          <w:szCs w:val="16"/>
          <w:color w:val="auto"/>
        </w:rPr>
      </w:pPr>
    </w:p>
    <w:p>
      <w:pPr>
        <w:ind w:left="220" w:hanging="167"/>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Elimination or reduction of shelf space for our products at retailers.</w:t>
      </w:r>
    </w:p>
    <w:p>
      <w:pPr>
        <w:spacing w:after="0" w:line="225" w:lineRule="exact"/>
        <w:rPr>
          <w:rFonts w:ascii="Arial" w:cs="Arial" w:eastAsia="Arial" w:hAnsi="Arial"/>
          <w:sz w:val="18"/>
          <w:szCs w:val="18"/>
          <w:color w:val="auto"/>
        </w:rPr>
      </w:pPr>
    </w:p>
    <w:p>
      <w:pPr>
        <w:ind w:left="220" w:right="140" w:hanging="167"/>
        <w:spacing w:after="0" w:line="277"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Unforeseen inventory adjustments or changes in purchasing patterns by our customers, which could reduce sales and necessitate lowering manufacturing volumes, or increase inventory above acceptable levels.</w:t>
      </w:r>
    </w:p>
    <w:p>
      <w:pPr>
        <w:spacing w:after="0" w:line="170" w:lineRule="exact"/>
        <w:rPr>
          <w:rFonts w:ascii="Arial" w:cs="Arial" w:eastAsia="Arial" w:hAnsi="Arial"/>
          <w:sz w:val="18"/>
          <w:szCs w:val="18"/>
          <w:color w:val="auto"/>
        </w:rPr>
      </w:pPr>
    </w:p>
    <w:p>
      <w:pPr>
        <w:ind w:left="220" w:hanging="167"/>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our relationship with and terms from third party financing sources utilized by our customers.</w:t>
      </w:r>
    </w:p>
    <w:p>
      <w:pPr>
        <w:sectPr>
          <w:pgSz w:w="11900" w:h="16838" w:orient="portrait"/>
          <w:cols w:equalWidth="0" w:num="1">
            <w:col w:w="11380"/>
          </w:cols>
          <w:pgMar w:left="240" w:top="419" w:right="279" w:bottom="144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hanging="167"/>
        <w:spacing w:after="0" w:line="277"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Unforeseen product quality problems in the development and production of new and existing products, which could result in loss of market share, reduced sales, and higher warranty expense.</w:t>
      </w:r>
    </w:p>
    <w:p>
      <w:pPr>
        <w:spacing w:after="0" w:line="170" w:lineRule="exact"/>
        <w:rPr>
          <w:rFonts w:ascii="Arial" w:cs="Arial" w:eastAsia="Arial" w:hAnsi="Arial"/>
          <w:sz w:val="18"/>
          <w:szCs w:val="18"/>
          <w:color w:val="auto"/>
        </w:rPr>
      </w:pPr>
    </w:p>
    <w:p>
      <w:pPr>
        <w:ind w:left="220" w:right="140" w:hanging="167"/>
        <w:spacing w:after="0" w:line="277"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Degree of success in restructuring and plant consolidation, including our ability to cost-effectively expand existing, move production between, and close manufacturing facilities.</w:t>
      </w:r>
    </w:p>
    <w:p>
      <w:pPr>
        <w:spacing w:after="0" w:line="170" w:lineRule="exact"/>
        <w:rPr>
          <w:rFonts w:ascii="Arial" w:cs="Arial" w:eastAsia="Arial" w:hAnsi="Arial"/>
          <w:sz w:val="18"/>
          <w:szCs w:val="18"/>
          <w:color w:val="auto"/>
        </w:rPr>
      </w:pPr>
    </w:p>
    <w:p>
      <w:pPr>
        <w:ind w:left="220" w:hanging="167"/>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degree of recovery in the golf course market.</w:t>
      </w:r>
    </w:p>
    <w:p>
      <w:pPr>
        <w:spacing w:after="0" w:line="225" w:lineRule="exact"/>
        <w:rPr>
          <w:rFonts w:ascii="Arial" w:cs="Arial" w:eastAsia="Arial" w:hAnsi="Arial"/>
          <w:sz w:val="18"/>
          <w:szCs w:val="18"/>
          <w:color w:val="auto"/>
        </w:rPr>
      </w:pPr>
    </w:p>
    <w:p>
      <w:pPr>
        <w:ind w:left="220" w:right="200" w:hanging="167"/>
        <w:spacing w:after="0" w:line="277"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Changing buying patterns, including but not limited to, a trend away from purchases at dealer outlets to price and value sensitive purchases at hardware retailers, home centers, and mass retailers.</w:t>
      </w:r>
    </w:p>
    <w:p>
      <w:pPr>
        <w:spacing w:after="0" w:line="170" w:lineRule="exact"/>
        <w:rPr>
          <w:rFonts w:ascii="Arial" w:cs="Arial" w:eastAsia="Arial" w:hAnsi="Arial"/>
          <w:sz w:val="18"/>
          <w:szCs w:val="18"/>
          <w:color w:val="auto"/>
        </w:rPr>
      </w:pPr>
    </w:p>
    <w:p>
      <w:pPr>
        <w:ind w:left="220" w:hanging="167"/>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dependence on The Home Depot, Inc. as a customer for the residential segment.</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Reduced government spending for grounds maintenance equipment due to reduced tax revenue and tighter government budgets.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Governmental restrictions placed on water usage as well as water availability.</w:t>
      </w:r>
    </w:p>
    <w:p>
      <w:pPr>
        <w:spacing w:after="0" w:line="225" w:lineRule="exact"/>
        <w:rPr>
          <w:rFonts w:ascii="Arial" w:cs="Arial" w:eastAsia="Arial" w:hAnsi="Arial"/>
          <w:sz w:val="18"/>
          <w:szCs w:val="18"/>
          <w:color w:val="auto"/>
        </w:rPr>
      </w:pPr>
    </w:p>
    <w:p>
      <w:pPr>
        <w:ind w:left="220" w:right="400" w:hanging="167"/>
        <w:spacing w:after="0" w:line="277"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viability of some distributors and dealers, changes in distributor ownership, our success in partnering with new dealers, and our customers’ ability to pay amounts owed to us.</w:t>
      </w:r>
    </w:p>
    <w:p>
      <w:pPr>
        <w:spacing w:after="0" w:line="170" w:lineRule="exact"/>
        <w:rPr>
          <w:rFonts w:ascii="Arial" w:cs="Arial" w:eastAsia="Arial" w:hAnsi="Arial"/>
          <w:sz w:val="18"/>
          <w:szCs w:val="18"/>
          <w:color w:val="auto"/>
        </w:rPr>
      </w:pPr>
    </w:p>
    <w:p>
      <w:pPr>
        <w:ind w:left="220" w:right="160" w:hanging="167"/>
        <w:spacing w:after="0" w:line="277"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laws and regulations, including changes in accounting standards; taxation changes, including tax rate changes, new tax laws, revised tax law interpretations, or the repeal of the foreign export benefit; and environmental laws.</w:t>
      </w:r>
    </w:p>
    <w:p>
      <w:pPr>
        <w:spacing w:after="0" w:line="170" w:lineRule="exact"/>
        <w:rPr>
          <w:rFonts w:ascii="Arial" w:cs="Arial" w:eastAsia="Arial" w:hAnsi="Arial"/>
          <w:sz w:val="18"/>
          <w:szCs w:val="18"/>
          <w:color w:val="auto"/>
        </w:rPr>
      </w:pPr>
    </w:p>
    <w:p>
      <w:pPr>
        <w:ind w:left="220" w:hanging="167"/>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effects of litigation, including threatened or pending litigation, on matters relating to patent infringement, employment, and commercial disputes.</w:t>
      </w:r>
    </w:p>
    <w:p>
      <w:pPr>
        <w:spacing w:after="0" w:line="236" w:lineRule="exact"/>
        <w:rPr>
          <w:rFonts w:ascii="Arial" w:cs="Arial" w:eastAsia="Arial" w:hAnsi="Arial"/>
          <w:sz w:val="17"/>
          <w:szCs w:val="17"/>
          <w:color w:val="auto"/>
        </w:rPr>
      </w:pPr>
    </w:p>
    <w:p>
      <w:pPr>
        <w:ind w:left="220" w:right="680" w:hanging="167"/>
        <w:spacing w:after="0" w:line="277"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changes in currency exchange rates or raw material commodity prices, and the costs we incur in providing price support to international customers and suppliers.</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assume no obligation to update forward-looking statements to reflect actual results or changes in factors or assumptions affecting such forward-looking statements. We advise you, however, to consult any further disclosures we make on related subjects in our future quarterly reports on Form 10-Q and current reports on Form 8-K we file with or furnish to the Securities and Exchange Commission.</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QUALITIATIVE DISCLOSURES ABOUT MARKET RISK</w:t>
      </w:r>
    </w:p>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exposed to market risk stemming from changes in foreign currency exchange rates, interest rates, and commodity prices. Changes in these factors could cause fluctuations in our net earnings and cash flows. In the normal course of business, we actively manage the exposure to foreign currency market risk by entering into various hedging instruments, authorized under company policies that place controls on these activities, with counterparties that are highly rated financial institutions. Our hedging activities involve the use of a variety of derivative financial instruments. We use derivative instruments only in an attempt to limit underlying exposure from currency fluctuations and to minimize earnings and cash volatility associated with foreign exchange rate changes, and not for trading purposes. Our market risk on interest rates relates primarily to short-term debt and the potential increase in fair value of long-term debt resulting from a potential decrease in interest rates. However, we do not have a cash flow or earnings exposure due to market risks on long-term debt. See further discussions on these market risks below.</w:t>
      </w:r>
    </w:p>
    <w:p>
      <w:pPr>
        <w:spacing w:after="0" w:line="138"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 xml:space="preserve">Foreign Currency Exchange Rate Risk. </w:t>
      </w:r>
      <w:r>
        <w:rPr>
          <w:rFonts w:ascii="Arial" w:cs="Arial" w:eastAsia="Arial" w:hAnsi="Arial"/>
          <w:sz w:val="16"/>
          <w:szCs w:val="16"/>
          <w:color w:val="auto"/>
        </w:rPr>
        <w:t>We are exposed to foreign currency exchange rate risk arising from transactions in the normal course of business, such</w:t>
      </w:r>
      <w:r>
        <w:rPr>
          <w:rFonts w:ascii="Arial" w:cs="Arial" w:eastAsia="Arial" w:hAnsi="Arial"/>
          <w:sz w:val="16"/>
          <w:szCs w:val="16"/>
          <w:i w:val="1"/>
          <w:iCs w:val="1"/>
          <w:color w:val="auto"/>
        </w:rPr>
        <w:t xml:space="preserve"> </w:t>
      </w:r>
      <w:r>
        <w:rPr>
          <w:rFonts w:ascii="Arial" w:cs="Arial" w:eastAsia="Arial" w:hAnsi="Arial"/>
          <w:sz w:val="16"/>
          <w:szCs w:val="16"/>
          <w:color w:val="auto"/>
        </w:rPr>
        <w:t>as sales and loans to wholly owned subsidiaries as well as sales to third party customers, purchases from suppliers, and bank lines of credit with creditors denominated in foreign currencies. Because our products are manufactured or sourced primarily from the United States, a stronger U.S. dollar generally has a negative impact on results from operations outside the United States while a weaker dollar generally has a positive effect. Our primary exchange rate exposure is with the euro, the Japanese yen, the Australian dollar, the Canadian dollar, the British pound, and the Mexican peso against the U.S. dollar.</w:t>
      </w:r>
    </w:p>
    <w:p>
      <w:pPr>
        <w:spacing w:after="0" w:line="11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enter into various contracts, principally forward contracts that change in value as foreign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the value of the related exposures. Therefore, changes in market values of these hedge instruments are highly correlated with changes in market values of underlying hedged items both at inception of the hedge and over the life of the hedge contract. During the quarter ended January 30, 2004, the amount of losses reclassified to earnings for cash flow hedges was $2.7 million.</w:t>
      </w:r>
    </w:p>
    <w:p>
      <w:pPr>
        <w:spacing w:after="0" w:line="1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foreign currency exchange contracts held by us have maturity dates in fiscal 2004. All items are non-trading and stated in U.S. dollars. Some derivative instruments we enter into do not meet the hedging criteria of SFAS No. 133; therefore, changes in their fair value are recorded in other income, net. The average contracted rate, notional amount, pre-tax value of derivative instruments in accumulated other comprehensive income (loss), and fair value impact of derivative instruments in other income, net as of January 30, 2004 were as follows:</w:t>
      </w:r>
    </w:p>
    <w:p>
      <w:pPr>
        <w:spacing w:after="0" w:line="34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Value in</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Accumulated</w:t>
            </w:r>
          </w:p>
        </w:tc>
        <w:tc>
          <w:tcPr>
            <w:tcW w:w="260" w:type="dxa"/>
            <w:vAlign w:val="bottom"/>
          </w:tcPr>
          <w:p>
            <w:pPr>
              <w:spacing w:after="0"/>
              <w:rPr>
                <w:sz w:val="12"/>
                <w:szCs w:val="12"/>
                <w:color w:val="auto"/>
              </w:rPr>
            </w:pPr>
          </w:p>
        </w:tc>
        <w:tc>
          <w:tcPr>
            <w:tcW w:w="14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Notional</w:t>
            </w:r>
          </w:p>
        </w:tc>
        <w:tc>
          <w:tcPr>
            <w:tcW w:w="24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Contracted</w:t>
            </w:r>
          </w:p>
        </w:tc>
        <w:tc>
          <w:tcPr>
            <w:tcW w:w="2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60" w:type="dxa"/>
            <w:vAlign w:val="bottom"/>
          </w:tcPr>
          <w:p>
            <w:pPr>
              <w:spacing w:after="0"/>
              <w:rPr>
                <w:sz w:val="12"/>
                <w:szCs w:val="12"/>
                <w:color w:val="auto"/>
              </w:rPr>
            </w:pPr>
          </w:p>
        </w:tc>
        <w:tc>
          <w:tcPr>
            <w:tcW w:w="1440" w:type="dxa"/>
            <w:vAlign w:val="bottom"/>
          </w:tcPr>
          <w:p>
            <w:pPr>
              <w:jc w:val="right"/>
              <w:ind w:right="428"/>
              <w:spacing w:after="0" w:line="149" w:lineRule="exact"/>
              <w:rPr>
                <w:sz w:val="20"/>
                <w:szCs w:val="20"/>
                <w:color w:val="auto"/>
              </w:rPr>
            </w:pPr>
            <w:r>
              <w:rPr>
                <w:rFonts w:ascii="Arial" w:cs="Arial" w:eastAsia="Arial" w:hAnsi="Arial"/>
                <w:sz w:val="14"/>
                <w:szCs w:val="14"/>
                <w:b w:val="1"/>
                <w:bCs w:val="1"/>
                <w:color w:val="auto"/>
              </w:rPr>
              <w:t>Impact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80" w:type="dxa"/>
            <w:vAlign w:val="bottom"/>
          </w:tcPr>
          <w:p>
            <w:pPr>
              <w:jc w:val="center"/>
              <w:spacing w:after="0"/>
              <w:rPr>
                <w:sz w:val="20"/>
                <w:szCs w:val="20"/>
                <w:color w:val="auto"/>
              </w:rPr>
            </w:pPr>
            <w:r>
              <w:rPr>
                <w:rFonts w:ascii="Arial" w:cs="Arial" w:eastAsia="Arial" w:hAnsi="Arial"/>
                <w:sz w:val="14"/>
                <w:szCs w:val="14"/>
                <w:b w:val="1"/>
                <w:bCs w:val="1"/>
                <w:color w:val="auto"/>
                <w:w w:val="91"/>
              </w:rPr>
              <w:t>(except average contracted rate)</w:t>
            </w:r>
          </w:p>
        </w:tc>
        <w:tc>
          <w:tcPr>
            <w:tcW w:w="24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8"/>
              </w:rPr>
              <w:t>Rate</w:t>
            </w:r>
          </w:p>
        </w:tc>
        <w:tc>
          <w:tcPr>
            <w:tcW w:w="240" w:type="dxa"/>
            <w:vAlign w:val="bottom"/>
          </w:tcPr>
          <w:p>
            <w:pPr>
              <w:spacing w:after="0"/>
              <w:rPr>
                <w:sz w:val="16"/>
                <w:szCs w:val="16"/>
                <w:color w:val="auto"/>
              </w:rPr>
            </w:pPr>
          </w:p>
        </w:tc>
        <w:tc>
          <w:tcPr>
            <w:tcW w:w="1380" w:type="dxa"/>
            <w:vAlign w:val="bottom"/>
          </w:tcPr>
          <w:p>
            <w:pPr>
              <w:jc w:val="right"/>
              <w:ind w:right="368"/>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2"/>
              </w:rPr>
              <w:t>Income (Loss)</w:t>
            </w:r>
          </w:p>
        </w:tc>
        <w:tc>
          <w:tcPr>
            <w:tcW w:w="260" w:type="dxa"/>
            <w:vAlign w:val="bottom"/>
          </w:tcPr>
          <w:p>
            <w:pPr>
              <w:spacing w:after="0"/>
              <w:rPr>
                <w:sz w:val="16"/>
                <w:szCs w:val="16"/>
                <w:color w:val="auto"/>
              </w:rPr>
            </w:pPr>
          </w:p>
        </w:tc>
        <w:tc>
          <w:tcPr>
            <w:tcW w:w="1440" w:type="dxa"/>
            <w:vAlign w:val="bottom"/>
          </w:tcPr>
          <w:p>
            <w:pPr>
              <w:jc w:val="right"/>
              <w:ind w:right="288"/>
              <w:spacing w:after="0"/>
              <w:rPr>
                <w:sz w:val="20"/>
                <w:szCs w:val="20"/>
                <w:color w:val="auto"/>
              </w:rPr>
            </w:pPr>
            <w:r>
              <w:rPr>
                <w:rFonts w:ascii="Arial" w:cs="Arial" w:eastAsia="Arial" w:hAnsi="Arial"/>
                <w:sz w:val="14"/>
                <w:szCs w:val="14"/>
                <w:b w:val="1"/>
                <w:bCs w:val="1"/>
                <w:color w:val="auto"/>
              </w:rPr>
              <w:t>Gain (Loss)</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18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38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Buy US dollar/Sell Australian dollar</w:t>
            </w:r>
          </w:p>
        </w:tc>
        <w:tc>
          <w:tcPr>
            <w:tcW w:w="1480" w:type="dxa"/>
            <w:vAlign w:val="bottom"/>
            <w:gridSpan w:val="2"/>
            <w:shd w:val="clear" w:color="auto" w:fill="EEEEEE"/>
          </w:tcPr>
          <w:p>
            <w:pPr>
              <w:jc w:val="right"/>
              <w:ind w:right="268"/>
              <w:spacing w:after="0"/>
              <w:rPr>
                <w:sz w:val="20"/>
                <w:szCs w:val="20"/>
                <w:color w:val="auto"/>
              </w:rPr>
            </w:pPr>
            <w:r>
              <w:rPr>
                <w:rFonts w:ascii="Arial" w:cs="Arial" w:eastAsia="Arial" w:hAnsi="Arial"/>
                <w:sz w:val="18"/>
                <w:szCs w:val="18"/>
                <w:color w:val="auto"/>
              </w:rPr>
              <w:t>0.7069</w:t>
            </w:r>
          </w:p>
        </w:tc>
        <w:tc>
          <w:tcPr>
            <w:tcW w:w="1620" w:type="dxa"/>
            <w:vAlign w:val="bottom"/>
            <w:gridSpan w:val="2"/>
            <w:shd w:val="clear" w:color="auto" w:fill="EEEEEE"/>
          </w:tcPr>
          <w:p>
            <w:pPr>
              <w:jc w:val="right"/>
              <w:ind w:right="348"/>
              <w:spacing w:after="0"/>
              <w:rPr>
                <w:sz w:val="20"/>
                <w:szCs w:val="20"/>
                <w:color w:val="auto"/>
              </w:rPr>
            </w:pPr>
            <w:r>
              <w:rPr>
                <w:rFonts w:ascii="Arial" w:cs="Arial" w:eastAsia="Arial" w:hAnsi="Arial"/>
                <w:sz w:val="18"/>
                <w:szCs w:val="18"/>
                <w:color w:val="auto"/>
              </w:rPr>
              <w:t>$32,702.2</w:t>
            </w:r>
          </w:p>
        </w:tc>
        <w:tc>
          <w:tcPr>
            <w:tcW w:w="1840" w:type="dxa"/>
            <w:vAlign w:val="bottom"/>
            <w:gridSpan w:val="2"/>
            <w:shd w:val="clear" w:color="auto" w:fill="EEEEEE"/>
          </w:tcPr>
          <w:p>
            <w:pPr>
              <w:jc w:val="right"/>
              <w:ind w:right="365"/>
              <w:spacing w:after="0"/>
              <w:rPr>
                <w:sz w:val="20"/>
                <w:szCs w:val="20"/>
                <w:color w:val="auto"/>
              </w:rPr>
            </w:pPr>
            <w:r>
              <w:rPr>
                <w:rFonts w:ascii="Arial" w:cs="Arial" w:eastAsia="Arial" w:hAnsi="Arial"/>
                <w:sz w:val="18"/>
                <w:szCs w:val="18"/>
                <w:color w:val="auto"/>
              </w:rPr>
              <w:t>$  (709.6)</w:t>
            </w:r>
          </w:p>
        </w:tc>
        <w:tc>
          <w:tcPr>
            <w:tcW w:w="1700" w:type="dxa"/>
            <w:vAlign w:val="bottom"/>
            <w:gridSpan w:val="2"/>
            <w:shd w:val="clear" w:color="auto" w:fill="EEEEEE"/>
          </w:tcPr>
          <w:p>
            <w:pPr>
              <w:jc w:val="right"/>
              <w:ind w:right="288"/>
              <w:spacing w:after="0"/>
              <w:rPr>
                <w:sz w:val="20"/>
                <w:szCs w:val="20"/>
                <w:color w:val="auto"/>
              </w:rPr>
            </w:pPr>
            <w:r>
              <w:rPr>
                <w:rFonts w:ascii="Arial" w:cs="Arial" w:eastAsia="Arial" w:hAnsi="Arial"/>
                <w:sz w:val="18"/>
                <w:szCs w:val="18"/>
                <w:color w:val="auto"/>
              </w:rPr>
              <w:t>$(1,864.8)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Buy US dollar/Sell Canadian dollar</w:t>
            </w:r>
          </w:p>
        </w:tc>
        <w:tc>
          <w:tcPr>
            <w:tcW w:w="1480" w:type="dxa"/>
            <w:vAlign w:val="bottom"/>
            <w:gridSpan w:val="2"/>
          </w:tcPr>
          <w:p>
            <w:pPr>
              <w:jc w:val="right"/>
              <w:ind w:right="268"/>
              <w:spacing w:after="0"/>
              <w:rPr>
                <w:sz w:val="20"/>
                <w:szCs w:val="20"/>
                <w:color w:val="auto"/>
              </w:rPr>
            </w:pPr>
            <w:r>
              <w:rPr>
                <w:rFonts w:ascii="Arial" w:cs="Arial" w:eastAsia="Arial" w:hAnsi="Arial"/>
                <w:sz w:val="18"/>
                <w:szCs w:val="18"/>
                <w:color w:val="auto"/>
              </w:rPr>
              <w:t>0.7112</w:t>
            </w:r>
          </w:p>
        </w:tc>
        <w:tc>
          <w:tcPr>
            <w:tcW w:w="1620" w:type="dxa"/>
            <w:vAlign w:val="bottom"/>
            <w:gridSpan w:val="2"/>
          </w:tcPr>
          <w:p>
            <w:pPr>
              <w:jc w:val="right"/>
              <w:ind w:right="348"/>
              <w:spacing w:after="0"/>
              <w:rPr>
                <w:sz w:val="20"/>
                <w:szCs w:val="20"/>
                <w:color w:val="auto"/>
              </w:rPr>
            </w:pPr>
            <w:r>
              <w:rPr>
                <w:rFonts w:ascii="Arial" w:cs="Arial" w:eastAsia="Arial" w:hAnsi="Arial"/>
                <w:sz w:val="18"/>
                <w:szCs w:val="18"/>
                <w:color w:val="auto"/>
              </w:rPr>
              <w:t>4,693.7</w:t>
            </w:r>
          </w:p>
        </w:tc>
        <w:tc>
          <w:tcPr>
            <w:tcW w:w="1840" w:type="dxa"/>
            <w:vAlign w:val="bottom"/>
            <w:gridSpan w:val="2"/>
          </w:tcPr>
          <w:p>
            <w:pPr>
              <w:jc w:val="right"/>
              <w:ind w:right="365"/>
              <w:spacing w:after="0"/>
              <w:rPr>
                <w:sz w:val="20"/>
                <w:szCs w:val="20"/>
                <w:color w:val="auto"/>
              </w:rPr>
            </w:pPr>
            <w:r>
              <w:rPr>
                <w:rFonts w:ascii="Arial" w:cs="Arial" w:eastAsia="Arial" w:hAnsi="Arial"/>
                <w:sz w:val="18"/>
                <w:szCs w:val="18"/>
                <w:color w:val="auto"/>
              </w:rPr>
              <w:t>(211.2)</w:t>
            </w:r>
          </w:p>
        </w:tc>
        <w:tc>
          <w:tcPr>
            <w:tcW w:w="1700" w:type="dxa"/>
            <w:vAlign w:val="bottom"/>
            <w:gridSpan w:val="2"/>
          </w:tcPr>
          <w:p>
            <w:pPr>
              <w:jc w:val="right"/>
              <w:ind w:right="288"/>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Buy US dollar/Sell Euro</w:t>
            </w:r>
          </w:p>
        </w:tc>
        <w:tc>
          <w:tcPr>
            <w:tcW w:w="1480" w:type="dxa"/>
            <w:vAlign w:val="bottom"/>
            <w:gridSpan w:val="2"/>
            <w:shd w:val="clear" w:color="auto" w:fill="EEEEEE"/>
          </w:tcPr>
          <w:p>
            <w:pPr>
              <w:jc w:val="right"/>
              <w:ind w:right="268"/>
              <w:spacing w:after="0"/>
              <w:rPr>
                <w:sz w:val="20"/>
                <w:szCs w:val="20"/>
                <w:color w:val="auto"/>
              </w:rPr>
            </w:pPr>
            <w:r>
              <w:rPr>
                <w:rFonts w:ascii="Arial" w:cs="Arial" w:eastAsia="Arial" w:hAnsi="Arial"/>
                <w:sz w:val="18"/>
                <w:szCs w:val="18"/>
                <w:color w:val="auto"/>
              </w:rPr>
              <w:t>1.1684</w:t>
            </w:r>
          </w:p>
        </w:tc>
        <w:tc>
          <w:tcPr>
            <w:tcW w:w="1620" w:type="dxa"/>
            <w:vAlign w:val="bottom"/>
            <w:gridSpan w:val="2"/>
            <w:shd w:val="clear" w:color="auto" w:fill="EEEEEE"/>
          </w:tcPr>
          <w:p>
            <w:pPr>
              <w:jc w:val="right"/>
              <w:ind w:right="348"/>
              <w:spacing w:after="0"/>
              <w:rPr>
                <w:sz w:val="20"/>
                <w:szCs w:val="20"/>
                <w:color w:val="auto"/>
              </w:rPr>
            </w:pPr>
            <w:r>
              <w:rPr>
                <w:rFonts w:ascii="Arial" w:cs="Arial" w:eastAsia="Arial" w:hAnsi="Arial"/>
                <w:sz w:val="18"/>
                <w:szCs w:val="18"/>
                <w:color w:val="auto"/>
              </w:rPr>
              <w:t>76,447.0</w:t>
            </w:r>
          </w:p>
        </w:tc>
        <w:tc>
          <w:tcPr>
            <w:tcW w:w="1840" w:type="dxa"/>
            <w:vAlign w:val="bottom"/>
            <w:gridSpan w:val="2"/>
            <w:shd w:val="clear" w:color="auto" w:fill="EEEEEE"/>
          </w:tcPr>
          <w:p>
            <w:pPr>
              <w:jc w:val="right"/>
              <w:ind w:right="365"/>
              <w:spacing w:after="0"/>
              <w:rPr>
                <w:sz w:val="20"/>
                <w:szCs w:val="20"/>
                <w:color w:val="auto"/>
              </w:rPr>
            </w:pPr>
            <w:r>
              <w:rPr>
                <w:rFonts w:ascii="Arial" w:cs="Arial" w:eastAsia="Arial" w:hAnsi="Arial"/>
                <w:sz w:val="18"/>
                <w:szCs w:val="18"/>
                <w:color w:val="auto"/>
              </w:rPr>
              <w:t>(3,699.7)</w:t>
            </w:r>
          </w:p>
        </w:tc>
        <w:tc>
          <w:tcPr>
            <w:tcW w:w="1700" w:type="dxa"/>
            <w:vAlign w:val="bottom"/>
            <w:gridSpan w:val="2"/>
            <w:shd w:val="clear" w:color="auto" w:fill="EEEEEE"/>
          </w:tcPr>
          <w:p>
            <w:pPr>
              <w:jc w:val="right"/>
              <w:ind w:right="288"/>
              <w:spacing w:after="0"/>
              <w:rPr>
                <w:sz w:val="20"/>
                <w:szCs w:val="20"/>
                <w:color w:val="auto"/>
              </w:rPr>
            </w:pPr>
            <w:r>
              <w:rPr>
                <w:rFonts w:ascii="Arial" w:cs="Arial" w:eastAsia="Arial" w:hAnsi="Arial"/>
                <w:sz w:val="18"/>
                <w:szCs w:val="18"/>
                <w:color w:val="auto"/>
              </w:rPr>
              <w:t>(1,258.4)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Buy Australian dollar/Sell US dollar</w:t>
            </w:r>
          </w:p>
        </w:tc>
        <w:tc>
          <w:tcPr>
            <w:tcW w:w="1480" w:type="dxa"/>
            <w:vAlign w:val="bottom"/>
            <w:gridSpan w:val="2"/>
          </w:tcPr>
          <w:p>
            <w:pPr>
              <w:jc w:val="right"/>
              <w:ind w:right="268"/>
              <w:spacing w:after="0"/>
              <w:rPr>
                <w:sz w:val="20"/>
                <w:szCs w:val="20"/>
                <w:color w:val="auto"/>
              </w:rPr>
            </w:pPr>
            <w:r>
              <w:rPr>
                <w:rFonts w:ascii="Arial" w:cs="Arial" w:eastAsia="Arial" w:hAnsi="Arial"/>
                <w:sz w:val="18"/>
                <w:szCs w:val="18"/>
                <w:color w:val="auto"/>
              </w:rPr>
              <w:t>0.7741</w:t>
            </w:r>
          </w:p>
        </w:tc>
        <w:tc>
          <w:tcPr>
            <w:tcW w:w="1620" w:type="dxa"/>
            <w:vAlign w:val="bottom"/>
            <w:gridSpan w:val="2"/>
          </w:tcPr>
          <w:p>
            <w:pPr>
              <w:jc w:val="right"/>
              <w:ind w:right="348"/>
              <w:spacing w:after="0"/>
              <w:rPr>
                <w:sz w:val="20"/>
                <w:szCs w:val="20"/>
                <w:color w:val="auto"/>
              </w:rPr>
            </w:pPr>
            <w:r>
              <w:rPr>
                <w:rFonts w:ascii="Arial" w:cs="Arial" w:eastAsia="Arial" w:hAnsi="Arial"/>
                <w:sz w:val="18"/>
                <w:szCs w:val="18"/>
                <w:color w:val="auto"/>
              </w:rPr>
              <w:t>6,502.4</w:t>
            </w:r>
          </w:p>
        </w:tc>
        <w:tc>
          <w:tcPr>
            <w:tcW w:w="240" w:type="dxa"/>
            <w:vAlign w:val="bottom"/>
          </w:tcPr>
          <w:p>
            <w:pPr>
              <w:spacing w:after="0"/>
              <w:rPr>
                <w:sz w:val="18"/>
                <w:szCs w:val="18"/>
                <w:color w:val="auto"/>
              </w:rPr>
            </w:pPr>
          </w:p>
        </w:tc>
        <w:tc>
          <w:tcPr>
            <w:tcW w:w="1600" w:type="dxa"/>
            <w:vAlign w:val="bottom"/>
          </w:tcPr>
          <w:p>
            <w:pPr>
              <w:jc w:val="right"/>
              <w:ind w:right="425"/>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88"/>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Buy British pound/Sell US dollar</w:t>
            </w:r>
          </w:p>
        </w:tc>
        <w:tc>
          <w:tcPr>
            <w:tcW w:w="1480" w:type="dxa"/>
            <w:vAlign w:val="bottom"/>
            <w:gridSpan w:val="2"/>
            <w:shd w:val="clear" w:color="auto" w:fill="EEEEEE"/>
          </w:tcPr>
          <w:p>
            <w:pPr>
              <w:jc w:val="right"/>
              <w:ind w:right="268"/>
              <w:spacing w:after="0"/>
              <w:rPr>
                <w:sz w:val="20"/>
                <w:szCs w:val="20"/>
                <w:color w:val="auto"/>
              </w:rPr>
            </w:pPr>
            <w:r>
              <w:rPr>
                <w:rFonts w:ascii="Arial" w:cs="Arial" w:eastAsia="Arial" w:hAnsi="Arial"/>
                <w:sz w:val="18"/>
                <w:szCs w:val="18"/>
                <w:color w:val="auto"/>
              </w:rPr>
              <w:t>1.6385</w:t>
            </w:r>
          </w:p>
        </w:tc>
        <w:tc>
          <w:tcPr>
            <w:tcW w:w="1620" w:type="dxa"/>
            <w:vAlign w:val="bottom"/>
            <w:gridSpan w:val="2"/>
            <w:shd w:val="clear" w:color="auto" w:fill="EEEEEE"/>
          </w:tcPr>
          <w:p>
            <w:pPr>
              <w:jc w:val="right"/>
              <w:ind w:right="348"/>
              <w:spacing w:after="0"/>
              <w:rPr>
                <w:sz w:val="20"/>
                <w:szCs w:val="20"/>
                <w:color w:val="auto"/>
              </w:rPr>
            </w:pPr>
            <w:r>
              <w:rPr>
                <w:rFonts w:ascii="Arial" w:cs="Arial" w:eastAsia="Arial" w:hAnsi="Arial"/>
                <w:sz w:val="18"/>
                <w:szCs w:val="18"/>
                <w:color w:val="auto"/>
              </w:rPr>
              <w:t>327.7</w:t>
            </w:r>
          </w:p>
        </w:tc>
        <w:tc>
          <w:tcPr>
            <w:tcW w:w="1840" w:type="dxa"/>
            <w:vAlign w:val="bottom"/>
            <w:gridSpan w:val="2"/>
            <w:shd w:val="clear" w:color="auto" w:fill="EEEEEE"/>
          </w:tcPr>
          <w:p>
            <w:pPr>
              <w:jc w:val="right"/>
              <w:ind w:right="425"/>
              <w:spacing w:after="0"/>
              <w:rPr>
                <w:sz w:val="20"/>
                <w:szCs w:val="20"/>
                <w:color w:val="auto"/>
              </w:rPr>
            </w:pPr>
            <w:r>
              <w:rPr>
                <w:rFonts w:ascii="Arial" w:cs="Arial" w:eastAsia="Arial" w:hAnsi="Arial"/>
                <w:sz w:val="18"/>
                <w:szCs w:val="18"/>
                <w:color w:val="auto"/>
              </w:rPr>
              <w:t>8.3</w:t>
            </w:r>
          </w:p>
        </w:tc>
        <w:tc>
          <w:tcPr>
            <w:tcW w:w="1700" w:type="dxa"/>
            <w:vAlign w:val="bottom"/>
            <w:gridSpan w:val="2"/>
            <w:shd w:val="clear" w:color="auto" w:fill="EEEEEE"/>
          </w:tcPr>
          <w:p>
            <w:pPr>
              <w:jc w:val="right"/>
              <w:ind w:right="348"/>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Buy Japanese yen/Sell US dollar</w:t>
            </w:r>
          </w:p>
        </w:tc>
        <w:tc>
          <w:tcPr>
            <w:tcW w:w="1480" w:type="dxa"/>
            <w:vAlign w:val="bottom"/>
            <w:gridSpan w:val="2"/>
          </w:tcPr>
          <w:p>
            <w:pPr>
              <w:jc w:val="right"/>
              <w:ind w:right="268"/>
              <w:spacing w:after="0"/>
              <w:rPr>
                <w:sz w:val="20"/>
                <w:szCs w:val="20"/>
                <w:color w:val="auto"/>
              </w:rPr>
            </w:pPr>
            <w:r>
              <w:rPr>
                <w:rFonts w:ascii="Arial" w:cs="Arial" w:eastAsia="Arial" w:hAnsi="Arial"/>
                <w:sz w:val="18"/>
                <w:szCs w:val="18"/>
                <w:color w:val="auto"/>
              </w:rPr>
              <w:t>117.1017</w:t>
            </w:r>
          </w:p>
        </w:tc>
        <w:tc>
          <w:tcPr>
            <w:tcW w:w="1620" w:type="dxa"/>
            <w:vAlign w:val="bottom"/>
            <w:gridSpan w:val="2"/>
          </w:tcPr>
          <w:p>
            <w:pPr>
              <w:jc w:val="right"/>
              <w:ind w:right="348"/>
              <w:spacing w:after="0"/>
              <w:rPr>
                <w:sz w:val="20"/>
                <w:szCs w:val="20"/>
                <w:color w:val="auto"/>
              </w:rPr>
            </w:pPr>
            <w:r>
              <w:rPr>
                <w:rFonts w:ascii="Arial" w:cs="Arial" w:eastAsia="Arial" w:hAnsi="Arial"/>
                <w:sz w:val="18"/>
                <w:szCs w:val="18"/>
                <w:color w:val="auto"/>
              </w:rPr>
              <w:t>5,166.4</w:t>
            </w:r>
          </w:p>
        </w:tc>
        <w:tc>
          <w:tcPr>
            <w:tcW w:w="1840" w:type="dxa"/>
            <w:vAlign w:val="bottom"/>
            <w:gridSpan w:val="2"/>
          </w:tcPr>
          <w:p>
            <w:pPr>
              <w:jc w:val="right"/>
              <w:ind w:right="425"/>
              <w:spacing w:after="0"/>
              <w:rPr>
                <w:sz w:val="20"/>
                <w:szCs w:val="20"/>
                <w:color w:val="auto"/>
              </w:rPr>
            </w:pPr>
            <w:r>
              <w:rPr>
                <w:rFonts w:ascii="Arial" w:cs="Arial" w:eastAsia="Arial" w:hAnsi="Arial"/>
                <w:sz w:val="18"/>
                <w:szCs w:val="18"/>
                <w:color w:val="auto"/>
              </w:rPr>
              <w:t>394.0</w:t>
            </w:r>
          </w:p>
        </w:tc>
        <w:tc>
          <w:tcPr>
            <w:tcW w:w="1700" w:type="dxa"/>
            <w:vAlign w:val="bottom"/>
            <w:gridSpan w:val="2"/>
          </w:tcPr>
          <w:p>
            <w:pPr>
              <w:jc w:val="right"/>
              <w:ind w:right="348"/>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Buy Mexican peso/Sell US dollar</w:t>
            </w:r>
          </w:p>
        </w:tc>
        <w:tc>
          <w:tcPr>
            <w:tcW w:w="1480" w:type="dxa"/>
            <w:vAlign w:val="bottom"/>
            <w:gridSpan w:val="2"/>
            <w:shd w:val="clear" w:color="auto" w:fill="EEEEEE"/>
          </w:tcPr>
          <w:p>
            <w:pPr>
              <w:jc w:val="right"/>
              <w:ind w:right="268"/>
              <w:spacing w:after="0"/>
              <w:rPr>
                <w:sz w:val="20"/>
                <w:szCs w:val="20"/>
                <w:color w:val="auto"/>
              </w:rPr>
            </w:pPr>
            <w:r>
              <w:rPr>
                <w:rFonts w:ascii="Arial" w:cs="Arial" w:eastAsia="Arial" w:hAnsi="Arial"/>
                <w:sz w:val="18"/>
                <w:szCs w:val="18"/>
                <w:color w:val="auto"/>
              </w:rPr>
              <w:t>10.9680</w:t>
            </w:r>
          </w:p>
        </w:tc>
        <w:tc>
          <w:tcPr>
            <w:tcW w:w="1620" w:type="dxa"/>
            <w:vAlign w:val="bottom"/>
            <w:gridSpan w:val="2"/>
            <w:shd w:val="clear" w:color="auto" w:fill="EEEEEE"/>
          </w:tcPr>
          <w:p>
            <w:pPr>
              <w:jc w:val="right"/>
              <w:ind w:right="348"/>
              <w:spacing w:after="0"/>
              <w:rPr>
                <w:sz w:val="20"/>
                <w:szCs w:val="20"/>
                <w:color w:val="auto"/>
              </w:rPr>
            </w:pPr>
            <w:r>
              <w:rPr>
                <w:rFonts w:ascii="Arial" w:cs="Arial" w:eastAsia="Arial" w:hAnsi="Arial"/>
                <w:sz w:val="18"/>
                <w:szCs w:val="18"/>
                <w:color w:val="auto"/>
              </w:rPr>
              <w:t>11,711.4</w:t>
            </w:r>
          </w:p>
        </w:tc>
        <w:tc>
          <w:tcPr>
            <w:tcW w:w="1840" w:type="dxa"/>
            <w:vAlign w:val="bottom"/>
            <w:gridSpan w:val="2"/>
            <w:shd w:val="clear" w:color="auto" w:fill="EEEEEE"/>
          </w:tcPr>
          <w:p>
            <w:pPr>
              <w:jc w:val="right"/>
              <w:ind w:right="365"/>
              <w:spacing w:after="0"/>
              <w:rPr>
                <w:sz w:val="20"/>
                <w:szCs w:val="20"/>
                <w:color w:val="auto"/>
              </w:rPr>
            </w:pPr>
            <w:r>
              <w:rPr>
                <w:rFonts w:ascii="Arial" w:cs="Arial" w:eastAsia="Arial" w:hAnsi="Arial"/>
                <w:sz w:val="18"/>
                <w:szCs w:val="18"/>
                <w:color w:val="auto"/>
              </w:rPr>
              <w:t>(169.9)</w:t>
            </w:r>
          </w:p>
        </w:tc>
        <w:tc>
          <w:tcPr>
            <w:tcW w:w="1700" w:type="dxa"/>
            <w:vAlign w:val="bottom"/>
            <w:gridSpan w:val="2"/>
            <w:shd w:val="clear" w:color="auto" w:fill="EEEEEE"/>
          </w:tcPr>
          <w:p>
            <w:pPr>
              <w:jc w:val="right"/>
              <w:ind w:right="288"/>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are exposed to interest rate risk arising from transactions that are entered into during the normal course of business. Our short- and</w:t>
      </w:r>
      <w:r>
        <w:rPr>
          <w:rFonts w:ascii="Arial" w:cs="Arial" w:eastAsia="Arial" w:hAnsi="Arial"/>
          <w:sz w:val="18"/>
          <w:szCs w:val="18"/>
          <w:i w:val="1"/>
          <w:iCs w:val="1"/>
          <w:color w:val="auto"/>
        </w:rPr>
        <w:t xml:space="preserve"> </w:t>
      </w:r>
      <w:r>
        <w:rPr>
          <w:rFonts w:ascii="Arial" w:cs="Arial" w:eastAsia="Arial" w:hAnsi="Arial"/>
          <w:sz w:val="18"/>
          <w:szCs w:val="18"/>
          <w:color w:val="auto"/>
        </w:rPr>
        <w:t>medium-term debt rates are dependent upon the LIBOR rate plus an additional percentage based on our current borrowing level. See our most recent Annual Report filed on Form 10-K (Item 7A). There has been no material change in this information.</w:t>
      </w:r>
    </w:p>
    <w:p>
      <w:pPr>
        <w:spacing w:after="0" w:line="15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i w:val="1"/>
          <w:iCs w:val="1"/>
          <w:color w:val="auto"/>
        </w:rPr>
        <w:t xml:space="preserve">Commodity Price Risk. </w:t>
      </w:r>
      <w:r>
        <w:rPr>
          <w:rFonts w:ascii="Arial" w:cs="Arial" w:eastAsia="Arial" w:hAnsi="Arial"/>
          <w:sz w:val="16"/>
          <w:szCs w:val="16"/>
          <w:color w:val="auto"/>
        </w:rPr>
        <w:t>Some raw materials used in our products are exposed to commodity price changes. We manage some of this risk by using a</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of short-term and long-term agreements with some vendors. The primary commodity price exposures are with aluminum, steel, and plastic resin.</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company maintains disclosure controls and procedures (as defined in Exchange Act Rules 13a-15(e) and 15d-15(e)) that are designed to ensure that information required to be disclosed by the company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the company’s management, including its principal executive and principal financial officers, or persons performing similar functions, as appropriate to allow timely decisions regarding required disclosure. The company’s management evaluated, with the participation of the company’s Chief Executive Officer and Chief Financial Officer, the effectiveness of the design and operation of the company’s disclosure controls and procedures as of the end of the period covered in this Quarterly Report on Form 10-Q. Based on that evaluation, the company’s Chief Executive Officer and Chief Financial Officer concluded that the company’s disclosure controls and procedures were effective as of the end of such period. There was no change in the company’s internal control over financial reporting that occurred during the company’s fiscal first quarter ended January 30, 2004 that has materially affected, or is reasonably likely to materially affect, the company’s internal control over financial reporting.</w:t>
      </w:r>
    </w:p>
    <w:p>
      <w:pPr>
        <w:spacing w:after="0" w:line="12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Item 2. CHANGES IN SECURITIES, USE OF PROCEEDS, AND ISSUER PURCHASES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18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On September 20, 2001, the company’s Board of Directors authorized the cumulative repurchase of up to 2,000,000 shares of the company’s common stock, which was doubled from the original amount of 1,000,000 shares authorized for repurchase as a result of the stock split effective April 1, 2003. All purchases of the company’s common stock during the first quarter of fiscal 2004 were part of this repurchase program.</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monthly first quarter of fiscal 2004 stock repurchase activity:</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Total Number of</w:t>
            </w:r>
          </w:p>
        </w:tc>
        <w:tc>
          <w:tcPr>
            <w:tcW w:w="380" w:type="dxa"/>
            <w:vAlign w:val="bottom"/>
          </w:tcPr>
          <w:p>
            <w:pPr>
              <w:spacing w:after="0"/>
              <w:rPr>
                <w:sz w:val="14"/>
                <w:szCs w:val="14"/>
                <w:color w:val="auto"/>
              </w:rPr>
            </w:pPr>
          </w:p>
        </w:tc>
        <w:tc>
          <w:tcPr>
            <w:tcW w:w="1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8"/>
              </w:rPr>
              <w:t>Maximum Number</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380" w:type="dxa"/>
            <w:vAlign w:val="bottom"/>
          </w:tcPr>
          <w:p>
            <w:pPr>
              <w:spacing w:after="0"/>
              <w:rPr>
                <w:sz w:val="12"/>
                <w:szCs w:val="12"/>
                <w:color w:val="auto"/>
              </w:rPr>
            </w:pPr>
          </w:p>
        </w:tc>
        <w:tc>
          <w:tcPr>
            <w:tcW w:w="1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of Shares that May</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3"/>
            <w:vMerge w:val="restart"/>
          </w:tcPr>
          <w:p>
            <w:pPr>
              <w:jc w:val="center"/>
              <w:ind w:left="108"/>
              <w:spacing w:after="0"/>
              <w:rPr>
                <w:sz w:val="20"/>
                <w:szCs w:val="20"/>
                <w:color w:val="auto"/>
              </w:rPr>
            </w:pPr>
            <w:r>
              <w:rPr>
                <w:rFonts w:ascii="Arial" w:cs="Arial" w:eastAsia="Arial" w:hAnsi="Arial"/>
                <w:sz w:val="14"/>
                <w:szCs w:val="14"/>
                <w:b w:val="1"/>
                <w:bCs w:val="1"/>
                <w:color w:val="auto"/>
                <w:w w:val="94"/>
              </w:rPr>
              <w:t>Total Number of</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2"/>
              </w:rPr>
              <w:t>Average Price</w:t>
            </w:r>
          </w:p>
        </w:tc>
        <w:tc>
          <w:tcPr>
            <w:tcW w:w="380" w:type="dxa"/>
            <w:vAlign w:val="bottom"/>
          </w:tcPr>
          <w:p>
            <w:pPr>
              <w:spacing w:after="0"/>
              <w:rPr>
                <w:sz w:val="12"/>
                <w:szCs w:val="12"/>
                <w:color w:val="auto"/>
              </w:rPr>
            </w:pPr>
          </w:p>
        </w:tc>
        <w:tc>
          <w:tcPr>
            <w:tcW w:w="14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As Part of Publicly</w:t>
            </w:r>
          </w:p>
        </w:tc>
        <w:tc>
          <w:tcPr>
            <w:tcW w:w="380" w:type="dxa"/>
            <w:vAlign w:val="bottom"/>
          </w:tcPr>
          <w:p>
            <w:pPr>
              <w:spacing w:after="0"/>
              <w:rPr>
                <w:sz w:val="12"/>
                <w:szCs w:val="12"/>
                <w:color w:val="auto"/>
              </w:rPr>
            </w:pPr>
          </w:p>
        </w:tc>
        <w:tc>
          <w:tcPr>
            <w:tcW w:w="1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354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Period</w:t>
            </w:r>
          </w:p>
        </w:tc>
        <w:tc>
          <w:tcPr>
            <w:tcW w:w="3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380" w:type="dxa"/>
            <w:vAlign w:val="bottom"/>
          </w:tcPr>
          <w:p>
            <w:pPr>
              <w:spacing w:after="0"/>
              <w:rPr>
                <w:sz w:val="12"/>
                <w:szCs w:val="12"/>
                <w:color w:val="auto"/>
              </w:rPr>
            </w:pPr>
          </w:p>
        </w:tc>
        <w:tc>
          <w:tcPr>
            <w:tcW w:w="1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00" w:type="dxa"/>
            <w:vAlign w:val="bottom"/>
          </w:tcPr>
          <w:p>
            <w:pPr>
              <w:spacing w:after="0"/>
              <w:rPr>
                <w:sz w:val="16"/>
                <w:szCs w:val="16"/>
                <w:color w:val="auto"/>
              </w:rPr>
            </w:pPr>
          </w:p>
        </w:tc>
        <w:tc>
          <w:tcPr>
            <w:tcW w:w="35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w w:val="88"/>
              </w:rPr>
              <w:t>Shares Purchased</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Paid per Share</w:t>
            </w:r>
          </w:p>
        </w:tc>
        <w:tc>
          <w:tcPr>
            <w:tcW w:w="380" w:type="dxa"/>
            <w:vAlign w:val="bottom"/>
          </w:tcPr>
          <w:p>
            <w:pPr>
              <w:spacing w:after="0"/>
              <w:rPr>
                <w:sz w:val="16"/>
                <w:szCs w:val="16"/>
                <w:color w:val="auto"/>
              </w:rPr>
            </w:pPr>
          </w:p>
        </w:tc>
        <w:tc>
          <w:tcPr>
            <w:tcW w:w="14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or Programs</w:t>
            </w:r>
          </w:p>
        </w:tc>
        <w:tc>
          <w:tcPr>
            <w:tcW w:w="380" w:type="dxa"/>
            <w:vAlign w:val="bottom"/>
          </w:tcPr>
          <w:p>
            <w:pPr>
              <w:spacing w:after="0"/>
              <w:rPr>
                <w:sz w:val="16"/>
                <w:szCs w:val="16"/>
                <w:color w:val="auto"/>
              </w:rPr>
            </w:pPr>
          </w:p>
        </w:tc>
        <w:tc>
          <w:tcPr>
            <w:tcW w:w="1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Programs</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00" w:type="dxa"/>
            <w:vAlign w:val="bottom"/>
          </w:tcPr>
          <w:p>
            <w:pPr>
              <w:spacing w:after="0"/>
              <w:rPr>
                <w:sz w:val="4"/>
                <w:szCs w:val="4"/>
                <w:color w:val="auto"/>
              </w:rPr>
            </w:pPr>
          </w:p>
        </w:tc>
        <w:tc>
          <w:tcPr>
            <w:tcW w:w="354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00" w:type="dxa"/>
            <w:vAlign w:val="bottom"/>
            <w:vMerge w:val="restart"/>
          </w:tcPr>
          <w:p>
            <w:pPr>
              <w:spacing w:after="0"/>
              <w:rPr>
                <w:sz w:val="6"/>
                <w:szCs w:val="6"/>
                <w:color w:val="auto"/>
              </w:rPr>
            </w:pPr>
          </w:p>
        </w:tc>
        <w:tc>
          <w:tcPr>
            <w:tcW w:w="3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300" w:type="dxa"/>
            <w:vAlign w:val="bottom"/>
            <w:vMerge w:val="continue"/>
          </w:tcPr>
          <w:p>
            <w:pPr>
              <w:spacing w:after="0"/>
              <w:rPr>
                <w:sz w:val="17"/>
                <w:szCs w:val="17"/>
                <w:color w:val="auto"/>
              </w:rPr>
            </w:pPr>
          </w:p>
        </w:tc>
        <w:tc>
          <w:tcPr>
            <w:tcW w:w="35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November 1, 2003 through</w:t>
            </w:r>
          </w:p>
        </w:tc>
        <w:tc>
          <w:tcPr>
            <w:tcW w:w="38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540" w:type="dxa"/>
            <w:vAlign w:val="bottom"/>
            <w:shd w:val="clear" w:color="auto" w:fill="EEEEEE"/>
          </w:tcPr>
          <w:p>
            <w:pPr>
              <w:spacing w:after="0"/>
              <w:rPr>
                <w:sz w:val="20"/>
                <w:szCs w:val="20"/>
                <w:color w:val="auto"/>
              </w:rPr>
            </w:pPr>
            <w:r>
              <w:rPr>
                <w:rFonts w:ascii="Arial" w:cs="Arial" w:eastAsia="Arial" w:hAnsi="Arial"/>
                <w:sz w:val="18"/>
                <w:szCs w:val="18"/>
                <w:color w:val="auto"/>
              </w:rPr>
              <w:t>November 28, 2003</w:t>
            </w: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1,237</w:t>
            </w:r>
          </w:p>
        </w:tc>
        <w:tc>
          <w:tcPr>
            <w:tcW w:w="280" w:type="dxa"/>
            <w:vAlign w:val="bottom"/>
            <w:shd w:val="clear" w:color="auto" w:fill="EEEEEE"/>
          </w:tcPr>
          <w:p>
            <w:pPr>
              <w:spacing w:after="0"/>
              <w:rPr>
                <w:sz w:val="20"/>
                <w:szCs w:val="20"/>
                <w:color w:val="auto"/>
              </w:rPr>
            </w:pPr>
          </w:p>
        </w:tc>
        <w:tc>
          <w:tcPr>
            <w:tcW w:w="13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$50.70</w:t>
            </w:r>
          </w:p>
        </w:tc>
        <w:tc>
          <w:tcPr>
            <w:tcW w:w="400" w:type="dxa"/>
            <w:vAlign w:val="bottom"/>
            <w:shd w:val="clear" w:color="auto" w:fill="EEEEEE"/>
          </w:tcPr>
          <w:p>
            <w:pPr>
              <w:spacing w:after="0"/>
              <w:rPr>
                <w:sz w:val="20"/>
                <w:szCs w:val="20"/>
                <w:color w:val="auto"/>
              </w:rPr>
            </w:pPr>
          </w:p>
        </w:tc>
        <w:tc>
          <w:tcPr>
            <w:tcW w:w="13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1,237</w:t>
            </w:r>
          </w:p>
        </w:tc>
        <w:tc>
          <w:tcPr>
            <w:tcW w:w="400" w:type="dxa"/>
            <w:vAlign w:val="bottom"/>
            <w:shd w:val="clear" w:color="auto" w:fill="EEEEEE"/>
          </w:tcPr>
          <w:p>
            <w:pPr>
              <w:spacing w:after="0"/>
              <w:rPr>
                <w:sz w:val="20"/>
                <w:szCs w:val="20"/>
                <w:color w:val="auto"/>
              </w:rPr>
            </w:pPr>
          </w:p>
        </w:tc>
        <w:tc>
          <w:tcPr>
            <w:tcW w:w="14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463,710</w:t>
            </w:r>
          </w:p>
        </w:tc>
        <w:tc>
          <w:tcPr>
            <w:tcW w:w="520" w:type="dxa"/>
            <w:vAlign w:val="bottom"/>
            <w:shd w:val="clear" w:color="auto" w:fill="EEEEEE"/>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November 29, 2003 through</w:t>
            </w: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40" w:type="dxa"/>
            <w:vAlign w:val="bottom"/>
            <w:gridSpan w:val="2"/>
          </w:tcPr>
          <w:p>
            <w:pPr>
              <w:ind w:left="300"/>
              <w:spacing w:after="0"/>
              <w:rPr>
                <w:sz w:val="20"/>
                <w:szCs w:val="20"/>
                <w:color w:val="auto"/>
              </w:rPr>
            </w:pPr>
            <w:r>
              <w:rPr>
                <w:rFonts w:ascii="Arial" w:cs="Arial" w:eastAsia="Arial" w:hAnsi="Arial"/>
                <w:sz w:val="18"/>
                <w:szCs w:val="18"/>
                <w:color w:val="auto"/>
              </w:rPr>
              <w:t>December 26, 2003</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157,655</w:t>
            </w:r>
          </w:p>
        </w:tc>
        <w:tc>
          <w:tcPr>
            <w:tcW w:w="280" w:type="dxa"/>
            <w:vAlign w:val="bottom"/>
          </w:tcPr>
          <w:p>
            <w:pPr>
              <w:spacing w:after="0"/>
              <w:rPr>
                <w:sz w:val="20"/>
                <w:szCs w:val="20"/>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$46.49</w:t>
            </w:r>
          </w:p>
        </w:tc>
        <w:tc>
          <w:tcPr>
            <w:tcW w:w="400" w:type="dxa"/>
            <w:vAlign w:val="bottom"/>
          </w:tcPr>
          <w:p>
            <w:pPr>
              <w:spacing w:after="0"/>
              <w:rPr>
                <w:sz w:val="20"/>
                <w:szCs w:val="20"/>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157,655</w:t>
            </w:r>
          </w:p>
        </w:tc>
        <w:tc>
          <w:tcPr>
            <w:tcW w:w="40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306,055</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35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December 27, 2003 through</w:t>
            </w:r>
          </w:p>
        </w:tc>
        <w:tc>
          <w:tcPr>
            <w:tcW w:w="38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300" w:type="dxa"/>
            <w:vAlign w:val="bottom"/>
          </w:tcPr>
          <w:p>
            <w:pPr>
              <w:spacing w:after="0"/>
              <w:rPr>
                <w:sz w:val="21"/>
                <w:szCs w:val="21"/>
                <w:color w:val="auto"/>
              </w:rPr>
            </w:pPr>
          </w:p>
        </w:tc>
        <w:tc>
          <w:tcPr>
            <w:tcW w:w="354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January 30, 2004</w:t>
            </w:r>
          </w:p>
        </w:tc>
        <w:tc>
          <w:tcPr>
            <w:tcW w:w="860" w:type="dxa"/>
            <w:vAlign w:val="bottom"/>
            <w:tcBorders>
              <w:bottom w:val="single" w:sz="8" w:color="EEEEEE"/>
            </w:tcBorders>
            <w:gridSpan w:val="2"/>
            <w:shd w:val="clear" w:color="auto" w:fill="EEEEEE"/>
          </w:tcPr>
          <w:p>
            <w:pPr>
              <w:spacing w:after="0"/>
              <w:rPr>
                <w:sz w:val="21"/>
                <w:szCs w:val="21"/>
                <w:color w:val="auto"/>
              </w:rPr>
            </w:pPr>
          </w:p>
        </w:tc>
        <w:tc>
          <w:tcPr>
            <w:tcW w:w="60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9"/>
              </w:rPr>
              <w:t>269,169</w:t>
            </w:r>
          </w:p>
        </w:tc>
        <w:tc>
          <w:tcPr>
            <w:tcW w:w="280" w:type="dxa"/>
            <w:vAlign w:val="bottom"/>
            <w:tcBorders>
              <w:bottom w:val="single" w:sz="8" w:color="EEEEEE"/>
            </w:tcBorders>
            <w:shd w:val="clear" w:color="auto" w:fill="EEEEEE"/>
          </w:tcPr>
          <w:p>
            <w:pPr>
              <w:spacing w:after="0"/>
              <w:rPr>
                <w:sz w:val="21"/>
                <w:szCs w:val="21"/>
                <w:color w:val="auto"/>
              </w:rPr>
            </w:pPr>
          </w:p>
        </w:tc>
        <w:tc>
          <w:tcPr>
            <w:tcW w:w="1380" w:type="dxa"/>
            <w:vAlign w:val="bottom"/>
            <w:tcBorders>
              <w:bottom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$46.05</w:t>
            </w:r>
          </w:p>
        </w:tc>
        <w:tc>
          <w:tcPr>
            <w:tcW w:w="400" w:type="dxa"/>
            <w:vAlign w:val="bottom"/>
            <w:tcBorders>
              <w:bottom w:val="single" w:sz="8" w:color="EEEEEE"/>
            </w:tcBorders>
            <w:shd w:val="clear" w:color="auto" w:fill="EEEEEE"/>
          </w:tcPr>
          <w:p>
            <w:pPr>
              <w:spacing w:after="0"/>
              <w:rPr>
                <w:sz w:val="21"/>
                <w:szCs w:val="21"/>
                <w:color w:val="auto"/>
              </w:rPr>
            </w:pPr>
          </w:p>
        </w:tc>
        <w:tc>
          <w:tcPr>
            <w:tcW w:w="1380" w:type="dxa"/>
            <w:vAlign w:val="bottom"/>
            <w:tcBorders>
              <w:bottom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269,169</w:t>
            </w:r>
          </w:p>
        </w:tc>
        <w:tc>
          <w:tcPr>
            <w:tcW w:w="400" w:type="dxa"/>
            <w:vAlign w:val="bottom"/>
            <w:tcBorders>
              <w:bottom w:val="single" w:sz="8" w:color="EEEEEE"/>
            </w:tcBorders>
            <w:shd w:val="clear" w:color="auto" w:fill="EEEEEE"/>
          </w:tcPr>
          <w:p>
            <w:pPr>
              <w:spacing w:after="0"/>
              <w:rPr>
                <w:sz w:val="21"/>
                <w:szCs w:val="21"/>
                <w:color w:val="auto"/>
              </w:rPr>
            </w:pPr>
          </w:p>
        </w:tc>
        <w:tc>
          <w:tcPr>
            <w:tcW w:w="880" w:type="dxa"/>
            <w:vAlign w:val="bottom"/>
            <w:tcBorders>
              <w:bottom w:val="single" w:sz="8" w:color="EEEEEE"/>
            </w:tcBorders>
            <w:gridSpan w:val="2"/>
            <w:shd w:val="clear" w:color="auto" w:fill="EEEEEE"/>
          </w:tcPr>
          <w:p>
            <w:pPr>
              <w:spacing w:after="0"/>
              <w:rPr>
                <w:sz w:val="21"/>
                <w:szCs w:val="21"/>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36,886</w:t>
            </w:r>
          </w:p>
        </w:tc>
        <w:tc>
          <w:tcPr>
            <w:tcW w:w="520" w:type="dxa"/>
            <w:vAlign w:val="bottom"/>
            <w:tcBorders>
              <w:bottom w:val="single" w:sz="8" w:color="EEEEEE"/>
            </w:tcBorders>
            <w:shd w:val="clear" w:color="auto" w:fill="EEEEEE"/>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0" w:type="dxa"/>
            <w:vAlign w:val="bottom"/>
            <w:shd w:val="clear" w:color="auto" w:fill="80808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shd w:val="clear" w:color="auto" w:fill="80808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bottom w:val="single" w:sz="8" w:color="808080"/>
            </w:tcBorders>
            <w:shd w:val="clear" w:color="auto" w:fill="80808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40" w:type="dxa"/>
            <w:vAlign w:val="bottom"/>
            <w:gridSpan w:val="2"/>
          </w:tcPr>
          <w:p>
            <w:pPr>
              <w:ind w:left="300"/>
              <w:spacing w:after="0"/>
              <w:rPr>
                <w:sz w:val="20"/>
                <w:szCs w:val="20"/>
                <w:color w:val="auto"/>
              </w:rPr>
            </w:pPr>
            <w:r>
              <w:rPr>
                <w:rFonts w:ascii="Arial" w:cs="Arial" w:eastAsia="Arial" w:hAnsi="Arial"/>
                <w:sz w:val="18"/>
                <w:szCs w:val="18"/>
                <w:color w:val="auto"/>
              </w:rPr>
              <w:t>Total</w:t>
            </w:r>
          </w:p>
        </w:tc>
        <w:tc>
          <w:tcPr>
            <w:tcW w:w="860" w:type="dxa"/>
            <w:vAlign w:val="bottom"/>
            <w:gridSpan w:val="2"/>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428,061</w:t>
            </w:r>
          </w:p>
        </w:tc>
        <w:tc>
          <w:tcPr>
            <w:tcW w:w="280" w:type="dxa"/>
            <w:vAlign w:val="bottom"/>
          </w:tcPr>
          <w:p>
            <w:pPr>
              <w:spacing w:after="0"/>
              <w:rPr>
                <w:sz w:val="18"/>
                <w:szCs w:val="18"/>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$46.22</w:t>
            </w:r>
          </w:p>
        </w:tc>
        <w:tc>
          <w:tcPr>
            <w:tcW w:w="40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428,061</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300" w:type="dxa"/>
            <w:vAlign w:val="bottom"/>
          </w:tcPr>
          <w:p>
            <w:pPr>
              <w:spacing w:after="0"/>
              <w:rPr>
                <w:sz w:val="5"/>
                <w:szCs w:val="5"/>
                <w:color w:val="auto"/>
              </w:rPr>
            </w:pPr>
          </w:p>
        </w:tc>
        <w:tc>
          <w:tcPr>
            <w:tcW w:w="3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w w:val="99"/>
              </w:rPr>
              <w:t>21</w:t>
            </w:r>
          </w:p>
        </w:tc>
        <w:tc>
          <w:tcPr>
            <w:tcW w:w="4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3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00" w:type="dxa"/>
            <w:vAlign w:val="bottom"/>
            <w:tcBorders>
              <w:bottom w:val="single" w:sz="8" w:color="808080"/>
            </w:tcBorders>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9840" w:type="dxa"/>
            <w:vAlign w:val="bottom"/>
          </w:tcPr>
          <w:p>
            <w:pPr>
              <w:ind w:left="2360"/>
              <w:spacing w:after="0"/>
              <w:rPr>
                <w:sz w:val="20"/>
                <w:szCs w:val="20"/>
                <w:color w:val="auto"/>
              </w:rPr>
            </w:pPr>
            <w:r>
              <w:rPr>
                <w:rFonts w:ascii="Arial" w:cs="Arial" w:eastAsia="Arial" w:hAnsi="Arial"/>
                <w:sz w:val="18"/>
                <w:szCs w:val="18"/>
                <w:b w:val="1"/>
                <w:bCs w:val="1"/>
                <w:color w:val="auto"/>
              </w:rPr>
              <w:t>Item 6. EXHIBITS AND REPORTS ON FORM 8-K</w:t>
            </w:r>
          </w:p>
        </w:tc>
      </w:tr>
      <w:tr>
        <w:trPr>
          <w:trHeight w:val="405"/>
        </w:trPr>
        <w:tc>
          <w:tcPr>
            <w:tcW w:w="1340" w:type="dxa"/>
            <w:vAlign w:val="bottom"/>
          </w:tcPr>
          <w:p>
            <w:pPr>
              <w:spacing w:after="0"/>
              <w:rPr>
                <w:sz w:val="20"/>
                <w:szCs w:val="20"/>
                <w:color w:val="auto"/>
              </w:rPr>
            </w:pPr>
            <w:r>
              <w:rPr>
                <w:rFonts w:ascii="Arial" w:cs="Arial" w:eastAsia="Arial" w:hAnsi="Arial"/>
                <w:sz w:val="18"/>
                <w:szCs w:val="18"/>
                <w:color w:val="auto"/>
              </w:rPr>
              <w:t>(a) Exhibits</w:t>
            </w:r>
          </w:p>
        </w:tc>
        <w:tc>
          <w:tcPr>
            <w:tcW w:w="9840" w:type="dxa"/>
            <w:vAlign w:val="bottom"/>
          </w:tcPr>
          <w:p>
            <w:pPr>
              <w:spacing w:after="0"/>
              <w:rPr>
                <w:sz w:val="24"/>
                <w:szCs w:val="24"/>
                <w:color w:val="auto"/>
              </w:rPr>
            </w:pPr>
          </w:p>
        </w:tc>
      </w:tr>
      <w:tr>
        <w:trPr>
          <w:trHeight w:val="593"/>
        </w:trPr>
        <w:tc>
          <w:tcPr>
            <w:tcW w:w="1340" w:type="dxa"/>
            <w:vAlign w:val="bottom"/>
          </w:tcPr>
          <w:p>
            <w:pPr>
              <w:ind w:left="180"/>
              <w:spacing w:after="0"/>
              <w:rPr>
                <w:sz w:val="20"/>
                <w:szCs w:val="20"/>
                <w:color w:val="auto"/>
              </w:rPr>
            </w:pPr>
            <w:r>
              <w:rPr>
                <w:rFonts w:ascii="Arial" w:cs="Arial" w:eastAsia="Arial" w:hAnsi="Arial"/>
                <w:sz w:val="18"/>
                <w:szCs w:val="18"/>
                <w:color w:val="auto"/>
              </w:rPr>
              <w:t>3(i) and 4(a)</w:t>
            </w:r>
          </w:p>
        </w:tc>
        <w:tc>
          <w:tcPr>
            <w:tcW w:w="9840" w:type="dxa"/>
            <w:vAlign w:val="bottom"/>
          </w:tcPr>
          <w:p>
            <w:pPr>
              <w:ind w:left="180"/>
              <w:spacing w:after="0"/>
              <w:rPr>
                <w:sz w:val="20"/>
                <w:szCs w:val="20"/>
                <w:color w:val="auto"/>
              </w:rPr>
            </w:pPr>
            <w:r>
              <w:rPr>
                <w:rFonts w:ascii="Arial" w:cs="Arial" w:eastAsia="Arial" w:hAnsi="Arial"/>
                <w:sz w:val="18"/>
                <w:szCs w:val="18"/>
                <w:color w:val="auto"/>
                <w:w w:val="93"/>
              </w:rPr>
              <w:t>Amended and Restated Certificate of Incorporation of Registrant (incorporated by reference to Exhibit 4(b) to Registrant’s Current</w:t>
            </w:r>
          </w:p>
        </w:tc>
      </w:tr>
      <w:tr>
        <w:trPr>
          <w:trHeight w:val="230"/>
        </w:trPr>
        <w:tc>
          <w:tcPr>
            <w:tcW w:w="1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Report on Form 8-K dated May 28, 2003, Commission File No. 1-8649).</w:t>
            </w:r>
          </w:p>
        </w:tc>
      </w:tr>
      <w:tr>
        <w:trPr>
          <w:trHeight w:val="418"/>
        </w:trPr>
        <w:tc>
          <w:tcPr>
            <w:tcW w:w="1340" w:type="dxa"/>
            <w:vAlign w:val="bottom"/>
          </w:tcPr>
          <w:p>
            <w:pPr>
              <w:ind w:left="180"/>
              <w:spacing w:after="0"/>
              <w:rPr>
                <w:sz w:val="20"/>
                <w:szCs w:val="20"/>
                <w:color w:val="auto"/>
              </w:rPr>
            </w:pPr>
            <w:r>
              <w:rPr>
                <w:rFonts w:ascii="Arial" w:cs="Arial" w:eastAsia="Arial" w:hAnsi="Arial"/>
                <w:sz w:val="18"/>
                <w:szCs w:val="18"/>
                <w:color w:val="auto"/>
              </w:rPr>
              <w:t>3(ii) and 4(b)</w:t>
            </w:r>
          </w:p>
        </w:tc>
        <w:tc>
          <w:tcPr>
            <w:tcW w:w="9840" w:type="dxa"/>
            <w:vAlign w:val="bottom"/>
          </w:tcPr>
          <w:p>
            <w:pPr>
              <w:ind w:left="180"/>
              <w:spacing w:after="0"/>
              <w:rPr>
                <w:sz w:val="20"/>
                <w:szCs w:val="20"/>
                <w:color w:val="auto"/>
              </w:rPr>
            </w:pPr>
            <w:r>
              <w:rPr>
                <w:rFonts w:ascii="Arial" w:cs="Arial" w:eastAsia="Arial" w:hAnsi="Arial"/>
                <w:sz w:val="18"/>
                <w:szCs w:val="18"/>
                <w:color w:val="auto"/>
                <w:w w:val="95"/>
              </w:rPr>
              <w:t>Bylaws of Registrant (incorporated by reference to Exhibit 4(c) to Registrant’s Current Report on Form 8-K dated May 28, 2003,</w:t>
            </w:r>
          </w:p>
        </w:tc>
      </w:tr>
      <w:tr>
        <w:trPr>
          <w:trHeight w:val="230"/>
        </w:trPr>
        <w:tc>
          <w:tcPr>
            <w:tcW w:w="1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Commission File No. 1-8649).</w:t>
            </w:r>
          </w:p>
        </w:tc>
      </w:tr>
      <w:tr>
        <w:trPr>
          <w:trHeight w:val="418"/>
        </w:trPr>
        <w:tc>
          <w:tcPr>
            <w:tcW w:w="1340" w:type="dxa"/>
            <w:vAlign w:val="bottom"/>
          </w:tcPr>
          <w:p>
            <w:pPr>
              <w:ind w:left="180"/>
              <w:spacing w:after="0"/>
              <w:rPr>
                <w:sz w:val="20"/>
                <w:szCs w:val="20"/>
                <w:color w:val="auto"/>
              </w:rPr>
            </w:pPr>
            <w:r>
              <w:rPr>
                <w:rFonts w:ascii="Arial" w:cs="Arial" w:eastAsia="Arial" w:hAnsi="Arial"/>
                <w:sz w:val="18"/>
                <w:szCs w:val="18"/>
                <w:color w:val="auto"/>
              </w:rPr>
              <w:t>4(c)</w:t>
            </w:r>
          </w:p>
        </w:tc>
        <w:tc>
          <w:tcPr>
            <w:tcW w:w="9840" w:type="dxa"/>
            <w:vAlign w:val="bottom"/>
          </w:tcPr>
          <w:p>
            <w:pPr>
              <w:ind w:left="180"/>
              <w:spacing w:after="0"/>
              <w:rPr>
                <w:sz w:val="20"/>
                <w:szCs w:val="20"/>
                <w:color w:val="auto"/>
              </w:rPr>
            </w:pPr>
            <w:r>
              <w:rPr>
                <w:rFonts w:ascii="Arial" w:cs="Arial" w:eastAsia="Arial" w:hAnsi="Arial"/>
                <w:sz w:val="18"/>
                <w:szCs w:val="18"/>
                <w:color w:val="auto"/>
                <w:w w:val="94"/>
              </w:rPr>
              <w:t>Specimen form of Common Stock certificate (incorporated by reference to Exhibit 4(c) to Registrant’s Registration Statement on</w:t>
            </w:r>
          </w:p>
        </w:tc>
      </w:tr>
      <w:tr>
        <w:trPr>
          <w:trHeight w:val="230"/>
        </w:trPr>
        <w:tc>
          <w:tcPr>
            <w:tcW w:w="1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Form S-8, Registration No. 2-94417).</w:t>
            </w:r>
          </w:p>
        </w:tc>
      </w:tr>
      <w:tr>
        <w:trPr>
          <w:trHeight w:val="418"/>
        </w:trPr>
        <w:tc>
          <w:tcPr>
            <w:tcW w:w="1340" w:type="dxa"/>
            <w:vAlign w:val="bottom"/>
          </w:tcPr>
          <w:p>
            <w:pPr>
              <w:ind w:left="180"/>
              <w:spacing w:after="0"/>
              <w:rPr>
                <w:sz w:val="20"/>
                <w:szCs w:val="20"/>
                <w:color w:val="auto"/>
              </w:rPr>
            </w:pPr>
            <w:r>
              <w:rPr>
                <w:rFonts w:ascii="Arial" w:cs="Arial" w:eastAsia="Arial" w:hAnsi="Arial"/>
                <w:sz w:val="18"/>
                <w:szCs w:val="18"/>
                <w:color w:val="auto"/>
              </w:rPr>
              <w:t>4(d)</w:t>
            </w:r>
          </w:p>
        </w:tc>
        <w:tc>
          <w:tcPr>
            <w:tcW w:w="9840" w:type="dxa"/>
            <w:vAlign w:val="bottom"/>
          </w:tcPr>
          <w:p>
            <w:pPr>
              <w:ind w:left="180"/>
              <w:spacing w:after="0"/>
              <w:rPr>
                <w:sz w:val="20"/>
                <w:szCs w:val="20"/>
                <w:color w:val="auto"/>
              </w:rPr>
            </w:pPr>
            <w:r>
              <w:rPr>
                <w:rFonts w:ascii="Arial" w:cs="Arial" w:eastAsia="Arial" w:hAnsi="Arial"/>
                <w:sz w:val="18"/>
                <w:szCs w:val="18"/>
                <w:color w:val="auto"/>
                <w:w w:val="92"/>
              </w:rPr>
              <w:t>Rights Agreement dated as of May 20, 1998, between Registrant and Wells Fargo Bank Minnesota, National Association relating to</w:t>
            </w:r>
          </w:p>
        </w:tc>
      </w:tr>
      <w:tr>
        <w:trPr>
          <w:trHeight w:val="216"/>
        </w:trPr>
        <w:tc>
          <w:tcPr>
            <w:tcW w:w="1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0"/>
              </w:rPr>
              <w:t>rights to purchase Series B Junior Participating Voting Preferred Stock, as amended (incorporated by reference to Registrant’s Current</w:t>
            </w:r>
          </w:p>
        </w:tc>
      </w:tr>
      <w:tr>
        <w:trPr>
          <w:trHeight w:val="230"/>
        </w:trPr>
        <w:tc>
          <w:tcPr>
            <w:tcW w:w="1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Report on Form 8-K dated May 27, 1998, Commission File No. 1-8649).</w:t>
            </w:r>
          </w:p>
        </w:tc>
      </w:tr>
      <w:tr>
        <w:trPr>
          <w:trHeight w:val="418"/>
        </w:trPr>
        <w:tc>
          <w:tcPr>
            <w:tcW w:w="1340" w:type="dxa"/>
            <w:vAlign w:val="bottom"/>
          </w:tcPr>
          <w:p>
            <w:pPr>
              <w:ind w:left="180"/>
              <w:spacing w:after="0"/>
              <w:rPr>
                <w:sz w:val="20"/>
                <w:szCs w:val="20"/>
                <w:color w:val="auto"/>
              </w:rPr>
            </w:pPr>
            <w:r>
              <w:rPr>
                <w:rFonts w:ascii="Arial" w:cs="Arial" w:eastAsia="Arial" w:hAnsi="Arial"/>
                <w:sz w:val="18"/>
                <w:szCs w:val="18"/>
                <w:color w:val="auto"/>
              </w:rPr>
              <w:t>4(e)</w:t>
            </w:r>
          </w:p>
        </w:tc>
        <w:tc>
          <w:tcPr>
            <w:tcW w:w="9840" w:type="dxa"/>
            <w:vAlign w:val="bottom"/>
          </w:tcPr>
          <w:p>
            <w:pPr>
              <w:ind w:left="180"/>
              <w:spacing w:after="0"/>
              <w:rPr>
                <w:sz w:val="20"/>
                <w:szCs w:val="20"/>
                <w:color w:val="auto"/>
              </w:rPr>
            </w:pPr>
            <w:r>
              <w:rPr>
                <w:rFonts w:ascii="Arial" w:cs="Arial" w:eastAsia="Arial" w:hAnsi="Arial"/>
                <w:sz w:val="18"/>
                <w:szCs w:val="18"/>
                <w:color w:val="auto"/>
                <w:w w:val="98"/>
              </w:rPr>
              <w:t>Certificate of Adjusted Purchase Price or Number of Shares dated April 14, 2003 filed by Registrant with Wells Fargo Bank</w:t>
            </w:r>
          </w:p>
        </w:tc>
      </w:tr>
      <w:tr>
        <w:trPr>
          <w:trHeight w:val="216"/>
        </w:trPr>
        <w:tc>
          <w:tcPr>
            <w:tcW w:w="1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5"/>
              </w:rPr>
              <w:t>Minnesota, N.A., as Rights Agent, in connection with Rights Agreement dated as of May 20, 1998 (incorporated by reference to</w:t>
            </w:r>
          </w:p>
        </w:tc>
      </w:tr>
      <w:tr>
        <w:trPr>
          <w:trHeight w:val="216"/>
        </w:trPr>
        <w:tc>
          <w:tcPr>
            <w:tcW w:w="1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3"/>
              </w:rPr>
              <w:t>Exhibit 2 to Registrant’s Amendment No. 1 to Registration Statement on Form 8-A/A dated April 14, 2003, Commission File No. 1-</w:t>
            </w:r>
          </w:p>
        </w:tc>
      </w:tr>
      <w:tr>
        <w:trPr>
          <w:trHeight w:val="230"/>
        </w:trPr>
        <w:tc>
          <w:tcPr>
            <w:tcW w:w="1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8649).</w:t>
            </w:r>
          </w:p>
        </w:tc>
      </w:tr>
      <w:tr>
        <w:trPr>
          <w:trHeight w:val="418"/>
        </w:trPr>
        <w:tc>
          <w:tcPr>
            <w:tcW w:w="1340" w:type="dxa"/>
            <w:vAlign w:val="bottom"/>
          </w:tcPr>
          <w:p>
            <w:pPr>
              <w:ind w:left="180"/>
              <w:spacing w:after="0"/>
              <w:rPr>
                <w:sz w:val="20"/>
                <w:szCs w:val="20"/>
                <w:color w:val="auto"/>
              </w:rPr>
            </w:pPr>
            <w:r>
              <w:rPr>
                <w:rFonts w:ascii="Arial" w:cs="Arial" w:eastAsia="Arial" w:hAnsi="Arial"/>
                <w:sz w:val="18"/>
                <w:szCs w:val="18"/>
                <w:color w:val="auto"/>
              </w:rPr>
              <w:t>4(f)</w:t>
            </w:r>
          </w:p>
        </w:tc>
        <w:tc>
          <w:tcPr>
            <w:tcW w:w="9840" w:type="dxa"/>
            <w:vAlign w:val="bottom"/>
          </w:tcPr>
          <w:p>
            <w:pPr>
              <w:ind w:left="180"/>
              <w:spacing w:after="0"/>
              <w:rPr>
                <w:sz w:val="20"/>
                <w:szCs w:val="20"/>
                <w:color w:val="auto"/>
              </w:rPr>
            </w:pPr>
            <w:r>
              <w:rPr>
                <w:rFonts w:ascii="Arial" w:cs="Arial" w:eastAsia="Arial" w:hAnsi="Arial"/>
                <w:sz w:val="18"/>
                <w:szCs w:val="18"/>
                <w:color w:val="auto"/>
                <w:w w:val="98"/>
              </w:rPr>
              <w:t>Indenture dated as of January 31, 1997, between Registrant and First National Trust Association, as Trustee, relating to the</w:t>
            </w:r>
          </w:p>
        </w:tc>
      </w:tr>
      <w:tr>
        <w:trPr>
          <w:trHeight w:val="216"/>
        </w:trPr>
        <w:tc>
          <w:tcPr>
            <w:tcW w:w="1340" w:type="dxa"/>
            <w:vAlign w:val="bottom"/>
          </w:tcPr>
          <w:p>
            <w:pPr>
              <w:spacing w:after="0"/>
              <w:rPr>
                <w:sz w:val="18"/>
                <w:szCs w:val="18"/>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w w:val="90"/>
              </w:rPr>
              <w:t>Registrant’s 7.125% Notes due June 15, 2007 and its 7.80% Debentures due June 15, 2027 (incorporated by reference to Exhibit 4(a)</w:t>
            </w:r>
          </w:p>
        </w:tc>
      </w:tr>
      <w:tr>
        <w:trPr>
          <w:trHeight w:val="230"/>
        </w:trPr>
        <w:tc>
          <w:tcPr>
            <w:tcW w:w="1340" w:type="dxa"/>
            <w:vAlign w:val="bottom"/>
          </w:tcPr>
          <w:p>
            <w:pPr>
              <w:spacing w:after="0"/>
              <w:rPr>
                <w:sz w:val="20"/>
                <w:szCs w:val="20"/>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to Registrant’s Current Report on Form 8-K for June 24, 1997, Commission File No. 1-8649).</w:t>
            </w:r>
          </w:p>
        </w:tc>
      </w:tr>
      <w:tr>
        <w:trPr>
          <w:trHeight w:val="432"/>
        </w:trPr>
        <w:tc>
          <w:tcPr>
            <w:tcW w:w="1340" w:type="dxa"/>
            <w:vAlign w:val="bottom"/>
          </w:tcPr>
          <w:p>
            <w:pPr>
              <w:ind w:left="180"/>
              <w:spacing w:after="0"/>
              <w:rPr>
                <w:sz w:val="20"/>
                <w:szCs w:val="20"/>
                <w:color w:val="auto"/>
              </w:rPr>
            </w:pPr>
            <w:r>
              <w:rPr>
                <w:rFonts w:ascii="Arial" w:cs="Arial" w:eastAsia="Arial" w:hAnsi="Arial"/>
                <w:sz w:val="18"/>
                <w:szCs w:val="18"/>
                <w:color w:val="auto"/>
              </w:rPr>
              <w:t>31(a)</w:t>
            </w:r>
          </w:p>
        </w:tc>
        <w:tc>
          <w:tcPr>
            <w:tcW w:w="9840" w:type="dxa"/>
            <w:vAlign w:val="bottom"/>
          </w:tcPr>
          <w:p>
            <w:pPr>
              <w:ind w:left="180"/>
              <w:spacing w:after="0"/>
              <w:rPr>
                <w:sz w:val="20"/>
                <w:szCs w:val="20"/>
                <w:color w:val="auto"/>
              </w:rPr>
            </w:pPr>
            <w:r>
              <w:rPr>
                <w:rFonts w:ascii="Arial" w:cs="Arial" w:eastAsia="Arial" w:hAnsi="Arial"/>
                <w:sz w:val="18"/>
                <w:szCs w:val="18"/>
                <w:color w:val="auto"/>
              </w:rPr>
              <w:t>Certification of Chief Executive Officer Pursuant to Rule 13a-14(a) (Section 302 of the Sarbanes-Oxley Act of 2002).</w:t>
            </w:r>
          </w:p>
        </w:tc>
      </w:tr>
      <w:tr>
        <w:trPr>
          <w:trHeight w:val="432"/>
        </w:trPr>
        <w:tc>
          <w:tcPr>
            <w:tcW w:w="1340" w:type="dxa"/>
            <w:vAlign w:val="bottom"/>
          </w:tcPr>
          <w:p>
            <w:pPr>
              <w:ind w:left="180"/>
              <w:spacing w:after="0"/>
              <w:rPr>
                <w:sz w:val="20"/>
                <w:szCs w:val="20"/>
                <w:color w:val="auto"/>
              </w:rPr>
            </w:pPr>
            <w:r>
              <w:rPr>
                <w:rFonts w:ascii="Arial" w:cs="Arial" w:eastAsia="Arial" w:hAnsi="Arial"/>
                <w:sz w:val="18"/>
                <w:szCs w:val="18"/>
                <w:color w:val="auto"/>
              </w:rPr>
              <w:t>31(b)</w:t>
            </w:r>
          </w:p>
        </w:tc>
        <w:tc>
          <w:tcPr>
            <w:tcW w:w="9840" w:type="dxa"/>
            <w:vAlign w:val="bottom"/>
          </w:tcPr>
          <w:p>
            <w:pPr>
              <w:ind w:left="180"/>
              <w:spacing w:after="0"/>
              <w:rPr>
                <w:sz w:val="20"/>
                <w:szCs w:val="20"/>
                <w:color w:val="auto"/>
              </w:rPr>
            </w:pPr>
            <w:r>
              <w:rPr>
                <w:rFonts w:ascii="Arial" w:cs="Arial" w:eastAsia="Arial" w:hAnsi="Arial"/>
                <w:sz w:val="18"/>
                <w:szCs w:val="18"/>
                <w:color w:val="auto"/>
              </w:rPr>
              <w:t>Certification of Chief Financial Officer Pursuant to Rule 13a-14(a) (Section 302 of the Sarbanes-Oxley Act of 2002).</w:t>
            </w:r>
          </w:p>
        </w:tc>
      </w:tr>
    </w:tbl>
    <w:p>
      <w:pPr>
        <w:spacing w:after="0" w:line="202" w:lineRule="exact"/>
        <w:rPr>
          <w:sz w:val="20"/>
          <w:szCs w:val="20"/>
          <w:color w:val="auto"/>
        </w:rPr>
      </w:pPr>
    </w:p>
    <w:p>
      <w:pPr>
        <w:ind w:left="1520" w:right="380" w:hanging="1336"/>
        <w:spacing w:after="0" w:line="277" w:lineRule="auto"/>
        <w:tabs>
          <w:tab w:leader="none" w:pos="1520" w:val="left"/>
        </w:tabs>
        <w:numPr>
          <w:ilvl w:val="1"/>
          <w:numId w:val="3"/>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170" w:lineRule="exact"/>
        <w:rPr>
          <w:rFonts w:ascii="Arial" w:cs="Arial" w:eastAsia="Arial" w:hAnsi="Arial"/>
          <w:sz w:val="18"/>
          <w:szCs w:val="18"/>
          <w:color w:val="auto"/>
        </w:rPr>
      </w:pPr>
    </w:p>
    <w:p>
      <w:pPr>
        <w:ind w:left="340" w:hanging="326"/>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225" w:lineRule="exact"/>
        <w:rPr>
          <w:sz w:val="20"/>
          <w:szCs w:val="20"/>
          <w:color w:val="auto"/>
        </w:rPr>
      </w:pPr>
    </w:p>
    <w:p>
      <w:pPr>
        <w:ind w:left="220" w:right="380"/>
        <w:spacing w:after="0" w:line="277" w:lineRule="auto"/>
        <w:rPr>
          <w:sz w:val="20"/>
          <w:szCs w:val="20"/>
          <w:color w:val="auto"/>
        </w:rPr>
      </w:pPr>
      <w:r>
        <w:rPr>
          <w:rFonts w:ascii="Arial" w:cs="Arial" w:eastAsia="Arial" w:hAnsi="Arial"/>
          <w:sz w:val="18"/>
          <w:szCs w:val="18"/>
          <w:color w:val="auto"/>
        </w:rPr>
        <w:t>During the fiscal quarter ended January 30, 2004, Toro furnished a Current Report on Form 8-K dated December 10, 2003 pursuant to Item 12 that attached a press release announcing Toro’s financial results for the fiscal year ended October 31, 2003.</w:t>
      </w:r>
    </w:p>
    <w:p>
      <w:pPr>
        <w:spacing w:after="0" w:line="17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41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6" w:lineRule="exact"/>
        <w:rPr>
          <w:sz w:val="20"/>
          <w:szCs w:val="20"/>
          <w:color w:val="auto"/>
        </w:rPr>
      </w:pPr>
    </w:p>
    <w:p>
      <w:pPr>
        <w:jc w:val="center"/>
        <w:ind w:left="766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ind w:left="76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7640" w:val="left"/>
        </w:tabs>
        <w:rPr>
          <w:sz w:val="20"/>
          <w:szCs w:val="20"/>
          <w:color w:val="auto"/>
        </w:rPr>
      </w:pPr>
      <w:r>
        <w:rPr>
          <w:rFonts w:ascii="Arial" w:cs="Arial" w:eastAsia="Arial" w:hAnsi="Arial"/>
          <w:sz w:val="18"/>
          <w:szCs w:val="18"/>
          <w:color w:val="auto"/>
        </w:rPr>
        <w:t>Date: March 10, 2004</w:t>
      </w:r>
      <w:r>
        <w:rPr>
          <w:sz w:val="20"/>
          <w:szCs w:val="20"/>
          <w:color w:val="auto"/>
        </w:rPr>
        <w:tab/>
      </w:r>
      <w:r>
        <w:rPr>
          <w:rFonts w:ascii="Arial" w:cs="Arial" w:eastAsia="Arial" w:hAnsi="Arial"/>
          <w:sz w:val="16"/>
          <w:szCs w:val="16"/>
          <w:color w:val="auto"/>
        </w:rPr>
        <w:t>By /s/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23495</wp:posOffset>
            </wp:positionV>
            <wp:extent cx="23926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0"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Stephen P. Wolfe</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Treasurer and Chief Financial Officer</w:t>
      </w:r>
    </w:p>
    <w:p>
      <w:pPr>
        <w:spacing w:after="0" w:line="9"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(duly authorized officer and principal</w:t>
      </w:r>
    </w:p>
    <w:p>
      <w:pPr>
        <w:spacing w:after="0" w:line="9"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financial officer)</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9740" w:type="dxa"/>
            <w:vAlign w:val="bottom"/>
          </w:tcPr>
          <w:p>
            <w:pPr>
              <w:ind w:left="38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31"/>
        </w:trPr>
        <w:tc>
          <w:tcPr>
            <w:tcW w:w="11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9740" w:type="dxa"/>
            <w:vAlign w:val="bottom"/>
            <w:vMerge w:val="restart"/>
          </w:tcPr>
          <w:p>
            <w:pPr>
              <w:ind w:left="48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1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9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1140" w:type="dxa"/>
            <w:vAlign w:val="bottom"/>
          </w:tcPr>
          <w:p>
            <w:pPr>
              <w:spacing w:after="0"/>
              <w:rPr>
                <w:sz w:val="20"/>
                <w:szCs w:val="20"/>
                <w:color w:val="auto"/>
              </w:rPr>
            </w:pPr>
            <w:r>
              <w:rPr>
                <w:rFonts w:ascii="Arial" w:cs="Arial" w:eastAsia="Arial" w:hAnsi="Arial"/>
                <w:sz w:val="18"/>
                <w:szCs w:val="18"/>
                <w:color w:val="auto"/>
              </w:rPr>
              <w:t>31(a)</w:t>
            </w:r>
          </w:p>
        </w:tc>
        <w:tc>
          <w:tcPr>
            <w:tcW w:w="9740" w:type="dxa"/>
            <w:vAlign w:val="bottom"/>
          </w:tcPr>
          <w:p>
            <w:pPr>
              <w:ind w:left="480"/>
              <w:spacing w:after="0"/>
              <w:rPr>
                <w:sz w:val="20"/>
                <w:szCs w:val="20"/>
                <w:color w:val="auto"/>
              </w:rPr>
            </w:pPr>
            <w:r>
              <w:rPr>
                <w:rFonts w:ascii="Arial" w:cs="Arial" w:eastAsia="Arial" w:hAnsi="Arial"/>
                <w:sz w:val="18"/>
                <w:szCs w:val="18"/>
                <w:color w:val="auto"/>
              </w:rPr>
              <w:t>Certification of Chief Executive Officer Pursuant to Rule 13a-14(a) (Section 302 of the Sarbanes-Oxley Act of 2002).</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31(b)</w:t>
            </w:r>
          </w:p>
        </w:tc>
        <w:tc>
          <w:tcPr>
            <w:tcW w:w="9740" w:type="dxa"/>
            <w:vAlign w:val="bottom"/>
          </w:tcPr>
          <w:p>
            <w:pPr>
              <w:ind w:left="480"/>
              <w:spacing w:after="0"/>
              <w:rPr>
                <w:sz w:val="20"/>
                <w:szCs w:val="20"/>
                <w:color w:val="auto"/>
              </w:rPr>
            </w:pPr>
            <w:r>
              <w:rPr>
                <w:rFonts w:ascii="Arial" w:cs="Arial" w:eastAsia="Arial" w:hAnsi="Arial"/>
                <w:sz w:val="18"/>
                <w:szCs w:val="18"/>
                <w:color w:val="auto"/>
              </w:rPr>
              <w:t>Certification of Chief Financial Officer Pursuant to Rule 13a-14(a) (Section 302 of the Sarbanes-Oxley Act of 2002).</w:t>
            </w:r>
          </w:p>
        </w:tc>
        <w:tc>
          <w:tcPr>
            <w:tcW w:w="0" w:type="dxa"/>
            <w:vAlign w:val="bottom"/>
          </w:tcPr>
          <w:p>
            <w:pPr>
              <w:spacing w:after="0"/>
              <w:rPr>
                <w:sz w:val="1"/>
                <w:szCs w:val="1"/>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32</w:t>
            </w:r>
          </w:p>
        </w:tc>
        <w:tc>
          <w:tcPr>
            <w:tcW w:w="9740" w:type="dxa"/>
            <w:vAlign w:val="bottom"/>
          </w:tcPr>
          <w:p>
            <w:pPr>
              <w:ind w:left="480"/>
              <w:spacing w:after="0"/>
              <w:rPr>
                <w:sz w:val="20"/>
                <w:szCs w:val="20"/>
                <w:color w:val="auto"/>
              </w:rPr>
            </w:pPr>
            <w:r>
              <w:rPr>
                <w:rFonts w:ascii="Arial" w:cs="Arial" w:eastAsia="Arial" w:hAnsi="Arial"/>
                <w:sz w:val="18"/>
                <w:szCs w:val="18"/>
                <w:color w:val="auto"/>
                <w:w w:val="91"/>
              </w:rPr>
              <w:t>Certification of Chief Executive Officer and Chief Financial Officer Pursuant to 18 U.S.C. Section 1350, as Adopted Pursuant to</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9740" w:type="dxa"/>
            <w:vAlign w:val="bottom"/>
          </w:tcPr>
          <w:p>
            <w:pPr>
              <w:ind w:left="480"/>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bl>
    <w:p>
      <w:pPr>
        <w:sectPr>
          <w:pgSz w:w="11900" w:h="16838" w:orient="portrait"/>
          <w:cols w:equalWidth="0" w:num="1">
            <w:col w:w="10880"/>
          </w:cols>
          <w:pgMar w:left="240" w:top="419" w:right="77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Kendrick B. Melrose, certify that:</w:t>
      </w:r>
    </w:p>
    <w:p>
      <w:pPr>
        <w:spacing w:after="0" w:line="185"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198"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firstLine="8"/>
        <w:spacing w:after="0" w:line="277"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20" w:right="80" w:hanging="252"/>
        <w:spacing w:after="0" w:line="264" w:lineRule="auto"/>
        <w:tabs>
          <w:tab w:leader="none" w:pos="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20" w:right="120" w:hanging="262"/>
        <w:spacing w:after="0" w:line="308" w:lineRule="auto"/>
        <w:tabs>
          <w:tab w:leader="none" w:pos="620"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20" w:right="160" w:hanging="252"/>
        <w:spacing w:after="0" w:line="342" w:lineRule="auto"/>
        <w:tabs>
          <w:tab w:leader="none" w:pos="620" w:val="left"/>
        </w:tabs>
        <w:numPr>
          <w:ilvl w:val="1"/>
          <w:numId w:val="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right="460" w:firstLine="8"/>
        <w:spacing w:after="0" w:line="308" w:lineRule="auto"/>
        <w:tabs>
          <w:tab w:leader="none" w:pos="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20" w:right="40" w:hanging="252"/>
        <w:spacing w:after="0" w:line="277" w:lineRule="auto"/>
        <w:tabs>
          <w:tab w:leader="none" w:pos="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20" w:right="80" w:hanging="262"/>
        <w:spacing w:after="0" w:line="277" w:lineRule="auto"/>
        <w:tabs>
          <w:tab w:leader="none" w:pos="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2004</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Kendrick B. Melrose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14662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Kendrick B. Melrose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3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31(b)</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Stephen P. Wolfe, certify that:</w:t>
      </w:r>
    </w:p>
    <w:p>
      <w:pPr>
        <w:spacing w:after="0" w:line="185"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198"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the report;</w:t>
      </w:r>
    </w:p>
    <w:p>
      <w:pPr>
        <w:spacing w:after="0" w:line="129" w:lineRule="exact"/>
        <w:rPr>
          <w:rFonts w:ascii="Arial" w:cs="Arial" w:eastAsia="Arial" w:hAnsi="Arial"/>
          <w:sz w:val="18"/>
          <w:szCs w:val="18"/>
          <w:color w:val="auto"/>
        </w:rPr>
      </w:pPr>
    </w:p>
    <w:p>
      <w:pPr>
        <w:ind w:firstLine="8"/>
        <w:spacing w:after="0" w:line="277"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20" w:right="80" w:hanging="252"/>
        <w:spacing w:after="0" w:line="264" w:lineRule="auto"/>
        <w:tabs>
          <w:tab w:leader="none" w:pos="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20" w:right="120" w:hanging="262"/>
        <w:spacing w:after="0" w:line="308" w:lineRule="auto"/>
        <w:tabs>
          <w:tab w:leader="none" w:pos="62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20" w:right="160" w:hanging="252"/>
        <w:spacing w:after="0" w:line="342" w:lineRule="auto"/>
        <w:tabs>
          <w:tab w:leader="none" w:pos="620" w:val="left"/>
        </w:tabs>
        <w:numPr>
          <w:ilvl w:val="1"/>
          <w:numId w:val="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right="460" w:firstLine="8"/>
        <w:spacing w:after="0" w:line="308" w:lineRule="auto"/>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20" w:right="40" w:hanging="252"/>
        <w:spacing w:after="0" w:line="277" w:lineRule="auto"/>
        <w:tabs>
          <w:tab w:leader="none" w:pos="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20" w:right="80" w:hanging="262"/>
        <w:spacing w:after="0" w:line="277" w:lineRule="auto"/>
        <w:tabs>
          <w:tab w:leader="none" w:pos="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2004</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14662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Stephen P. Wolfe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3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Quarterly Report of The Toro Company (the “Company”) on Form 10-Q for the quarterly period ended January 30, 2004 as filed with the Securities and Exchange Commission on the date hereof (the “Report”), we, Kendrick B. Melrose, Chairman and Chief Executive Officer of the Company, and Stephen P. Wolfe, Vice President-Finance, Treasurer and Chief Financial Officer of the Company, certify, pursuant to 18 U.S.C. Section 1350, as adopted pursuant to Section 906 of the Sarbanes-Oxley Act of 2002, that:</w:t>
      </w:r>
    </w:p>
    <w:p>
      <w:pPr>
        <w:spacing w:after="0" w:line="187" w:lineRule="exact"/>
        <w:rPr>
          <w:sz w:val="20"/>
          <w:szCs w:val="20"/>
          <w:color w:val="auto"/>
        </w:rPr>
      </w:pPr>
    </w:p>
    <w:p>
      <w:pPr>
        <w:ind w:left="1000" w:hanging="310"/>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740" w:hanging="310"/>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Kendrick B. Melrose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21951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Kendrick B. Melrose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21951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Stephen P. Wolfe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2004</w:t>
      </w:r>
    </w:p>
    <w:p>
      <w:pPr>
        <w:spacing w:after="0" w:line="170"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lvl w:ilvl="1">
      <w:lvlJc w:val="left"/>
      <w:lvlText w:val="%2"/>
      <w:numFmt w:val="decimal"/>
      <w:start w:val="32"/>
    </w:lvl>
  </w:abstractNum>
  <w:abstractNum w:abstractNumId="3">
    <w:nsid w:val="3D1B58BA"/>
    <w:multiLevelType w:val="hybridMultilevel"/>
    <w:lvl w:ilvl="0">
      <w:lvlJc w:val="left"/>
      <w:lvlText w:val="(%1)"/>
      <w:numFmt w:val="lowerLetter"/>
      <w:start w:val="2"/>
    </w:lvl>
    <w:lvl w:ilvl="1">
      <w:lvlJc w:val="left"/>
      <w:lvlText w:val="%2"/>
      <w:numFmt w:val="decimal"/>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2019-12-13T13:38:18Z</dcterms:created>
  <dcterms:modified xsi:type="dcterms:W3CDTF">2019-12-13T13:38:18Z</dcterms:modified>
</cp:coreProperties>
</file>