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354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3544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026"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Happe Michael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08/27/2013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83"/>
        <w:spacing w:after="0"/>
        <w:rPr>
          <w:sz w:val="20"/>
          <w:szCs w:val="20"/>
          <w:color w:val="auto"/>
        </w:rPr>
      </w:pPr>
      <w:r>
        <w:rPr>
          <w:rFonts w:ascii="Arial" w:cs="Arial" w:eastAsia="Arial" w:hAnsi="Arial"/>
          <w:sz w:val="18"/>
          <w:szCs w:val="18"/>
          <w:color w:val="0000FF"/>
        </w:rPr>
        <w:t>Group VP, Res. &amp; Cont.</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026"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026"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0" w:type="dxa"/>
            <w:vAlign w:val="bottom"/>
            <w:gridSpan w:val="2"/>
          </w:tcPr>
          <w:p>
            <w:pPr>
              <w:ind w:left="5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50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60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Arial" w:cs="Arial" w:eastAsia="Arial" w:hAnsi="Arial"/>
                <w:sz w:val="18"/>
                <w:szCs w:val="18"/>
                <w:color w:val="0000FF"/>
                <w:w w:val="99"/>
              </w:rPr>
              <w:t>08/27/2013</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Arial" w:cs="Arial" w:eastAsia="Arial" w:hAnsi="Arial"/>
                <w:sz w:val="14"/>
                <w:szCs w:val="14"/>
                <w:color w:val="0000FF"/>
              </w:rPr>
              <w:t>M</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1,000</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9"/>
              </w:rPr>
              <w:t>A</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14.31</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3"/>
              </w:rPr>
              <w:t>8,817.015</w:t>
            </w:r>
            <w:r>
              <w:rPr>
                <w:rFonts w:ascii="Arial" w:cs="Arial" w:eastAsia="Arial" w:hAnsi="Arial"/>
                <w:sz w:val="22"/>
                <w:szCs w:val="22"/>
                <w:color w:val="008000"/>
                <w:w w:val="83"/>
                <w:vertAlign w:val="superscript"/>
              </w:rPr>
              <w:t>(1)</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9"/>
              <w:spacing w:after="0"/>
              <w:rPr>
                <w:sz w:val="20"/>
                <w:szCs w:val="20"/>
                <w:color w:val="auto"/>
              </w:rPr>
            </w:pPr>
            <w:r>
              <w:rPr>
                <w:rFonts w:ascii="Arial" w:cs="Arial" w:eastAsia="Arial" w:hAnsi="Arial"/>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600" w:type="dxa"/>
            <w:vAlign w:val="bottom"/>
            <w:gridSpan w:val="2"/>
          </w:tcPr>
          <w:p>
            <w:pPr>
              <w:ind w:left="680"/>
              <w:spacing w:after="0"/>
              <w:rPr>
                <w:sz w:val="20"/>
                <w:szCs w:val="20"/>
                <w:color w:val="auto"/>
              </w:rPr>
            </w:pPr>
            <w:r>
              <w:rPr>
                <w:rFonts w:ascii="Arial" w:cs="Arial" w:eastAsia="Arial" w:hAnsi="Arial"/>
                <w:sz w:val="18"/>
                <w:szCs w:val="18"/>
                <w:color w:val="0000FF"/>
                <w:w w:val="99"/>
              </w:rPr>
              <w:t>08/27/2013</w:t>
            </w:r>
          </w:p>
        </w:tc>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Arial" w:cs="Arial" w:eastAsia="Arial" w:hAnsi="Arial"/>
                <w:sz w:val="14"/>
                <w:szCs w:val="14"/>
                <w:color w:val="0000FF"/>
              </w:rPr>
              <w:t>S</w:t>
            </w:r>
          </w:p>
        </w:tc>
        <w:tc>
          <w:tcPr>
            <w:tcW w:w="740" w:type="dxa"/>
            <w:vAlign w:val="bottom"/>
          </w:tcPr>
          <w:p>
            <w:pPr>
              <w:ind w:left="220"/>
              <w:spacing w:after="0"/>
              <w:rPr>
                <w:sz w:val="20"/>
                <w:szCs w:val="20"/>
                <w:color w:val="auto"/>
              </w:rPr>
            </w:pPr>
            <w:r>
              <w:rPr>
                <w:rFonts w:ascii="Arial" w:cs="Arial" w:eastAsia="Arial" w:hAnsi="Arial"/>
                <w:sz w:val="18"/>
                <w:szCs w:val="18"/>
                <w:color w:val="0000FF"/>
              </w:rPr>
              <w:t>1,000</w:t>
            </w:r>
          </w:p>
        </w:tc>
        <w:tc>
          <w:tcPr>
            <w:tcW w:w="66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600" w:type="dxa"/>
            <w:vAlign w:val="bottom"/>
          </w:tcPr>
          <w:p>
            <w:pPr>
              <w:jc w:val="center"/>
              <w:ind w:right="11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53</w:t>
            </w:r>
          </w:p>
        </w:tc>
        <w:tc>
          <w:tcPr>
            <w:tcW w:w="1260" w:type="dxa"/>
            <w:vAlign w:val="bottom"/>
            <w:gridSpan w:val="2"/>
          </w:tcPr>
          <w:p>
            <w:pPr>
              <w:jc w:val="center"/>
              <w:spacing w:after="0"/>
              <w:rPr>
                <w:sz w:val="20"/>
                <w:szCs w:val="20"/>
                <w:color w:val="auto"/>
              </w:rPr>
            </w:pPr>
            <w:r>
              <w:rPr>
                <w:rFonts w:ascii="Arial" w:cs="Arial" w:eastAsia="Arial" w:hAnsi="Arial"/>
                <w:sz w:val="18"/>
                <w:szCs w:val="18"/>
                <w:color w:val="0000FF"/>
                <w:w w:val="87"/>
              </w:rPr>
              <w:t>7,817.015</w:t>
            </w:r>
          </w:p>
        </w:tc>
        <w:tc>
          <w:tcPr>
            <w:tcW w:w="320" w:type="dxa"/>
            <w:vAlign w:val="bottom"/>
          </w:tcPr>
          <w:p>
            <w:pPr>
              <w:spacing w:after="0"/>
              <w:rPr>
                <w:sz w:val="23"/>
                <w:szCs w:val="23"/>
                <w:color w:val="auto"/>
              </w:rPr>
            </w:pPr>
          </w:p>
        </w:tc>
        <w:tc>
          <w:tcPr>
            <w:tcW w:w="600" w:type="dxa"/>
            <w:vAlign w:val="bottom"/>
          </w:tcPr>
          <w:p>
            <w:pPr>
              <w:jc w:val="center"/>
              <w:ind w:right="329"/>
              <w:spacing w:after="0"/>
              <w:rPr>
                <w:sz w:val="20"/>
                <w:szCs w:val="20"/>
                <w:color w:val="auto"/>
              </w:rPr>
            </w:pPr>
            <w:r>
              <w:rPr>
                <w:rFonts w:ascii="Arial" w:cs="Arial" w:eastAsia="Arial" w:hAnsi="Arial"/>
                <w:sz w:val="18"/>
                <w:szCs w:val="18"/>
                <w:color w:val="0000FF"/>
                <w:w w:val="91"/>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60" w:type="dxa"/>
            <w:vAlign w:val="bottom"/>
            <w:gridSpan w:val="2"/>
          </w:tcPr>
          <w:p>
            <w:pPr>
              <w:jc w:val="center"/>
              <w:spacing w:after="0" w:line="217" w:lineRule="exact"/>
              <w:rPr>
                <w:sz w:val="20"/>
                <w:szCs w:val="20"/>
                <w:color w:val="auto"/>
              </w:rPr>
            </w:pPr>
            <w:r>
              <w:rPr>
                <w:rFonts w:ascii="Arial" w:cs="Arial" w:eastAsia="Arial" w:hAnsi="Arial"/>
                <w:sz w:val="18"/>
                <w:szCs w:val="18"/>
                <w:color w:val="0000FF"/>
                <w:w w:val="83"/>
              </w:rPr>
              <w:t>11,726.478</w:t>
            </w:r>
            <w:r>
              <w:rPr>
                <w:rFonts w:ascii="Arial" w:cs="Arial" w:eastAsia="Arial" w:hAnsi="Arial"/>
                <w:sz w:val="22"/>
                <w:szCs w:val="22"/>
                <w:color w:val="008000"/>
                <w:w w:val="83"/>
                <w:vertAlign w:val="superscript"/>
              </w:rPr>
              <w:t>(2)</w:t>
            </w:r>
          </w:p>
        </w:tc>
        <w:tc>
          <w:tcPr>
            <w:tcW w:w="320" w:type="dxa"/>
            <w:vAlign w:val="bottom"/>
          </w:tcPr>
          <w:p>
            <w:pPr>
              <w:spacing w:after="0"/>
              <w:rPr>
                <w:sz w:val="18"/>
                <w:szCs w:val="18"/>
                <w:color w:val="auto"/>
              </w:rPr>
            </w:pPr>
          </w:p>
        </w:tc>
        <w:tc>
          <w:tcPr>
            <w:tcW w:w="600" w:type="dxa"/>
            <w:vAlign w:val="bottom"/>
          </w:tcPr>
          <w:p>
            <w:pPr>
              <w:jc w:val="center"/>
              <w:ind w:right="309"/>
              <w:spacing w:after="0"/>
              <w:rPr>
                <w:sz w:val="20"/>
                <w:szCs w:val="20"/>
                <w:color w:val="auto"/>
              </w:rPr>
            </w:pPr>
            <w:r>
              <w:rPr>
                <w:rFonts w:ascii="Arial" w:cs="Arial" w:eastAsia="Arial" w:hAnsi="Arial"/>
                <w:sz w:val="18"/>
                <w:szCs w:val="18"/>
                <w:color w:val="0000FF"/>
              </w:rPr>
              <w:t>I</w:t>
            </w: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8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Performance Share Units</w:t>
            </w:r>
          </w:p>
        </w:tc>
        <w:tc>
          <w:tcPr>
            <w:tcW w:w="11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3"/>
              </w:rPr>
              <w:t>9,082.351</w:t>
            </w:r>
            <w:r>
              <w:rPr>
                <w:rFonts w:ascii="Arial" w:cs="Arial" w:eastAsia="Arial" w:hAnsi="Arial"/>
                <w:sz w:val="22"/>
                <w:szCs w:val="22"/>
                <w:color w:val="008000"/>
                <w:w w:val="83"/>
                <w:vertAlign w:val="superscript"/>
              </w:rPr>
              <w:t>(3)</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9"/>
              <w:spacing w:after="0"/>
              <w:rPr>
                <w:sz w:val="20"/>
                <w:szCs w:val="20"/>
                <w:color w:val="auto"/>
              </w:rPr>
            </w:pPr>
            <w:r>
              <w:rPr>
                <w:rFonts w:ascii="Arial" w:cs="Arial" w:eastAsia="Arial" w:hAnsi="Arial"/>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80" w:type="dxa"/>
            <w:vAlign w:val="bottom"/>
            <w:tcBorders>
              <w:top w:val="single" w:sz="8" w:color="2C2C2C"/>
            </w:tcBorders>
            <w:gridSpan w:val="10"/>
          </w:tcPr>
          <w:p>
            <w:pPr>
              <w:ind w:left="1040"/>
              <w:spacing w:after="0"/>
              <w:rPr>
                <w:sz w:val="20"/>
                <w:szCs w:val="20"/>
                <w:color w:val="auto"/>
              </w:rPr>
            </w:pPr>
            <w:r>
              <w:rPr>
                <w:rFonts w:ascii="Arial" w:cs="Arial" w:eastAsia="Arial" w:hAnsi="Arial"/>
                <w:sz w:val="18"/>
                <w:szCs w:val="18"/>
                <w:b w:val="1"/>
                <w:bCs w:val="1"/>
                <w:color w:val="auto"/>
                <w:w w:val="98"/>
              </w:rPr>
              <w:t>Table II - Derivative Securities Acquired, Disposed of, or Beneficially Owned</w:t>
            </w:r>
          </w:p>
        </w:tc>
        <w:tc>
          <w:tcPr>
            <w:tcW w:w="50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80" w:type="dxa"/>
            <w:vAlign w:val="bottom"/>
            <w:gridSpan w:val="8"/>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spacing w:after="0"/>
              <w:rPr>
                <w:sz w:val="11"/>
                <w:szCs w:val="11"/>
                <w:color w:val="auto"/>
              </w:rPr>
            </w:pP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11"/>
                <w:szCs w:val="11"/>
                <w:color w:val="auto"/>
              </w:rPr>
            </w:pP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2"/>
              </w:rPr>
              <w:t>(Instr. 4)</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Non-</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Qualified</w:t>
            </w:r>
          </w:p>
        </w:tc>
        <w:tc>
          <w:tcPr>
            <w:tcW w:w="8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14.31</w:t>
            </w:r>
          </w:p>
        </w:tc>
        <w:tc>
          <w:tcPr>
            <w:tcW w:w="1140" w:type="dxa"/>
            <w:vAlign w:val="bottom"/>
            <w:vMerge w:val="restart"/>
          </w:tcPr>
          <w:p>
            <w:pPr>
              <w:ind w:left="260"/>
              <w:spacing w:after="0"/>
              <w:rPr>
                <w:sz w:val="20"/>
                <w:szCs w:val="20"/>
                <w:color w:val="auto"/>
              </w:rPr>
            </w:pPr>
            <w:r>
              <w:rPr>
                <w:rFonts w:ascii="Arial" w:cs="Arial" w:eastAsia="Arial" w:hAnsi="Arial"/>
                <w:sz w:val="14"/>
                <w:szCs w:val="14"/>
                <w:color w:val="0000FF"/>
              </w:rPr>
              <w:t>08/27/2013</w:t>
            </w:r>
          </w:p>
        </w:tc>
        <w:tc>
          <w:tcPr>
            <w:tcW w:w="1140" w:type="dxa"/>
            <w:vAlign w:val="bottom"/>
          </w:tcPr>
          <w:p>
            <w:pPr>
              <w:spacing w:after="0"/>
              <w:rPr>
                <w:sz w:val="12"/>
                <w:szCs w:val="12"/>
                <w:color w:val="auto"/>
              </w:rPr>
            </w:pPr>
          </w:p>
        </w:tc>
        <w:tc>
          <w:tcPr>
            <w:tcW w:w="460" w:type="dxa"/>
            <w:vAlign w:val="bottom"/>
            <w:vMerge w:val="restart"/>
          </w:tcPr>
          <w:p>
            <w:pPr>
              <w:ind w:left="160"/>
              <w:spacing w:after="0"/>
              <w:rPr>
                <w:sz w:val="20"/>
                <w:szCs w:val="20"/>
                <w:color w:val="auto"/>
              </w:rPr>
            </w:pPr>
            <w:r>
              <w:rPr>
                <w:rFonts w:ascii="Arial" w:cs="Arial" w:eastAsia="Arial" w:hAnsi="Arial"/>
                <w:sz w:val="14"/>
                <w:szCs w:val="14"/>
                <w:color w:val="0000FF"/>
              </w:rPr>
              <w:t>M</w:t>
            </w:r>
          </w:p>
        </w:tc>
        <w:tc>
          <w:tcPr>
            <w:tcW w:w="440" w:type="dxa"/>
            <w:vAlign w:val="bottom"/>
          </w:tcPr>
          <w:p>
            <w:pPr>
              <w:spacing w:after="0"/>
              <w:rPr>
                <w:sz w:val="12"/>
                <w:szCs w:val="12"/>
                <w:color w:val="auto"/>
              </w:rPr>
            </w:pPr>
          </w:p>
        </w:tc>
        <w:tc>
          <w:tcPr>
            <w:tcW w:w="740" w:type="dxa"/>
            <w:vAlign w:val="bottom"/>
            <w:vMerge w:val="restart"/>
          </w:tcPr>
          <w:p>
            <w:pPr>
              <w:ind w:left="320"/>
              <w:spacing w:after="0"/>
              <w:rPr>
                <w:sz w:val="20"/>
                <w:szCs w:val="20"/>
                <w:color w:val="auto"/>
              </w:rPr>
            </w:pPr>
            <w:r>
              <w:rPr>
                <w:rFonts w:ascii="Arial" w:cs="Arial" w:eastAsia="Arial" w:hAnsi="Arial"/>
                <w:sz w:val="14"/>
                <w:szCs w:val="14"/>
                <w:color w:val="0000FF"/>
              </w:rPr>
              <w:t>1,000</w:t>
            </w:r>
          </w:p>
        </w:tc>
        <w:tc>
          <w:tcPr>
            <w:tcW w:w="800" w:type="dxa"/>
            <w:vAlign w:val="bottom"/>
            <w:vMerge w:val="restart"/>
          </w:tcPr>
          <w:p>
            <w:pPr>
              <w:ind w:left="60"/>
              <w:spacing w:after="0"/>
              <w:rPr>
                <w:sz w:val="20"/>
                <w:szCs w:val="20"/>
                <w:color w:val="auto"/>
              </w:rPr>
            </w:pPr>
            <w:r>
              <w:rPr>
                <w:rFonts w:ascii="Arial" w:cs="Arial" w:eastAsia="Arial" w:hAnsi="Arial"/>
                <w:sz w:val="14"/>
                <w:szCs w:val="14"/>
                <w:color w:val="0000FF"/>
              </w:rPr>
              <w:t>12/03/2009</w:t>
            </w:r>
          </w:p>
        </w:tc>
        <w:tc>
          <w:tcPr>
            <w:tcW w:w="740" w:type="dxa"/>
            <w:vAlign w:val="bottom"/>
            <w:vMerge w:val="restart"/>
          </w:tcPr>
          <w:p>
            <w:pPr>
              <w:ind w:left="60"/>
              <w:spacing w:after="0"/>
              <w:rPr>
                <w:sz w:val="20"/>
                <w:szCs w:val="20"/>
                <w:color w:val="auto"/>
              </w:rPr>
            </w:pPr>
            <w:r>
              <w:rPr>
                <w:rFonts w:ascii="Arial" w:cs="Arial" w:eastAsia="Arial" w:hAnsi="Arial"/>
                <w:sz w:val="14"/>
                <w:szCs w:val="14"/>
                <w:color w:val="0000FF"/>
                <w:w w:val="94"/>
              </w:rPr>
              <w:t>12/03/2018</w:t>
            </w:r>
          </w:p>
        </w:tc>
        <w:tc>
          <w:tcPr>
            <w:tcW w:w="660" w:type="dxa"/>
            <w:vAlign w:val="bottom"/>
          </w:tcPr>
          <w:p>
            <w:pPr>
              <w:ind w:left="80"/>
              <w:spacing w:after="0" w:line="149" w:lineRule="exact"/>
              <w:rPr>
                <w:sz w:val="20"/>
                <w:szCs w:val="20"/>
                <w:color w:val="auto"/>
              </w:rPr>
            </w:pPr>
            <w:r>
              <w:rPr>
                <w:rFonts w:ascii="Arial" w:cs="Arial" w:eastAsia="Arial" w:hAnsi="Arial"/>
                <w:sz w:val="14"/>
                <w:szCs w:val="14"/>
                <w:color w:val="0000FF"/>
                <w:w w:val="98"/>
              </w:rPr>
              <w:t>Common</w:t>
            </w:r>
          </w:p>
        </w:tc>
        <w:tc>
          <w:tcPr>
            <w:tcW w:w="600" w:type="dxa"/>
            <w:vAlign w:val="bottom"/>
            <w:vMerge w:val="restart"/>
          </w:tcPr>
          <w:p>
            <w:pPr>
              <w:ind w:left="100"/>
              <w:spacing w:after="0"/>
              <w:rPr>
                <w:sz w:val="20"/>
                <w:szCs w:val="20"/>
                <w:color w:val="auto"/>
              </w:rPr>
            </w:pPr>
            <w:r>
              <w:rPr>
                <w:rFonts w:ascii="Arial" w:cs="Arial" w:eastAsia="Arial" w:hAnsi="Arial"/>
                <w:sz w:val="18"/>
                <w:szCs w:val="18"/>
                <w:color w:val="0000FF"/>
              </w:rPr>
              <w:t>1,000</w:t>
            </w:r>
          </w:p>
        </w:tc>
        <w:tc>
          <w:tcPr>
            <w:tcW w:w="76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500" w:type="dxa"/>
            <w:vAlign w:val="bottom"/>
            <w:vMerge w:val="restart"/>
          </w:tcPr>
          <w:p>
            <w:pPr>
              <w:ind w:left="420"/>
              <w:spacing w:after="0"/>
              <w:rPr>
                <w:sz w:val="20"/>
                <w:szCs w:val="20"/>
                <w:color w:val="auto"/>
              </w:rPr>
            </w:pPr>
            <w:r>
              <w:rPr>
                <w:rFonts w:ascii="Arial" w:cs="Arial" w:eastAsia="Arial" w:hAnsi="Arial"/>
                <w:sz w:val="14"/>
                <w:szCs w:val="14"/>
                <w:color w:val="0000FF"/>
                <w:w w:val="76"/>
              </w:rPr>
              <w:t>0</w:t>
            </w:r>
          </w:p>
        </w:tc>
        <w:tc>
          <w:tcPr>
            <w:tcW w:w="320" w:type="dxa"/>
            <w:vAlign w:val="bottom"/>
          </w:tcPr>
          <w:p>
            <w:pPr>
              <w:spacing w:after="0"/>
              <w:rPr>
                <w:sz w:val="12"/>
                <w:szCs w:val="12"/>
                <w:color w:val="auto"/>
              </w:rPr>
            </w:pPr>
          </w:p>
        </w:tc>
        <w:tc>
          <w:tcPr>
            <w:tcW w:w="600" w:type="dxa"/>
            <w:vAlign w:val="bottom"/>
            <w:vMerge w:val="restart"/>
          </w:tcPr>
          <w:p>
            <w:pPr>
              <w:ind w:left="460"/>
              <w:spacing w:after="0"/>
              <w:rPr>
                <w:sz w:val="20"/>
                <w:szCs w:val="20"/>
                <w:color w:val="auto"/>
              </w:rPr>
            </w:pPr>
            <w:r>
              <w:rPr>
                <w:rFonts w:ascii="Arial" w:cs="Arial" w:eastAsia="Arial" w:hAnsi="Arial"/>
                <w:sz w:val="14"/>
                <w:szCs w:val="14"/>
                <w:color w:val="0000FF"/>
              </w:rPr>
              <w:t>D</w:t>
            </w: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60" w:type="dxa"/>
            <w:vAlign w:val="bottom"/>
            <w:vMerge w:val="restart"/>
          </w:tcPr>
          <w:p>
            <w:pPr>
              <w:jc w:val="center"/>
              <w:spacing w:after="0"/>
              <w:rPr>
                <w:sz w:val="20"/>
                <w:szCs w:val="20"/>
                <w:color w:val="auto"/>
              </w:rPr>
            </w:pPr>
            <w:r>
              <w:rPr>
                <w:rFonts w:ascii="Arial" w:cs="Arial" w:eastAsia="Arial" w:hAnsi="Arial"/>
                <w:sz w:val="14"/>
                <w:szCs w:val="14"/>
                <w:color w:val="0000FF"/>
                <w:w w:val="91"/>
              </w:rPr>
              <w:t>Stock</w:t>
            </w:r>
          </w:p>
        </w:tc>
        <w:tc>
          <w:tcPr>
            <w:tcW w:w="6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Option</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the following shares of common stock acquired by the reporting person since the date of his last report: 27.826 shares acquired under The Toro Company Dividend Reinvestment Plan (the "DRIP") on shares held directly and 17.844 shares acquired under the DRIP on 3,036.331 shares of restricted stock. The restricted stock and all related DRIP shares vest in full on the third anniversary of the date of grant, which was March 20, 2012.</w:t>
      </w:r>
    </w:p>
    <w:p>
      <w:pPr>
        <w:spacing w:after="0" w:line="30" w:lineRule="exact"/>
        <w:rPr>
          <w:rFonts w:ascii="Arial" w:cs="Arial" w:eastAsia="Arial" w:hAnsi="Arial"/>
          <w:sz w:val="14"/>
          <w:szCs w:val="14"/>
          <w:color w:val="008000"/>
        </w:rPr>
      </w:pPr>
    </w:p>
    <w:p>
      <w:pPr>
        <w:ind w:left="40" w:right="300" w:firstLine="9"/>
        <w:spacing w:after="0" w:line="28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the following shares of common stock acquired by the reporting person since the date of his last report: 319.17 shares acquired through regular individual and issuer matching contributions to The Toro Company Investment, Savings &amp; ESOP (IS&amp;ESOP); 67.835 shares acquired under the dividend reinvestment feature of the IS&amp;ESOP; 364.055 shares acquired through issuer annual investment fund contributions to and revenue credit allocations in the IS&amp;ESOP; and 12.055 shares acquired through an account true-up adjustment.</w:t>
      </w:r>
    </w:p>
    <w:p>
      <w:pPr>
        <w:spacing w:after="0" w:line="2" w:lineRule="exact"/>
        <w:rPr>
          <w:rFonts w:ascii="Arial" w:cs="Arial" w:eastAsia="Arial" w:hAnsi="Arial"/>
          <w:sz w:val="12"/>
          <w:szCs w:val="12"/>
          <w:color w:val="008000"/>
        </w:rPr>
      </w:pPr>
    </w:p>
    <w:p>
      <w:pPr>
        <w:ind w:left="40" w:right="3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52.889 performance share units acquired by the reporting person under the dividend reinvestment feature of The Toro Company Deferred Compensation Plan for Officers since the date of his last report.</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08/29/2013</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02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82452"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2019-12-17T02:28:39Z</dcterms:created>
  <dcterms:modified xsi:type="dcterms:W3CDTF">2019-12-17T02:28:39Z</dcterms:modified>
</cp:coreProperties>
</file>