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April 23, 2007</w:t>
      </w:r>
    </w:p>
    <w:p>
      <w:pPr>
        <w:spacing w:after="0" w:line="27" w:lineRule="exact"/>
        <w:rPr>
          <w:sz w:val="24"/>
          <w:szCs w:val="24"/>
          <w:color w:val="auto"/>
        </w:rPr>
      </w:pPr>
    </w:p>
    <w:p>
      <w:pPr>
        <w:ind w:left="92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73025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THE TORO COMPANY</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2760" w:type="dxa"/>
        <w:tblCellMar>
          <w:top w:w="0" w:type="dxa"/>
          <w:left w:w="0" w:type="dxa"/>
          <w:bottom w:w="0" w:type="dxa"/>
          <w:right w:w="0" w:type="dxa"/>
        </w:tblCellMar>
      </w:tblPr>
      <w:tr>
        <w:trPr>
          <w:trHeight w:val="161"/>
        </w:trPr>
        <w:tc>
          <w:tcPr>
            <w:tcW w:w="310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2540" w:type="dxa"/>
            <w:vAlign w:val="bottom"/>
          </w:tcPr>
          <w:p>
            <w:pPr>
              <w:jc w:val="center"/>
              <w:ind w:left="1128"/>
              <w:spacing w:after="0"/>
              <w:rPr>
                <w:sz w:val="20"/>
                <w:szCs w:val="20"/>
                <w:color w:val="auto"/>
              </w:rPr>
            </w:pPr>
            <w:r>
              <w:rPr>
                <w:rFonts w:ascii="Arial" w:cs="Arial" w:eastAsia="Arial" w:hAnsi="Arial"/>
                <w:sz w:val="14"/>
                <w:szCs w:val="14"/>
                <w:b w:val="1"/>
                <w:bCs w:val="1"/>
                <w:color w:val="auto"/>
                <w:w w:val="93"/>
              </w:rPr>
              <w:t>41-0580470</w:t>
            </w:r>
          </w:p>
        </w:tc>
      </w:tr>
      <w:tr>
        <w:trPr>
          <w:trHeight w:val="149"/>
        </w:trPr>
        <w:tc>
          <w:tcPr>
            <w:tcW w:w="3100" w:type="dxa"/>
            <w:vAlign w:val="bottom"/>
          </w:tcPr>
          <w:p>
            <w:pPr>
              <w:jc w:val="center"/>
              <w:ind w:right="1148"/>
              <w:spacing w:after="0" w:line="149" w:lineRule="exact"/>
              <w:rPr>
                <w:sz w:val="20"/>
                <w:szCs w:val="20"/>
                <w:color w:val="auto"/>
              </w:rPr>
            </w:pPr>
            <w:r>
              <w:rPr>
                <w:rFonts w:ascii="Arial" w:cs="Arial" w:eastAsia="Arial" w:hAnsi="Arial"/>
                <w:sz w:val="14"/>
                <w:szCs w:val="14"/>
                <w:color w:val="auto"/>
                <w:w w:val="95"/>
              </w:rPr>
              <w:t>(State or other jurisdiction</w:t>
            </w:r>
          </w:p>
        </w:tc>
        <w:tc>
          <w:tcPr>
            <w:tcW w:w="2540" w:type="dxa"/>
            <w:vAlign w:val="bottom"/>
          </w:tcPr>
          <w:p>
            <w:pPr>
              <w:jc w:val="center"/>
              <w:ind w:left="112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100" w:type="dxa"/>
            <w:vAlign w:val="bottom"/>
          </w:tcPr>
          <w:p>
            <w:pPr>
              <w:jc w:val="center"/>
              <w:ind w:right="1148"/>
              <w:spacing w:after="0"/>
              <w:rPr>
                <w:sz w:val="20"/>
                <w:szCs w:val="20"/>
                <w:color w:val="auto"/>
              </w:rPr>
            </w:pPr>
            <w:r>
              <w:rPr>
                <w:rFonts w:ascii="Arial" w:cs="Arial" w:eastAsia="Arial" w:hAnsi="Arial"/>
                <w:sz w:val="14"/>
                <w:szCs w:val="14"/>
                <w:color w:val="auto"/>
                <w:w w:val="95"/>
              </w:rPr>
              <w:t>of incorporation or organization)</w:t>
            </w:r>
          </w:p>
        </w:tc>
        <w:tc>
          <w:tcPr>
            <w:tcW w:w="2540" w:type="dxa"/>
            <w:vAlign w:val="bottom"/>
          </w:tcPr>
          <w:p>
            <w:pPr>
              <w:jc w:val="center"/>
              <w:ind w:left="1128"/>
              <w:spacing w:after="0"/>
              <w:rPr>
                <w:sz w:val="20"/>
                <w:szCs w:val="20"/>
                <w:color w:val="auto"/>
              </w:rPr>
            </w:pPr>
            <w:r>
              <w:rPr>
                <w:rFonts w:ascii="Arial" w:cs="Arial" w:eastAsia="Arial" w:hAnsi="Arial"/>
                <w:sz w:val="14"/>
                <w:szCs w:val="14"/>
                <w:color w:val="auto"/>
                <w:w w:val="97"/>
              </w:rPr>
              <w:t>Identification Number)</w:t>
            </w: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8111 Lyndale Avenue South</w:t>
      </w:r>
    </w:p>
    <w:p>
      <w:pPr>
        <w:jc w:val="center"/>
        <w:spacing w:after="0" w:line="226" w:lineRule="auto"/>
        <w:rPr>
          <w:sz w:val="20"/>
          <w:szCs w:val="20"/>
          <w:color w:val="auto"/>
        </w:rPr>
      </w:pPr>
      <w:r>
        <w:rPr>
          <w:rFonts w:ascii="Arial" w:cs="Arial" w:eastAsia="Arial" w:hAnsi="Arial"/>
          <w:sz w:val="14"/>
          <w:szCs w:val="14"/>
          <w:b w:val="1"/>
          <w:bCs w:val="1"/>
          <w:color w:val="auto"/>
        </w:rPr>
        <w:t>Bloomington, Minnesota 55420-1196</w:t>
      </w:r>
    </w:p>
    <w:p>
      <w:pPr>
        <w:jc w:val="center"/>
        <w:spacing w:after="0" w:line="222" w:lineRule="auto"/>
        <w:rPr>
          <w:sz w:val="20"/>
          <w:szCs w:val="20"/>
          <w:color w:val="auto"/>
        </w:rPr>
      </w:pPr>
      <w:r>
        <w:rPr>
          <w:rFonts w:ascii="Arial" w:cs="Arial" w:eastAsia="Arial" w:hAnsi="Arial"/>
          <w:sz w:val="14"/>
          <w:szCs w:val="14"/>
          <w:b w:val="1"/>
          <w:bCs w:val="1"/>
          <w:color w:val="auto"/>
        </w:rPr>
        <w:t>(952) 888-8801</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 Lawrence McIntyre</w:t>
      </w:r>
    </w:p>
    <w:p>
      <w:pPr>
        <w:jc w:val="center"/>
        <w:spacing w:after="0" w:line="226" w:lineRule="auto"/>
        <w:rPr>
          <w:sz w:val="20"/>
          <w:szCs w:val="20"/>
          <w:color w:val="auto"/>
        </w:rPr>
      </w:pPr>
      <w:r>
        <w:rPr>
          <w:rFonts w:ascii="Arial" w:cs="Arial" w:eastAsia="Arial" w:hAnsi="Arial"/>
          <w:sz w:val="14"/>
          <w:szCs w:val="14"/>
          <w:b w:val="1"/>
          <w:bCs w:val="1"/>
          <w:color w:val="auto"/>
        </w:rPr>
        <w:t>Vice President, Secretary &amp; General Counsel</w:t>
      </w:r>
    </w:p>
    <w:p>
      <w:pPr>
        <w:jc w:val="center"/>
        <w:spacing w:after="0" w:line="222" w:lineRule="auto"/>
        <w:rPr>
          <w:sz w:val="20"/>
          <w:szCs w:val="20"/>
          <w:color w:val="auto"/>
        </w:rPr>
      </w:pPr>
      <w:r>
        <w:rPr>
          <w:rFonts w:ascii="Arial" w:cs="Arial" w:eastAsia="Arial" w:hAnsi="Arial"/>
          <w:sz w:val="14"/>
          <w:szCs w:val="14"/>
          <w:b w:val="1"/>
          <w:bCs w:val="1"/>
          <w:color w:val="auto"/>
        </w:rPr>
        <w:t>The Toro Company</w:t>
      </w:r>
    </w:p>
    <w:p>
      <w:pPr>
        <w:jc w:val="center"/>
        <w:spacing w:after="0" w:line="221" w:lineRule="auto"/>
        <w:rPr>
          <w:sz w:val="20"/>
          <w:szCs w:val="20"/>
          <w:color w:val="auto"/>
        </w:rPr>
      </w:pPr>
      <w:r>
        <w:rPr>
          <w:rFonts w:ascii="Arial" w:cs="Arial" w:eastAsia="Arial" w:hAnsi="Arial"/>
          <w:sz w:val="14"/>
          <w:szCs w:val="14"/>
          <w:b w:val="1"/>
          <w:bCs w:val="1"/>
          <w:color w:val="auto"/>
        </w:rPr>
        <w:t>8111 Lyndale Avenue South</w:t>
      </w:r>
    </w:p>
    <w:p>
      <w:pPr>
        <w:jc w:val="center"/>
        <w:spacing w:after="0" w:line="222" w:lineRule="auto"/>
        <w:rPr>
          <w:sz w:val="20"/>
          <w:szCs w:val="20"/>
          <w:color w:val="auto"/>
        </w:rPr>
      </w:pPr>
      <w:r>
        <w:rPr>
          <w:rFonts w:ascii="Arial" w:cs="Arial" w:eastAsia="Arial" w:hAnsi="Arial"/>
          <w:sz w:val="14"/>
          <w:szCs w:val="14"/>
          <w:b w:val="1"/>
          <w:bCs w:val="1"/>
          <w:color w:val="auto"/>
        </w:rPr>
        <w:t>Bloomington, Minnesota 55420-1196</w:t>
      </w:r>
    </w:p>
    <w:p>
      <w:pPr>
        <w:jc w:val="center"/>
        <w:spacing w:after="0" w:line="221" w:lineRule="auto"/>
        <w:rPr>
          <w:sz w:val="20"/>
          <w:szCs w:val="20"/>
          <w:color w:val="auto"/>
        </w:rPr>
      </w:pPr>
      <w:r>
        <w:rPr>
          <w:rFonts w:ascii="Arial" w:cs="Arial" w:eastAsia="Arial" w:hAnsi="Arial"/>
          <w:sz w:val="14"/>
          <w:szCs w:val="14"/>
          <w:b w:val="1"/>
          <w:bCs w:val="1"/>
          <w:color w:val="auto"/>
        </w:rPr>
        <w:t>(952) 888-8801</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Copies to:</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Bruce A. Machmeier, Esq.</w:t>
      </w:r>
    </w:p>
    <w:p>
      <w:pPr>
        <w:jc w:val="center"/>
        <w:spacing w:after="0" w:line="226" w:lineRule="auto"/>
        <w:rPr>
          <w:sz w:val="20"/>
          <w:szCs w:val="20"/>
          <w:color w:val="auto"/>
        </w:rPr>
      </w:pPr>
      <w:r>
        <w:rPr>
          <w:rFonts w:ascii="Arial" w:cs="Arial" w:eastAsia="Arial" w:hAnsi="Arial"/>
          <w:sz w:val="14"/>
          <w:szCs w:val="14"/>
          <w:b w:val="1"/>
          <w:bCs w:val="1"/>
          <w:color w:val="auto"/>
        </w:rPr>
        <w:t>Oppenheimer Wolff &amp; Donnelly LLP</w:t>
      </w:r>
    </w:p>
    <w:p>
      <w:pPr>
        <w:jc w:val="center"/>
        <w:spacing w:after="0" w:line="222" w:lineRule="auto"/>
        <w:rPr>
          <w:sz w:val="20"/>
          <w:szCs w:val="20"/>
          <w:color w:val="auto"/>
        </w:rPr>
      </w:pPr>
      <w:r>
        <w:rPr>
          <w:rFonts w:ascii="Arial" w:cs="Arial" w:eastAsia="Arial" w:hAnsi="Arial"/>
          <w:sz w:val="14"/>
          <w:szCs w:val="14"/>
          <w:b w:val="1"/>
          <w:bCs w:val="1"/>
          <w:color w:val="auto"/>
        </w:rPr>
        <w:t>45 South Seventh Street, Suite 3300</w:t>
      </w:r>
    </w:p>
    <w:p>
      <w:pPr>
        <w:jc w:val="center"/>
        <w:spacing w:after="0" w:line="221" w:lineRule="auto"/>
        <w:rPr>
          <w:sz w:val="20"/>
          <w:szCs w:val="20"/>
          <w:color w:val="auto"/>
        </w:rPr>
      </w:pPr>
      <w:r>
        <w:rPr>
          <w:rFonts w:ascii="Arial" w:cs="Arial" w:eastAsia="Arial" w:hAnsi="Arial"/>
          <w:sz w:val="14"/>
          <w:szCs w:val="14"/>
          <w:b w:val="1"/>
          <w:bCs w:val="1"/>
          <w:color w:val="auto"/>
        </w:rPr>
        <w:t>Minneapolis, Minnesota 55402</w:t>
      </w:r>
    </w:p>
    <w:p>
      <w:pPr>
        <w:jc w:val="center"/>
        <w:spacing w:after="0"/>
        <w:rPr>
          <w:sz w:val="20"/>
          <w:szCs w:val="20"/>
          <w:color w:val="auto"/>
        </w:rPr>
      </w:pPr>
      <w:r>
        <w:rPr>
          <w:rFonts w:ascii="Arial" w:cs="Arial" w:eastAsia="Arial" w:hAnsi="Arial"/>
          <w:sz w:val="14"/>
          <w:szCs w:val="14"/>
          <w:b w:val="1"/>
          <w:bCs w:val="1"/>
          <w:color w:val="auto"/>
        </w:rPr>
        <w:t>(612) 607-7000</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From time to time after the effective date of this Registration Statement as determined by the registrant</w:t>
      </w:r>
    </w:p>
    <w:p>
      <w:pPr>
        <w:spacing w:after="0" w:line="84"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96" w:lineRule="exact"/>
        <w:rPr>
          <w:sz w:val="24"/>
          <w:szCs w:val="24"/>
          <w:color w:val="auto"/>
        </w:rPr>
      </w:pPr>
    </w:p>
    <w:p>
      <w:pPr>
        <w:ind w:right="20" w:firstLine="360"/>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66" w:lineRule="exact"/>
        <w:rPr>
          <w:sz w:val="24"/>
          <w:szCs w:val="24"/>
          <w:color w:val="auto"/>
        </w:rPr>
      </w:pPr>
    </w:p>
    <w:p>
      <w:pPr>
        <w:ind w:right="340" w:firstLine="36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right="360" w:firstLine="36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right="320" w:firstLine="360"/>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66" w:lineRule="exact"/>
        <w:rPr>
          <w:sz w:val="24"/>
          <w:szCs w:val="24"/>
          <w:color w:val="auto"/>
        </w:rPr>
      </w:pPr>
    </w:p>
    <w:p>
      <w:pPr>
        <w:ind w:right="80" w:firstLine="360"/>
        <w:spacing w:after="0" w:line="25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1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21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r>
      <w:tr>
        <w:trPr>
          <w:trHeight w:val="147"/>
        </w:trPr>
        <w:tc>
          <w:tcPr>
            <w:tcW w:w="20" w:type="dxa"/>
            <w:vAlign w:val="bottom"/>
          </w:tcPr>
          <w:p>
            <w:pPr>
              <w:spacing w:after="0"/>
              <w:rPr>
                <w:sz w:val="12"/>
                <w:szCs w:val="12"/>
                <w:color w:val="auto"/>
              </w:rPr>
            </w:pPr>
          </w:p>
        </w:tc>
        <w:tc>
          <w:tcPr>
            <w:tcW w:w="2400" w:type="dxa"/>
            <w:vAlign w:val="bottom"/>
            <w:tcBorders>
              <w:right w:val="single" w:sz="8" w:color="auto"/>
            </w:tcBorders>
          </w:tcPr>
          <w:p>
            <w:pPr>
              <w:jc w:val="center"/>
              <w:ind w:right="48"/>
              <w:spacing w:after="0" w:line="147" w:lineRule="exact"/>
              <w:rPr>
                <w:sz w:val="20"/>
                <w:szCs w:val="20"/>
                <w:color w:val="auto"/>
              </w:rPr>
            </w:pPr>
            <w:r>
              <w:rPr>
                <w:rFonts w:ascii="Arial" w:cs="Arial" w:eastAsia="Arial" w:hAnsi="Arial"/>
                <w:sz w:val="14"/>
                <w:szCs w:val="14"/>
                <w:b w:val="1"/>
                <w:bCs w:val="1"/>
                <w:color w:val="auto"/>
                <w:w w:val="90"/>
              </w:rPr>
              <w:t>Title of each class of</w:t>
            </w:r>
          </w:p>
        </w:tc>
        <w:tc>
          <w:tcPr>
            <w:tcW w:w="12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3"/>
              </w:rPr>
              <w:t>Amount to be</w:t>
            </w:r>
          </w:p>
        </w:tc>
        <w:tc>
          <w:tcPr>
            <w:tcW w:w="19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2"/>
              </w:rPr>
              <w:t>Proposed maximum</w:t>
            </w:r>
          </w:p>
        </w:tc>
        <w:tc>
          <w:tcPr>
            <w:tcW w:w="210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91"/>
              </w:rPr>
              <w:t>Proposed maximum</w:t>
            </w:r>
          </w:p>
        </w:tc>
        <w:tc>
          <w:tcPr>
            <w:tcW w:w="1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Amount of</w:t>
            </w:r>
          </w:p>
        </w:tc>
      </w:tr>
      <w:tr>
        <w:trPr>
          <w:trHeight w:val="185"/>
        </w:trPr>
        <w:tc>
          <w:tcPr>
            <w:tcW w:w="20" w:type="dxa"/>
            <w:vAlign w:val="bottom"/>
          </w:tcPr>
          <w:p>
            <w:pPr>
              <w:spacing w:after="0"/>
              <w:rPr>
                <w:sz w:val="16"/>
                <w:szCs w:val="16"/>
                <w:color w:val="auto"/>
              </w:rPr>
            </w:pPr>
          </w:p>
        </w:tc>
        <w:tc>
          <w:tcPr>
            <w:tcW w:w="240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securities to be registered</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 per unit</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aggregate offering price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r>
      <w:tr>
        <w:trPr>
          <w:trHeight w:val="156"/>
        </w:trPr>
        <w:tc>
          <w:tcPr>
            <w:tcW w:w="20" w:type="dxa"/>
            <w:vAlign w:val="bottom"/>
            <w:tcBorders>
              <w:bottom w:val="single" w:sz="8" w:color="auto"/>
            </w:tcBorders>
          </w:tcPr>
          <w:p>
            <w:pPr>
              <w:spacing w:after="0"/>
              <w:rPr>
                <w:sz w:val="13"/>
                <w:szCs w:val="13"/>
                <w:color w:val="auto"/>
              </w:rPr>
            </w:pPr>
          </w:p>
        </w:tc>
        <w:tc>
          <w:tcPr>
            <w:tcW w:w="240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Debt Securities</w:t>
            </w:r>
          </w:p>
        </w:tc>
        <w:tc>
          <w:tcPr>
            <w:tcW w:w="1260" w:type="dxa"/>
            <w:vAlign w:val="bottom"/>
            <w:tcBorders>
              <w:bottom w:val="single" w:sz="8" w:color="auto"/>
              <w:right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w:t>
            </w:r>
          </w:p>
        </w:tc>
        <w:tc>
          <w:tcPr>
            <w:tcW w:w="1920" w:type="dxa"/>
            <w:vAlign w:val="bottom"/>
            <w:tcBorders>
              <w:bottom w:val="single" w:sz="8" w:color="auto"/>
              <w:right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(1)</w:t>
            </w:r>
          </w:p>
        </w:tc>
        <w:tc>
          <w:tcPr>
            <w:tcW w:w="2100" w:type="dxa"/>
            <w:vAlign w:val="bottom"/>
            <w:tcBorders>
              <w:bottom w:val="single" w:sz="8" w:color="auto"/>
              <w:right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rPr>
              <w:t>(1)</w:t>
            </w:r>
          </w:p>
        </w:tc>
        <w:tc>
          <w:tcPr>
            <w:tcW w:w="15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color w:val="auto"/>
              </w:rPr>
              <w:t>(1)</w:t>
            </w: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9" w:lineRule="exact"/>
        <w:rPr>
          <w:sz w:val="24"/>
          <w:szCs w:val="24"/>
          <w:color w:val="auto"/>
        </w:rPr>
      </w:pPr>
    </w:p>
    <w:p>
      <w:pPr>
        <w:ind w:left="360" w:right="120" w:hanging="352"/>
        <w:spacing w:after="0" w:line="333" w:lineRule="auto"/>
        <w:tabs>
          <w:tab w:leader="none" w:pos="343"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initial offering price of debt securities is being registered as may from time to time be issued at indeterminate prices. In accordance with Rules 456(b) and 457(r), the registrant is deferring payment of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386715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8"/>
          <w:szCs w:val="18"/>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152400</wp:posOffset>
            </wp:positionV>
            <wp:extent cx="144907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960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Debt Securities</w:t>
      </w:r>
    </w:p>
    <w:p>
      <w:pPr>
        <w:sectPr>
          <w:pgSz w:w="11900" w:h="16838" w:orient="portrait"/>
          <w:cols w:equalWidth="0" w:num="1">
            <w:col w:w="11400"/>
          </w:cols>
          <w:pgMar w:left="240" w:top="229" w:right="259" w:bottom="0" w:gutter="0" w:footer="0" w:header="0"/>
        </w:sectPr>
      </w:pPr>
    </w:p>
    <w:p>
      <w:pPr>
        <w:spacing w:after="0" w:line="251"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The Toro Company may offer and sell, from time to time, debt securities, in one or more series, consisting of notes, bonds, debentures or other evidences of indebtedness.</w:t>
      </w:r>
    </w:p>
    <w:p>
      <w:pPr>
        <w:sectPr>
          <w:pgSz w:w="11900" w:h="16838" w:orient="portrait"/>
          <w:cols w:equalWidth="0" w:num="1">
            <w:col w:w="11400"/>
          </w:cols>
          <w:pgMar w:left="240" w:top="229" w:right="259" w:bottom="0" w:gutter="0" w:footer="0" w:header="0"/>
          <w:type w:val="continuous"/>
        </w:sectPr>
      </w:pPr>
    </w:p>
    <w:bookmarkStart w:id="1" w:name="page2"/>
    <w:bookmarkEnd w:id="1"/>
    <w:p>
      <w:pPr>
        <w:jc w:val="both"/>
        <w:ind w:right="140" w:firstLine="360"/>
        <w:spacing w:after="0" w:line="264" w:lineRule="auto"/>
        <w:rPr>
          <w:sz w:val="20"/>
          <w:szCs w:val="20"/>
          <w:color w:val="auto"/>
        </w:rPr>
      </w:pPr>
      <w:r>
        <w:rPr>
          <w:rFonts w:ascii="Arial" w:cs="Arial" w:eastAsia="Arial" w:hAnsi="Arial"/>
          <w:sz w:val="18"/>
          <w:szCs w:val="18"/>
          <w:color w:val="auto"/>
        </w:rPr>
        <w:t>The aggregate initial offering price of debt securities that may be sold pursuant to this prospectus will be as stated in one or more supplements to this prospectus. We will provide the specific terms of the debt securities to be sold by us in supplements to this prospectus. You should read this prospectus and the applicable prospectus supplement carefully before you invest.</w:t>
      </w:r>
    </w:p>
    <w:p>
      <w:pPr>
        <w:spacing w:after="0" w:line="18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Our principal executive offices are located at 8111 Lyndale Avenue South, Bloomington, Minnesota 55420-1196. Our telephone number is (952) 888-8801.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117475</wp:posOffset>
            </wp:positionV>
            <wp:extent cx="1389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6" w:lineRule="exact"/>
        <w:rPr>
          <w:sz w:val="20"/>
          <w:szCs w:val="20"/>
          <w:color w:val="auto"/>
        </w:rPr>
      </w:pPr>
    </w:p>
    <w:p>
      <w:pPr>
        <w:ind w:right="520" w:firstLine="36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99695</wp:posOffset>
            </wp:positionV>
            <wp:extent cx="1389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may offer and sell these securities to or through one or more underwriters, dealers and agents, or directly to purchasers, or through a combination of these methods, on a continuous or delayed basis. We will provide specific terms of the plan of distribution for any securities to be offered in supplements to this prospectus. The applicable prospectus supplement also will set forth any applicable commissions or discounts and our net proceeds from the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127635</wp:posOffset>
            </wp:positionV>
            <wp:extent cx="1389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date of this prospectus is April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ind w:left="60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r>
      <w:tr>
        <w:trPr>
          <w:trHeight w:val="392"/>
        </w:trPr>
        <w:tc>
          <w:tcPr>
            <w:tcW w:w="16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About This Prospectus</w:t>
              </w:r>
            </w:hyperlink>
          </w:p>
        </w:tc>
        <w:tc>
          <w:tcPr>
            <w:tcW w:w="4800" w:type="dxa"/>
            <w:vAlign w:val="bottom"/>
            <w:gridSpan w:val="6"/>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Where You Can Find More Information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Incorporation By Reference</w:t>
              </w:r>
            </w:hyperlink>
          </w:p>
        </w:tc>
        <w:tc>
          <w:tcPr>
            <w:tcW w:w="358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Ratio Of Earnings To Fixed Charges</w:t>
              </w:r>
            </w:hyperlink>
          </w:p>
        </w:tc>
        <w:tc>
          <w:tcPr>
            <w:tcW w:w="230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Use Of Proceeds</w:t>
              </w:r>
            </w:hyperlink>
          </w:p>
        </w:tc>
        <w:tc>
          <w:tcPr>
            <w:tcW w:w="382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Description Of Debt Securities</w:t>
              </w:r>
            </w:hyperlink>
          </w:p>
        </w:tc>
        <w:tc>
          <w:tcPr>
            <w:tcW w:w="422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Plan Of Distribution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Legal Matters</w:t>
              </w:r>
            </w:hyperlink>
          </w:p>
        </w:tc>
        <w:tc>
          <w:tcPr>
            <w:tcW w:w="460" w:type="dxa"/>
            <w:vAlign w:val="bottom"/>
            <w:tcBorders>
              <w:top w:val="single" w:sz="8" w:color="0000EE"/>
            </w:tcBorders>
            <w:gridSpan w:val="2"/>
          </w:tcPr>
          <w:p>
            <w:pPr>
              <w:spacing w:after="0"/>
              <w:rPr>
                <w:sz w:val="17"/>
                <w:szCs w:val="17"/>
                <w:color w:val="auto"/>
              </w:rPr>
            </w:pPr>
          </w:p>
        </w:tc>
        <w:tc>
          <w:tcPr>
            <w:tcW w:w="498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6440" w:type="dxa"/>
            <w:vAlign w:val="bottom"/>
            <w:gridSpan w:val="1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Experts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This prospectus is part of an automatic shelf registration statement that we filed with the Securities and Exchange Commission (the “SEC”) as a “well-known seasoned issuer” as defined in Rule 405 under the Securities Act of 1933. Under the automatic shelf process, we may, over time, sell any combination of the debt securities described in this prospectus or in any applicable prospectus supplement in one or more offerings. The exhibits to our registration statement contain the full text of certain contracts and other important documents we have summarized in this prospectus. Since these summaries may not contain all the information that you may find important in deciding whether to purchase the securities we offer, you should review the full text of these documents. The registration statement and the exhibits can be obtained from the SEC as indicated under the heading “Where You Can Find More Information.”</w:t>
      </w:r>
    </w:p>
    <w:p>
      <w:pPr>
        <w:spacing w:after="0" w:line="81"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This prospectus provides you with a general description of the debt securities we may offer. Each time we sell debt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the additional information described under the heading “Where You Can Find More Information.”</w:t>
      </w:r>
    </w:p>
    <w:p>
      <w:pPr>
        <w:spacing w:after="0" w:line="79"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In this prospectus, references to “The Toro Company,” “Toro,” “the Company,” “we,” “us” and “our” mean The Toro Company, unless we state otherwise or the context indicates otherwise.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stated, currency amounts in this prospectus and any prospectus supplement are stated in United States dollars, or “$.”</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inspect and copy these reports, proxy statements and other information at the public reference facilities of the SEC at the SEC’s Public Reference Room located at 100 F Street, N.E., Washington, D.C. 20549. Please call the SEC at 1-800-SEC-0330 for further information on the operation of the Public Reference Room. The SEC also maintains a web site that contains reports, proxy and information statements and other information regarding registrants that file electronically with the SEC </w:t>
      </w:r>
      <w:r>
        <w:rPr>
          <w:rFonts w:ascii="Arial" w:cs="Arial" w:eastAsia="Arial" w:hAnsi="Arial"/>
          <w:sz w:val="18"/>
          <w:szCs w:val="18"/>
          <w:i w:val="1"/>
          <w:iCs w:val="1"/>
          <w:color w:val="auto"/>
        </w:rPr>
        <w:t xml:space="preserve">(http://www.sec.gov). </w:t>
      </w:r>
      <w:r>
        <w:rPr>
          <w:rFonts w:ascii="Arial" w:cs="Arial" w:eastAsia="Arial" w:hAnsi="Arial"/>
          <w:sz w:val="18"/>
          <w:szCs w:val="18"/>
          <w:color w:val="auto"/>
        </w:rPr>
        <w:t>Our internet address for Toro branded product related information</w:t>
      </w:r>
      <w:r>
        <w:rPr>
          <w:rFonts w:ascii="Arial" w:cs="Arial" w:eastAsia="Arial" w:hAnsi="Arial"/>
          <w:sz w:val="18"/>
          <w:szCs w:val="18"/>
          <w:i w:val="1"/>
          <w:iCs w:val="1"/>
          <w:color w:val="auto"/>
        </w:rPr>
        <w:t xml:space="preserve"> www.toro.com </w:t>
      </w:r>
      <w:r>
        <w:rPr>
          <w:rFonts w:ascii="Arial" w:cs="Arial" w:eastAsia="Arial" w:hAnsi="Arial"/>
          <w:sz w:val="18"/>
          <w:szCs w:val="18"/>
          <w:color w:val="auto"/>
        </w:rPr>
        <w:t>and our web site for corporate and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is </w:t>
      </w:r>
      <w:r>
        <w:rPr>
          <w:rFonts w:ascii="Arial" w:cs="Arial" w:eastAsia="Arial" w:hAnsi="Arial"/>
          <w:sz w:val="18"/>
          <w:szCs w:val="18"/>
          <w:i w:val="1"/>
          <w:iCs w:val="1"/>
          <w:color w:val="auto"/>
        </w:rPr>
        <w:t>www.thetorocompany.com.</w:t>
      </w:r>
      <w:r>
        <w:rPr>
          <w:rFonts w:ascii="Arial" w:cs="Arial" w:eastAsia="Arial" w:hAnsi="Arial"/>
          <w:sz w:val="18"/>
          <w:szCs w:val="18"/>
          <w:color w:val="auto"/>
        </w:rPr>
        <w:t xml:space="preserve"> The information on or linked to/from our Web site is not part of, and is not incorporated by reference into, this prospectus or any applicable prospectus supplement. You can inspect reports and other information we file at the office of the New York Stock Exchange, Inc., 20 Broad Street, New York, New York 10005.</w:t>
      </w:r>
    </w:p>
    <w:p>
      <w:pPr>
        <w:spacing w:after="0" w:line="8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have filed a registration statement and related exhibits with the SEC under the Securities Act of 1933. The registration statement contains additional information about us and the securities we may issue. You may inspect the registration statement and exhibits without charge at the office of the SEC at 100 F Street, N.E., Washington, D.C. 20549, and you may obtain copies from the SEC at prescribed rates.</w:t>
      </w:r>
    </w:p>
    <w:p>
      <w:pPr>
        <w:sectPr>
          <w:pgSz w:w="11900" w:h="16838" w:orient="portrait"/>
          <w:cols w:equalWidth="0" w:num="1">
            <w:col w:w="11320"/>
          </w:cols>
          <w:pgMar w:left="240" w:top="125" w:right="339" w:bottom="0" w:gutter="0" w:footer="0" w:header="0"/>
        </w:sect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20"/>
          </w:cols>
          <w:pgMar w:left="240" w:top="125" w:right="339" w:bottom="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INCORPORATION BY REFERENCE</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80" w:lineRule="exact"/>
        <w:rPr>
          <w:sz w:val="20"/>
          <w:szCs w:val="20"/>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October 31, 2006;</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quarterly period ended February 2,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on January 12, March 6 and April 13, 2007;</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Proxy Statement filed on January 31, 2007; and</w:t>
      </w:r>
    </w:p>
    <w:p>
      <w:pPr>
        <w:spacing w:after="0" w:line="117" w:lineRule="exact"/>
        <w:rPr>
          <w:rFonts w:ascii="Arial" w:cs="Arial" w:eastAsia="Arial" w:hAnsi="Arial"/>
          <w:sz w:val="18"/>
          <w:szCs w:val="18"/>
          <w:color w:val="auto"/>
        </w:rPr>
      </w:pPr>
    </w:p>
    <w:p>
      <w:pPr>
        <w:ind w:left="540" w:right="120" w:hanging="17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filings we make with the SEC under Sections 13(a), 13(c), 14 or 15(d) of the Securities Exchange Act of 1934 after the date of this prospectus and before the termination of this offering.</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J. Lawrence McIntyre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Vice President, Secretary &amp; General Counsel</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(952) 888-8801</w:t>
      </w:r>
    </w:p>
    <w:p>
      <w:pPr>
        <w:spacing w:after="0" w:line="10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You should rely only on the information incorporated by reference or provided in this prospectus and any applicable supplement or any free writing prospectus provided, authorized or used by us. We have not authorized anyone else to provide you with other information.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This prospectus and the information we are incorporating by reference into it contains not only historical information, but also forward-looking statements within the meaning of Section 27A of the Securities Act of 1933 and Section 21E of the Securities Exchange Act of 1934 that are subject to the safe harbor created by those sections. Statements that are not historical are forward-looking and reflect expectations and assumptions. We try to identify forward-looking statements in this prospectus and the information incorporated by reference into this prospectus by using words such as “expect”, “looking ahead”, “anticipate”, “plan”,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as well as new accounting pronouncements and outstanding litigation, on our business, operating results and financial condition.</w:t>
      </w:r>
    </w:p>
    <w:p>
      <w:pPr>
        <w:spacing w:after="0" w:line="59"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under the caption “Risk Factors” in the applicable prospectus supplement to be provided with this prospectus and in our Annual Report on Form 10-K, and the description of trends and other factors in the “Management’s Discussion and Analysis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Financial Condition and Results of Operations” set forth in our Annual Report on Form 10-K and in our other filings with the SEC. We wish to caution investors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referred to earlier in this paragraph, as well as other risks and uncertainties that we may consider immaterial or do not anticipate at this time. The risks and uncertainties referred to in this paragraph are not exclusive and further information concerning our company and our businesses, including factors that potentially could materially affect our financial results or condition, may emerge from time to time.</w:t>
      </w:r>
    </w:p>
    <w:p>
      <w:pPr>
        <w:spacing w:after="0" w:line="8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annual, quarterly and current reports that we file with or furnish to the SEC.</w:t>
      </w:r>
    </w:p>
    <w:p>
      <w:pPr>
        <w:spacing w:after="0" w:line="177" w:lineRule="exact"/>
        <w:rPr>
          <w:sz w:val="20"/>
          <w:szCs w:val="20"/>
          <w:color w:val="auto"/>
        </w:rPr>
      </w:pPr>
    </w:p>
    <w:p>
      <w:pPr>
        <w:ind w:left="360" w:right="3820" w:firstLine="3492"/>
        <w:spacing w:after="0" w:line="484"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The table below presents our ratio of earnings to fixed charges for each of the periods indicated.</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0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Years Ended October 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2002</w:t>
            </w:r>
          </w:p>
        </w:tc>
        <w:tc>
          <w:tcPr>
            <w:tcW w:w="6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2004</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4"/>
              </w:rPr>
              <w:t>2005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2006</w:t>
            </w:r>
          </w:p>
        </w:tc>
        <w:tc>
          <w:tcPr>
            <w:tcW w:w="160" w:type="dxa"/>
            <w:vAlign w:val="bottom"/>
          </w:tcPr>
          <w:p>
            <w:pPr>
              <w:spacing w:after="0"/>
              <w:rPr>
                <w:sz w:val="12"/>
                <w:szCs w:val="12"/>
                <w:color w:val="auto"/>
              </w:rPr>
            </w:pPr>
          </w:p>
        </w:tc>
        <w:tc>
          <w:tcPr>
            <w:tcW w:w="11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6"/>
                <w:szCs w:val="16"/>
                <w:b w:val="1"/>
                <w:bCs w:val="1"/>
                <w:color w:val="auto"/>
              </w:rPr>
              <w:t>February 3,</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February 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17"/>
                <w:szCs w:val="17"/>
                <w:color w:val="auto"/>
              </w:rPr>
            </w:pPr>
          </w:p>
        </w:tc>
        <w:tc>
          <w:tcPr>
            <w:tcW w:w="104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fixed</w:t>
            </w: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For purposes of computing this ratio, “earnings” consist of earnings before income taxes plus fixed charges. “Fixed charges” include interest, whether expensed or capitalized, and such portion of rental expense that we deem to be representative of interest.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Unless otherwise specified in a prospectus supplement accompanying this prospectus, the net proceeds from the sale of the securities to which this prospectus relates will be used for general corporate purposes, which may include repurchase of our common stock, investments in or extensions of credit to our subsidiaries, the financing of possible acquisitions or business expansion, or other lawful purposes. Net proceeds may be temporarily invested before use.</w:t>
      </w:r>
    </w:p>
    <w:p>
      <w:pPr>
        <w:sectPr>
          <w:pgSz w:w="11900" w:h="16838" w:orient="portrait"/>
          <w:cols w:equalWidth="0" w:num="1">
            <w:col w:w="11380"/>
          </w:cols>
          <w:pgMar w:left="240" w:top="513" w:right="27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The debt securities will be issued under an Indenture, as supplemented from time to time in accordance with its terms (the “Indenture”), between the Company and The Bank of New York Trust Company, N.A. The following summary of the Indenture and the debt securities is subject to the detailed provisions of the Indenture, a copy of which is an exhibit to the Registration Statement. Wherever references are made to particular provisions of the Indenture, such provisions are incorporated by reference as a part of the statements made herein and such statements are qualified in their entirety by such reference. Certain defined terms in the Indenture are capitalized herein. Italicized references appearing in parentheses are to section numbers of the Indenture. As used in this “Description of Debt Securities,” the “Company” refers to The Toro Company and does not include its subsidiaries.</w:t>
      </w:r>
    </w:p>
    <w:p>
      <w:pPr>
        <w:spacing w:after="0" w:line="5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 Indenture does not limit the amount of debt securities that may be issued thereunder. It provides that debt securities may be issued from time to time in series. The debt securities will be unsecured senior obligations of the Company and will rank pari passu with all other unsecured and un- subordinated debt of the Company.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specific terms of the debt securities we will offer, including, where applicable, the following:</w:t>
      </w:r>
    </w:p>
    <w:p>
      <w:pPr>
        <w:spacing w:after="0" w:line="129"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of such debt securities;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 if any, upon the aggregate principal amount of such debt securities;</w:t>
      </w:r>
    </w:p>
    <w:p>
      <w:pPr>
        <w:spacing w:after="0" w:line="117"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dates on which or periods during which such debt securities may be issued and the date or dates on which, and the place or places at which, the principal of (and premium, if any, on) such debt securities will be payable;</w:t>
      </w:r>
    </w:p>
    <w:p>
      <w:pPr>
        <w:spacing w:after="0" w:line="62" w:lineRule="exact"/>
        <w:rPr>
          <w:rFonts w:ascii="Arial" w:cs="Arial" w:eastAsia="Arial" w:hAnsi="Arial"/>
          <w:sz w:val="18"/>
          <w:szCs w:val="18"/>
          <w:color w:val="auto"/>
        </w:rPr>
      </w:pPr>
    </w:p>
    <w:p>
      <w:pPr>
        <w:ind w:left="540" w:hanging="17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or rates, if any, or the method of determination thereof, at which such debt securities will bear interest, if any, the date or dates from which such interest will accrue, the dates on which such interest will be payable and the regular record dates for the interest payable on such interest payment dates;</w:t>
      </w:r>
    </w:p>
    <w:p>
      <w:pPr>
        <w:spacing w:after="0" w:line="73" w:lineRule="exact"/>
        <w:rPr>
          <w:rFonts w:ascii="Arial" w:cs="Arial" w:eastAsia="Arial" w:hAnsi="Arial"/>
          <w:sz w:val="18"/>
          <w:szCs w:val="18"/>
          <w:color w:val="auto"/>
        </w:rPr>
      </w:pPr>
    </w:p>
    <w:p>
      <w:pPr>
        <w:ind w:left="540" w:right="16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person to whom any interest on the debt securities is payable, if other than the person in whose name the debt security is registered on the regular record date for such interest;</w:t>
      </w:r>
    </w:p>
    <w:p>
      <w:pPr>
        <w:spacing w:after="0" w:line="62" w:lineRule="exact"/>
        <w:rPr>
          <w:rFonts w:ascii="Arial" w:cs="Arial" w:eastAsia="Arial" w:hAnsi="Arial"/>
          <w:sz w:val="18"/>
          <w:szCs w:val="18"/>
          <w:color w:val="auto"/>
        </w:rPr>
      </w:pPr>
    </w:p>
    <w:p>
      <w:pPr>
        <w:ind w:left="540" w:right="60" w:hanging="17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such debt securities pursuant to any sinking fund or analogous provisions or at the option of a holder and the periods within which or the dates on which, the prices at which and the terms and conditions upon which such debt securities will be redeemed, repaid or purchased, in whole or in part, pursuant to such obligation;</w:t>
      </w:r>
    </w:p>
    <w:p>
      <w:pPr>
        <w:spacing w:after="0" w:line="73" w:lineRule="exact"/>
        <w:rPr>
          <w:rFonts w:ascii="Arial" w:cs="Arial" w:eastAsia="Arial" w:hAnsi="Arial"/>
          <w:sz w:val="18"/>
          <w:szCs w:val="18"/>
          <w:color w:val="auto"/>
        </w:rPr>
      </w:pPr>
    </w:p>
    <w:p>
      <w:pPr>
        <w:ind w:left="540" w:right="520" w:hanging="17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periods within which or the dates on which, the prices, if any, at which and the terms and conditions upon which such debt securities may be redeemed, in whole or in part, at the option of the Company and, if other than by a board resolution, the manner in which any election by the Company will be evidenced;</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denominations in which such debt securities will be issuable;</w:t>
      </w:r>
    </w:p>
    <w:p>
      <w:pPr>
        <w:spacing w:after="0" w:line="117"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such debt securities are to be issued at less than the principal amount thereof and the amount of discount with which such debt securities will be issued;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provisions, if any, for the defeasance of such debt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for determining the amount of principal outstanding on the debt securities at any date prior to the stated maturity, whether for purposes of acceleration or otherwise;</w:t>
      </w:r>
    </w:p>
    <w:p>
      <w:pPr>
        <w:spacing w:after="0" w:line="62" w:lineRule="exact"/>
        <w:rPr>
          <w:rFonts w:ascii="Arial" w:cs="Arial" w:eastAsia="Arial" w:hAnsi="Arial"/>
          <w:sz w:val="18"/>
          <w:szCs w:val="18"/>
          <w:color w:val="auto"/>
        </w:rPr>
      </w:pPr>
    </w:p>
    <w:p>
      <w:pPr>
        <w:ind w:left="540" w:right="14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other than the entire principal amount, the portion of the principal amount of any debt securities of a series outstanding which will be payable upon acceleration of their maturity as permitted by the Indenture;</w:t>
      </w:r>
    </w:p>
    <w:p>
      <w:pPr>
        <w:spacing w:after="0" w:line="62" w:lineRule="exact"/>
        <w:rPr>
          <w:rFonts w:ascii="Arial" w:cs="Arial" w:eastAsia="Arial" w:hAnsi="Arial"/>
          <w:sz w:val="18"/>
          <w:szCs w:val="18"/>
          <w:color w:val="auto"/>
        </w:rPr>
      </w:pPr>
    </w:p>
    <w:p>
      <w:pPr>
        <w:ind w:left="540" w:right="4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other than United States dollars, the currency or composite currency in which such debt securities are to be denominated, or in which payment of the principal of (and premium, if any) and interest on such debt securities will be made and the manner of determining the equivalent thereof in United States Dollars for any purpose;</w:t>
      </w:r>
    </w:p>
    <w:p>
      <w:pPr>
        <w:spacing w:after="0" w:line="73" w:lineRule="exact"/>
        <w:rPr>
          <w:rFonts w:ascii="Arial" w:cs="Arial" w:eastAsia="Arial" w:hAnsi="Arial"/>
          <w:sz w:val="18"/>
          <w:szCs w:val="18"/>
          <w:color w:val="auto"/>
        </w:rPr>
      </w:pPr>
    </w:p>
    <w:p>
      <w:pPr>
        <w:ind w:left="540" w:right="20" w:hanging="172"/>
        <w:spacing w:after="0" w:line="25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on such debt securities are to be payable, at the election of the Company or a holder, in a currency or composite currency other than that in which such debt securities are denominated or stated to be payable, the periods within which and the terms and conditions upon which, such election may be made and the time and the manner of determining the exchange rate between the currency or composite currency in which such debt securities are denominated or stated to be payable and the currency in which such debt securities are to be paid pursuant to such election;</w:t>
      </w:r>
    </w:p>
    <w:p>
      <w:pPr>
        <w:spacing w:after="0" w:line="80"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payments of principal of (and premium, if any) or interest on the debt securities may be determined with reference to an index or pursuant to a formula, the manner in which such amounts will be determined;</w:t>
      </w:r>
    </w:p>
    <w:p>
      <w:pPr>
        <w:spacing w:after="0" w:line="62" w:lineRule="exact"/>
        <w:rPr>
          <w:rFonts w:ascii="Arial" w:cs="Arial" w:eastAsia="Arial" w:hAnsi="Arial"/>
          <w:sz w:val="18"/>
          <w:szCs w:val="18"/>
          <w:color w:val="auto"/>
        </w:rPr>
      </w:pPr>
    </w:p>
    <w:p>
      <w:pPr>
        <w:ind w:left="540" w:right="20" w:hanging="17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such debt securities will be issued in the form of one or more Global Securities and, if so, the identity of the depository for such Global Securities, the form of legend to appear on any such Global Security, the circumstances under which such Global Security may be exchanged in whole or in part for debt securities registered in the name of a person other than the depository;</w:t>
      </w:r>
    </w:p>
    <w:p>
      <w:pPr>
        <w:spacing w:after="0" w:line="73" w:lineRule="exact"/>
        <w:rPr>
          <w:rFonts w:ascii="Arial" w:cs="Arial" w:eastAsia="Arial" w:hAnsi="Arial"/>
          <w:sz w:val="18"/>
          <w:szCs w:val="18"/>
          <w:color w:val="auto"/>
        </w:rPr>
      </w:pPr>
    </w:p>
    <w:p>
      <w:pPr>
        <w:ind w:left="540" w:right="14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additions to or changes in the events of default or covenants relating solely to such debt securities or any events of default or covenants generally applicable to debt securities which are not to apply to the particular series of debt securities in respect of which the prospectus supplement is being delivered and any change in the right of the Trustee or the requisite holders of such debt securities to declare the principal amount thereof due and payable; and</w:t>
      </w:r>
    </w:p>
    <w:p>
      <w:pPr>
        <w:spacing w:after="0" w:line="78" w:lineRule="exact"/>
        <w:rPr>
          <w:rFonts w:ascii="Arial" w:cs="Arial" w:eastAsia="Arial" w:hAnsi="Arial"/>
          <w:sz w:val="18"/>
          <w:szCs w:val="18"/>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any other terms of such debt securities not inconsistent with the provisions of the Indenture. </w:t>
      </w:r>
      <w:r>
        <w:rPr>
          <w:rFonts w:ascii="Arial" w:cs="Arial" w:eastAsia="Arial" w:hAnsi="Arial"/>
          <w:sz w:val="18"/>
          <w:szCs w:val="18"/>
          <w:i w:val="1"/>
          <w:iCs w:val="1"/>
          <w:color w:val="auto"/>
        </w:rPr>
        <w:t>(Section 3.01)</w:t>
      </w:r>
    </w:p>
    <w:p>
      <w:pPr>
        <w:sectPr>
          <w:pgSz w:w="11900" w:h="16838" w:orient="portrait"/>
          <w:cols w:equalWidth="0" w:num="1">
            <w:col w:w="11400"/>
          </w:cols>
          <w:pgMar w:left="240" w:top="125" w:right="259" w:bottom="86" w:gutter="0" w:footer="0" w:header="0"/>
        </w:sectPr>
      </w:pPr>
    </w:p>
    <w:bookmarkStart w:id="4" w:name="page5"/>
    <w:bookmarkEnd w:id="4"/>
    <w:p>
      <w:pPr>
        <w:jc w:val="both"/>
        <w:ind w:right="140" w:firstLine="360"/>
        <w:spacing w:after="0" w:line="286" w:lineRule="auto"/>
        <w:rPr>
          <w:sz w:val="20"/>
          <w:szCs w:val="20"/>
          <w:color w:val="auto"/>
        </w:rPr>
      </w:pPr>
      <w:r>
        <w:rPr>
          <w:rFonts w:ascii="Arial" w:cs="Arial" w:eastAsia="Arial" w:hAnsi="Arial"/>
          <w:sz w:val="17"/>
          <w:szCs w:val="17"/>
          <w:color w:val="auto"/>
        </w:rPr>
        <w:t>Unless otherwise indicated in the applicable prospectus supplement, the Indenture does not afford the holder of any series of debt securities the right to tender such debt securities to the Company for repurchase, or provide for any increase in the rate or rates of interest per annum at which such debt securities will bear interest, in the event the Company should become involved in a highly leveraged transaction.</w:t>
      </w:r>
    </w:p>
    <w:p>
      <w:pPr>
        <w:spacing w:after="0" w:line="5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debt securities may be issued under the Indenture bearing no interest or interest at a rate below the prevailing market rate at the time of issuance, to be offered and sold at a discount below their stated principal amount. Federal income tax consequences and other special considerations applicable to any such discounted debt securities or to other debt securities offered and sold at par which are treated as having been issued at a discount for federal income tax purposes may be described in the prospectus supplement relating thereto.</w:t>
      </w:r>
    </w:p>
    <w:p>
      <w:pPr>
        <w:spacing w:after="0" w:line="79" w:lineRule="exact"/>
        <w:rPr>
          <w:sz w:val="20"/>
          <w:szCs w:val="20"/>
          <w:color w:val="auto"/>
        </w:rPr>
      </w:pPr>
    </w:p>
    <w:p>
      <w:pPr>
        <w:ind w:right="680" w:firstLine="360"/>
        <w:spacing w:after="0" w:line="286" w:lineRule="auto"/>
        <w:rPr>
          <w:sz w:val="20"/>
          <w:szCs w:val="20"/>
          <w:color w:val="auto"/>
        </w:rPr>
      </w:pPr>
      <w:r>
        <w:rPr>
          <w:rFonts w:ascii="Arial" w:cs="Arial" w:eastAsia="Arial" w:hAnsi="Arial"/>
          <w:sz w:val="17"/>
          <w:szCs w:val="17"/>
          <w:color w:val="auto"/>
        </w:rPr>
        <w:t>A portion of the assets of the Company is held by subsidiaries. The Company’s right and the rights of its creditors, including the holders of debt securities, to realize the proceeds of the assets of any subsidiary upon its liquidation or recapitalization would be subject to the prior claims of such subsidiary’s creditors, except to the extent that the Company may itself be a creditor with recognized claims against such</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subsidiary. The indenture provides that subsidiaries of the Company may incur additional debt under certain circumstances.</w:t>
      </w:r>
    </w:p>
    <w:p>
      <w:pPr>
        <w:spacing w:after="0" w:line="117"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 xml:space="preserve">Unless otherwise described in the applicable prospectus supplement, the debt securities will be issued only in fully registered form without coupons, in denominations of $1,000 and multiples of $1,000, and will be payable only in United States dollars. </w:t>
      </w:r>
      <w:r>
        <w:rPr>
          <w:rFonts w:ascii="Arial" w:cs="Arial" w:eastAsia="Arial" w:hAnsi="Arial"/>
          <w:sz w:val="16"/>
          <w:szCs w:val="16"/>
          <w:i w:val="1"/>
          <w:iCs w:val="1"/>
          <w:color w:val="auto"/>
        </w:rPr>
        <w:t>(Section 3.02)</w:t>
      </w:r>
      <w:r>
        <w:rPr>
          <w:rFonts w:ascii="Arial" w:cs="Arial" w:eastAsia="Arial" w:hAnsi="Arial"/>
          <w:sz w:val="16"/>
          <w:szCs w:val="16"/>
          <w:color w:val="auto"/>
        </w:rPr>
        <w:t xml:space="preserve"> In addition, all or a portion of the debt securities of any series may be issued as permanent registered Global Securities, which will be exchangeable for definitive debt securities only under certain conditions. </w:t>
      </w:r>
      <w:r>
        <w:rPr>
          <w:rFonts w:ascii="Arial" w:cs="Arial" w:eastAsia="Arial" w:hAnsi="Arial"/>
          <w:sz w:val="16"/>
          <w:szCs w:val="16"/>
          <w:i w:val="1"/>
          <w:iCs w:val="1"/>
          <w:color w:val="auto"/>
        </w:rPr>
        <w:t>(Section 2.04)</w:t>
      </w:r>
      <w:r>
        <w:rPr>
          <w:rFonts w:ascii="Arial" w:cs="Arial" w:eastAsia="Arial" w:hAnsi="Arial"/>
          <w:sz w:val="16"/>
          <w:szCs w:val="16"/>
          <w:color w:val="auto"/>
        </w:rPr>
        <w:t xml:space="preserve"> The applicable prospectus supplement indicates the denominations to be issued, the procedures for payment of interest and principal thereon and other matters. No service charge will be made for any registration of transfer or exchange of the debt securities, but the Company may, in certain instances, require payment of a sum sufficient to cover any tax or other governmental charge payable in connection therewith. </w:t>
      </w:r>
      <w:r>
        <w:rPr>
          <w:rFonts w:ascii="Arial" w:cs="Arial" w:eastAsia="Arial" w:hAnsi="Arial"/>
          <w:sz w:val="16"/>
          <w:szCs w:val="16"/>
          <w:i w:val="1"/>
          <w:iCs w:val="1"/>
          <w:color w:val="auto"/>
        </w:rPr>
        <w:t>(Section 3.05)</w:t>
      </w:r>
    </w:p>
    <w:p>
      <w:pPr>
        <w:spacing w:after="0" w:line="57"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 xml:space="preserve">The Company will deliver debt securities of any series, duly executed by the Company, to the Trustee for authentication, together with an order for the authentication and delivery of such debt securities. The Trustee, in accordance with such order, will authenticate and deliver such debt securities. No debt security of any series is entitled to any benefit under the Indenture or will be valid or obligatory for any purpose unless there appears thereon a certificate of authentication substantially in the form provided for in the Indenture and manually executed by the Trustee or an authenticating agent duly appointed by the Trustee. Such certificate will be conclusive evidence, and the only evidence, that such debt securities have been duly authenticated and delivered under, and are entitled to the benefits of, the Indenture. </w:t>
      </w:r>
      <w:r>
        <w:rPr>
          <w:rFonts w:ascii="Arial" w:cs="Arial" w:eastAsia="Arial" w:hAnsi="Arial"/>
          <w:sz w:val="18"/>
          <w:szCs w:val="18"/>
          <w:i w:val="1"/>
          <w:iCs w:val="1"/>
          <w:color w:val="auto"/>
        </w:rPr>
        <w:t>(Section 3.03)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 xml:space="preserve">The debt securities of a particular series may be issued in the form of one or more Global Securities which will be deposited with a depository (the “Depositary”), or its nominee, each of which will be identified in the prospectus supplement relating to such series. Unless and until exchanged, in whole or in part, for debt securities in definitive registered form, a Global Security may not be transferred except as a whole by the Depositary for such Global Security to a nominee of such Depositary, by a nominee of such Depositary to such Depositary or another nominee of such Depositary or by such Depositary or any such nominee to a successor of such Depositary or a nominee of such successor. </w:t>
      </w:r>
      <w:r>
        <w:rPr>
          <w:rFonts w:ascii="Arial" w:cs="Arial" w:eastAsia="Arial" w:hAnsi="Arial"/>
          <w:sz w:val="17"/>
          <w:szCs w:val="17"/>
          <w:i w:val="1"/>
          <w:iCs w:val="1"/>
          <w:color w:val="auto"/>
        </w:rPr>
        <w:t>(Section 2.04)</w:t>
      </w:r>
      <w:r>
        <w:rPr>
          <w:rFonts w:ascii="Arial" w:cs="Arial" w:eastAsia="Arial" w:hAnsi="Arial"/>
          <w:sz w:val="17"/>
          <w:szCs w:val="17"/>
          <w:color w:val="auto"/>
        </w:rPr>
        <w:t xml:space="preserve"> The specific terms of the depository arrangement with respect to any portion of a particular series of debt securities to be represented by a Global Security will be described in the prospectus supplement relating to such series. The Company anticipates that the following provisions will apply to all depository arrangements.</w:t>
      </w:r>
    </w:p>
    <w:p>
      <w:pPr>
        <w:spacing w:after="0" w:line="70" w:lineRule="exact"/>
        <w:rPr>
          <w:sz w:val="20"/>
          <w:szCs w:val="20"/>
          <w:color w:val="auto"/>
        </w:rPr>
      </w:pPr>
    </w:p>
    <w:p>
      <w:pPr>
        <w:ind w:right="80" w:firstLine="360"/>
        <w:spacing w:after="0" w:line="253" w:lineRule="auto"/>
        <w:rPr>
          <w:sz w:val="20"/>
          <w:szCs w:val="20"/>
          <w:color w:val="auto"/>
        </w:rPr>
      </w:pPr>
      <w:r>
        <w:rPr>
          <w:rFonts w:ascii="Arial" w:cs="Arial" w:eastAsia="Arial" w:hAnsi="Arial"/>
          <w:sz w:val="18"/>
          <w:szCs w:val="18"/>
          <w:color w:val="auto"/>
        </w:rPr>
        <w:t>Upon the issuance of a Global Security, the Depositary therefor or its nominee will credit, on its book entry and registration system, the respective principal amounts of the debt securities represented by such Global Security to the accounts of the persons having accounts with such Depositary (“participants”) designated by the underwriters or agents participating in the distribution of such debt securities or by the Company if such debt securities are offered and sold directly by the Company. Ownership of beneficial interests in a Global Security will be limited to participants or persons that may hold beneficial interests through participants. Ownership of beneficial interests in a Global Security will be shown on, and the transfer of such ownership will be effected only through, records maintained by the Depositary therefor or its nominee (with respect to beneficial interests of participants) or by participants or persons that hold through participants (with respect to interests of persons other than participants). The laws of some states require certain purchasers of securities to take physical delivery thereof in definitive form. Such depository arrangements and such laws may impair the ability to transfer beneficial interests in a Global Security.</w:t>
      </w:r>
    </w:p>
    <w:p>
      <w:pPr>
        <w:spacing w:after="0" w:line="8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So long as the Depositary for a Global Security or its nominee is the registered owner thereof, such Depositary or such nominee, as the case may be, will be considered the sole owner or holder of the debt securities represented by such Global Security for all purposes under the Indenture. Except as provided below, owners of beneficial interests in a Global Security will not be entitled to have debt securities of the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series represented by such Global Security registered in their names, will not receive or be entitled to receive physical delivery of debt securities of such series in definitive form and will not be considered the owners or holders thereof under the Indenture for any other purpose.</w:t>
      </w:r>
    </w:p>
    <w:p>
      <w:pPr>
        <w:spacing w:after="0" w:line="38"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Principal, premium, if any, and interest payments on a Global Security registered in the name of a Depositary or its nominee will be made to such Depositary or nominee, as the case may be, as the registered owner of such Global Security. None of the Company, the Trustee or any paying agent for debt securities of the series represented by such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46"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The Company expects that the Depositary for a Global Security or its nominee, upon receipt of any payment of principal, premium or interest, will immediately credit participants’ accounts with payments in amounts proportionate to their respective beneficial interests in the principal amount of such Global Security as shown on the records of such Depositary or its nominee. The Company also expects that payments by participants to owners of beneficial interests in such Global Security held through such participants will be governed by standing instructions and customary practices, as is now the case with securities held for the accounts of customers registered in “street name,” and will be the responsibility of such participants.</w:t>
      </w:r>
    </w:p>
    <w:p>
      <w:pPr>
        <w:spacing w:after="0" w:line="64"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If the Depositary for a Global Security representing debt securities of a particular series is at any time unwilling or unable to continue as Depositary or has ceased to be a clearing agency registered under the Securities Exchange Act of 1934, or there has been an event of default with respect to the Global Security that remains uncured, the Company will issue debt securities of such series in definitive form in exchange for such Global Security. In addition, the</w:t>
      </w:r>
    </w:p>
    <w:p>
      <w:pPr>
        <w:sectPr>
          <w:pgSz w:w="11900" w:h="16838" w:orient="portrait"/>
          <w:cols w:equalWidth="0" w:num="1">
            <w:col w:w="11400"/>
          </w:cols>
          <w:pgMar w:left="240" w:top="125" w:right="259" w:bottom="0" w:gutter="0" w:footer="0" w:header="0"/>
        </w:sectPr>
      </w:pPr>
    </w:p>
    <w:bookmarkStart w:id="5" w:name="page6"/>
    <w:bookmarkEnd w:id="5"/>
    <w:p>
      <w:pPr>
        <w:ind w:right="20"/>
        <w:spacing w:after="0" w:line="264" w:lineRule="auto"/>
        <w:rPr>
          <w:sz w:val="20"/>
          <w:szCs w:val="20"/>
          <w:color w:val="auto"/>
        </w:rPr>
      </w:pPr>
      <w:r>
        <w:rPr>
          <w:rFonts w:ascii="Arial" w:cs="Arial" w:eastAsia="Arial" w:hAnsi="Arial"/>
          <w:sz w:val="18"/>
          <w:szCs w:val="18"/>
          <w:color w:val="auto"/>
        </w:rPr>
        <w:t>Company may at any time and in its sole discretion determine not to have the debt securities of a particular series represented by one or more Global Securities and, in such event, will issue debt securities of such series in definitive form in exchange for all of the Global Securities representing debt securities of such series.</w:t>
      </w:r>
    </w:p>
    <w:p>
      <w:pPr>
        <w:spacing w:after="0" w:line="7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Unless otherwise specified in the applicable prospectus supplement, The Depository Trust Company, or DTC, will act as depositary for securities issued in the form of Global Securities. Global Securities will be issued only as fully registered securities registered in the name of Cede &amp; Co., which is DTC’s nominee. One or more fully registered Global Securities will be issued for these securities representing in the aggregate the total number of these securities, and will be deposited with or on behalf of DTC.</w:t>
      </w:r>
    </w:p>
    <w:p>
      <w:pPr>
        <w:spacing w:after="0" w:line="79"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DTC has advised us as follows: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was created to hold securities for DTC participants and to facilitate the settlement of securities transactions among DTC participants through electronic computerized book-entry changes to the accounts of its participants, thereby eliminating the need for physical movement of securities certificates. Direct participants include securities brokers and dealers, banks, trust companies and clearing corporations and may include certain other organizations, such as the underwriter of the notes. Certain DTC participants or their representatives, together with other entities, own DTC. Indirect access to the DTC system is available to others, known as indirect participants, such as banks, brokers, dealers and trust companies that clear through, or maintain a custodial relationship with, a participant, either directly or indirectly.</w:t>
      </w:r>
    </w:p>
    <w:p>
      <w:pPr>
        <w:spacing w:after="0" w:line="74"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Purchases of securities within the DTC system must be made by or through direct participants, which will receive a credit for the securities on DTC’s records. The ownership interest of each actual purchaser of each security, commonly referred to as the beneficial owner, is in turn to be recorded on the direct and indirect participants’ records. Beneficial owners will not receive written confirmation from DTC of their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purchases, but beneficial owners are expected to receive written confirmations providing details of the transactions, as well as periodic statements of their holdings, from the direct or indirect participants through which the beneficial owners purchased securities. Transfers of ownership interests in securities issued in the form of Global Securities are accomplished by entries made on the books of participants acting on behalf of beneficial owners. Beneficial owners will not receive certificates representing their ownership interests in these securities, except if use of the book-entry system for such securities is discontinued.</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DTC has no knowledge of the actual beneficial owners of the securities issued in the form of Global Securities. DTC’s records reflect only the identity of the direct participants to whose accounts such securities are credited, which may or may not be the beneficial owners. The participants will remain responsible for keeping account of their holdings on behalf of their customers.</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7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Any redemption notices must be sent to DTC. If less than all of the securities of a series or class are being redeemed, DTC’s practice is to determine by lot the amount to be redeemed from each participant.</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Although voting with respect to securities issued in the form of Global Securities is limited to the holders of record, when a vote is required, neither DTC nor Cede &amp; Co. will itself consent or vote with respect to such securities. Under its usual procedures, DTC would mail an omnibus proxy to the issuer of the securities as soon as possible after the record date. The omnibus proxy assigns Cede &amp; Co.’s consenting or voting rights to those direct participants to whose accounts such securities are credited on the record date, identified in a listing attached to the omnibus proxy.</w:t>
      </w:r>
    </w:p>
    <w:p>
      <w:pPr>
        <w:spacing w:after="0" w:line="63"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Payments in respect of securities issued in the form of Global Securities will be made by the issuer of such securities to DTC. DTC’s practice is to credit direct participants’ accounts on the relevant payment date in accordance with their respective holdings shown on DTC’s records unless DTC has reason to believe that it will not receive payments on such payment date. Payments by participants to beneficial owners will be governed by standing instructions and customary practices and will be the responsibility of such participant and not of DTC or us, subject to any statutory or regulatory requirements as may be in effect from time to time. Payments to DTC are the responsibility of the issuer of the applicable securities, disbursement of such payments to direct participants is the responsibility of DTC, and disbursements of such payments to the beneficial owners is the responsibility of direct and indirect participants.</w:t>
      </w:r>
    </w:p>
    <w:p>
      <w:pPr>
        <w:spacing w:after="0" w:line="57"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DTC may discontinue providing its services as depositary with respect to any securities at any time by giving reasonable notice to the issuer of such securities. If a successor depositary is not obtained, individual security certificates representing such securities are required to be printed and delivered. We, at our option, may decide to discontinue use of the system of book-entry transfers through DTC or a successor depositary.</w:t>
      </w:r>
    </w:p>
    <w:p>
      <w:pPr>
        <w:spacing w:after="0" w:line="57"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accurate, but we assume no responsibility for its accuracy. We have no responsibility for the performance by DTC or its participants of their obligations as described in this prospectus or under the rules and procedures governing their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of the Company</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i w:val="1"/>
          <w:iCs w:val="1"/>
          <w:color w:val="auto"/>
        </w:rPr>
        <w:t xml:space="preserve">Limitation on Debt Secured by a Mortgage. </w:t>
      </w:r>
      <w:r>
        <w:rPr>
          <w:rFonts w:ascii="Arial" w:cs="Arial" w:eastAsia="Arial" w:hAnsi="Arial"/>
          <w:sz w:val="18"/>
          <w:szCs w:val="18"/>
          <w:color w:val="auto"/>
        </w:rPr>
        <w:t>The Indenture provides that neither the Company nor any Restricted Subsidiary will issue, incur, create,</w:t>
      </w:r>
      <w:r>
        <w:rPr>
          <w:rFonts w:ascii="Arial" w:cs="Arial" w:eastAsia="Arial" w:hAnsi="Arial"/>
          <w:sz w:val="18"/>
          <w:szCs w:val="18"/>
          <w:i w:val="1"/>
          <w:iCs w:val="1"/>
          <w:color w:val="auto"/>
        </w:rPr>
        <w:t xml:space="preserve"> </w:t>
      </w:r>
      <w:r>
        <w:rPr>
          <w:rFonts w:ascii="Arial" w:cs="Arial" w:eastAsia="Arial" w:hAnsi="Arial"/>
          <w:sz w:val="18"/>
          <w:szCs w:val="18"/>
          <w:color w:val="auto"/>
        </w:rPr>
        <w:t>assume or guarantee any Debt secured by any mortgage, security interest, pledge, lien, charge or other encumbrance (“Mortgage”) on any Principal Property of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Company or a Restricted Subsidiary or upon any shares of stock of any Restricted Subsidiary unless the Company secures or causes such Restricted Subsidiary to secure the debt securities equally and ratably with, or prior to, such secured Debt. This restriction will not apply to Debt secured by:</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Mortgages on property existing at the time of acquisition thereof by the Company or any Subsidiary;</w:t>
      </w:r>
    </w:p>
    <w:p>
      <w:pPr>
        <w:sectPr>
          <w:pgSz w:w="11900" w:h="16838" w:orient="portrait"/>
          <w:cols w:equalWidth="0" w:num="1">
            <w:col w:w="11420"/>
          </w:cols>
          <w:pgMar w:left="240" w:top="125" w:right="239" w:bottom="0" w:gutter="0" w:footer="0" w:header="0"/>
        </w:sectPr>
      </w:pPr>
    </w:p>
    <w:bookmarkStart w:id="6" w:name="page7"/>
    <w:bookmarkEnd w:id="6"/>
    <w:p>
      <w:pPr>
        <w:ind w:left="540" w:right="8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Mortgages on property, shares of stock or Debt or other assets of any corporation existing at the time such corporation becomes a Restricted Subsidiary;</w:t>
      </w:r>
    </w:p>
    <w:p>
      <w:pPr>
        <w:spacing w:after="0" w:line="62" w:lineRule="exact"/>
        <w:rPr>
          <w:rFonts w:ascii="Arial" w:cs="Arial" w:eastAsia="Arial" w:hAnsi="Arial"/>
          <w:sz w:val="18"/>
          <w:szCs w:val="18"/>
          <w:color w:val="auto"/>
        </w:rPr>
      </w:pPr>
    </w:p>
    <w:p>
      <w:pPr>
        <w:ind w:left="540" w:right="40" w:hanging="172"/>
        <w:spacing w:after="0" w:line="276"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Mortgages on property, shares of stock or Debt existing at the time of acquisition thereof by the Company or a Restricted Subsidiary or Mortgages thereon to secure the payment of all or any part of the purchase price thereof, or Mortgages on property, shares of stock or Debt to secure any Debt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64" w:lineRule="exact"/>
        <w:rPr>
          <w:rFonts w:ascii="Arial" w:cs="Arial" w:eastAsia="Arial" w:hAnsi="Arial"/>
          <w:sz w:val="17"/>
          <w:szCs w:val="17"/>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Mortgages to secure Debt owing to the Company or to a Restricted Subsidiary;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Mortgages existing at the dates of issuance of the series of debt securities under the Indenture;</w:t>
      </w:r>
    </w:p>
    <w:p>
      <w:pPr>
        <w:spacing w:after="0" w:line="117" w:lineRule="exact"/>
        <w:rPr>
          <w:rFonts w:ascii="Arial" w:cs="Arial" w:eastAsia="Arial" w:hAnsi="Arial"/>
          <w:sz w:val="18"/>
          <w:szCs w:val="18"/>
          <w:color w:val="auto"/>
        </w:rPr>
      </w:pPr>
    </w:p>
    <w:p>
      <w:pPr>
        <w:ind w:left="540" w:right="540" w:hanging="172"/>
        <w:spacing w:after="0" w:line="264"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pacing w:after="0" w:line="73" w:lineRule="exact"/>
        <w:rPr>
          <w:rFonts w:ascii="Arial" w:cs="Arial" w:eastAsia="Arial" w:hAnsi="Arial"/>
          <w:sz w:val="18"/>
          <w:szCs w:val="18"/>
          <w:color w:val="auto"/>
        </w:rPr>
      </w:pPr>
    </w:p>
    <w:p>
      <w:pPr>
        <w:ind w:left="540" w:right="100" w:hanging="172"/>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Mortgages in favor of the United States or any State, territory or possession thereof (or the District of Columbia) or any department, agency, instrumentality or political subdivision of any of them, to secure partial, progress, advance or other payments pursuant to any contract or statute or to secure any Debt incurred for the purpose of financing all or any part of the purchase price or cost of constructing or improving the property subject to such Mortgages;</w:t>
      </w:r>
    </w:p>
    <w:p>
      <w:pPr>
        <w:spacing w:after="0" w:line="78" w:lineRule="exact"/>
        <w:rPr>
          <w:rFonts w:ascii="Arial" w:cs="Arial" w:eastAsia="Arial" w:hAnsi="Arial"/>
          <w:sz w:val="18"/>
          <w:szCs w:val="18"/>
          <w:color w:val="auto"/>
        </w:rPr>
      </w:pPr>
    </w:p>
    <w:p>
      <w:pPr>
        <w:ind w:left="500" w:hanging="132"/>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Mortgages created in connection with the acquisition of assets or a project financed with, and created to secure, a Nonrecourse Obligation; and</w:t>
      </w:r>
    </w:p>
    <w:p>
      <w:pPr>
        <w:spacing w:after="0" w:line="128" w:lineRule="exact"/>
        <w:rPr>
          <w:rFonts w:ascii="Arial" w:cs="Arial" w:eastAsia="Arial" w:hAnsi="Arial"/>
          <w:sz w:val="17"/>
          <w:szCs w:val="17"/>
          <w:color w:val="auto"/>
        </w:rPr>
      </w:pPr>
    </w:p>
    <w:p>
      <w:pPr>
        <w:ind w:left="5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Mortgages representing the extension, renewal, refinancing or replacement of any Mortgage referred to in the foregoing bullet points, inclusive, subject to some limitations.</w:t>
      </w:r>
    </w:p>
    <w:p>
      <w:pPr>
        <w:spacing w:after="0" w:line="62"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Notwithstanding the restrictions set forth in the preceding paragraph, the Company or any Restricted Subsidiary will be permitted to issue, incur, create, assume or guarantee Debt secured by a Mortgage, without equally and ratably securing the debt securities, so long as the aggregate of all Debt secured by Mortgages other than Mortgages referred to in the foregoing bullet points and the aggregate Value of the Sale and Lease-Back Transactions in existence at that time (not including those in connection with which the Company has voluntarily retired funded Debt as provided in the Indenture) does not exceed 15% of Consolidated Net Tangible Assets. </w:t>
      </w:r>
      <w:r>
        <w:rPr>
          <w:rFonts w:ascii="Arial" w:cs="Arial" w:eastAsia="Arial" w:hAnsi="Arial"/>
          <w:sz w:val="18"/>
          <w:szCs w:val="18"/>
          <w:i w:val="1"/>
          <w:iCs w:val="1"/>
          <w:color w:val="auto"/>
        </w:rPr>
        <w:t>(Section 10.08)</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The Indenture provides that neither the Company nor any Restricted Subsidiary will enter into any</w:t>
      </w:r>
      <w:r>
        <w:rPr>
          <w:rFonts w:ascii="Arial" w:cs="Arial" w:eastAsia="Arial" w:hAnsi="Arial"/>
          <w:sz w:val="18"/>
          <w:szCs w:val="18"/>
          <w:i w:val="1"/>
          <w:iCs w:val="1"/>
          <w:color w:val="auto"/>
        </w:rPr>
        <w:t xml:space="preserve"> </w:t>
      </w:r>
      <w:r>
        <w:rPr>
          <w:rFonts w:ascii="Arial" w:cs="Arial" w:eastAsia="Arial" w:hAnsi="Arial"/>
          <w:sz w:val="18"/>
          <w:szCs w:val="18"/>
          <w:color w:val="auto"/>
        </w:rPr>
        <w:t>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debt securities pursuant to the covenant described above under “—Limitation 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57" w:lineRule="auto"/>
        <w:rPr>
          <w:sz w:val="20"/>
          <w:szCs w:val="20"/>
          <w:color w:val="auto"/>
        </w:rPr>
      </w:pPr>
      <w:r>
        <w:rPr>
          <w:rFonts w:ascii="Arial" w:cs="Arial" w:eastAsia="Arial" w:hAnsi="Arial"/>
          <w:sz w:val="18"/>
          <w:szCs w:val="18"/>
          <w:color w:val="auto"/>
        </w:rPr>
        <w:t xml:space="preserve">Debt Secured by a Mortgage”; or (2) the Company applies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 </w:t>
      </w:r>
      <w:r>
        <w:rPr>
          <w:rFonts w:ascii="Arial" w:cs="Arial" w:eastAsia="Arial" w:hAnsi="Arial"/>
          <w:sz w:val="18"/>
          <w:szCs w:val="18"/>
          <w:i w:val="1"/>
          <w:iCs w:val="1"/>
          <w:color w:val="auto"/>
        </w:rPr>
        <w:t>(Section 10.09)</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Certain Definitions.</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 xml:space="preserve">“Attributable Debt” is defined in the Indenture to mean, when used in connection with a Sale and Lease-Back Transaction involving a Principal Property, at the time of determination, the present value of the total net amount of rent and other payments required to be paid under such lease during the remaining term thereof (or any renewal or extension) discounted at the rate of interest set forth in such lease or, if not practicable to determine such rate, the weighted average interest rate per annum (in the case of Original Issue Discount Securities, the imputed interest rate) borne by the debt securities of each series outstanding pursuant to the Indenture, compounded semi-annually. </w:t>
      </w:r>
      <w:r>
        <w:rPr>
          <w:rFonts w:ascii="Arial" w:cs="Arial" w:eastAsia="Arial" w:hAnsi="Arial"/>
          <w:sz w:val="17"/>
          <w:szCs w:val="17"/>
          <w:i w:val="1"/>
          <w:iCs w:val="1"/>
          <w:color w:val="auto"/>
        </w:rPr>
        <w:t>(Section 1.01)</w:t>
      </w:r>
    </w:p>
    <w:p>
      <w:pPr>
        <w:spacing w:after="0" w:line="64"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“Consolidated Net Tangible Assets” is defined in the Indenture to mean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 </w:t>
      </w:r>
      <w:r>
        <w:rPr>
          <w:rFonts w:ascii="Arial" w:cs="Arial" w:eastAsia="Arial" w:hAnsi="Arial"/>
          <w:sz w:val="16"/>
          <w:szCs w:val="16"/>
          <w:i w:val="1"/>
          <w:iCs w:val="1"/>
          <w:color w:val="auto"/>
        </w:rPr>
        <w:t>(Section 1.01)</w:t>
      </w:r>
    </w:p>
    <w:p>
      <w:pPr>
        <w:spacing w:after="0" w:line="46" w:lineRule="exact"/>
        <w:rPr>
          <w:sz w:val="20"/>
          <w:szCs w:val="20"/>
          <w:color w:val="auto"/>
        </w:rPr>
      </w:pPr>
    </w:p>
    <w:p>
      <w:pPr>
        <w:ind w:right="220" w:firstLine="360"/>
        <w:spacing w:after="0" w:line="286" w:lineRule="auto"/>
        <w:rPr>
          <w:sz w:val="20"/>
          <w:szCs w:val="20"/>
          <w:color w:val="auto"/>
        </w:rPr>
      </w:pPr>
      <w:r>
        <w:rPr>
          <w:rFonts w:ascii="Arial" w:cs="Arial" w:eastAsia="Arial" w:hAnsi="Arial"/>
          <w:sz w:val="16"/>
          <w:szCs w:val="16"/>
          <w:color w:val="auto"/>
        </w:rPr>
        <w:t>“Debt” is defined in the Indenture to mean,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w:t>
      </w:r>
    </w:p>
    <w:p>
      <w:pPr>
        <w:spacing w:after="0" w:line="2" w:lineRule="exact"/>
        <w:rPr>
          <w:sz w:val="20"/>
          <w:szCs w:val="20"/>
          <w:color w:val="auto"/>
        </w:rPr>
      </w:pPr>
    </w:p>
    <w:p>
      <w:pPr>
        <w:ind w:right="20" w:firstLine="8"/>
        <w:spacing w:after="0" w:line="292" w:lineRule="auto"/>
        <w:tabs>
          <w:tab w:leader="none" w:pos="3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for, directly or indirectly, as obligor, guarantor or otherwise. </w:t>
      </w:r>
      <w:r>
        <w:rPr>
          <w:rFonts w:ascii="Arial" w:cs="Arial" w:eastAsia="Arial" w:hAnsi="Arial"/>
          <w:sz w:val="16"/>
          <w:szCs w:val="16"/>
          <w:i w:val="1"/>
          <w:iCs w:val="1"/>
          <w:color w:val="auto"/>
        </w:rPr>
        <w:t>(Section 1.01)</w:t>
      </w:r>
    </w:p>
    <w:p>
      <w:pPr>
        <w:spacing w:after="0" w:line="55"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 xml:space="preserve">“Nonrecourse Obligation” is defined in the Indenture to mean Debt or other obligations substantially related to (i) the acquisitions of assets not previously owned by the Company or any Restricted Subsidiary, or (ii) the financing of a project involving the development or expansion of properties of the Company or any Restricted Subsidiary, as to which the obligee with respect to such Debt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 </w:t>
      </w:r>
      <w:r>
        <w:rPr>
          <w:rFonts w:ascii="Arial" w:cs="Arial" w:eastAsia="Arial" w:hAnsi="Arial"/>
          <w:sz w:val="18"/>
          <w:szCs w:val="18"/>
          <w:i w:val="1"/>
          <w:iCs w:val="1"/>
          <w:color w:val="auto"/>
        </w:rPr>
        <w:t>(Section 1.01)</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 xml:space="preserve">“Original Issue Discount Security” is defined in the Indenture to mean any debt security which provides for an amount less than the principal amount thereof to be due and payable upon a declaration of acceleration of the maturity of such debt security. </w:t>
      </w:r>
      <w:r>
        <w:rPr>
          <w:rFonts w:ascii="Arial" w:cs="Arial" w:eastAsia="Arial" w:hAnsi="Arial"/>
          <w:sz w:val="18"/>
          <w:szCs w:val="18"/>
          <w:i w:val="1"/>
          <w:iCs w:val="1"/>
          <w:color w:val="auto"/>
        </w:rPr>
        <w:t>(Section 1.01)</w:t>
      </w:r>
    </w:p>
    <w:p>
      <w:pPr>
        <w:sectPr>
          <w:pgSz w:w="11900" w:h="16838" w:orient="portrait"/>
          <w:cols w:equalWidth="0" w:num="1">
            <w:col w:w="11420"/>
          </w:cols>
          <w:pgMar w:left="240" w:top="125"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“Outstanding,” with respect to debt securities, is generally defined in the Indenture to mean, as of the date of determination, all debt securities authenticated and delivered under the Indenture, except:</w:t>
      </w:r>
    </w:p>
    <w:p>
      <w:pPr>
        <w:spacing w:after="0" w:line="62" w:lineRule="exact"/>
        <w:rPr>
          <w:sz w:val="20"/>
          <w:szCs w:val="20"/>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previously cancelled by the Trustee or delivered to the Trustee for cancellation;</w:t>
      </w:r>
    </w:p>
    <w:p>
      <w:pPr>
        <w:spacing w:after="0" w:line="117" w:lineRule="exact"/>
        <w:rPr>
          <w:rFonts w:ascii="Arial" w:cs="Arial" w:eastAsia="Arial" w:hAnsi="Arial"/>
          <w:sz w:val="18"/>
          <w:szCs w:val="18"/>
          <w:color w:val="auto"/>
        </w:rPr>
      </w:pPr>
    </w:p>
    <w:p>
      <w:pPr>
        <w:ind w:left="540" w:right="46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for which adequate funds for the payment or redemption of such securities have previously been deposited with the Trustee or any Paying Agent (other than the Company) in trust or set aside for the holders of such debt securities;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debt securities which have been defeased; and</w:t>
      </w:r>
    </w:p>
    <w:p>
      <w:pPr>
        <w:spacing w:after="0" w:line="117" w:lineRule="exact"/>
        <w:rPr>
          <w:rFonts w:ascii="Arial" w:cs="Arial" w:eastAsia="Arial" w:hAnsi="Arial"/>
          <w:sz w:val="18"/>
          <w:szCs w:val="18"/>
          <w:color w:val="auto"/>
        </w:rPr>
      </w:pPr>
    </w:p>
    <w:p>
      <w:pPr>
        <w:ind w:left="540" w:right="160" w:hanging="17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debt securities which have been paid pursuant to destruction, loss or theft as provided for in the Indenture or in exchange for or in lieu of which other debt securities have been authenticated and delivered pursuant to the Indenture, other than any such debt securities held by a bona fide purchaser. </w:t>
      </w:r>
      <w:r>
        <w:rPr>
          <w:rFonts w:ascii="Arial" w:cs="Arial" w:eastAsia="Arial" w:hAnsi="Arial"/>
          <w:sz w:val="18"/>
          <w:szCs w:val="18"/>
          <w:i w:val="1"/>
          <w:iCs w:val="1"/>
          <w:color w:val="auto"/>
        </w:rPr>
        <w:t>(Section 1.01)</w:t>
      </w:r>
    </w:p>
    <w:p>
      <w:pPr>
        <w:spacing w:after="0" w:line="73"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 xml:space="preserve">“Principal Property” is defined in the Indenture to mean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the Consolidated Net Tangible Assets of the Company as most recently determined on or prior to such date. </w:t>
      </w:r>
      <w:r>
        <w:rPr>
          <w:rFonts w:ascii="Arial" w:cs="Arial" w:eastAsia="Arial" w:hAnsi="Arial"/>
          <w:sz w:val="16"/>
          <w:szCs w:val="16"/>
          <w:i w:val="1"/>
          <w:iCs w:val="1"/>
          <w:color w:val="auto"/>
        </w:rPr>
        <w:t>(Section 1.01)</w:t>
      </w:r>
    </w:p>
    <w:p>
      <w:pPr>
        <w:spacing w:after="0" w:line="57"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 xml:space="preserve">“Redemption Price” is defined in the Indenture to mean, when used with respect to any debt security to be redeemed, the price at which it is to be redeemed pursuant to the Indenture. </w:t>
      </w:r>
      <w:r>
        <w:rPr>
          <w:rFonts w:ascii="Arial" w:cs="Arial" w:eastAsia="Arial" w:hAnsi="Arial"/>
          <w:sz w:val="18"/>
          <w:szCs w:val="18"/>
          <w:i w:val="1"/>
          <w:iCs w:val="1"/>
          <w:color w:val="auto"/>
        </w:rPr>
        <w:t>(Section 1.01)</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 xml:space="preserve">“Restricted Subsidiary” is defined in the Indenture to mean any Subsidiary which owns any Principal Property which has a market value on the date as of which the determination is being made in excess of 2.0% of Consolidated Net Tangible Assets of the Company as most recently determined on or prior to such date. </w:t>
      </w:r>
      <w:r>
        <w:rPr>
          <w:rFonts w:ascii="Arial" w:cs="Arial" w:eastAsia="Arial" w:hAnsi="Arial"/>
          <w:sz w:val="18"/>
          <w:szCs w:val="18"/>
          <w:i w:val="1"/>
          <w:iCs w:val="1"/>
          <w:color w:val="auto"/>
        </w:rPr>
        <w:t>(Section 1.01)</w:t>
      </w:r>
    </w:p>
    <w:p>
      <w:pPr>
        <w:spacing w:after="0" w:line="73"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 xml:space="preserve">“Sale and Lease-Back Transaction” is defined in the Indenture to mean any arrangement with any person providing for the leasing by the Company or any Restricted Subsidiary of any Principal Property which property has been or is to be sold or transferred by the Company or such Restricted Subsidiary to any person. </w:t>
      </w:r>
      <w:r>
        <w:rPr>
          <w:rFonts w:ascii="Arial" w:cs="Arial" w:eastAsia="Arial" w:hAnsi="Arial"/>
          <w:sz w:val="18"/>
          <w:szCs w:val="18"/>
          <w:i w:val="1"/>
          <w:iCs w:val="1"/>
          <w:color w:val="auto"/>
        </w:rPr>
        <w:t>(Section 1.01)</w:t>
      </w:r>
    </w:p>
    <w:p>
      <w:pPr>
        <w:spacing w:after="0" w:line="73"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 xml:space="preserve">“Subsidiary” is defined in the Indenture to mean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w:t>
      </w:r>
      <w:r>
        <w:rPr>
          <w:rFonts w:ascii="Arial" w:cs="Arial" w:eastAsia="Arial" w:hAnsi="Arial"/>
          <w:sz w:val="18"/>
          <w:szCs w:val="18"/>
          <w:i w:val="1"/>
          <w:iCs w:val="1"/>
          <w:color w:val="auto"/>
        </w:rPr>
        <w:t>(Section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The Indenture provides that the Company may not consolidate with or merge into any other person, or convey, transfer or lease its properties and assets substantially as an entirety to any other person, and that the Company will not permit any person to consolidate with or merge into the Company or convey, transfer or lease its properties and assets substantially as an entirety to the Company, unless, among other things, (i) the person formed by such consolidation or into which the Company is merged or the person which acquires by conveyance or transfer, or which leases, the properties and assets of the Company substantially as an entirety, is a corporation, partnership or trust organized and existing under the laws of the United States, any State thereof or the District of Columbia and expressly assumes the Company’s obligations on the debt securities and under the Indenture by means of an indenture supplemental to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 xml:space="preserve">Indenture; and (ii) 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has occurred and is continuing. </w:t>
      </w:r>
      <w:r>
        <w:rPr>
          <w:rFonts w:ascii="Arial" w:cs="Arial" w:eastAsia="Arial" w:hAnsi="Arial"/>
          <w:sz w:val="17"/>
          <w:szCs w:val="17"/>
          <w:i w:val="1"/>
          <w:iCs w:val="1"/>
          <w:color w:val="auto"/>
        </w:rPr>
        <w:t>(Section 8.01)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Waiver and Notice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respect to the debt securities of any series, an “event of default” is defined in the Indenture as being any one of the following events:</w:t>
      </w:r>
    </w:p>
    <w:p>
      <w:pPr>
        <w:spacing w:after="0" w:line="117" w:lineRule="exact"/>
        <w:rPr>
          <w:sz w:val="20"/>
          <w:szCs w:val="20"/>
          <w:color w:val="auto"/>
        </w:rPr>
      </w:pPr>
    </w:p>
    <w:p>
      <w:pPr>
        <w:ind w:left="540" w:right="240" w:hanging="17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securities of that series when it becomes due and payable, and continuance of such default for a period of 30 days;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payment of the principal of or premium, if any, on any debt security of that series at its maturity;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debt securities of that series;</w:t>
      </w:r>
    </w:p>
    <w:p>
      <w:pPr>
        <w:spacing w:after="0" w:line="117" w:lineRule="exact"/>
        <w:rPr>
          <w:rFonts w:ascii="Arial" w:cs="Arial" w:eastAsia="Arial" w:hAnsi="Arial"/>
          <w:sz w:val="18"/>
          <w:szCs w:val="18"/>
          <w:color w:val="auto"/>
        </w:rPr>
      </w:pPr>
    </w:p>
    <w:p>
      <w:pPr>
        <w:ind w:left="540" w:right="140" w:hanging="172"/>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 by the Company in the performance of any other of the covenants or warranties in the Indenture for the benefit of such series applicable to the Company which has not been remedied for a period of 30 days after a notice of default has been given under the Indenture by the Trustee or by holders of at least 10% in principal amount of the Outstanding debt securities of that series;</w:t>
      </w:r>
    </w:p>
    <w:p>
      <w:pPr>
        <w:spacing w:after="0" w:line="73" w:lineRule="exact"/>
        <w:rPr>
          <w:rFonts w:ascii="Arial" w:cs="Arial" w:eastAsia="Arial" w:hAnsi="Arial"/>
          <w:sz w:val="18"/>
          <w:szCs w:val="18"/>
          <w:color w:val="auto"/>
        </w:rPr>
      </w:pPr>
    </w:p>
    <w:p>
      <w:pPr>
        <w:ind w:left="540" w:right="20" w:hanging="172"/>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to pay when due any existing or future indebtedness for money borrowed (including indebtedness evidenced by debt securities of any series other than that series) with a principal amount then outstanding in excess of $10,000,000 under any mortgage, indenture or other instrument under which any such Debt is issued or secured or evidenced (including the Indenture), or any other default under any such mortgage, indenture or other instrument which results in the acceleration of maturity of such indebtedness, unless such indebtedness or acceleration has been discharged or annulled within 10 days after a notice of default has been given under the Indenture by the Trustee or by holders of at least 25% in principal amount of the Outstanding debt securities of that series;</w:t>
      </w:r>
    </w:p>
    <w:p>
      <w:pPr>
        <w:spacing w:after="0" w:line="85"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Company or any Significant Subsidiary;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other event of default provided with respect to the debt securities of that series. </w:t>
      </w:r>
      <w:r>
        <w:rPr>
          <w:rFonts w:ascii="Arial" w:cs="Arial" w:eastAsia="Arial" w:hAnsi="Arial"/>
          <w:sz w:val="18"/>
          <w:szCs w:val="18"/>
          <w:i w:val="1"/>
          <w:iCs w:val="1"/>
          <w:color w:val="auto"/>
        </w:rPr>
        <w:t>(Section 5.01)</w:t>
      </w:r>
    </w:p>
    <w:p>
      <w:pPr>
        <w:sectPr>
          <w:pgSz w:w="11900" w:h="16838" w:orient="portrait"/>
          <w:cols w:equalWidth="0" w:num="1">
            <w:col w:w="11420"/>
          </w:cols>
          <w:pgMar w:left="240" w:top="125" w:right="239" w:bottom="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t xml:space="preserve">Within 90 days after the occurrence of any event of default under the Indenture with respect to debt securities of any series, the Trustee is required to notify the holders of debt securities of any default unless, in the case of any default other than a default in the payment of principal of or premium, if any, or interest on any debt securities, a trust committee of the board of directors or responsible officers of the Trustee in good faith considers it in the interest of the holders of debt securities not to do so. </w:t>
      </w:r>
      <w:r>
        <w:rPr>
          <w:rFonts w:ascii="Arial" w:cs="Arial" w:eastAsia="Arial" w:hAnsi="Arial"/>
          <w:sz w:val="18"/>
          <w:szCs w:val="18"/>
          <w:i w:val="1"/>
          <w:iCs w:val="1"/>
          <w:color w:val="auto"/>
        </w:rPr>
        <w:t>(Section 6.02)</w:t>
      </w:r>
    </w:p>
    <w:p>
      <w:pPr>
        <w:spacing w:after="0" w:line="79"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Indenture provides that if an event of default, other than an event of default as described in the sixth bullet point in the above paragraph, with respect to debt securities of any series at the time Outstanding has occurred and is continuing, then either the Trustee or the holders of at least 25% in aggregate principal amount of the debt securities of that series then Outstanding may declare the entire principal and accrued interest of all debt securities of such series (or, if any of the debt securities of that series are Original Issue Discount Securities, such portion of the principal amount of such debt securities as may be specified by the terms thereof) to be due and payable immediately. If an event of default described in the sixth bullet point in the above paragraph with respect to any series of debt securities at the time Outstanding occurs, the principal amount of all the debt securities of that series (or, if any of the debt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securities of that series are Original Issue Discount Securities, such portion of the principal amount of such debt securities as may be specified by the terms thereof) will automatically, and without any declaration or other action on the part of the Trustee or any holder, become immediately due and payable. Any time after such a declaration of acceleration with respect to the debt securities of any series has been made, but before a judgment or decree for the payment of money based on such acceleration has been obtained by the Trustee, the holders of a majority in principal amount of the Outstanding debt securities of that series, may, under certain circumstances, rescind and annul such acceleration. The holders of not less than a majority in aggregate principal amount of the Outstanding debt securities of any series may on behalf of the holders of all the debt securities of such series waive any past defaults under the Indenture with respect to such series and its consequences, except that defaults in payment of principal of or premium, if any (other than by a declaration of acceleration), or interest on the debt securities or provisions of such series may not be modified or amended without the consent of the holders of all Outstanding debt securities of such series affected. </w:t>
      </w:r>
      <w:r>
        <w:rPr>
          <w:rFonts w:ascii="Arial" w:cs="Arial" w:eastAsia="Arial" w:hAnsi="Arial"/>
          <w:sz w:val="17"/>
          <w:szCs w:val="17"/>
          <w:i w:val="1"/>
          <w:iCs w:val="1"/>
          <w:color w:val="auto"/>
        </w:rPr>
        <w:t>(Sections 5.02 and 5.13)</w:t>
      </w:r>
    </w:p>
    <w:p>
      <w:pPr>
        <w:spacing w:after="0" w:line="74"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 xml:space="preserve">The Company will be required to furnish to the Trustee annually a statement as to whether the Company is in default in the performance and observance of any of the terms, provisions and conditions of the Indenture and, if the Company is in default, specifying all such defaults and the nature and status of such defaults. </w:t>
      </w:r>
      <w:r>
        <w:rPr>
          <w:rFonts w:ascii="Arial" w:cs="Arial" w:eastAsia="Arial" w:hAnsi="Arial"/>
          <w:sz w:val="18"/>
          <w:szCs w:val="18"/>
          <w:i w:val="1"/>
          <w:iCs w:val="1"/>
          <w:color w:val="auto"/>
        </w:rPr>
        <w:t>(Section 10.04)</w:t>
      </w:r>
    </w:p>
    <w:p>
      <w:pPr>
        <w:spacing w:after="0" w:line="73"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 xml:space="preserve">Subject to certain conditions set forth in the Indenture, the holders of a majority in principal amount of the then Outstanding debt securities of any series have the right to direct the time, method and place of conducting any proceeding for any remedy available to the Trustee under the Indenture in respect of such series. No holder of any debt securities has any right to cause the Trustee to institute any proceedings, judicial or otherwise, with respect to the Indenture, or for the appointment of a receiver or trustee, or for any remedy thereunder unless, among other things, the holder or holders of debt securities has offered to the Trustee reasonable indemnity against costs, expenses and liabilities relating to such proceedings. </w:t>
      </w:r>
      <w:r>
        <w:rPr>
          <w:rFonts w:ascii="Arial" w:cs="Arial" w:eastAsia="Arial" w:hAnsi="Arial"/>
          <w:sz w:val="16"/>
          <w:szCs w:val="16"/>
          <w:i w:val="1"/>
          <w:iCs w:val="1"/>
          <w:color w:val="auto"/>
        </w:rPr>
        <w:t>(Sections 5.12 and 5.07)</w:t>
      </w:r>
    </w:p>
    <w:p>
      <w:pPr>
        <w:spacing w:after="0" w:line="50" w:lineRule="exact"/>
        <w:rPr>
          <w:sz w:val="20"/>
          <w:szCs w:val="20"/>
          <w:color w:val="auto"/>
        </w:rPr>
      </w:pPr>
    </w:p>
    <w:p>
      <w:pPr>
        <w:ind w:firstLine="360"/>
        <w:spacing w:after="0" w:line="283" w:lineRule="auto"/>
        <w:rPr>
          <w:sz w:val="20"/>
          <w:szCs w:val="20"/>
          <w:color w:val="auto"/>
        </w:rPr>
      </w:pPr>
      <w:r>
        <w:rPr>
          <w:rFonts w:ascii="Arial" w:cs="Arial" w:eastAsia="Arial" w:hAnsi="Arial"/>
          <w:sz w:val="16"/>
          <w:szCs w:val="16"/>
          <w:color w:val="auto"/>
        </w:rPr>
        <w:t>The Indenture provides that, in determining whether the holders of the requisite aggregate principal amount of the Outstanding debt securities have given, made or taken any request, demand, authorization, direction, notice, consent, waiver or other action thereunder as of any date, (a) the principal amount of an Original Issue Discount Security that will be deemed to be Outstanding will be the amount of the principal thereof which would be due and payable as of such date upon acceleration of the maturity thereof to such date, (b) if, as of such date, the principal amount payable at the stated maturity of a debt security is not determinable, the principal amount of such debt security which will be deemed to be Outstanding will be the amount as established in or pursuant to a board resolution and set forth, or determined in the manner provided, in an officers’ certificate, or established in one or more supplemental indentures, prior to the issuance of such debt securities, (c) the principal amount of a debt security denominated in one or more foreign currencies or currency units which will be deemed to be Outstanding will be the U.S. dollar equivalent, determined as of such date in the manner as described in clause (b) above, of the principal amount of such debt security (or, in the case of a debt security described in clause (a) or (b) above, of the amount determined as provided in such clause), and</w:t>
      </w:r>
    </w:p>
    <w:p>
      <w:pPr>
        <w:spacing w:after="0" w:line="7" w:lineRule="exact"/>
        <w:rPr>
          <w:sz w:val="20"/>
          <w:szCs w:val="20"/>
          <w:color w:val="auto"/>
        </w:rPr>
      </w:pPr>
    </w:p>
    <w:p>
      <w:pPr>
        <w:ind w:right="140" w:firstLine="8"/>
        <w:spacing w:after="0" w:line="270"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debt securities owned by the Company or any other obligor upon the debt securities or any affiliate of the Company or of such other obligor will be disregarded and deemed not to be Outstanding, except that, in determining whether the Trustee is protected in relying upon any such request, demand, authorization, direction, notice, consent, waiver or other action, only debt securities which the Trustee actually knows to be so owned will be so disregarded. Debt securities so owned which have been pledged in good faith may be regarded as Outstanding if the pledgee establishes to the satisfaction of the Trustee the pledgee’s right so to act with respect to such debt securities and that the pledgee is not the Company or any other obligor upon the debt securities or any affiliate of the Company or of such other obligor. </w:t>
      </w:r>
      <w:r>
        <w:rPr>
          <w:rFonts w:ascii="Arial" w:cs="Arial" w:eastAsia="Arial" w:hAnsi="Arial"/>
          <w:sz w:val="17"/>
          <w:szCs w:val="17"/>
          <w:i w:val="1"/>
          <w:iCs w:val="1"/>
          <w:color w:val="auto"/>
        </w:rPr>
        <w:t>(Section 1.01)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 xml:space="preserve">Debt securities that are redeemable pursuant to the terms of any series are redeemable in whole or in part at the election of the Company upon at least 60 days notice to the Trustee of the principal amount of debt securities to be redeemed, the date of redemption, and other pertinent details of the debt securities to be redeemed. If less than all the debt securities of any series are to be redeemed, the particular securities to be redeemed will be selected by the Trustee not more than 60 days prior to the redemption date from the Outstanding Securities of such series not previously called for redemption, by such method as the Trustee deems fair and appropriate. Notice of redemption will also be given to each holder of debt securities to be redeemed not less than 30 nor more than 60 days prior to the redemption date to each holder of debt securities to be redeemed, at the holder’s address appearing in the security registrar. Such notice to holders will state the redemption date, the redemption price, the amount of debt securities of any series that is to be redeemed, that on the Redemption Date the Redemption Price will become due and payable upon each debt security to be redeemed and, if applicable, that interest thereon will cease to accrue on and after that date, the place where the debt securities may be surrendered for payment and whether the redemption is for a sinking fund. Such notice is irrevocable. Prior to any redemption date, the Company will deposit with the Trustee or with a paying agent an amount of money sufficient to pay the redemption price and any accrued interest on all the debt securities which are to be redeemed on that date. </w:t>
      </w:r>
      <w:r>
        <w:rPr>
          <w:rFonts w:ascii="Arial" w:cs="Arial" w:eastAsia="Arial" w:hAnsi="Arial"/>
          <w:sz w:val="16"/>
          <w:szCs w:val="16"/>
          <w:i w:val="1"/>
          <w:iCs w:val="1"/>
          <w:color w:val="auto"/>
        </w:rPr>
        <w:t>(Sections 11.01, 11.02, 11.03 and 11.04)</w:t>
      </w:r>
    </w:p>
    <w:p>
      <w:pPr>
        <w:spacing w:after="0" w:line="6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 xml:space="preserve">With respect to any debt securities subject to repayment at the option of the holder, the paying agent must receive at least 30 days but not more than 60 days prior notice containing wire instructions for payment as well as information, guaranteed by an eligible financial institution, pertaining to the principal amount of such debt security, the portion to be repaid, and the certificate number or a description of the terms and tenor of such security. Unless otherwise provided with respect to a particular series, exercise of a repayment option by a holder will be irrevocable. </w:t>
      </w:r>
      <w:r>
        <w:rPr>
          <w:rFonts w:ascii="Arial" w:cs="Arial" w:eastAsia="Arial" w:hAnsi="Arial"/>
          <w:sz w:val="17"/>
          <w:szCs w:val="17"/>
          <w:i w:val="1"/>
          <w:iCs w:val="1"/>
          <w:color w:val="auto"/>
        </w:rPr>
        <w:t>(Section 11.08)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ectPr>
          <w:pgSz w:w="11900" w:h="16838" w:orient="portrait"/>
          <w:cols w:equalWidth="0" w:num="1">
            <w:col w:w="11420"/>
          </w:cols>
          <w:pgMar w:left="240" w:top="125" w:right="239" w:bottom="0" w:gutter="0" w:footer="0" w:header="0"/>
        </w:sectPr>
      </w:pPr>
    </w:p>
    <w:bookmarkStart w:id="9" w:name="page10"/>
    <w:bookmarkEnd w:id="9"/>
    <w:p>
      <w:pPr>
        <w:ind w:right="340" w:firstLine="360"/>
        <w:spacing w:after="0" w:line="277" w:lineRule="auto"/>
        <w:rPr>
          <w:sz w:val="20"/>
          <w:szCs w:val="20"/>
          <w:color w:val="auto"/>
        </w:rPr>
      </w:pPr>
      <w:r>
        <w:rPr>
          <w:rFonts w:ascii="Arial" w:cs="Arial" w:eastAsia="Arial" w:hAnsi="Arial"/>
          <w:sz w:val="18"/>
          <w:szCs w:val="18"/>
          <w:color w:val="auto"/>
        </w:rPr>
        <w:t>The Indenture provides that the Company, when authorized by a board resolution, and the Trustee may, without the consent of the holders, modify or amend the Indenture in order to:</w:t>
      </w:r>
    </w:p>
    <w:p>
      <w:pPr>
        <w:spacing w:after="0" w:line="62" w:lineRule="exact"/>
        <w:rPr>
          <w:sz w:val="20"/>
          <w:szCs w:val="20"/>
          <w:color w:val="auto"/>
        </w:rPr>
      </w:pPr>
    </w:p>
    <w:p>
      <w:pPr>
        <w:ind w:left="540" w:hanging="17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evidence the succession of another person to the Company and the assumption by any such successor of the covenants of the Company in the Indenture and in the debt securities;</w:t>
      </w:r>
    </w:p>
    <w:p>
      <w:pPr>
        <w:spacing w:after="0" w:line="62" w:lineRule="exact"/>
        <w:rPr>
          <w:rFonts w:ascii="Arial" w:cs="Arial" w:eastAsia="Arial" w:hAnsi="Arial"/>
          <w:sz w:val="18"/>
          <w:szCs w:val="18"/>
          <w:color w:val="auto"/>
        </w:rPr>
      </w:pPr>
    </w:p>
    <w:p>
      <w:pPr>
        <w:ind w:left="540" w:right="100" w:hanging="17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to the covenants of the Company for the benefit of the holders of all or any series of debt securities (and if such covenants are to be for the benefit of less than all series of debt securities, stating that such covenants are expressly being included solely for the benefit of such series), or to surrender any right or power conferred upon the Company by the Indenture, as supplemented from time to time;</w:t>
      </w:r>
    </w:p>
    <w:p>
      <w:pPr>
        <w:spacing w:after="0" w:line="73"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any events of default for the benefit of the holders of all or any series of debt securities (and if such additional events of default are to be for the benefit of less than all series of debt securities, stating that such additional events of default are expressly being included solely for the benefit of such series);</w:t>
      </w:r>
    </w:p>
    <w:p>
      <w:pPr>
        <w:spacing w:after="0" w:line="73" w:lineRule="exact"/>
        <w:rPr>
          <w:rFonts w:ascii="Arial" w:cs="Arial" w:eastAsia="Arial" w:hAnsi="Arial"/>
          <w:sz w:val="18"/>
          <w:szCs w:val="18"/>
          <w:color w:val="auto"/>
        </w:rPr>
      </w:pPr>
    </w:p>
    <w:p>
      <w:pPr>
        <w:ind w:left="540" w:right="140" w:hanging="17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add to or change any of the provisions of the Indenture as necessary to permit or facilitate the issuance of debt securities in bearer form, registrable or not registrable as to principal, and with or without interest coupons, or to permit the issuance of debt securities in uncertificated form;</w:t>
      </w:r>
    </w:p>
    <w:p>
      <w:pPr>
        <w:spacing w:after="0" w:line="15" w:lineRule="exact"/>
        <w:rPr>
          <w:rFonts w:ascii="Arial" w:cs="Arial" w:eastAsia="Arial" w:hAnsi="Arial"/>
          <w:sz w:val="16"/>
          <w:szCs w:val="16"/>
          <w:color w:val="auto"/>
        </w:rPr>
      </w:pPr>
    </w:p>
    <w:p>
      <w:pPr>
        <w:ind w:left="540" w:right="60" w:hanging="17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respect of one or more series of debt securities, provided that any such addition, change or elimination may not apply to any debt security of any series created prior to such addition, change or elimination or modify the rights of the holder of any such debt security;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secure the debt securities if and as required under the Indenture;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the form or terms of debt securities of any series as permitted under the Indenture;</w:t>
      </w:r>
    </w:p>
    <w:p>
      <w:pPr>
        <w:spacing w:after="0" w:line="117" w:lineRule="exact"/>
        <w:rPr>
          <w:rFonts w:ascii="Arial" w:cs="Arial" w:eastAsia="Arial" w:hAnsi="Arial"/>
          <w:sz w:val="18"/>
          <w:szCs w:val="18"/>
          <w:color w:val="auto"/>
        </w:rPr>
      </w:pPr>
    </w:p>
    <w:p>
      <w:pPr>
        <w:ind w:left="540" w:right="80" w:hanging="17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Indenture of a successor Trustee with respect to the debt securities of one or more series and to add to or change any of the provisions of the Indenture as necessary to provide for or facilitate the administration of the trusts thereunder by more than one Trustee, pursuant to the requirements of the Indenture; or</w:t>
      </w:r>
    </w:p>
    <w:p>
      <w:pPr>
        <w:spacing w:after="0" w:line="73" w:lineRule="exact"/>
        <w:rPr>
          <w:rFonts w:ascii="Arial" w:cs="Arial" w:eastAsia="Arial" w:hAnsi="Arial"/>
          <w:sz w:val="18"/>
          <w:szCs w:val="18"/>
          <w:color w:val="auto"/>
        </w:rPr>
      </w:pPr>
    </w:p>
    <w:p>
      <w:pPr>
        <w:ind w:left="540" w:right="260" w:hanging="17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cure any ambiguity, or correct or supplement any provision of the Indenture which may be inconsistent with any other provision of the Indenture, or add any other provisions with respect to matters or questions arising under the Indenture, provided that such action does not adversely affect the interest of the holders of debt securities of any series. </w:t>
      </w:r>
      <w:r>
        <w:rPr>
          <w:rFonts w:ascii="Arial" w:cs="Arial" w:eastAsia="Arial" w:hAnsi="Arial"/>
          <w:sz w:val="18"/>
          <w:szCs w:val="18"/>
          <w:i w:val="1"/>
          <w:iCs w:val="1"/>
          <w:color w:val="auto"/>
        </w:rPr>
        <w:t>(Section 9.01)</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With respect to the debt securities of any series, modification or amendment of the Indenture may be made by the Company, when authorized by a board resolution, and the Trustee with the consent of the holders of a majority in aggregate principal amount of the debt securities of such series, except that no such modification or amendment may, without the consent of the holders of all then Outstanding debt securities of such series:</w:t>
      </w:r>
    </w:p>
    <w:p>
      <w:pPr>
        <w:spacing w:after="0" w:line="57"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the maturity date of the principal of, or any installment of principal of or interest on, any debt securities of such series;</w:t>
      </w:r>
    </w:p>
    <w:p>
      <w:pPr>
        <w:spacing w:after="0" w:line="117" w:lineRule="exact"/>
        <w:rPr>
          <w:rFonts w:ascii="Arial" w:cs="Arial" w:eastAsia="Arial" w:hAnsi="Arial"/>
          <w:sz w:val="18"/>
          <w:szCs w:val="18"/>
          <w:color w:val="auto"/>
        </w:rPr>
      </w:pPr>
    </w:p>
    <w:p>
      <w:pPr>
        <w:ind w:left="540" w:right="38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amount of, or any installment of principal or interest or rate of interest on, or any premium payable on redemption of any debt securities of such series;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principal amount of any debt securities of such series payable upon acceleration of the maturity thereof;</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the place or the currency of payment of principal of, or any premium or interest on, any debt securities of such series;</w:t>
      </w:r>
    </w:p>
    <w:p>
      <w:pPr>
        <w:spacing w:after="0" w:line="117"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debt securities of such series on or after the due date thereof (or, in the case of redemption, on or after the redemption date thereof);</w:t>
      </w:r>
    </w:p>
    <w:p>
      <w:pPr>
        <w:spacing w:after="0" w:line="62" w:lineRule="exact"/>
        <w:rPr>
          <w:rFonts w:ascii="Arial" w:cs="Arial" w:eastAsia="Arial" w:hAnsi="Arial"/>
          <w:sz w:val="18"/>
          <w:szCs w:val="18"/>
          <w:color w:val="auto"/>
        </w:rPr>
      </w:pPr>
    </w:p>
    <w:p>
      <w:pPr>
        <w:ind w:left="540" w:right="100" w:hanging="172"/>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percentage in principal amount of debt securities of such series then Outstanding, the consent of whose holders is required for modification or amendment of the Indenture or for waiver of certain defaults provided for in the Indenture or for waiver of compliance with certain provisions of the Indenture; or</w:t>
      </w:r>
    </w:p>
    <w:p>
      <w:pPr>
        <w:spacing w:after="0" w:line="73"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modify certain provisions of the Indenture regarding the amendment or modification of, or waiver of past defaults with respect to, or waiver of certain covenants with respect to, the Indenture or the debt securities. </w:t>
      </w:r>
      <w:r>
        <w:rPr>
          <w:rFonts w:ascii="Arial" w:cs="Arial" w:eastAsia="Arial" w:hAnsi="Arial"/>
          <w:sz w:val="18"/>
          <w:szCs w:val="18"/>
          <w:i w:val="1"/>
          <w:iCs w:val="1"/>
          <w:color w:val="auto"/>
        </w:rPr>
        <w:t>(Section 9.02)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of the Indenture</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Indenture, with respect to the debt securities of any series (if all series issued under the Indenture are not to be affected), will upon the written request or order of the Company cease to be of further effect (except as to any surviving rights of registration of transfer or exchange of debt securities therein expressly provided for), when:</w:t>
      </w:r>
    </w:p>
    <w:p>
      <w:pPr>
        <w:spacing w:after="0" w:line="73" w:lineRule="exact"/>
        <w:rPr>
          <w:sz w:val="20"/>
          <w:szCs w:val="20"/>
          <w:color w:val="auto"/>
        </w:rPr>
      </w:pPr>
    </w:p>
    <w:p>
      <w:pPr>
        <w:jc w:val="both"/>
        <w:ind w:left="540" w:right="80" w:hanging="172"/>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either (A) all debt securities theretofore authenticated and delivered (other than (1) debt securities which have been destroyed, lost or stolen and which have been replaced or paid and (2) debt securities for whose payment money has theretofore been deposited in trust or segregated and held in trust by the Company and thereafter repaid to the Company or discharged from such trust) have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been delivered to the Trustee for cancellation or (B) all such debt securities not theretofore delivered to the Trustee for cancellation (1) have become due and payable, (2) will become due and payable at their stated maturity within one year or (3) are to be called for redemption within one year, and the Company in the case of (1), (2) or (3) above, has deposited or caused to be deposited with the Trustee an amount in United States dollars sufficient to pay and discharge the entire Debt on such debt securities not theretofore delivered to the Trustee for cancellation, for principal (and premium, if any) and interest to the date of such deposit (in the case of debt securities which have become due and payable) or to the stated maturity or any redemption date, as the case may be;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the Company has paid or caused to be paid all other sums payable under the Indenture by the Company; and</w:t>
      </w:r>
    </w:p>
    <w:p>
      <w:pPr>
        <w:sectPr>
          <w:pgSz w:w="11900" w:h="16838" w:orient="portrait"/>
          <w:cols w:equalWidth="0" w:num="1">
            <w:col w:w="11420"/>
          </w:cols>
          <w:pgMar w:left="240" w:top="125" w:right="239" w:bottom="0" w:gutter="0" w:footer="0" w:header="0"/>
        </w:sectPr>
      </w:pPr>
    </w:p>
    <w:bookmarkStart w:id="10" w:name="page11"/>
    <w:bookmarkEnd w:id="10"/>
    <w:p>
      <w:pPr>
        <w:ind w:left="540" w:right="240" w:hanging="17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Company has delivered to the Trustee an officers’ certificate and an opinion of counsel, each stating that all conditions precedent provided for in the Indenture relating to the satisfaction and discharge of the Indenture have been complied with. </w:t>
      </w:r>
      <w:r>
        <w:rPr>
          <w:rFonts w:ascii="Arial" w:cs="Arial" w:eastAsia="Arial" w:hAnsi="Arial"/>
          <w:sz w:val="18"/>
          <w:szCs w:val="18"/>
          <w:i w:val="1"/>
          <w:iCs w:val="1"/>
          <w:color w:val="auto"/>
        </w:rPr>
        <w:t>(Section 4.01)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 xml:space="preserve">Unless otherwise specified in the applicable prospectus supplement, the following provisions relating to defeasance and discharge of Debt, or relating to defeasance of certain covenants in the Indenture, will apply to the debt securities of any series, or to any specified part of a series. </w:t>
      </w:r>
      <w:r>
        <w:rPr>
          <w:rFonts w:ascii="Arial" w:cs="Arial" w:eastAsia="Arial" w:hAnsi="Arial"/>
          <w:sz w:val="16"/>
          <w:szCs w:val="16"/>
          <w:i w:val="1"/>
          <w:iCs w:val="1"/>
          <w:color w:val="auto"/>
        </w:rPr>
        <w:t>(Section 13.01)</w:t>
      </w:r>
    </w:p>
    <w:p>
      <w:pPr>
        <w:spacing w:after="0" w:line="16"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i w:val="1"/>
          <w:iCs w:val="1"/>
          <w:color w:val="auto"/>
        </w:rPr>
        <w:t xml:space="preserve">Defeasance and Discharge. </w:t>
      </w:r>
      <w:r>
        <w:rPr>
          <w:rFonts w:ascii="Arial" w:cs="Arial" w:eastAsia="Arial" w:hAnsi="Arial"/>
          <w:sz w:val="16"/>
          <w:szCs w:val="16"/>
          <w:color w:val="auto"/>
        </w:rPr>
        <w:t>The Indenture provides that the Company will be discharged from all its obligations with respect to such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(except for certain obligations to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a combination thereof, in each case sufficient, in the opinion of a nationally recognized firm of independent public accountants expressed in a written certificate delivered to the Trustee, to pay and discharge, and which will be applied by the Trustee to pay and discharge, the principal of and any premium and interest on such debt securities on the respective stated maturities, in accordance with the terms of the Indenture and such debt securities. Such defeasance or discharge may occur only if, among other things, the Company has delivered to the Trustee an opinion of counsel to the effect that the Company has received from, or there has been published by, the United States Internal Revenue Service a ruling, or since the date of the Indenture, there has been a change in the applicable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had not occurred. </w:t>
      </w:r>
      <w:r>
        <w:rPr>
          <w:rFonts w:ascii="Arial" w:cs="Arial" w:eastAsia="Arial" w:hAnsi="Arial"/>
          <w:sz w:val="16"/>
          <w:szCs w:val="16"/>
          <w:i w:val="1"/>
          <w:iCs w:val="1"/>
          <w:color w:val="auto"/>
        </w:rPr>
        <w:t>(Sections 13.02 and 13.04)</w:t>
      </w:r>
    </w:p>
    <w:p>
      <w:pPr>
        <w:spacing w:after="0" w:line="65"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i w:val="1"/>
          <w:iCs w:val="1"/>
          <w:color w:val="auto"/>
        </w:rPr>
        <w:t xml:space="preserve">Defeasance of Certain Covenants. </w:t>
      </w:r>
      <w:r>
        <w:rPr>
          <w:rFonts w:ascii="Arial" w:cs="Arial" w:eastAsia="Arial" w:hAnsi="Arial"/>
          <w:sz w:val="16"/>
          <w:szCs w:val="16"/>
          <w:color w:val="auto"/>
        </w:rPr>
        <w:t>The Indenture provides that the Company may omit to comply with certain restrictive covenants described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captions “Certain Covenants of the Company—Limitation on Debt Secured by a Mortgage” and “Certain Covenants of the Company—Limitation on Sale and Lease-Back Transactions” above and any that may be described in the applicable prospectus supplement, and that such omission will be deemed not to be or result in an event of default, in each case with respect to such debt securities. In order to do so, the Company will be required to deposit, in trust for the benefit of the holders of such debt securities, money or U.S. government obligations, or a combination thereof, in each case sufficient, in the opinion of a nationally recognized firm of independent public accountants expressed in a written certificate delivered to the Trustee, to pay and discharge, and which will be applied by the Trustee, to pay and discharge the principal of and any premium and interest on such debt securities on the respective stated maturities in accordance with the terms of the Indenture and such debt securities. The Company will also be required, among other things, to deliver to the Trustee an opinion of counsel to the effect that holders of such debt securities will not recognize gain or loss for federal income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tax purposes as a result of such deposit and defeasance of certain obligations and will be subject to federal income tax on the same amount, in the same manner and at the same times as would have been the case if such deposit and defeasance had not occurred. In the event the Company exercises this option with respect to any debt securities and such debt securities are declared due and payable because of the occurrence of any event of default, the amount of money and U.S. government obligations so deposited in trust will be sufficient to pay amounts due on such debt securities at the time of their respective stated maturities but may not be sufficient to pay amounts due on such debt securities upon any acceleration resulting from such event of default. In such case, the Company will remain liable for such payments. </w:t>
      </w:r>
      <w:r>
        <w:rPr>
          <w:rFonts w:ascii="Arial" w:cs="Arial" w:eastAsia="Arial" w:hAnsi="Arial"/>
          <w:sz w:val="17"/>
          <w:szCs w:val="17"/>
          <w:i w:val="1"/>
          <w:iCs w:val="1"/>
          <w:color w:val="auto"/>
        </w:rPr>
        <w:t>(Sections 13.03 and 13.04)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 xml:space="preserve">The Bank of New York Trust Company, N.A., will serve as the Trustee for the debt securities. The Bank of New York Trust Company, N.A., or its affiliates have provided and may in the future provide commercial banking, brokerage or other services to us and our affiliates in the ordinary course of business for which they have received and will receive customary compensation. The Trustee may serve as a trustee under other indentures entered into by the Company. Upon the occurrence of an event of default under the Indenture or an event which, after notice or lapse of time or both, would become such an event of default, or upon the occurrence of a default under any such other indenture, the Trustee may be deemed to have a conflicting interest with respect to the debt securities for purposes of the Trust Indenture Act and, unless the Trustee is able to eliminate any such conflicting interest, the Trustee may be required to resign as Trustee under the Indenture. In that event, the Company would be required to appoint a successor Trustee for the Indenture. </w:t>
      </w:r>
      <w:r>
        <w:rPr>
          <w:rFonts w:ascii="Arial" w:cs="Arial" w:eastAsia="Arial" w:hAnsi="Arial"/>
          <w:sz w:val="18"/>
          <w:szCs w:val="18"/>
          <w:i w:val="1"/>
          <w:iCs w:val="1"/>
          <w:color w:val="auto"/>
        </w:rPr>
        <w:t>(Sections</w:t>
      </w:r>
      <w:r>
        <w:rPr>
          <w:rFonts w:ascii="Arial" w:cs="Arial" w:eastAsia="Arial" w:hAnsi="Arial"/>
          <w:sz w:val="18"/>
          <w:szCs w:val="18"/>
          <w:color w:val="auto"/>
        </w:rPr>
        <w:t xml:space="preserve"> </w:t>
      </w:r>
      <w:r>
        <w:rPr>
          <w:rFonts w:ascii="Arial" w:cs="Arial" w:eastAsia="Arial" w:hAnsi="Arial"/>
          <w:sz w:val="18"/>
          <w:szCs w:val="18"/>
          <w:i w:val="1"/>
          <w:iCs w:val="1"/>
          <w:color w:val="auto"/>
        </w:rPr>
        <w:t>6.08 and 6.10)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The Indenture and the debt securities will be governed by, and construed in accordance with, the laws of the State of New York. </w:t>
      </w:r>
      <w:r>
        <w:rPr>
          <w:rFonts w:ascii="Arial" w:cs="Arial" w:eastAsia="Arial" w:hAnsi="Arial"/>
          <w:sz w:val="17"/>
          <w:szCs w:val="17"/>
          <w:i w:val="1"/>
          <w:iCs w:val="1"/>
          <w:color w:val="auto"/>
        </w:rPr>
        <w:t>(Section 1.12)</w:t>
      </w:r>
    </w:p>
    <w:p>
      <w:pPr>
        <w:spacing w:after="0" w:line="2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any of the debt securities offered hereby in one or more of the following ways from time to time:</w:t>
      </w:r>
    </w:p>
    <w:p>
      <w:pPr>
        <w:spacing w:after="0" w:line="117"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dealers,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by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underwriters are used in the sale of any of these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any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right="100" w:firstLine="360"/>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70" w:lineRule="exact"/>
        <w:rPr>
          <w:sz w:val="20"/>
          <w:szCs w:val="20"/>
          <w:color w:val="auto"/>
        </w:rPr>
      </w:pPr>
    </w:p>
    <w:p>
      <w:pPr>
        <w:jc w:val="both"/>
        <w:ind w:right="100" w:firstLine="360"/>
        <w:spacing w:after="0" w:line="257"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and the securities that we offer through this prospectus may or may not be listed on a securities exchange or quoted on any automated quotation system. Any underwriters to whom we sell these securities for public offering and sale may make a market in those securities, but they will not be obligated to and they may discontinue any market making at any time without notice. Accordingly, we cannot assure you of the liquidity of, or continued trading markets for, any securities that we offer.</w:t>
      </w:r>
    </w:p>
    <w:p>
      <w:pPr>
        <w:spacing w:after="0" w:line="80" w:lineRule="exact"/>
        <w:rPr>
          <w:sz w:val="20"/>
          <w:szCs w:val="20"/>
          <w:color w:val="auto"/>
        </w:rPr>
      </w:pPr>
    </w:p>
    <w:p>
      <w:pPr>
        <w:jc w:val="both"/>
        <w:ind w:right="100" w:firstLine="360"/>
        <w:spacing w:after="0" w:line="342" w:lineRule="auto"/>
        <w:rPr>
          <w:sz w:val="20"/>
          <w:szCs w:val="20"/>
          <w:color w:val="auto"/>
        </w:rPr>
      </w:pPr>
      <w:r>
        <w:rPr>
          <w:rFonts w:ascii="Arial" w:cs="Arial" w:eastAsia="Arial" w:hAnsi="Arial"/>
          <w:sz w:val="16"/>
          <w:szCs w:val="16"/>
          <w:color w:val="auto"/>
        </w:rPr>
        <w:t>If dealers are used in the sale of securities, we will sell the securities to them as principals. They may then resell those securities to the public at varying prices determined by the dealers at the time of resale. We will include in the prospectus supplement the names of the dealers and the terms of the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We may sell the securities directly, and not through underwriters or agents.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7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of 1933, with respect to any sale of those securities. We will describe the terms of any such sales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We may have agreements with the agents, dealers and underwriters to indemnify them and certain of their affiliates against certain civil liabilities, including liabilities under the Securities Act of 1933,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9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Unless otherwise specified in the prospectus supplement accompanying this prospectus, Oppenheimer Wolff &amp; Donnelly LLP will pass upon the validity of any debt securities issued under this prospectus. Any underwriters will be represented by their own legal counsel, which will be named in the prospectus supplement.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consolidated financial statements and schedule of the Company as of October 31, 2006 and 2005, and for each of the years in the three-year period ended October 31, 2006, and management’s assessment of the effectiveness of internal control over financial reporting as of October 31, 2006 have been incorporated by reference herein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The following is a statement of the estimated expenses (other than underwriting compensation) to be incurred by Toro in connection with a distribution of an assumed amount of $125,000,000 of securities registered under this registration statement. The assumed amount has been used to demonstrate the expenses of an offering and does not represent an estimate of the amount of securities that may be registered or distributed because such amount is unknown at this time.</w:t>
      </w:r>
    </w:p>
    <w:p>
      <w:pPr>
        <w:spacing w:after="0" w:line="201"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3,838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05"/>
        </w:trPr>
        <w:tc>
          <w:tcPr>
            <w:tcW w:w="45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Rating agency fees</w:t>
            </w:r>
          </w:p>
        </w:tc>
        <w:tc>
          <w:tcPr>
            <w:tcW w:w="3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121,000</w:t>
            </w:r>
          </w:p>
        </w:tc>
      </w:tr>
    </w:tbl>
    <w:p>
      <w:pPr>
        <w:sectPr>
          <w:pgSz w:w="11900" w:h="16900" w:orient="portrait"/>
          <w:cols w:equalWidth="0" w:num="1">
            <w:col w:w="11400"/>
          </w:cols>
          <w:pgMar w:left="240" w:top="868" w:right="259" w:bottom="0" w:gutter="0" w:footer="0" w:header="0"/>
        </w:sectPr>
      </w:pPr>
    </w:p>
    <w:bookmarkStart w:id="12" w:name="page13"/>
    <w:bookmarkEnd w:id="12"/>
    <w:p>
      <w:pPr>
        <w:spacing w:after="0" w:line="1"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6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Trustee fees and expenses</w:t>
            </w: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Borders>
              <w:top w:val="single" w:sz="8" w:color="CCEEFF"/>
            </w:tcBorders>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60" w:type="dxa"/>
            <w:vAlign w:val="bottom"/>
            <w:shd w:val="clear" w:color="auto" w:fill="CCEEFF"/>
          </w:tcPr>
          <w:p>
            <w:pPr>
              <w:spacing w:after="0"/>
              <w:rPr>
                <w:sz w:val="18"/>
                <w:szCs w:val="18"/>
                <w:color w:val="auto"/>
              </w:rPr>
            </w:pPr>
          </w:p>
        </w:tc>
      </w:tr>
      <w:tr>
        <w:trPr>
          <w:trHeight w:val="210"/>
        </w:trPr>
        <w:tc>
          <w:tcPr>
            <w:tcW w:w="682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$ 475,000</w:t>
            </w:r>
          </w:p>
        </w:tc>
        <w:tc>
          <w:tcPr>
            <w:tcW w:w="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such person in connection with such action, suit or proceeding if the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Subsection (b) of Section 145 empowers a corporation to indemnify any person who was or is a party or threatened to be made a party to any threatened, pending or completed action or suit by or in the right of the corporation to procure a judgment in its favor by reason of the fact that the person acted in any of the capacities set forth above, against expenses actually and reasonably incurred by the person in connection with the defense or settlement of such action or suit if such person acted under similar standards, except that no indemnification may be made in respect of any claim, issue or matter as to which such person has been adjudged to be liable to the corporation unless and only to the extent that the Court of Chancery or the court in which such action or suit was brought determines that, despite the adjudication of liability, such person is fairly and reasonably entitled to indemnity for such expenses which the court deems proper.</w:t>
      </w:r>
    </w:p>
    <w:p>
      <w:pPr>
        <w:spacing w:after="0" w:line="81"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Section 145 further provides that, to the extent that a present or former director or officer of a corporation has been successful on the merits or otherwise in defense of any action, suit or proceeding referred to in subsections (a) and (b) or in defense of any claim, issue or matter therein, such person will be indemnified against expenses (including attorneys’ fees) actually and reasonably incurred in connection therewith; that indemnification provided for by Section 145 will not be deemed exclusive of any other rights to which the indemnified party may be entitled; and that the scope of such mandatory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indemnification extends to directors, officers, employees or agents of a constituent corporation absorbed in a consolidation or merger and persons serving in that capacity at the request of the constituent corporation for another. Section 145 also empowers the corporation to purchase and maintain insurance on behalf of any person who is or was a director, officer, employee or agent of the corporation against any liability asserted against and incurred by such person in any such capacity or arising out of such person’s status as such, whether or not the corporation would have the power to indemnify such person against such liability under Section 145, including liability under the Securities Act of 1933.</w:t>
      </w:r>
    </w:p>
    <w:p>
      <w:pPr>
        <w:spacing w:after="0" w:line="5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Article X of Toro’s Amended and Restated Certificate of Incorporation mandates indemnification of a director or officer of Toro or a person serving at the request of Toro as a director, officer, employee or agent of another entity to the fullest extent authorized by the Delaware General Corporation Law against expenses, liability and loss and authorizes the Board to express such rights in written contracts.</w:t>
      </w:r>
    </w:p>
    <w:p>
      <w:pPr>
        <w:spacing w:after="0" w:line="46"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Article X of Toro’s Amended and Restated Certificate of Incorporation provides, in accordance with Section 102(b)(7) of the Delaware General Corporation Law, for the elimination of the personal liability of a director to Toro or its stockholders for monetary damages for breach of fiduciary duty as a director under certain circumstances.</w:t>
      </w:r>
    </w:p>
    <w:p>
      <w:pPr>
        <w:spacing w:after="0" w:line="60" w:lineRule="exact"/>
        <w:rPr>
          <w:sz w:val="20"/>
          <w:szCs w:val="20"/>
          <w:color w:val="auto"/>
        </w:rPr>
      </w:pPr>
    </w:p>
    <w:p>
      <w:pPr>
        <w:ind w:right="40" w:firstLine="360"/>
        <w:spacing w:after="0" w:line="308" w:lineRule="auto"/>
        <w:rPr>
          <w:sz w:val="20"/>
          <w:szCs w:val="20"/>
          <w:color w:val="auto"/>
        </w:rPr>
      </w:pPr>
      <w:r>
        <w:rPr>
          <w:rFonts w:ascii="Arial" w:cs="Arial" w:eastAsia="Arial" w:hAnsi="Arial"/>
          <w:sz w:val="17"/>
          <w:szCs w:val="17"/>
          <w:color w:val="auto"/>
        </w:rPr>
        <w:t>The above discussion of Toro’s Amended and Restated Certificate of Incorporation and of Sections 102(b)(7) and 145 of the DGCL is not intended to be exhaustive and is qualified in its entirety by the Amended and Restated Certificate of Incorporation and the Delaware General Corporation Law.</w:t>
      </w:r>
    </w:p>
    <w:p>
      <w:pPr>
        <w:spacing w:after="0" w:line="25"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Toro has entered into indemnification agreements with each of its directors pursuant to which Toro has agreed to indemnify each director to the fullest extent permitted by law against any expenses, judgments, fines, penalties and amounts paid or owing that arise out of events or occurrences related to such director’s status, capacities and activities with Toro.</w:t>
      </w:r>
    </w:p>
    <w:p>
      <w:pPr>
        <w:spacing w:after="0" w:line="46"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Toro also maintains liability insurance policies which provide for indemnification of a director or officer of Toro or a person serving at the request of Toro as a director, officer, employee or agent of another entity against certain liabilities under certain circumstances.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82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9"/>
              </w:rPr>
              <w:t>Exhibits</w:t>
            </w:r>
          </w:p>
        </w:tc>
        <w:tc>
          <w:tcPr>
            <w:tcW w:w="9820" w:type="dxa"/>
            <w:vAlign w:val="bottom"/>
          </w:tcPr>
          <w:p>
            <w:pPr>
              <w:spacing w:after="0"/>
              <w:rPr>
                <w:sz w:val="20"/>
                <w:szCs w:val="20"/>
                <w:color w:val="auto"/>
              </w:rPr>
            </w:pPr>
          </w:p>
        </w:tc>
      </w:tr>
      <w:tr>
        <w:trPr>
          <w:trHeight w:val="419"/>
        </w:trPr>
        <w:tc>
          <w:tcPr>
            <w:tcW w:w="760" w:type="dxa"/>
            <w:vAlign w:val="bottom"/>
          </w:tcPr>
          <w:p>
            <w:pPr>
              <w:spacing w:after="0"/>
              <w:rPr>
                <w:sz w:val="20"/>
                <w:szCs w:val="20"/>
                <w:color w:val="auto"/>
              </w:rPr>
            </w:pPr>
            <w:r>
              <w:rPr>
                <w:rFonts w:ascii="Arial" w:cs="Arial" w:eastAsia="Arial" w:hAnsi="Arial"/>
                <w:sz w:val="18"/>
                <w:szCs w:val="18"/>
                <w:color w:val="auto"/>
              </w:rPr>
              <w:t>1.1</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w w:val="92"/>
              </w:rPr>
              <w:t>The Toro Company Amended and Restated Certificate of Incorporation of Registrant (incorporated by reference to Exhibit 3(i)(a) and</w:t>
            </w:r>
          </w:p>
        </w:tc>
      </w:tr>
      <w:tr>
        <w:trPr>
          <w:trHeight w:val="230"/>
        </w:trPr>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4(a) to Registrant’s Current Report on Form 8-K dated March 15, 2005, Commission File No. 1-8649).</w:t>
            </w:r>
          </w:p>
        </w:tc>
      </w:tr>
      <w:tr>
        <w:trPr>
          <w:trHeight w:val="296"/>
        </w:trPr>
        <w:tc>
          <w:tcPr>
            <w:tcW w:w="760" w:type="dxa"/>
            <w:vAlign w:val="bottom"/>
          </w:tcPr>
          <w:p>
            <w:pPr>
              <w:spacing w:after="0"/>
              <w:rPr>
                <w:sz w:val="20"/>
                <w:szCs w:val="20"/>
                <w:color w:val="auto"/>
              </w:rPr>
            </w:pPr>
            <w:r>
              <w:rPr>
                <w:rFonts w:ascii="Arial" w:cs="Arial" w:eastAsia="Arial" w:hAnsi="Arial"/>
                <w:sz w:val="18"/>
                <w:szCs w:val="18"/>
                <w:color w:val="auto"/>
              </w:rPr>
              <w:t>4.2</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w w:val="91"/>
              </w:rPr>
              <w:t>Bylaws of The Toro Company (incorporated by reference to Exhibit 3 to Registrant’s Current Report on Form 8-K dated November 30,</w:t>
            </w:r>
          </w:p>
        </w:tc>
      </w:tr>
      <w:tr>
        <w:trPr>
          <w:trHeight w:val="230"/>
        </w:trPr>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2005, Commission File No. 1-8649).</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4.3</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Indenture dated as of April 20, 2007 between the Company and The Bank of New York Trust Company, N.A.</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5.1</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Opinion of Oppenheimer Wolff &amp; Donnelly LLP.</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12.1</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Computation of Ratio of Earnings to Fixed Charges.</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Consent of Oppenheimer Wolff &amp; Donnelly LLP (included in Exhibit 5.1).</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Power of Attorney.</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25.1</w:t>
            </w:r>
          </w:p>
        </w:tc>
        <w:tc>
          <w:tcPr>
            <w:tcW w:w="820" w:type="dxa"/>
            <w:vAlign w:val="bottom"/>
          </w:tcPr>
          <w:p>
            <w:pPr>
              <w:ind w:left="300"/>
              <w:spacing w:after="0"/>
              <w:rPr>
                <w:sz w:val="20"/>
                <w:szCs w:val="20"/>
                <w:color w:val="auto"/>
              </w:rPr>
            </w:pPr>
            <w:r>
              <w:rPr>
                <w:rFonts w:ascii="Arial" w:cs="Arial" w:eastAsia="Arial" w:hAnsi="Arial"/>
                <w:sz w:val="18"/>
                <w:szCs w:val="18"/>
                <w:color w:val="auto"/>
              </w:rPr>
              <w:t>—</w:t>
            </w:r>
          </w:p>
        </w:tc>
        <w:tc>
          <w:tcPr>
            <w:tcW w:w="9820" w:type="dxa"/>
            <w:vAlign w:val="bottom"/>
          </w:tcPr>
          <w:p>
            <w:pPr>
              <w:ind w:left="80"/>
              <w:spacing w:after="0"/>
              <w:rPr>
                <w:sz w:val="20"/>
                <w:szCs w:val="20"/>
                <w:color w:val="auto"/>
              </w:rPr>
            </w:pPr>
            <w:r>
              <w:rPr>
                <w:rFonts w:ascii="Arial" w:cs="Arial" w:eastAsia="Arial" w:hAnsi="Arial"/>
                <w:sz w:val="18"/>
                <w:szCs w:val="18"/>
                <w:color w:val="auto"/>
              </w:rPr>
              <w:t>Statement of Eligibility of The Bank of New York Trust Company, N.A., as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65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To be filed as an exhibit to a current report on Form 8-K of the Registrant.</w:t>
      </w:r>
    </w:p>
    <w:p>
      <w:pPr>
        <w:sectPr>
          <w:pgSz w:w="11900" w:h="16838" w:orient="portrait"/>
          <w:cols w:equalWidth="0" w:num="1">
            <w:col w:w="11400"/>
          </w:cols>
          <w:pgMar w:left="240" w:top="120" w:right="259"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II-2</w:t>
      </w:r>
    </w:p>
    <w:p>
      <w:pPr>
        <w:sectPr>
          <w:pgSz w:w="11900" w:h="16838" w:orient="portrait"/>
          <w:cols w:equalWidth="0" w:num="1">
            <w:col w:w="11400"/>
          </w:cols>
          <w:pgMar w:left="240" w:top="120" w:right="259" w:bottom="0" w:gutter="0" w:footer="0" w:header="0"/>
          <w:type w:val="continuous"/>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720" w:hanging="35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080" w:hanging="352"/>
        <w:spacing w:after="0"/>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360" w:firstLine="368"/>
        <w:spacing w:after="0" w:line="293" w:lineRule="auto"/>
        <w:tabs>
          <w:tab w:leader="none" w:pos="1075"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360" w:right="600" w:firstLine="368"/>
        <w:spacing w:after="0" w:line="277" w:lineRule="auto"/>
        <w:tabs>
          <w:tab w:leader="none" w:pos="1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provided, however, </w:t>
      </w:r>
      <w:r>
        <w:rPr>
          <w:rFonts w:ascii="Arial" w:cs="Arial" w:eastAsia="Arial" w:hAnsi="Arial"/>
          <w:sz w:val="17"/>
          <w:szCs w:val="17"/>
          <w:color w:val="auto"/>
        </w:rPr>
        <w:t>that paragraphs (i), (ii) and (iii) above do not apply if the information required to be included in a post-effective amendment by those</w:t>
      </w:r>
      <w:r>
        <w:rPr>
          <w:rFonts w:ascii="Arial" w:cs="Arial" w:eastAsia="Arial" w:hAnsi="Arial"/>
          <w:sz w:val="18"/>
          <w:szCs w:val="18"/>
          <w:color w:val="auto"/>
        </w:rPr>
        <w:t xml:space="preserve"> </w:t>
      </w:r>
      <w:r>
        <w:rPr>
          <w:rFonts w:ascii="Arial" w:cs="Arial" w:eastAsia="Arial" w:hAnsi="Arial"/>
          <w:sz w:val="17"/>
          <w:szCs w:val="17"/>
          <w:color w:val="auto"/>
        </w:rPr>
        <w:t>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4" w:lineRule="exact"/>
        <w:rPr>
          <w:sz w:val="20"/>
          <w:szCs w:val="20"/>
          <w:color w:val="auto"/>
        </w:rPr>
      </w:pPr>
    </w:p>
    <w:p>
      <w:pPr>
        <w:ind w:right="20" w:firstLine="368"/>
        <w:spacing w:after="0" w:line="264"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160" w:firstLine="368"/>
        <w:spacing w:after="0" w:line="277"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left="360" w:right="360" w:firstLine="368"/>
        <w:spacing w:after="0" w:line="277" w:lineRule="auto"/>
        <w:tabs>
          <w:tab w:leader="none" w:pos="10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360" w:right="60" w:firstLine="368"/>
        <w:spacing w:after="0" w:line="290" w:lineRule="auto"/>
        <w:tabs>
          <w:tab w:leader="none" w:pos="1075"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0" w:right="260"/>
        <w:spacing w:after="0" w:line="264" w:lineRule="auto"/>
        <w:rPr>
          <w:sz w:val="20"/>
          <w:szCs w:val="20"/>
          <w:color w:val="auto"/>
        </w:rPr>
      </w:pPr>
      <w:r>
        <w:rPr>
          <w:rFonts w:ascii="Arial" w:cs="Arial" w:eastAsia="Arial" w:hAnsi="Arial"/>
          <w:sz w:val="18"/>
          <w:szCs w:val="18"/>
          <w:color w:val="auto"/>
        </w:rPr>
        <w:t>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sz w:val="20"/>
          <w:szCs w:val="20"/>
          <w:color w:val="auto"/>
        </w:rPr>
      </w:pPr>
    </w:p>
    <w:p>
      <w:pPr>
        <w:ind w:right="40" w:firstLine="368"/>
        <w:spacing w:after="0" w:line="302"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rFonts w:ascii="Arial" w:cs="Arial" w:eastAsia="Arial" w:hAnsi="Arial"/>
          <w:sz w:val="16"/>
          <w:szCs w:val="16"/>
          <w:color w:val="auto"/>
        </w:rPr>
      </w:pPr>
    </w:p>
    <w:p>
      <w:pPr>
        <w:ind w:left="1080" w:hanging="352"/>
        <w:spacing w:after="0"/>
        <w:tabs>
          <w:tab w:leader="none" w:pos="10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360" w:right="680" w:firstLine="368"/>
        <w:spacing w:after="0" w:line="277" w:lineRule="auto"/>
        <w:tabs>
          <w:tab w:leader="none" w:pos="107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360" w:right="100" w:firstLine="368"/>
        <w:spacing w:after="0" w:line="277"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2" w:lineRule="exact"/>
        <w:rPr>
          <w:sz w:val="20"/>
          <w:szCs w:val="20"/>
          <w:color w:val="auto"/>
        </w:rPr>
      </w:pPr>
    </w:p>
    <w:p>
      <w:pPr>
        <w:ind w:firstLine="368"/>
        <w:spacing w:after="0" w:line="277"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62"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w:t>
      </w:r>
    </w:p>
    <w:p>
      <w:pPr>
        <w:sectPr>
          <w:pgSz w:w="11900" w:h="16838" w:orient="portrait"/>
          <w:cols w:equalWidth="0" w:num="1">
            <w:col w:w="11420"/>
          </w:cols>
          <w:pgMar w:left="240" w:top="513" w:right="239" w:bottom="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firstLine="360"/>
        <w:spacing w:after="0" w:line="248"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Bloomington, State of Minnesota, on April 20, 2007.</w:t>
      </w:r>
    </w:p>
    <w:p>
      <w:pPr>
        <w:spacing w:after="0" w:line="15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THE TORO COMPANY</w:t>
      </w:r>
    </w:p>
    <w:p>
      <w:pPr>
        <w:spacing w:after="0" w:line="3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6350</wp:posOffset>
            </wp:positionV>
            <wp:extent cx="24269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Michael J. Hoffman, its</w:t>
      </w:r>
    </w:p>
    <w:p>
      <w:pPr>
        <w:ind w:left="6040"/>
        <w:spacing w:after="0" w:line="234" w:lineRule="auto"/>
        <w:rPr>
          <w:sz w:val="20"/>
          <w:szCs w:val="20"/>
          <w:color w:val="auto"/>
        </w:rPr>
      </w:pPr>
      <w:r>
        <w:rPr>
          <w:rFonts w:ascii="Arial" w:cs="Arial" w:eastAsia="Arial" w:hAnsi="Arial"/>
          <w:sz w:val="18"/>
          <w:szCs w:val="18"/>
          <w:i w:val="1"/>
          <w:iCs w:val="1"/>
          <w:color w:val="auto"/>
        </w:rPr>
        <w:t>Chairman of the Board, President and Chief</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Executive Officer</w:t>
      </w:r>
    </w:p>
    <w:p>
      <w:pPr>
        <w:spacing w:after="0" w:line="209" w:lineRule="exact"/>
        <w:rPr>
          <w:sz w:val="20"/>
          <w:szCs w:val="20"/>
          <w:color w:val="auto"/>
        </w:rPr>
      </w:pPr>
    </w:p>
    <w:p>
      <w:pPr>
        <w:ind w:right="700" w:firstLine="360"/>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April 20, 2007.</w:t>
      </w:r>
    </w:p>
    <w:p>
      <w:pPr>
        <w:sectPr>
          <w:pgSz w:w="11900" w:h="16838" w:orient="portrait"/>
          <w:cols w:equalWidth="0" w:num="1">
            <w:col w:w="11420"/>
          </w:cols>
          <w:pgMar w:left="240" w:top="125" w:right="239" w:bottom="72" w:gutter="0" w:footer="0" w:header="0"/>
        </w:sectPr>
      </w:pPr>
    </w:p>
    <w:p>
      <w:pPr>
        <w:spacing w:after="0" w:line="111" w:lineRule="exact"/>
        <w:rPr>
          <w:sz w:val="20"/>
          <w:szCs w:val="20"/>
          <w:color w:val="auto"/>
        </w:rPr>
      </w:pPr>
    </w:p>
    <w:p>
      <w:pPr>
        <w:jc w:val="right"/>
        <w:ind w:right="760"/>
        <w:spacing w:after="0"/>
        <w:rPr>
          <w:sz w:val="20"/>
          <w:szCs w:val="20"/>
          <w:color w:val="auto"/>
        </w:rPr>
      </w:pPr>
      <w:r>
        <w:rPr>
          <w:rFonts w:ascii="Arial" w:cs="Arial" w:eastAsia="Arial" w:hAnsi="Arial"/>
          <w:sz w:val="18"/>
          <w:szCs w:val="18"/>
          <w:b w:val="1"/>
          <w:bCs w:val="1"/>
          <w:u w:val="single" w:color="auto"/>
          <w:color w:val="auto"/>
        </w:rPr>
        <w:t>Name and Signature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 BLAKE M. 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Blake M. Grams</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Ronald O. Baukol</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C. Buhrmaster</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Winslow H. Buxton</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Janet K. Cooper</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Gary L. Ellis</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Katherine J. Harless</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H. Nassau</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Gregg W. Steinhafel</w:t>
      </w:r>
    </w:p>
    <w:p>
      <w:pPr>
        <w:spacing w:after="0" w:line="76" w:lineRule="exact"/>
        <w:rPr>
          <w:sz w:val="20"/>
          <w:szCs w:val="20"/>
          <w:color w:val="auto"/>
        </w:rPr>
      </w:pPr>
    </w:p>
    <w:p>
      <w:pPr>
        <w:jc w:val="center"/>
        <w:ind w:left="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98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Christopher A. Twomey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6350</wp:posOffset>
            </wp:positionV>
            <wp:extent cx="21355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J. Hoffman,</w:t>
      </w:r>
    </w:p>
    <w:p>
      <w:pPr>
        <w:ind w:left="440"/>
        <w:spacing w:after="0"/>
        <w:rPr>
          <w:sz w:val="20"/>
          <w:szCs w:val="20"/>
          <w:color w:val="auto"/>
        </w:rPr>
      </w:pPr>
      <w:r>
        <w:rPr>
          <w:rFonts w:ascii="Arial" w:cs="Arial" w:eastAsia="Arial" w:hAnsi="Arial"/>
          <w:sz w:val="18"/>
          <w:szCs w:val="18"/>
          <w:color w:val="auto"/>
        </w:rPr>
        <w:t>As Attorney-in-Fact</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900"/>
        <w:spacing w:after="0"/>
        <w:rPr>
          <w:sz w:val="20"/>
          <w:szCs w:val="20"/>
          <w:color w:val="auto"/>
        </w:rPr>
      </w:pPr>
      <w:r>
        <w:rPr>
          <w:rFonts w:ascii="Arial" w:cs="Arial" w:eastAsia="Arial" w:hAnsi="Arial"/>
          <w:sz w:val="18"/>
          <w:szCs w:val="18"/>
          <w:b w:val="1"/>
          <w:bCs w:val="1"/>
          <w:u w:val="single" w:color="auto"/>
          <w:color w:val="auto"/>
        </w:rPr>
        <w:t>Title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Director (principal executive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Controller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1201" w:lineRule="exact"/>
        <w:rPr>
          <w:sz w:val="20"/>
          <w:szCs w:val="20"/>
          <w:color w:val="auto"/>
        </w:rPr>
      </w:pPr>
    </w:p>
    <w:p>
      <w:pPr>
        <w:sectPr>
          <w:pgSz w:w="11900" w:h="16838" w:orient="portrait"/>
          <w:cols w:equalWidth="0" w:num="2">
            <w:col w:w="3440" w:space="720"/>
            <w:col w:w="7260"/>
          </w:cols>
          <w:pgMar w:left="240" w:top="125" w:right="239" w:bottom="72"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9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Exhibit</w:t>
      </w:r>
    </w:p>
    <w:p>
      <w:pPr>
        <w:ind w:left="1540"/>
        <w:spacing w:after="0" w:line="219" w:lineRule="auto"/>
        <w:tabs>
          <w:tab w:leader="none" w:pos="59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0</wp:posOffset>
            </wp:positionV>
            <wp:extent cx="52914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ind w:left="1540"/>
        <w:spacing w:after="0"/>
        <w:tabs>
          <w:tab w:leader="none" w:pos="2540" w:val="left"/>
          <w:tab w:leader="none" w:pos="29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Underwriting Agreement. *</w:t>
      </w:r>
    </w:p>
    <w:p>
      <w:pPr>
        <w:spacing w:after="0" w:line="115" w:lineRule="exact"/>
        <w:rPr>
          <w:sz w:val="20"/>
          <w:szCs w:val="20"/>
          <w:color w:val="auto"/>
        </w:rPr>
      </w:pPr>
    </w:p>
    <w:p>
      <w:pPr>
        <w:ind w:left="2560" w:right="1600" w:hanging="1390"/>
        <w:spacing w:after="0" w:line="264" w:lineRule="auto"/>
        <w:tabs>
          <w:tab w:leader="none" w:pos="2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The Toro Company Amended and Restated Certificate of Incorporation of Registrant (incorporated by reference to Exhibit 3(i)(a) and 4(a) to Registrant’s Current Report on Form 8-K dated March 15, 2005, Commission File No. 1-8649).</w:t>
      </w:r>
    </w:p>
    <w:p>
      <w:pPr>
        <w:spacing w:after="0" w:line="73" w:lineRule="exact"/>
        <w:rPr>
          <w:sz w:val="20"/>
          <w:szCs w:val="20"/>
          <w:color w:val="auto"/>
        </w:rPr>
      </w:pPr>
    </w:p>
    <w:p>
      <w:pPr>
        <w:ind w:left="2560" w:right="1760" w:hanging="1390"/>
        <w:spacing w:after="0" w:line="277" w:lineRule="auto"/>
        <w:tabs>
          <w:tab w:leader="none" w:pos="2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Bylaws of The Toro Company (incorporated by reference to Exhibit 3 to Registrant’s Current Report on Form 8-K dated November 30, 2005, Commission File No. 1-8649).</w:t>
      </w:r>
    </w:p>
    <w:p>
      <w:pPr>
        <w:sectPr>
          <w:pgSz w:w="11900" w:h="16838" w:orient="portrait"/>
          <w:cols w:equalWidth="0" w:num="1">
            <w:col w:w="11420"/>
          </w:cols>
          <w:pgMar w:left="240" w:top="125" w:right="239" w:bottom="72" w:gutter="0" w:footer="0" w:header="0"/>
          <w:type w:val="continuous"/>
        </w:sectPr>
      </w:pPr>
    </w:p>
    <w:bookmarkStart w:id="15" w:name="page16"/>
    <w:bookmarkEnd w:id="15"/>
    <w:p>
      <w:pPr>
        <w:ind w:left="2552" w:right="579" w:hanging="1390"/>
        <w:spacing w:after="0" w:line="277" w:lineRule="auto"/>
        <w:tabs>
          <w:tab w:leader="none" w:pos="25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Indenture dated as of April 20, 2007 between the Company and The Bank of New York Trust Company, N.A.</w:t>
      </w:r>
    </w:p>
    <w:p>
      <w:pPr>
        <w:spacing w:after="0" w:line="62" w:lineRule="exact"/>
        <w:rPr>
          <w:sz w:val="20"/>
          <w:szCs w:val="20"/>
          <w:color w:val="auto"/>
        </w:rPr>
      </w:pPr>
    </w:p>
    <w:p>
      <w:pPr>
        <w:ind w:left="1532"/>
        <w:spacing w:after="0"/>
        <w:tabs>
          <w:tab w:leader="none" w:pos="2532" w:val="left"/>
          <w:tab w:leader="none" w:pos="291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Opinion of Oppenheimer Wolff &amp; Donnelly LLP.</w:t>
      </w:r>
    </w:p>
    <w:p>
      <w:pPr>
        <w:spacing w:after="0" w:line="117" w:lineRule="exact"/>
        <w:rPr>
          <w:sz w:val="20"/>
          <w:szCs w:val="20"/>
          <w:color w:val="auto"/>
        </w:rPr>
      </w:pPr>
    </w:p>
    <w:p>
      <w:pPr>
        <w:ind w:left="1532"/>
        <w:spacing w:after="0"/>
        <w:tabs>
          <w:tab w:leader="none" w:pos="2532" w:val="left"/>
          <w:tab w:leader="none" w:pos="291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Computation of Ratio of Earnings to Fixed Charges.</w:t>
      </w:r>
    </w:p>
    <w:p>
      <w:pPr>
        <w:spacing w:after="0" w:line="117" w:lineRule="exact"/>
        <w:rPr>
          <w:sz w:val="20"/>
          <w:szCs w:val="20"/>
          <w:color w:val="auto"/>
        </w:rPr>
      </w:pPr>
    </w:p>
    <w:p>
      <w:pPr>
        <w:ind w:left="1532"/>
        <w:spacing w:after="0"/>
        <w:tabs>
          <w:tab w:leader="none" w:pos="2532" w:val="left"/>
          <w:tab w:leader="none" w:pos="291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ind w:left="1532"/>
        <w:spacing w:after="0"/>
        <w:tabs>
          <w:tab w:leader="none" w:pos="2532" w:val="left"/>
          <w:tab w:leader="none" w:pos="291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Consent of Oppenheimer Wolff &amp; Donnelly LLP (included in Exhibit 5.1).</w:t>
      </w:r>
    </w:p>
    <w:p>
      <w:pPr>
        <w:spacing w:after="0" w:line="117" w:lineRule="exact"/>
        <w:rPr>
          <w:sz w:val="20"/>
          <w:szCs w:val="20"/>
          <w:color w:val="auto"/>
        </w:rPr>
      </w:pPr>
    </w:p>
    <w:p>
      <w:pPr>
        <w:ind w:left="1532"/>
        <w:spacing w:after="0"/>
        <w:tabs>
          <w:tab w:leader="none" w:pos="2532" w:val="left"/>
          <w:tab w:leader="none" w:pos="291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Power of Attorney.</w:t>
      </w:r>
    </w:p>
    <w:p>
      <w:pPr>
        <w:spacing w:after="0" w:line="117" w:lineRule="exact"/>
        <w:rPr>
          <w:sz w:val="20"/>
          <w:szCs w:val="20"/>
          <w:color w:val="auto"/>
        </w:rPr>
      </w:pPr>
    </w:p>
    <w:p>
      <w:pPr>
        <w:ind w:left="1532"/>
        <w:spacing w:after="0"/>
        <w:tabs>
          <w:tab w:leader="none" w:pos="2532" w:val="left"/>
          <w:tab w:leader="none" w:pos="2912"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Statement of Eligibility of The Bank of New York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565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28" w:lineRule="exact"/>
        <w:rPr>
          <w:sz w:val="20"/>
          <w:szCs w:val="20"/>
          <w:color w:val="auto"/>
        </w:rPr>
      </w:pPr>
    </w:p>
    <w:p>
      <w:pPr>
        <w:ind w:left="352" w:hanging="352"/>
        <w:spacing w:after="0"/>
        <w:tabs>
          <w:tab w:leader="none" w:pos="3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 be filed as an exhibit to a current report on Form 8-K of the Registrant.</w:t>
      </w:r>
    </w:p>
    <w:p>
      <w:pPr>
        <w:spacing w:after="0" w:line="200" w:lineRule="exact"/>
        <w:rPr>
          <w:sz w:val="20"/>
          <w:szCs w:val="20"/>
          <w:color w:val="auto"/>
        </w:rPr>
      </w:pPr>
    </w:p>
    <w:p>
      <w:pPr>
        <w:spacing w:after="0" w:line="262" w:lineRule="exact"/>
        <w:rPr>
          <w:sz w:val="20"/>
          <w:szCs w:val="20"/>
          <w:color w:val="auto"/>
        </w:rPr>
      </w:pPr>
    </w:p>
    <w:p>
      <w:pPr>
        <w:ind w:left="5552"/>
        <w:spacing w:after="0"/>
        <w:rPr>
          <w:sz w:val="20"/>
          <w:szCs w:val="20"/>
          <w:color w:val="auto"/>
        </w:rPr>
      </w:pPr>
      <w:r>
        <w:rPr>
          <w:rFonts w:ascii="Arial" w:cs="Arial" w:eastAsia="Arial" w:hAnsi="Arial"/>
          <w:sz w:val="20"/>
          <w:szCs w:val="20"/>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231140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233" w:right="1440" w:bottom="1440" w:gutter="0" w:footer="0" w:header="0"/>
        </w:sectPr>
      </w:pPr>
    </w:p>
    <w:bookmarkStart w:id="16" w:name="page17"/>
    <w:bookmarkEnd w:id="16"/>
    <w:p>
      <w:pPr>
        <w:ind w:left="10580"/>
        <w:spacing w:after="0"/>
        <w:rPr>
          <w:sz w:val="20"/>
          <w:szCs w:val="20"/>
          <w:color w:val="auto"/>
        </w:rPr>
      </w:pPr>
      <w:r>
        <w:rPr>
          <w:rFonts w:ascii="Arial" w:cs="Arial" w:eastAsia="Arial" w:hAnsi="Arial"/>
          <w:sz w:val="17"/>
          <w:szCs w:val="17"/>
          <w:b w:val="1"/>
          <w:bCs w:val="1"/>
          <w:color w:val="auto"/>
        </w:rPr>
        <w:t>Exhibit 4.3</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TORO COMPANY, AS ISSUER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BANK OF NEW YORK TRUST COMPANY, N.A., AS TRUSTEE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April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0780" w:type="dxa"/>
            <w:vAlign w:val="bottom"/>
            <w:gridSpan w:val="2"/>
          </w:tcPr>
          <w:p>
            <w:pPr>
              <w:spacing w:after="0"/>
              <w:rPr>
                <w:sz w:val="20"/>
                <w:szCs w:val="20"/>
                <w:color w:val="auto"/>
              </w:rPr>
            </w:pPr>
            <w:r>
              <w:rPr>
                <w:rFonts w:ascii="Arial" w:cs="Arial" w:eastAsia="Arial" w:hAnsi="Arial"/>
                <w:sz w:val="18"/>
                <w:szCs w:val="18"/>
                <w:color w:val="auto"/>
              </w:rPr>
              <w:t>RECITALS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418"/>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1.01.</w:t>
            </w:r>
          </w:p>
        </w:tc>
        <w:tc>
          <w:tcPr>
            <w:tcW w:w="872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1.02.</w:t>
            </w:r>
          </w:p>
        </w:tc>
        <w:tc>
          <w:tcPr>
            <w:tcW w:w="8720" w:type="dxa"/>
            <w:vAlign w:val="bottom"/>
          </w:tcPr>
          <w:p>
            <w:pPr>
              <w:ind w:left="20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1.03.</w:t>
            </w:r>
          </w:p>
        </w:tc>
        <w:tc>
          <w:tcPr>
            <w:tcW w:w="8720" w:type="dxa"/>
            <w:vAlign w:val="bottom"/>
          </w:tcPr>
          <w:p>
            <w:pPr>
              <w:ind w:left="20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1.04.</w:t>
            </w:r>
          </w:p>
        </w:tc>
        <w:tc>
          <w:tcPr>
            <w:tcW w:w="8720" w:type="dxa"/>
            <w:vAlign w:val="bottom"/>
          </w:tcPr>
          <w:p>
            <w:pPr>
              <w:ind w:left="200"/>
              <w:spacing w:after="0"/>
              <w:rPr>
                <w:sz w:val="20"/>
                <w:szCs w:val="20"/>
                <w:color w:val="auto"/>
              </w:rPr>
            </w:pPr>
            <w:r>
              <w:rPr>
                <w:rFonts w:ascii="Arial" w:cs="Arial" w:eastAsia="Arial" w:hAnsi="Arial"/>
                <w:sz w:val="18"/>
                <w:szCs w:val="18"/>
                <w:color w:val="auto"/>
              </w:rPr>
              <w:t>Acts of Holders; Record Dates</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1.05.</w:t>
            </w:r>
          </w:p>
        </w:tc>
        <w:tc>
          <w:tcPr>
            <w:tcW w:w="8720" w:type="dxa"/>
            <w:vAlign w:val="bottom"/>
          </w:tcPr>
          <w:p>
            <w:pPr>
              <w:ind w:left="20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1.06.</w:t>
            </w:r>
          </w:p>
        </w:tc>
        <w:tc>
          <w:tcPr>
            <w:tcW w:w="8720" w:type="dxa"/>
            <w:vAlign w:val="bottom"/>
          </w:tcPr>
          <w:p>
            <w:pPr>
              <w:ind w:left="200"/>
              <w:spacing w:after="0"/>
              <w:rPr>
                <w:sz w:val="20"/>
                <w:szCs w:val="20"/>
                <w:color w:val="auto"/>
              </w:rPr>
            </w:pPr>
            <w:r>
              <w:rPr>
                <w:rFonts w:ascii="Arial" w:cs="Arial" w:eastAsia="Arial" w:hAnsi="Arial"/>
                <w:sz w:val="18"/>
                <w:szCs w:val="18"/>
                <w:color w:val="auto"/>
              </w:rPr>
              <w:t>Notice to Holders;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1.07.</w:t>
            </w:r>
          </w:p>
        </w:tc>
        <w:tc>
          <w:tcPr>
            <w:tcW w:w="8720" w:type="dxa"/>
            <w:vAlign w:val="bottom"/>
          </w:tcPr>
          <w:p>
            <w:pPr>
              <w:ind w:left="20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1.08.</w:t>
            </w:r>
          </w:p>
        </w:tc>
        <w:tc>
          <w:tcPr>
            <w:tcW w:w="8720" w:type="dxa"/>
            <w:vAlign w:val="bottom"/>
          </w:tcPr>
          <w:p>
            <w:pPr>
              <w:ind w:left="20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1.09.</w:t>
            </w:r>
          </w:p>
        </w:tc>
        <w:tc>
          <w:tcPr>
            <w:tcW w:w="872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1.10.</w:t>
            </w:r>
          </w:p>
        </w:tc>
        <w:tc>
          <w:tcPr>
            <w:tcW w:w="8720" w:type="dxa"/>
            <w:vAlign w:val="bottom"/>
          </w:tcPr>
          <w:p>
            <w:pPr>
              <w:ind w:left="200"/>
              <w:spacing w:after="0"/>
              <w:rPr>
                <w:sz w:val="20"/>
                <w:szCs w:val="20"/>
                <w:color w:val="auto"/>
              </w:rPr>
            </w:pPr>
            <w:r>
              <w:rPr>
                <w:rFonts w:ascii="Arial" w:cs="Arial" w:eastAsia="Arial" w:hAnsi="Arial"/>
                <w:sz w:val="18"/>
                <w:szCs w:val="18"/>
                <w:color w:val="auto"/>
              </w:rPr>
              <w:t>Separability Clause</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90"/>
              <w:spacing w:after="0"/>
              <w:rPr>
                <w:sz w:val="20"/>
                <w:szCs w:val="20"/>
                <w:color w:val="auto"/>
              </w:rPr>
            </w:pPr>
            <w:r>
              <w:rPr>
                <w:rFonts w:ascii="Arial" w:cs="Arial" w:eastAsia="Arial" w:hAnsi="Arial"/>
                <w:sz w:val="18"/>
                <w:szCs w:val="18"/>
                <w:color w:val="auto"/>
                <w:w w:val="92"/>
              </w:rPr>
              <w:t>SECTION 1.11.</w:t>
            </w:r>
          </w:p>
        </w:tc>
        <w:tc>
          <w:tcPr>
            <w:tcW w:w="8720" w:type="dxa"/>
            <w:vAlign w:val="bottom"/>
          </w:tcPr>
          <w:p>
            <w:pPr>
              <w:ind w:left="200"/>
              <w:spacing w:after="0"/>
              <w:rPr>
                <w:sz w:val="20"/>
                <w:szCs w:val="20"/>
                <w:color w:val="auto"/>
              </w:rPr>
            </w:pPr>
            <w:r>
              <w:rPr>
                <w:rFonts w:ascii="Arial" w:cs="Arial" w:eastAsia="Arial" w:hAnsi="Arial"/>
                <w:sz w:val="18"/>
                <w:szCs w:val="18"/>
                <w:color w:val="auto"/>
              </w:rPr>
              <w:t>Benefits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1.12.</w:t>
            </w:r>
          </w:p>
        </w:tc>
        <w:tc>
          <w:tcPr>
            <w:tcW w:w="872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1.13.</w:t>
            </w:r>
          </w:p>
        </w:tc>
        <w:tc>
          <w:tcPr>
            <w:tcW w:w="8720" w:type="dxa"/>
            <w:vAlign w:val="bottom"/>
          </w:tcPr>
          <w:p>
            <w:pPr>
              <w:ind w:left="200"/>
              <w:spacing w:after="0"/>
              <w:rPr>
                <w:sz w:val="20"/>
                <w:szCs w:val="20"/>
                <w:color w:val="auto"/>
              </w:rPr>
            </w:pPr>
            <w:r>
              <w:rPr>
                <w:rFonts w:ascii="Arial" w:cs="Arial" w:eastAsia="Arial" w:hAnsi="Arial"/>
                <w:sz w:val="18"/>
                <w:szCs w:val="18"/>
                <w:color w:val="auto"/>
              </w:rPr>
              <w:t>Legal Holidays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1.14.</w:t>
            </w:r>
          </w:p>
        </w:tc>
        <w:tc>
          <w:tcPr>
            <w:tcW w:w="8720" w:type="dxa"/>
            <w:vAlign w:val="bottom"/>
          </w:tcPr>
          <w:p>
            <w:pPr>
              <w:ind w:left="200"/>
              <w:spacing w:after="0"/>
              <w:rPr>
                <w:sz w:val="20"/>
                <w:szCs w:val="20"/>
                <w:color w:val="auto"/>
              </w:rPr>
            </w:pPr>
            <w:r>
              <w:rPr>
                <w:rFonts w:ascii="Arial" w:cs="Arial" w:eastAsia="Arial" w:hAnsi="Arial"/>
                <w:sz w:val="18"/>
                <w:szCs w:val="18"/>
                <w:color w:val="auto"/>
              </w:rPr>
              <w:t>Appointment of Agent for Service</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418"/>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2.01.</w:t>
            </w:r>
          </w:p>
        </w:tc>
        <w:tc>
          <w:tcPr>
            <w:tcW w:w="8720" w:type="dxa"/>
            <w:vAlign w:val="bottom"/>
          </w:tcPr>
          <w:p>
            <w:pPr>
              <w:ind w:left="200"/>
              <w:spacing w:after="0"/>
              <w:rPr>
                <w:sz w:val="20"/>
                <w:szCs w:val="20"/>
                <w:color w:val="auto"/>
              </w:rPr>
            </w:pPr>
            <w:r>
              <w:rPr>
                <w:rFonts w:ascii="Arial" w:cs="Arial" w:eastAsia="Arial" w:hAnsi="Arial"/>
                <w:sz w:val="18"/>
                <w:szCs w:val="18"/>
                <w:color w:val="auto"/>
              </w:rPr>
              <w:t>Forms Generally</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2.02.</w:t>
            </w:r>
          </w:p>
        </w:tc>
        <w:tc>
          <w:tcPr>
            <w:tcW w:w="8720" w:type="dxa"/>
            <w:vAlign w:val="bottom"/>
          </w:tcPr>
          <w:p>
            <w:pPr>
              <w:ind w:left="200"/>
              <w:spacing w:after="0"/>
              <w:rPr>
                <w:sz w:val="20"/>
                <w:szCs w:val="20"/>
                <w:color w:val="auto"/>
              </w:rPr>
            </w:pPr>
            <w:r>
              <w:rPr>
                <w:rFonts w:ascii="Arial" w:cs="Arial" w:eastAsia="Arial" w:hAnsi="Arial"/>
                <w:sz w:val="18"/>
                <w:szCs w:val="18"/>
                <w:color w:val="auto"/>
              </w:rPr>
              <w:t>Form of Face of Security</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2.03.</w:t>
            </w:r>
          </w:p>
        </w:tc>
        <w:tc>
          <w:tcPr>
            <w:tcW w:w="8720" w:type="dxa"/>
            <w:vAlign w:val="bottom"/>
          </w:tcPr>
          <w:p>
            <w:pPr>
              <w:ind w:left="200"/>
              <w:spacing w:after="0"/>
              <w:rPr>
                <w:sz w:val="20"/>
                <w:szCs w:val="20"/>
                <w:color w:val="auto"/>
              </w:rPr>
            </w:pPr>
            <w:r>
              <w:rPr>
                <w:rFonts w:ascii="Arial" w:cs="Arial" w:eastAsia="Arial" w:hAnsi="Arial"/>
                <w:sz w:val="18"/>
                <w:szCs w:val="18"/>
                <w:color w:val="auto"/>
              </w:rPr>
              <w:t>Form of Reverse of Security</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2.04.</w:t>
            </w:r>
          </w:p>
        </w:tc>
        <w:tc>
          <w:tcPr>
            <w:tcW w:w="8720" w:type="dxa"/>
            <w:vAlign w:val="bottom"/>
          </w:tcPr>
          <w:p>
            <w:pPr>
              <w:ind w:left="20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2.05.</w:t>
            </w:r>
          </w:p>
        </w:tc>
        <w:tc>
          <w:tcPr>
            <w:tcW w:w="8720" w:type="dxa"/>
            <w:vAlign w:val="bottom"/>
          </w:tcPr>
          <w:p>
            <w:pPr>
              <w:ind w:left="20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r>
      <w:tr>
        <w:trPr>
          <w:trHeight w:val="432"/>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418"/>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3.01.</w:t>
            </w:r>
          </w:p>
        </w:tc>
        <w:tc>
          <w:tcPr>
            <w:tcW w:w="8720" w:type="dxa"/>
            <w:vAlign w:val="bottom"/>
          </w:tcPr>
          <w:p>
            <w:pPr>
              <w:ind w:left="20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3.02.</w:t>
            </w:r>
          </w:p>
        </w:tc>
        <w:tc>
          <w:tcPr>
            <w:tcW w:w="8720" w:type="dxa"/>
            <w:vAlign w:val="bottom"/>
          </w:tcPr>
          <w:p>
            <w:pPr>
              <w:ind w:left="200"/>
              <w:spacing w:after="0"/>
              <w:rPr>
                <w:sz w:val="20"/>
                <w:szCs w:val="20"/>
                <w:color w:val="auto"/>
              </w:rPr>
            </w:pPr>
            <w:r>
              <w:rPr>
                <w:rFonts w:ascii="Arial" w:cs="Arial" w:eastAsia="Arial" w:hAnsi="Arial"/>
                <w:sz w:val="18"/>
                <w:szCs w:val="18"/>
                <w:color w:val="auto"/>
              </w:rPr>
              <w:t>Denominations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3.03.</w:t>
            </w:r>
          </w:p>
        </w:tc>
        <w:tc>
          <w:tcPr>
            <w:tcW w:w="8720" w:type="dxa"/>
            <w:vAlign w:val="bottom"/>
          </w:tcPr>
          <w:p>
            <w:pPr>
              <w:ind w:left="20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3.04.</w:t>
            </w:r>
          </w:p>
        </w:tc>
        <w:tc>
          <w:tcPr>
            <w:tcW w:w="8720" w:type="dxa"/>
            <w:vAlign w:val="bottom"/>
          </w:tcPr>
          <w:p>
            <w:pPr>
              <w:ind w:left="20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3.05.</w:t>
            </w:r>
          </w:p>
        </w:tc>
        <w:tc>
          <w:tcPr>
            <w:tcW w:w="8720" w:type="dxa"/>
            <w:vAlign w:val="bottom"/>
          </w:tcPr>
          <w:p>
            <w:pPr>
              <w:ind w:left="20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3.06.</w:t>
            </w:r>
          </w:p>
        </w:tc>
        <w:tc>
          <w:tcPr>
            <w:tcW w:w="8720" w:type="dxa"/>
            <w:vAlign w:val="bottom"/>
          </w:tcPr>
          <w:p>
            <w:pPr>
              <w:ind w:left="20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3.07.</w:t>
            </w:r>
          </w:p>
        </w:tc>
        <w:tc>
          <w:tcPr>
            <w:tcW w:w="8720" w:type="dxa"/>
            <w:vAlign w:val="bottom"/>
          </w:tcPr>
          <w:p>
            <w:pPr>
              <w:ind w:left="20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3.08.</w:t>
            </w:r>
          </w:p>
        </w:tc>
        <w:tc>
          <w:tcPr>
            <w:tcW w:w="8720" w:type="dxa"/>
            <w:vAlign w:val="bottom"/>
          </w:tcPr>
          <w:p>
            <w:pPr>
              <w:ind w:left="20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3.09.</w:t>
            </w:r>
          </w:p>
        </w:tc>
        <w:tc>
          <w:tcPr>
            <w:tcW w:w="872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3.10.</w:t>
            </w:r>
          </w:p>
        </w:tc>
        <w:tc>
          <w:tcPr>
            <w:tcW w:w="8720" w:type="dxa"/>
            <w:vAlign w:val="bottom"/>
          </w:tcPr>
          <w:p>
            <w:pPr>
              <w:ind w:left="20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702"/>
        </w:trPr>
        <w:tc>
          <w:tcPr>
            <w:tcW w:w="2060" w:type="dxa"/>
            <w:vAlign w:val="bottom"/>
          </w:tcPr>
          <w:p>
            <w:pPr>
              <w:spacing w:after="0"/>
              <w:rPr>
                <w:sz w:val="24"/>
                <w:szCs w:val="24"/>
                <w:color w:val="auto"/>
              </w:rPr>
            </w:pPr>
          </w:p>
        </w:tc>
        <w:tc>
          <w:tcPr>
            <w:tcW w:w="8720" w:type="dxa"/>
            <w:vAlign w:val="bottom"/>
          </w:tcPr>
          <w:p>
            <w:pPr>
              <w:ind w:left="3620"/>
              <w:spacing w:after="0"/>
              <w:rPr>
                <w:sz w:val="20"/>
                <w:szCs w:val="20"/>
                <w:color w:val="auto"/>
              </w:rPr>
            </w:pPr>
            <w:r>
              <w:rPr>
                <w:rFonts w:ascii="Arial" w:cs="Arial" w:eastAsia="Arial" w:hAnsi="Arial"/>
                <w:sz w:val="18"/>
                <w:szCs w:val="18"/>
                <w:color w:val="auto"/>
              </w:rPr>
              <w:t>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10780" w:type="dxa"/>
            <w:vAlign w:val="bottom"/>
            <w:tcBorders>
              <w:bottom w:val="single" w:sz="8" w:color="010101"/>
            </w:tcBorders>
            <w:gridSpan w:val="2"/>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77"/>
        </w:trPr>
        <w:tc>
          <w:tcPr>
            <w:tcW w:w="10780" w:type="dxa"/>
            <w:vAlign w:val="bottom"/>
            <w:gridSpan w:val="2"/>
          </w:tcPr>
          <w:p>
            <w:pPr>
              <w:spacing w:after="0"/>
              <w:rPr>
                <w:sz w:val="20"/>
                <w:szCs w:val="20"/>
                <w:color w:val="auto"/>
              </w:rPr>
            </w:pPr>
            <w:r>
              <w:rPr>
                <w:rFonts w:ascii="Arial" w:cs="Arial" w:eastAsia="Arial" w:hAnsi="Arial"/>
                <w:sz w:val="18"/>
                <w:szCs w:val="18"/>
                <w:color w:val="auto"/>
              </w:rPr>
              <w:t>ARTICLE IV SATISFACTION AND DISCHARGE</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418"/>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4.01.</w:t>
            </w:r>
          </w:p>
        </w:tc>
        <w:tc>
          <w:tcPr>
            <w:tcW w:w="8720" w:type="dxa"/>
            <w:vAlign w:val="bottom"/>
          </w:tcPr>
          <w:p>
            <w:pPr>
              <w:ind w:left="20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4.02.</w:t>
            </w:r>
          </w:p>
        </w:tc>
        <w:tc>
          <w:tcPr>
            <w:tcW w:w="8720" w:type="dxa"/>
            <w:vAlign w:val="bottom"/>
          </w:tcPr>
          <w:p>
            <w:pPr>
              <w:ind w:left="200"/>
              <w:spacing w:after="0"/>
              <w:rPr>
                <w:sz w:val="20"/>
                <w:szCs w:val="20"/>
                <w:color w:val="auto"/>
              </w:rPr>
            </w:pPr>
            <w:r>
              <w:rPr>
                <w:rFonts w:ascii="Arial" w:cs="Arial" w:eastAsia="Arial" w:hAnsi="Arial"/>
                <w:sz w:val="18"/>
                <w:szCs w:val="18"/>
                <w:color w:val="auto"/>
              </w:rPr>
              <w:t>Application of Trust Money</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r>
      <w:tr>
        <w:trPr>
          <w:trHeight w:val="432"/>
        </w:trPr>
        <w:tc>
          <w:tcPr>
            <w:tcW w:w="2060" w:type="dxa"/>
            <w:vAlign w:val="bottom"/>
          </w:tcPr>
          <w:p>
            <w:pPr>
              <w:jc w:val="center"/>
              <w:ind w:right="90"/>
              <w:spacing w:after="0"/>
              <w:rPr>
                <w:sz w:val="20"/>
                <w:szCs w:val="20"/>
                <w:color w:val="auto"/>
              </w:rPr>
            </w:pPr>
            <w:r>
              <w:rPr>
                <w:rFonts w:ascii="Arial" w:cs="Arial" w:eastAsia="Arial" w:hAnsi="Arial"/>
                <w:sz w:val="18"/>
                <w:szCs w:val="18"/>
                <w:color w:val="auto"/>
                <w:w w:val="97"/>
              </w:rPr>
              <w:t>ARTICLE V REMEDIES</w:t>
            </w:r>
          </w:p>
        </w:tc>
        <w:tc>
          <w:tcPr>
            <w:tcW w:w="8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418"/>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5.01.</w:t>
            </w:r>
          </w:p>
        </w:tc>
        <w:tc>
          <w:tcPr>
            <w:tcW w:w="872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5.02.</w:t>
            </w:r>
          </w:p>
        </w:tc>
        <w:tc>
          <w:tcPr>
            <w:tcW w:w="8720" w:type="dxa"/>
            <w:vAlign w:val="bottom"/>
          </w:tcPr>
          <w:p>
            <w:pPr>
              <w:ind w:left="20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5.03.</w:t>
            </w:r>
          </w:p>
        </w:tc>
        <w:tc>
          <w:tcPr>
            <w:tcW w:w="8720" w:type="dxa"/>
            <w:vAlign w:val="bottom"/>
          </w:tcPr>
          <w:p>
            <w:pPr>
              <w:ind w:left="20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4"/>
              </w:rPr>
              <w:t>SECTION 5.04.</w:t>
            </w:r>
          </w:p>
        </w:tc>
        <w:tc>
          <w:tcPr>
            <w:tcW w:w="872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-1767840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-1767840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220" w:type="dxa"/>
            <w:vAlign w:val="bottom"/>
          </w:tcPr>
          <w:p>
            <w:pPr>
              <w:ind w:left="20"/>
              <w:spacing w:after="0"/>
              <w:rPr>
                <w:sz w:val="20"/>
                <w:szCs w:val="20"/>
                <w:color w:val="auto"/>
              </w:rPr>
            </w:pPr>
            <w:r>
              <w:rPr>
                <w:rFonts w:ascii="Arial" w:cs="Arial" w:eastAsia="Arial" w:hAnsi="Arial"/>
                <w:sz w:val="18"/>
                <w:szCs w:val="18"/>
                <w:color w:val="auto"/>
              </w:rPr>
              <w:t>Trustee May Enforce Claims Without Possession of Securities</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220" w:type="dxa"/>
            <w:vAlign w:val="bottom"/>
          </w:tcPr>
          <w:p>
            <w:pPr>
              <w:ind w:left="20"/>
              <w:spacing w:after="0"/>
              <w:rPr>
                <w:sz w:val="20"/>
                <w:szCs w:val="20"/>
                <w:color w:val="auto"/>
              </w:rPr>
            </w:pPr>
            <w:r>
              <w:rPr>
                <w:rFonts w:ascii="Arial" w:cs="Arial" w:eastAsia="Arial" w:hAnsi="Arial"/>
                <w:sz w:val="18"/>
                <w:szCs w:val="18"/>
                <w:color w:val="auto"/>
              </w:rPr>
              <w:t>Application of Money Collected</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220" w:type="dxa"/>
            <w:vAlign w:val="bottom"/>
          </w:tcPr>
          <w:p>
            <w:pPr>
              <w:ind w:left="20"/>
              <w:spacing w:after="0"/>
              <w:rPr>
                <w:sz w:val="20"/>
                <w:szCs w:val="20"/>
                <w:color w:val="auto"/>
              </w:rPr>
            </w:pPr>
            <w:r>
              <w:rPr>
                <w:rFonts w:ascii="Arial" w:cs="Arial" w:eastAsia="Arial" w:hAnsi="Arial"/>
                <w:sz w:val="18"/>
                <w:szCs w:val="18"/>
                <w:color w:val="auto"/>
              </w:rPr>
              <w:t>Limitation on Suits</w:t>
            </w:r>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220" w:type="dxa"/>
            <w:vAlign w:val="bottom"/>
          </w:tcPr>
          <w:p>
            <w:pPr>
              <w:ind w:left="2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220" w:type="dxa"/>
            <w:vAlign w:val="bottom"/>
          </w:tcPr>
          <w:p>
            <w:pPr>
              <w:ind w:left="20"/>
              <w:spacing w:after="0"/>
              <w:rPr>
                <w:sz w:val="20"/>
                <w:szCs w:val="20"/>
                <w:color w:val="auto"/>
              </w:rPr>
            </w:pPr>
            <w:r>
              <w:rPr>
                <w:rFonts w:ascii="Arial" w:cs="Arial" w:eastAsia="Arial" w:hAnsi="Arial"/>
                <w:sz w:val="18"/>
                <w:szCs w:val="18"/>
                <w:color w:val="auto"/>
              </w:rPr>
              <w:t>Restoration of Rights and Remedies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220" w:type="dxa"/>
            <w:vAlign w:val="bottom"/>
          </w:tcPr>
          <w:p>
            <w:pPr>
              <w:ind w:left="20"/>
              <w:spacing w:after="0"/>
              <w:rPr>
                <w:sz w:val="20"/>
                <w:szCs w:val="20"/>
                <w:color w:val="auto"/>
              </w:rPr>
            </w:pPr>
            <w:r>
              <w:rPr>
                <w:rFonts w:ascii="Arial" w:cs="Arial" w:eastAsia="Arial" w:hAnsi="Arial"/>
                <w:sz w:val="18"/>
                <w:szCs w:val="18"/>
                <w:color w:val="auto"/>
              </w:rPr>
              <w:t>Rights and Remedies Cumulative</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220" w:type="dxa"/>
            <w:vAlign w:val="bottom"/>
          </w:tcPr>
          <w:p>
            <w:pPr>
              <w:ind w:left="20"/>
              <w:spacing w:after="0"/>
              <w:rPr>
                <w:sz w:val="20"/>
                <w:szCs w:val="20"/>
                <w:color w:val="auto"/>
              </w:rPr>
            </w:pPr>
            <w:r>
              <w:rPr>
                <w:rFonts w:ascii="Arial" w:cs="Arial" w:eastAsia="Arial" w:hAnsi="Arial"/>
                <w:sz w:val="18"/>
                <w:szCs w:val="18"/>
                <w:color w:val="auto"/>
              </w:rPr>
              <w:t>Delay or Omission Not Waiver</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220" w:type="dxa"/>
            <w:vAlign w:val="bottom"/>
          </w:tcPr>
          <w:p>
            <w:pPr>
              <w:ind w:left="20"/>
              <w:spacing w:after="0"/>
              <w:rPr>
                <w:sz w:val="20"/>
                <w:szCs w:val="20"/>
                <w:color w:val="auto"/>
              </w:rPr>
            </w:pPr>
            <w:r>
              <w:rPr>
                <w:rFonts w:ascii="Arial" w:cs="Arial" w:eastAsia="Arial" w:hAnsi="Arial"/>
                <w:sz w:val="18"/>
                <w:szCs w:val="18"/>
                <w:color w:val="auto"/>
              </w:rPr>
              <w:t>Control by 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220" w:type="dxa"/>
            <w:vAlign w:val="bottom"/>
          </w:tcPr>
          <w:p>
            <w:pPr>
              <w:ind w:left="20"/>
              <w:spacing w:after="0"/>
              <w:rPr>
                <w:sz w:val="20"/>
                <w:szCs w:val="20"/>
                <w:color w:val="auto"/>
              </w:rPr>
            </w:pPr>
            <w:r>
              <w:rPr>
                <w:rFonts w:ascii="Arial" w:cs="Arial" w:eastAsia="Arial" w:hAnsi="Arial"/>
                <w:sz w:val="18"/>
                <w:szCs w:val="18"/>
                <w:color w:val="auto"/>
              </w:rPr>
              <w:t>Waiver of Past Defaults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220" w:type="dxa"/>
            <w:vAlign w:val="bottom"/>
          </w:tcPr>
          <w:p>
            <w:pPr>
              <w:ind w:left="20"/>
              <w:spacing w:after="0"/>
              <w:rPr>
                <w:sz w:val="20"/>
                <w:szCs w:val="20"/>
                <w:color w:val="auto"/>
              </w:rPr>
            </w:pPr>
            <w:r>
              <w:rPr>
                <w:rFonts w:ascii="Arial" w:cs="Arial" w:eastAsia="Arial" w:hAnsi="Arial"/>
                <w:sz w:val="18"/>
                <w:szCs w:val="18"/>
                <w:color w:val="auto"/>
              </w:rPr>
              <w:t>Undertaking for Costs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220" w:type="dxa"/>
            <w:vAlign w:val="bottom"/>
          </w:tcPr>
          <w:p>
            <w:pPr>
              <w:ind w:left="20"/>
              <w:spacing w:after="0"/>
              <w:rPr>
                <w:sz w:val="20"/>
                <w:szCs w:val="20"/>
                <w:color w:val="auto"/>
              </w:rPr>
            </w:pPr>
            <w:r>
              <w:rPr>
                <w:rFonts w:ascii="Arial" w:cs="Arial" w:eastAsia="Arial" w:hAnsi="Arial"/>
                <w:sz w:val="18"/>
                <w:szCs w:val="18"/>
                <w:color w:val="auto"/>
              </w:rPr>
              <w:t>Waiver of Usury, Stay or Extension Laws</w:t>
            </w:r>
          </w:p>
        </w:tc>
        <w:tc>
          <w:tcPr>
            <w:tcW w:w="20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w w:val="97"/>
              </w:rPr>
              <w:t>ARTICLE VI THE TRUSTEE</w:t>
            </w:r>
          </w:p>
        </w:tc>
        <w:tc>
          <w:tcPr>
            <w:tcW w:w="72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22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220" w:type="dxa"/>
            <w:vAlign w:val="bottom"/>
          </w:tcPr>
          <w:p>
            <w:pPr>
              <w:ind w:left="20"/>
              <w:spacing w:after="0"/>
              <w:rPr>
                <w:sz w:val="20"/>
                <w:szCs w:val="20"/>
                <w:color w:val="auto"/>
              </w:rPr>
            </w:pPr>
            <w:r>
              <w:rPr>
                <w:rFonts w:ascii="Arial" w:cs="Arial" w:eastAsia="Arial" w:hAnsi="Arial"/>
                <w:sz w:val="18"/>
                <w:szCs w:val="18"/>
                <w:color w:val="auto"/>
              </w:rPr>
              <w:t>Certain Duties and Responsibilities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220" w:type="dxa"/>
            <w:vAlign w:val="bottom"/>
          </w:tcPr>
          <w:p>
            <w:pPr>
              <w:ind w:left="20"/>
              <w:spacing w:after="0"/>
              <w:rPr>
                <w:sz w:val="20"/>
                <w:szCs w:val="20"/>
                <w:color w:val="auto"/>
              </w:rPr>
            </w:pPr>
            <w:r>
              <w:rPr>
                <w:rFonts w:ascii="Arial" w:cs="Arial" w:eastAsia="Arial" w:hAnsi="Arial"/>
                <w:sz w:val="18"/>
                <w:szCs w:val="18"/>
                <w:color w:val="auto"/>
              </w:rPr>
              <w:t>Notice of Defaults</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220" w:type="dxa"/>
            <w:vAlign w:val="bottom"/>
          </w:tcPr>
          <w:p>
            <w:pPr>
              <w:ind w:left="20"/>
              <w:spacing w:after="0"/>
              <w:rPr>
                <w:sz w:val="20"/>
                <w:szCs w:val="20"/>
                <w:color w:val="auto"/>
              </w:rPr>
            </w:pPr>
            <w:r>
              <w:rPr>
                <w:rFonts w:ascii="Arial" w:cs="Arial" w:eastAsia="Arial" w:hAnsi="Arial"/>
                <w:sz w:val="18"/>
                <w:szCs w:val="18"/>
                <w:color w:val="auto"/>
              </w:rPr>
              <w:t>Certain Rights of Trustee</w:t>
            </w:r>
          </w:p>
        </w:tc>
        <w:tc>
          <w:tcPr>
            <w:tcW w:w="20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220" w:type="dxa"/>
            <w:vAlign w:val="bottom"/>
          </w:tcPr>
          <w:p>
            <w:pPr>
              <w:ind w:left="20"/>
              <w:spacing w:after="0"/>
              <w:rPr>
                <w:sz w:val="20"/>
                <w:szCs w:val="20"/>
                <w:color w:val="auto"/>
              </w:rPr>
            </w:pPr>
            <w:r>
              <w:rPr>
                <w:rFonts w:ascii="Arial" w:cs="Arial" w:eastAsia="Arial" w:hAnsi="Arial"/>
                <w:sz w:val="18"/>
                <w:szCs w:val="18"/>
                <w:color w:val="auto"/>
              </w:rPr>
              <w:t>Not Responsible for Recitals or Issuance of Securities</w:t>
            </w: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220" w:type="dxa"/>
            <w:vAlign w:val="bottom"/>
          </w:tcPr>
          <w:p>
            <w:pPr>
              <w:ind w:left="20"/>
              <w:spacing w:after="0"/>
              <w:rPr>
                <w:sz w:val="20"/>
                <w:szCs w:val="20"/>
                <w:color w:val="auto"/>
              </w:rPr>
            </w:pPr>
            <w:r>
              <w:rPr>
                <w:rFonts w:ascii="Arial" w:cs="Arial" w:eastAsia="Arial" w:hAnsi="Arial"/>
                <w:sz w:val="18"/>
                <w:szCs w:val="18"/>
                <w:color w:val="auto"/>
              </w:rPr>
              <w:t>May Hold Securities</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220" w:type="dxa"/>
            <w:vAlign w:val="bottom"/>
          </w:tcPr>
          <w:p>
            <w:pPr>
              <w:ind w:left="20"/>
              <w:spacing w:after="0"/>
              <w:rPr>
                <w:sz w:val="20"/>
                <w:szCs w:val="20"/>
                <w:color w:val="auto"/>
              </w:rPr>
            </w:pPr>
            <w:r>
              <w:rPr>
                <w:rFonts w:ascii="Arial" w:cs="Arial" w:eastAsia="Arial" w:hAnsi="Arial"/>
                <w:sz w:val="18"/>
                <w:szCs w:val="18"/>
                <w:color w:val="auto"/>
              </w:rPr>
              <w:t>Money Held in Trust</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220" w:type="dxa"/>
            <w:vAlign w:val="bottom"/>
          </w:tcPr>
          <w:p>
            <w:pPr>
              <w:ind w:left="20"/>
              <w:spacing w:after="0"/>
              <w:rPr>
                <w:sz w:val="20"/>
                <w:szCs w:val="20"/>
                <w:color w:val="auto"/>
              </w:rPr>
            </w:pPr>
            <w:r>
              <w:rPr>
                <w:rFonts w:ascii="Arial" w:cs="Arial" w:eastAsia="Arial" w:hAnsi="Arial"/>
                <w:sz w:val="18"/>
                <w:szCs w:val="18"/>
                <w:color w:val="auto"/>
              </w:rPr>
              <w:t>Compensation and Reimbursement</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220" w:type="dxa"/>
            <w:vAlign w:val="bottom"/>
          </w:tcPr>
          <w:p>
            <w:pPr>
              <w:ind w:left="20"/>
              <w:spacing w:after="0"/>
              <w:rPr>
                <w:sz w:val="20"/>
                <w:szCs w:val="20"/>
                <w:color w:val="auto"/>
              </w:rPr>
            </w:pPr>
            <w:r>
              <w:rPr>
                <w:rFonts w:ascii="Arial" w:cs="Arial" w:eastAsia="Arial" w:hAnsi="Arial"/>
                <w:sz w:val="18"/>
                <w:szCs w:val="18"/>
                <w:color w:val="auto"/>
              </w:rPr>
              <w:t>Conflicting Interests</w:t>
            </w:r>
          </w:p>
        </w:tc>
        <w:tc>
          <w:tcPr>
            <w:tcW w:w="2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220" w:type="dxa"/>
            <w:vAlign w:val="bottom"/>
          </w:tcPr>
          <w:p>
            <w:pPr>
              <w:ind w:left="20"/>
              <w:spacing w:after="0"/>
              <w:rPr>
                <w:sz w:val="20"/>
                <w:szCs w:val="20"/>
                <w:color w:val="auto"/>
              </w:rPr>
            </w:pPr>
            <w:r>
              <w:rPr>
                <w:rFonts w:ascii="Arial" w:cs="Arial" w:eastAsia="Arial" w:hAnsi="Arial"/>
                <w:sz w:val="18"/>
                <w:szCs w:val="18"/>
                <w:color w:val="auto"/>
              </w:rPr>
              <w:t>Corporate Trustee Required; Eligibility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20"/>
              <w:spacing w:after="0"/>
              <w:rPr>
                <w:sz w:val="20"/>
                <w:szCs w:val="20"/>
                <w:color w:val="auto"/>
              </w:rPr>
            </w:pPr>
            <w:r>
              <w:rPr>
                <w:rFonts w:ascii="Arial" w:cs="Arial" w:eastAsia="Arial" w:hAnsi="Arial"/>
                <w:sz w:val="18"/>
                <w:szCs w:val="18"/>
                <w:color w:val="auto"/>
              </w:rPr>
              <w:t>Resignation and Removal; Appointment of Successor</w:t>
            </w:r>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20"/>
              <w:spacing w:after="0"/>
              <w:rPr>
                <w:sz w:val="20"/>
                <w:szCs w:val="20"/>
                <w:color w:val="auto"/>
              </w:rPr>
            </w:pPr>
            <w:r>
              <w:rPr>
                <w:rFonts w:ascii="Arial" w:cs="Arial" w:eastAsia="Arial" w:hAnsi="Arial"/>
                <w:sz w:val="18"/>
                <w:szCs w:val="18"/>
                <w:color w:val="auto"/>
              </w:rPr>
              <w:t>Acceptance of Appointment by Successor</w:t>
            </w:r>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220" w:type="dxa"/>
            <w:vAlign w:val="bottom"/>
          </w:tcPr>
          <w:p>
            <w:pPr>
              <w:ind w:left="20"/>
              <w:spacing w:after="0"/>
              <w:rPr>
                <w:sz w:val="20"/>
                <w:szCs w:val="20"/>
                <w:color w:val="auto"/>
              </w:rPr>
            </w:pPr>
            <w:r>
              <w:rPr>
                <w:rFonts w:ascii="Arial" w:cs="Arial" w:eastAsia="Arial" w:hAnsi="Arial"/>
                <w:sz w:val="18"/>
                <w:szCs w:val="18"/>
                <w:color w:val="auto"/>
              </w:rPr>
              <w:t>Merger, Conversion, Consolidation or Succession to Business</w:t>
            </w: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220" w:type="dxa"/>
            <w:vAlign w:val="bottom"/>
          </w:tcPr>
          <w:p>
            <w:pPr>
              <w:ind w:left="20"/>
              <w:spacing w:after="0"/>
              <w:rPr>
                <w:sz w:val="20"/>
                <w:szCs w:val="20"/>
                <w:color w:val="auto"/>
              </w:rPr>
            </w:pPr>
            <w:r>
              <w:rPr>
                <w:rFonts w:ascii="Arial" w:cs="Arial" w:eastAsia="Arial" w:hAnsi="Arial"/>
                <w:sz w:val="18"/>
                <w:szCs w:val="18"/>
                <w:color w:val="auto"/>
              </w:rPr>
              <w:t>Preferential Collection of Claims Against Company</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220" w:type="dxa"/>
            <w:vAlign w:val="bottom"/>
          </w:tcPr>
          <w:p>
            <w:pPr>
              <w:ind w:left="20"/>
              <w:spacing w:after="0"/>
              <w:rPr>
                <w:sz w:val="20"/>
                <w:szCs w:val="20"/>
                <w:color w:val="auto"/>
              </w:rPr>
            </w:pPr>
            <w:r>
              <w:rPr>
                <w:rFonts w:ascii="Arial" w:cs="Arial" w:eastAsia="Arial" w:hAnsi="Arial"/>
                <w:sz w:val="18"/>
                <w:szCs w:val="18"/>
                <w:color w:val="auto"/>
              </w:rPr>
              <w:t>Appointment of Authenticating Agent</w:t>
            </w:r>
          </w:p>
        </w:tc>
        <w:tc>
          <w:tcPr>
            <w:tcW w:w="2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ARTICLE VII HOLDERS’ LISTS AND REPORTS BY TRUSTEE AND COMPANY</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8"/>
        </w:trPr>
        <w:tc>
          <w:tcPr>
            <w:tcW w:w="224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220" w:type="dxa"/>
            <w:vAlign w:val="bottom"/>
          </w:tcPr>
          <w:p>
            <w:pPr>
              <w:ind w:left="20"/>
              <w:spacing w:after="0"/>
              <w:rPr>
                <w:sz w:val="20"/>
                <w:szCs w:val="20"/>
                <w:color w:val="auto"/>
              </w:rPr>
            </w:pPr>
            <w:r>
              <w:rPr>
                <w:rFonts w:ascii="Arial" w:cs="Arial" w:eastAsia="Arial" w:hAnsi="Arial"/>
                <w:sz w:val="18"/>
                <w:szCs w:val="18"/>
                <w:color w:val="auto"/>
              </w:rPr>
              <w:t>Company to Furnish Trustee Names and Addresses of 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220" w:type="dxa"/>
            <w:vAlign w:val="bottom"/>
          </w:tcPr>
          <w:p>
            <w:pPr>
              <w:ind w:left="20"/>
              <w:spacing w:after="0"/>
              <w:rPr>
                <w:sz w:val="20"/>
                <w:szCs w:val="20"/>
                <w:color w:val="auto"/>
              </w:rPr>
            </w:pPr>
            <w:r>
              <w:rPr>
                <w:rFonts w:ascii="Arial" w:cs="Arial" w:eastAsia="Arial" w:hAnsi="Arial"/>
                <w:sz w:val="18"/>
                <w:szCs w:val="18"/>
                <w:color w:val="auto"/>
              </w:rPr>
              <w:t>Preservation of Information; Communications to 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220" w:type="dxa"/>
            <w:vAlign w:val="bottom"/>
          </w:tcPr>
          <w:p>
            <w:pPr>
              <w:ind w:left="20"/>
              <w:spacing w:after="0"/>
              <w:rPr>
                <w:sz w:val="20"/>
                <w:szCs w:val="20"/>
                <w:color w:val="auto"/>
              </w:rPr>
            </w:pPr>
            <w:r>
              <w:rPr>
                <w:rFonts w:ascii="Arial" w:cs="Arial" w:eastAsia="Arial" w:hAnsi="Arial"/>
                <w:sz w:val="18"/>
                <w:szCs w:val="18"/>
                <w:color w:val="auto"/>
              </w:rPr>
              <w:t>Reports by Trustee</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220" w:type="dxa"/>
            <w:vAlign w:val="bottom"/>
          </w:tcPr>
          <w:p>
            <w:pPr>
              <w:ind w:left="20"/>
              <w:spacing w:after="0"/>
              <w:rPr>
                <w:sz w:val="20"/>
                <w:szCs w:val="20"/>
                <w:color w:val="auto"/>
              </w:rPr>
            </w:pPr>
            <w:r>
              <w:rPr>
                <w:rFonts w:ascii="Arial" w:cs="Arial" w:eastAsia="Arial" w:hAnsi="Arial"/>
                <w:sz w:val="18"/>
                <w:szCs w:val="18"/>
                <w:color w:val="auto"/>
              </w:rPr>
              <w:t>Reports by Company</w:t>
            </w: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702"/>
        </w:trPr>
        <w:tc>
          <w:tcPr>
            <w:tcW w:w="2240" w:type="dxa"/>
            <w:vAlign w:val="bottom"/>
          </w:tcPr>
          <w:p>
            <w:pPr>
              <w:spacing w:after="0"/>
              <w:rPr>
                <w:sz w:val="24"/>
                <w:szCs w:val="24"/>
                <w:color w:val="auto"/>
              </w:rPr>
            </w:pPr>
          </w:p>
        </w:tc>
        <w:tc>
          <w:tcPr>
            <w:tcW w:w="7220" w:type="dxa"/>
            <w:vAlign w:val="bottom"/>
          </w:tcPr>
          <w:p>
            <w:pPr>
              <w:ind w:left="3420"/>
              <w:spacing w:after="0"/>
              <w:rPr>
                <w:sz w:val="20"/>
                <w:szCs w:val="20"/>
                <w:color w:val="auto"/>
              </w:rPr>
            </w:pPr>
            <w:r>
              <w:rPr>
                <w:rFonts w:ascii="Arial" w:cs="Arial" w:eastAsia="Arial" w:hAnsi="Arial"/>
                <w:sz w:val="18"/>
                <w:szCs w:val="18"/>
                <w:color w:val="auto"/>
              </w:rPr>
              <w:t>ii</w:t>
            </w:r>
          </w:p>
        </w:tc>
        <w:tc>
          <w:tcPr>
            <w:tcW w:w="2000" w:type="dxa"/>
            <w:vAlign w:val="bottom"/>
          </w:tcPr>
          <w:p>
            <w:pPr>
              <w:spacing w:after="0"/>
              <w:rPr>
                <w:sz w:val="24"/>
                <w:szCs w:val="24"/>
                <w:color w:val="auto"/>
              </w:rPr>
            </w:pPr>
          </w:p>
        </w:tc>
      </w:tr>
      <w:tr>
        <w:trPr>
          <w:trHeight w:val="375"/>
        </w:trPr>
        <w:tc>
          <w:tcPr>
            <w:tcW w:w="9460" w:type="dxa"/>
            <w:vAlign w:val="bottom"/>
            <w:tcBorders>
              <w:bottom w:val="single" w:sz="8" w:color="010101"/>
            </w:tcBorders>
            <w:gridSpan w:val="2"/>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r>
      <w:tr>
        <w:trPr>
          <w:trHeight w:val="577"/>
        </w:trPr>
        <w:tc>
          <w:tcPr>
            <w:tcW w:w="9460" w:type="dxa"/>
            <w:vAlign w:val="bottom"/>
            <w:gridSpan w:val="2"/>
          </w:tcPr>
          <w:p>
            <w:pPr>
              <w:spacing w:after="0"/>
              <w:rPr>
                <w:sz w:val="20"/>
                <w:szCs w:val="20"/>
                <w:color w:val="auto"/>
              </w:rPr>
            </w:pPr>
            <w:r>
              <w:rPr>
                <w:rFonts w:ascii="Arial" w:cs="Arial" w:eastAsia="Arial" w:hAnsi="Arial"/>
                <w:sz w:val="18"/>
                <w:szCs w:val="18"/>
                <w:color w:val="auto"/>
              </w:rPr>
              <w:t>ARTICLE VIII CONSOLIDATION, MERGER, CONVEYANCE, TRANSFER OR LEASE</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224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220" w:type="dxa"/>
            <w:vAlign w:val="bottom"/>
          </w:tcPr>
          <w:p>
            <w:pPr>
              <w:ind w:left="20"/>
              <w:spacing w:after="0"/>
              <w:rPr>
                <w:sz w:val="20"/>
                <w:szCs w:val="20"/>
                <w:color w:val="auto"/>
              </w:rPr>
            </w:pPr>
            <w:r>
              <w:rPr>
                <w:rFonts w:ascii="Arial" w:cs="Arial" w:eastAsia="Arial" w:hAnsi="Arial"/>
                <w:sz w:val="18"/>
                <w:szCs w:val="18"/>
                <w:color w:val="auto"/>
              </w:rPr>
              <w:t>Company May Consolidate, Etc., Only on Certain Terms</w:t>
            </w: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220" w:type="dxa"/>
            <w:vAlign w:val="bottom"/>
          </w:tcPr>
          <w:p>
            <w:pPr>
              <w:ind w:left="20"/>
              <w:spacing w:after="0"/>
              <w:rPr>
                <w:sz w:val="20"/>
                <w:szCs w:val="20"/>
                <w:color w:val="auto"/>
              </w:rPr>
            </w:pPr>
            <w:r>
              <w:rPr>
                <w:rFonts w:ascii="Arial" w:cs="Arial" w:eastAsia="Arial" w:hAnsi="Arial"/>
                <w:sz w:val="18"/>
                <w:szCs w:val="18"/>
                <w:color w:val="auto"/>
              </w:rPr>
              <w:t>Successor Substituted</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224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220" w:type="dxa"/>
            <w:vAlign w:val="bottom"/>
          </w:tcPr>
          <w:p>
            <w:pPr>
              <w:ind w:left="20"/>
              <w:spacing w:after="0"/>
              <w:rPr>
                <w:sz w:val="20"/>
                <w:szCs w:val="20"/>
                <w:color w:val="auto"/>
              </w:rPr>
            </w:pPr>
            <w:r>
              <w:rPr>
                <w:rFonts w:ascii="Arial" w:cs="Arial" w:eastAsia="Arial" w:hAnsi="Arial"/>
                <w:sz w:val="18"/>
                <w:szCs w:val="18"/>
                <w:color w:val="auto"/>
              </w:rPr>
              <w:t>Supplemental Indentures Without Consent of 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220" w:type="dxa"/>
            <w:vAlign w:val="bottom"/>
          </w:tcPr>
          <w:p>
            <w:pPr>
              <w:ind w:left="20"/>
              <w:spacing w:after="0"/>
              <w:rPr>
                <w:sz w:val="20"/>
                <w:szCs w:val="20"/>
                <w:color w:val="auto"/>
              </w:rPr>
            </w:pPr>
            <w:r>
              <w:rPr>
                <w:rFonts w:ascii="Arial" w:cs="Arial" w:eastAsia="Arial" w:hAnsi="Arial"/>
                <w:sz w:val="18"/>
                <w:szCs w:val="18"/>
                <w:color w:val="auto"/>
              </w:rPr>
              <w:t>Supplemental Indentures With Consent of Holders</w:t>
            </w: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220" w:type="dxa"/>
            <w:vAlign w:val="bottom"/>
          </w:tcPr>
          <w:p>
            <w:pPr>
              <w:ind w:left="20"/>
              <w:spacing w:after="0"/>
              <w:rPr>
                <w:sz w:val="20"/>
                <w:szCs w:val="20"/>
                <w:color w:val="auto"/>
              </w:rPr>
            </w:pPr>
            <w:r>
              <w:rPr>
                <w:rFonts w:ascii="Arial" w:cs="Arial" w:eastAsia="Arial" w:hAnsi="Arial"/>
                <w:sz w:val="18"/>
                <w:szCs w:val="18"/>
                <w:color w:val="auto"/>
              </w:rPr>
              <w:t>Execution of Supplemental Indentures</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220" w:type="dxa"/>
            <w:vAlign w:val="bottom"/>
          </w:tcPr>
          <w:p>
            <w:pPr>
              <w:ind w:left="20"/>
              <w:spacing w:after="0"/>
              <w:rPr>
                <w:sz w:val="20"/>
                <w:szCs w:val="20"/>
                <w:color w:val="auto"/>
              </w:rPr>
            </w:pPr>
            <w:r>
              <w:rPr>
                <w:rFonts w:ascii="Arial" w:cs="Arial" w:eastAsia="Arial" w:hAnsi="Arial"/>
                <w:sz w:val="18"/>
                <w:szCs w:val="18"/>
                <w:color w:val="auto"/>
              </w:rPr>
              <w:t>Effect of Supplemental Indentures</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220" w:type="dxa"/>
            <w:vAlign w:val="bottom"/>
          </w:tcPr>
          <w:p>
            <w:pPr>
              <w:ind w:left="20"/>
              <w:spacing w:after="0"/>
              <w:rPr>
                <w:sz w:val="20"/>
                <w:szCs w:val="20"/>
                <w:color w:val="auto"/>
              </w:rPr>
            </w:pPr>
            <w:r>
              <w:rPr>
                <w:rFonts w:ascii="Arial" w:cs="Arial" w:eastAsia="Arial" w:hAnsi="Arial"/>
                <w:sz w:val="18"/>
                <w:szCs w:val="18"/>
                <w:color w:val="auto"/>
              </w:rPr>
              <w:t>Conformity With Trust Indenture Act</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220" w:type="dxa"/>
            <w:vAlign w:val="bottom"/>
          </w:tcPr>
          <w:p>
            <w:pPr>
              <w:ind w:left="20"/>
              <w:spacing w:after="0"/>
              <w:rPr>
                <w:sz w:val="20"/>
                <w:szCs w:val="20"/>
                <w:color w:val="auto"/>
              </w:rPr>
            </w:pPr>
            <w:r>
              <w:rPr>
                <w:rFonts w:ascii="Arial" w:cs="Arial" w:eastAsia="Arial" w:hAnsi="Arial"/>
                <w:sz w:val="18"/>
                <w:szCs w:val="18"/>
                <w:color w:val="auto"/>
              </w:rPr>
              <w:t>Reference in Securities to Supplemental Indentures</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ARTICLE X COVENANTS</w:t>
            </w:r>
          </w:p>
        </w:tc>
        <w:tc>
          <w:tcPr>
            <w:tcW w:w="72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22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220" w:type="dxa"/>
            <w:vAlign w:val="bottom"/>
          </w:tcPr>
          <w:p>
            <w:pPr>
              <w:ind w:left="20"/>
              <w:spacing w:after="0"/>
              <w:rPr>
                <w:sz w:val="20"/>
                <w:szCs w:val="20"/>
                <w:color w:val="auto"/>
              </w:rPr>
            </w:pPr>
            <w:r>
              <w:rPr>
                <w:rFonts w:ascii="Arial" w:cs="Arial" w:eastAsia="Arial" w:hAnsi="Arial"/>
                <w:sz w:val="18"/>
                <w:szCs w:val="18"/>
                <w:color w:val="auto"/>
              </w:rPr>
              <w:t>Payment of Principal, Premium and Interest</w:t>
            </w: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220" w:type="dxa"/>
            <w:vAlign w:val="bottom"/>
          </w:tcPr>
          <w:p>
            <w:pPr>
              <w:ind w:left="20"/>
              <w:spacing w:after="0"/>
              <w:rPr>
                <w:sz w:val="20"/>
                <w:szCs w:val="20"/>
                <w:color w:val="auto"/>
              </w:rPr>
            </w:pPr>
            <w:r>
              <w:rPr>
                <w:rFonts w:ascii="Arial" w:cs="Arial" w:eastAsia="Arial" w:hAnsi="Arial"/>
                <w:sz w:val="18"/>
                <w:szCs w:val="18"/>
                <w:color w:val="auto"/>
              </w:rPr>
              <w:t>Maintenance of Office or Agency</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220" w:type="dxa"/>
            <w:vAlign w:val="bottom"/>
          </w:tcPr>
          <w:p>
            <w:pPr>
              <w:ind w:left="20"/>
              <w:spacing w:after="0"/>
              <w:rPr>
                <w:sz w:val="20"/>
                <w:szCs w:val="20"/>
                <w:color w:val="auto"/>
              </w:rPr>
            </w:pPr>
            <w:r>
              <w:rPr>
                <w:rFonts w:ascii="Arial" w:cs="Arial" w:eastAsia="Arial" w:hAnsi="Arial"/>
                <w:sz w:val="18"/>
                <w:szCs w:val="18"/>
                <w:color w:val="auto"/>
              </w:rPr>
              <w:t>Money for Securities Payments to be Held in Trust</w:t>
            </w: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220" w:type="dxa"/>
            <w:vAlign w:val="bottom"/>
          </w:tcPr>
          <w:p>
            <w:pPr>
              <w:ind w:left="20"/>
              <w:spacing w:after="0"/>
              <w:rPr>
                <w:sz w:val="20"/>
                <w:szCs w:val="20"/>
                <w:color w:val="auto"/>
              </w:rPr>
            </w:pPr>
            <w:r>
              <w:rPr>
                <w:rFonts w:ascii="Arial" w:cs="Arial" w:eastAsia="Arial" w:hAnsi="Arial"/>
                <w:sz w:val="18"/>
                <w:szCs w:val="18"/>
                <w:color w:val="auto"/>
              </w:rPr>
              <w:t>Statement by Officers as to Default</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220" w:type="dxa"/>
            <w:vAlign w:val="bottom"/>
          </w:tcPr>
          <w:p>
            <w:pPr>
              <w:ind w:left="20"/>
              <w:spacing w:after="0"/>
              <w:rPr>
                <w:sz w:val="20"/>
                <w:szCs w:val="20"/>
                <w:color w:val="auto"/>
              </w:rPr>
            </w:pPr>
            <w:r>
              <w:rPr>
                <w:rFonts w:ascii="Arial" w:cs="Arial" w:eastAsia="Arial" w:hAnsi="Arial"/>
                <w:sz w:val="18"/>
                <w:szCs w:val="18"/>
                <w:color w:val="auto"/>
              </w:rPr>
              <w:t>Existence</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7220" w:type="dxa"/>
            <w:vAlign w:val="bottom"/>
          </w:tcPr>
          <w:p>
            <w:pPr>
              <w:ind w:left="20"/>
              <w:spacing w:after="0"/>
              <w:rPr>
                <w:sz w:val="20"/>
                <w:szCs w:val="20"/>
                <w:color w:val="auto"/>
              </w:rPr>
            </w:pPr>
            <w:r>
              <w:rPr>
                <w:rFonts w:ascii="Arial" w:cs="Arial" w:eastAsia="Arial" w:hAnsi="Arial"/>
                <w:sz w:val="18"/>
                <w:szCs w:val="18"/>
                <w:color w:val="auto"/>
              </w:rPr>
              <w:t>Maintenance of Properties</w:t>
            </w:r>
          </w:p>
        </w:tc>
        <w:tc>
          <w:tcPr>
            <w:tcW w:w="2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7220" w:type="dxa"/>
            <w:vAlign w:val="bottom"/>
          </w:tcPr>
          <w:p>
            <w:pPr>
              <w:ind w:left="20"/>
              <w:spacing w:after="0"/>
              <w:rPr>
                <w:sz w:val="20"/>
                <w:szCs w:val="20"/>
                <w:color w:val="auto"/>
              </w:rPr>
            </w:pPr>
            <w:r>
              <w:rPr>
                <w:rFonts w:ascii="Arial" w:cs="Arial" w:eastAsia="Arial" w:hAnsi="Arial"/>
                <w:sz w:val="18"/>
                <w:szCs w:val="18"/>
                <w:color w:val="auto"/>
              </w:rPr>
              <w:t>Payment of Taxes and Other Claims</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7220" w:type="dxa"/>
            <w:vAlign w:val="bottom"/>
          </w:tcPr>
          <w:p>
            <w:pPr>
              <w:ind w:left="20"/>
              <w:spacing w:after="0"/>
              <w:rPr>
                <w:sz w:val="20"/>
                <w:szCs w:val="20"/>
                <w:color w:val="auto"/>
              </w:rPr>
            </w:pPr>
            <w:r>
              <w:rPr>
                <w:rFonts w:ascii="Arial" w:cs="Arial" w:eastAsia="Arial" w:hAnsi="Arial"/>
                <w:sz w:val="18"/>
                <w:szCs w:val="18"/>
                <w:color w:val="auto"/>
              </w:rPr>
              <w:t>Limitation on Liens</w:t>
            </w:r>
          </w:p>
        </w:tc>
        <w:tc>
          <w:tcPr>
            <w:tcW w:w="2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7220" w:type="dxa"/>
            <w:vAlign w:val="bottom"/>
          </w:tcPr>
          <w:p>
            <w:pPr>
              <w:ind w:left="20"/>
              <w:spacing w:after="0"/>
              <w:rPr>
                <w:sz w:val="20"/>
                <w:szCs w:val="20"/>
                <w:color w:val="auto"/>
              </w:rPr>
            </w:pPr>
            <w:r>
              <w:rPr>
                <w:rFonts w:ascii="Arial" w:cs="Arial" w:eastAsia="Arial" w:hAnsi="Arial"/>
                <w:sz w:val="18"/>
                <w:szCs w:val="18"/>
                <w:color w:val="auto"/>
              </w:rPr>
              <w:t>Limitation on Sale and Lease-Back Transactions</w:t>
            </w:r>
          </w:p>
        </w:tc>
        <w:tc>
          <w:tcPr>
            <w:tcW w:w="2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7220" w:type="dxa"/>
            <w:vAlign w:val="bottom"/>
          </w:tcPr>
          <w:p>
            <w:pPr>
              <w:ind w:left="20"/>
              <w:spacing w:after="0"/>
              <w:rPr>
                <w:sz w:val="20"/>
                <w:szCs w:val="20"/>
                <w:color w:val="auto"/>
              </w:rPr>
            </w:pPr>
            <w:r>
              <w:rPr>
                <w:rFonts w:ascii="Arial" w:cs="Arial" w:eastAsia="Arial" w:hAnsi="Arial"/>
                <w:sz w:val="18"/>
                <w:szCs w:val="18"/>
                <w:color w:val="auto"/>
              </w:rPr>
              <w:t>Waiver of Certain Covenants</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9460" w:type="dxa"/>
            <w:vAlign w:val="bottom"/>
            <w:gridSpan w:val="2"/>
          </w:tcPr>
          <w:p>
            <w:pPr>
              <w:spacing w:after="0"/>
              <w:rPr>
                <w:sz w:val="20"/>
                <w:szCs w:val="20"/>
                <w:color w:val="auto"/>
              </w:rPr>
            </w:pPr>
            <w:r>
              <w:rPr>
                <w:rFonts w:ascii="Arial" w:cs="Arial" w:eastAsia="Arial" w:hAnsi="Arial"/>
                <w:sz w:val="18"/>
                <w:szCs w:val="18"/>
                <w:color w:val="auto"/>
              </w:rPr>
              <w:t>ARTICLE XI REDEMPTION OR REPAYMENT OF SECURITIES</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22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22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220" w:type="dxa"/>
            <w:vAlign w:val="bottom"/>
          </w:tcPr>
          <w:p>
            <w:pPr>
              <w:ind w:left="20"/>
              <w:spacing w:after="0"/>
              <w:rPr>
                <w:sz w:val="20"/>
                <w:szCs w:val="20"/>
                <w:color w:val="auto"/>
              </w:rPr>
            </w:pPr>
            <w:r>
              <w:rPr>
                <w:rFonts w:ascii="Arial" w:cs="Arial" w:eastAsia="Arial" w:hAnsi="Arial"/>
                <w:sz w:val="18"/>
                <w:szCs w:val="18"/>
                <w:color w:val="auto"/>
              </w:rPr>
              <w:t>Election To Redeem; Notice To Trustee</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220" w:type="dxa"/>
            <w:vAlign w:val="bottom"/>
          </w:tcPr>
          <w:p>
            <w:pPr>
              <w:ind w:left="20"/>
              <w:spacing w:after="0"/>
              <w:rPr>
                <w:sz w:val="20"/>
                <w:szCs w:val="20"/>
                <w:color w:val="auto"/>
              </w:rPr>
            </w:pPr>
            <w:r>
              <w:rPr>
                <w:rFonts w:ascii="Arial" w:cs="Arial" w:eastAsia="Arial" w:hAnsi="Arial"/>
                <w:sz w:val="18"/>
                <w:szCs w:val="18"/>
                <w:color w:val="auto"/>
              </w:rPr>
              <w:t>Selection by Trustee of Securities to be Redeemed</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22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20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224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220" w:type="dxa"/>
            <w:vAlign w:val="bottom"/>
          </w:tcPr>
          <w:p>
            <w:pPr>
              <w:ind w:left="20"/>
              <w:spacing w:after="0"/>
              <w:rPr>
                <w:sz w:val="20"/>
                <w:szCs w:val="20"/>
                <w:color w:val="auto"/>
              </w:rPr>
            </w:pPr>
            <w:r>
              <w:rPr>
                <w:rFonts w:ascii="Arial" w:cs="Arial" w:eastAsia="Arial" w:hAnsi="Arial"/>
                <w:sz w:val="18"/>
                <w:szCs w:val="18"/>
                <w:color w:val="auto"/>
              </w:rPr>
              <w:t>Deposit of Redemption Price</w:t>
            </w:r>
          </w:p>
        </w:tc>
        <w:tc>
          <w:tcPr>
            <w:tcW w:w="20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-4923790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-4923790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360" w:type="dxa"/>
            <w:vAlign w:val="bottom"/>
          </w:tcPr>
          <w:p>
            <w:pPr>
              <w:ind w:left="320"/>
              <w:spacing w:after="0"/>
              <w:rPr>
                <w:sz w:val="20"/>
                <w:szCs w:val="20"/>
                <w:color w:val="auto"/>
              </w:rPr>
            </w:pPr>
            <w:r>
              <w:rPr>
                <w:rFonts w:ascii="Arial" w:cs="Arial" w:eastAsia="Arial" w:hAnsi="Arial"/>
                <w:sz w:val="18"/>
                <w:szCs w:val="18"/>
                <w:color w:val="auto"/>
              </w:rPr>
              <w:t>Securities Payable on Redemption Date</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8360" w:type="dxa"/>
            <w:vAlign w:val="bottom"/>
          </w:tcPr>
          <w:p>
            <w:pPr>
              <w:ind w:left="320"/>
              <w:spacing w:after="0"/>
              <w:rPr>
                <w:sz w:val="20"/>
                <w:szCs w:val="20"/>
                <w:color w:val="auto"/>
              </w:rPr>
            </w:pPr>
            <w:r>
              <w:rPr>
                <w:rFonts w:ascii="Arial" w:cs="Arial" w:eastAsia="Arial" w:hAnsi="Arial"/>
                <w:sz w:val="18"/>
                <w:szCs w:val="18"/>
                <w:color w:val="auto"/>
              </w:rPr>
              <w:t>Securities Redeemed in Part</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8360" w:type="dxa"/>
            <w:vAlign w:val="bottom"/>
          </w:tcPr>
          <w:p>
            <w:pPr>
              <w:ind w:left="320"/>
              <w:spacing w:after="0"/>
              <w:rPr>
                <w:sz w:val="20"/>
                <w:szCs w:val="20"/>
                <w:color w:val="auto"/>
              </w:rPr>
            </w:pPr>
            <w:r>
              <w:rPr>
                <w:rFonts w:ascii="Arial" w:cs="Arial" w:eastAsia="Arial" w:hAnsi="Arial"/>
                <w:sz w:val="18"/>
                <w:szCs w:val="18"/>
                <w:color w:val="auto"/>
              </w:rPr>
              <w:t>Right of Repayment</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11.09.</w:t>
            </w:r>
          </w:p>
        </w:tc>
        <w:tc>
          <w:tcPr>
            <w:tcW w:w="8360" w:type="dxa"/>
            <w:vAlign w:val="bottom"/>
          </w:tcPr>
          <w:p>
            <w:pPr>
              <w:ind w:left="320"/>
              <w:spacing w:after="0"/>
              <w:rPr>
                <w:sz w:val="20"/>
                <w:szCs w:val="20"/>
                <w:color w:val="auto"/>
              </w:rPr>
            </w:pPr>
            <w:r>
              <w:rPr>
                <w:rFonts w:ascii="Arial" w:cs="Arial" w:eastAsia="Arial" w:hAnsi="Arial"/>
                <w:sz w:val="18"/>
                <w:szCs w:val="18"/>
                <w:color w:val="auto"/>
              </w:rPr>
              <w:t>Form of Option to Elect Repayment</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10300" w:type="dxa"/>
            <w:vAlign w:val="bottom"/>
            <w:gridSpan w:val="2"/>
          </w:tcPr>
          <w:p>
            <w:pPr>
              <w:spacing w:after="0"/>
              <w:rPr>
                <w:sz w:val="20"/>
                <w:szCs w:val="20"/>
                <w:color w:val="auto"/>
              </w:rPr>
            </w:pPr>
            <w:r>
              <w:rPr>
                <w:rFonts w:ascii="Arial" w:cs="Arial" w:eastAsia="Arial" w:hAnsi="Arial"/>
                <w:sz w:val="18"/>
                <w:szCs w:val="18"/>
                <w:color w:val="auto"/>
              </w:rPr>
              <w:t>ARTICLE XII SINKING FUNDS</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194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8360" w:type="dxa"/>
            <w:vAlign w:val="bottom"/>
          </w:tcPr>
          <w:p>
            <w:pPr>
              <w:ind w:left="320"/>
              <w:spacing w:after="0"/>
              <w:rPr>
                <w:sz w:val="20"/>
                <w:szCs w:val="20"/>
                <w:color w:val="auto"/>
              </w:rPr>
            </w:pPr>
            <w:r>
              <w:rPr>
                <w:rFonts w:ascii="Arial" w:cs="Arial" w:eastAsia="Arial" w:hAnsi="Arial"/>
                <w:sz w:val="18"/>
                <w:szCs w:val="18"/>
                <w:color w:val="auto"/>
              </w:rPr>
              <w:t>Applicability of Article</w:t>
            </w: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8360" w:type="dxa"/>
            <w:vAlign w:val="bottom"/>
          </w:tcPr>
          <w:p>
            <w:pPr>
              <w:ind w:left="320"/>
              <w:spacing w:after="0"/>
              <w:rPr>
                <w:sz w:val="20"/>
                <w:szCs w:val="20"/>
                <w:color w:val="auto"/>
              </w:rPr>
            </w:pPr>
            <w:r>
              <w:rPr>
                <w:rFonts w:ascii="Arial" w:cs="Arial" w:eastAsia="Arial" w:hAnsi="Arial"/>
                <w:sz w:val="18"/>
                <w:szCs w:val="18"/>
                <w:color w:val="auto"/>
              </w:rPr>
              <w:t>Satisfaction of Sinking Fund Payments with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8360" w:type="dxa"/>
            <w:vAlign w:val="bottom"/>
          </w:tcPr>
          <w:p>
            <w:pPr>
              <w:ind w:left="320"/>
              <w:spacing w:after="0"/>
              <w:rPr>
                <w:sz w:val="20"/>
                <w:szCs w:val="20"/>
                <w:color w:val="auto"/>
              </w:rPr>
            </w:pPr>
            <w:r>
              <w:rPr>
                <w:rFonts w:ascii="Arial" w:cs="Arial" w:eastAsia="Arial" w:hAnsi="Arial"/>
                <w:sz w:val="18"/>
                <w:szCs w:val="18"/>
                <w:color w:val="auto"/>
              </w:rPr>
              <w:t>Redemption of Securities for Sinking Fund</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702"/>
        </w:trPr>
        <w:tc>
          <w:tcPr>
            <w:tcW w:w="1940" w:type="dxa"/>
            <w:vAlign w:val="bottom"/>
          </w:tcPr>
          <w:p>
            <w:pPr>
              <w:spacing w:after="0"/>
              <w:rPr>
                <w:sz w:val="24"/>
                <w:szCs w:val="24"/>
                <w:color w:val="auto"/>
              </w:rPr>
            </w:pPr>
          </w:p>
        </w:tc>
        <w:tc>
          <w:tcPr>
            <w:tcW w:w="8360" w:type="dxa"/>
            <w:vAlign w:val="bottom"/>
          </w:tcPr>
          <w:p>
            <w:pPr>
              <w:ind w:left="3700"/>
              <w:spacing w:after="0"/>
              <w:rPr>
                <w:sz w:val="20"/>
                <w:szCs w:val="20"/>
                <w:color w:val="auto"/>
              </w:rPr>
            </w:pPr>
            <w:r>
              <w:rPr>
                <w:rFonts w:ascii="Arial" w:cs="Arial" w:eastAsia="Arial" w:hAnsi="Arial"/>
                <w:sz w:val="18"/>
                <w:szCs w:val="18"/>
                <w:color w:val="auto"/>
              </w:rPr>
              <w:t>iii</w:t>
            </w:r>
          </w:p>
        </w:tc>
        <w:tc>
          <w:tcPr>
            <w:tcW w:w="1160" w:type="dxa"/>
            <w:vAlign w:val="bottom"/>
          </w:tcPr>
          <w:p>
            <w:pPr>
              <w:spacing w:after="0"/>
              <w:rPr>
                <w:sz w:val="24"/>
                <w:szCs w:val="24"/>
                <w:color w:val="auto"/>
              </w:rPr>
            </w:pPr>
          </w:p>
        </w:tc>
      </w:tr>
      <w:tr>
        <w:trPr>
          <w:trHeight w:val="375"/>
        </w:trPr>
        <w:tc>
          <w:tcPr>
            <w:tcW w:w="10300" w:type="dxa"/>
            <w:vAlign w:val="bottom"/>
            <w:tcBorders>
              <w:bottom w:val="single" w:sz="8" w:color="010101"/>
            </w:tcBorders>
            <w:gridSpan w:val="2"/>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r>
      <w:tr>
        <w:trPr>
          <w:trHeight w:val="577"/>
        </w:trPr>
        <w:tc>
          <w:tcPr>
            <w:tcW w:w="10300" w:type="dxa"/>
            <w:vAlign w:val="bottom"/>
            <w:gridSpan w:val="2"/>
          </w:tcPr>
          <w:p>
            <w:pPr>
              <w:spacing w:after="0"/>
              <w:rPr>
                <w:sz w:val="20"/>
                <w:szCs w:val="20"/>
                <w:color w:val="auto"/>
              </w:rPr>
            </w:pPr>
            <w:r>
              <w:rPr>
                <w:rFonts w:ascii="Arial" w:cs="Arial" w:eastAsia="Arial" w:hAnsi="Arial"/>
                <w:sz w:val="18"/>
                <w:szCs w:val="18"/>
                <w:color w:val="auto"/>
              </w:rPr>
              <w:t>ARTICLE XIII DEFEASANCE AND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94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8360" w:type="dxa"/>
            <w:vAlign w:val="bottom"/>
          </w:tcPr>
          <w:p>
            <w:pPr>
              <w:ind w:left="320"/>
              <w:spacing w:after="0"/>
              <w:rPr>
                <w:sz w:val="20"/>
                <w:szCs w:val="20"/>
                <w:color w:val="auto"/>
              </w:rPr>
            </w:pPr>
            <w:r>
              <w:rPr>
                <w:rFonts w:ascii="Arial" w:cs="Arial" w:eastAsia="Arial" w:hAnsi="Arial"/>
                <w:sz w:val="18"/>
                <w:szCs w:val="18"/>
                <w:color w:val="auto"/>
              </w:rPr>
              <w:t>Company’s Option to Effect Defeasance or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8360" w:type="dxa"/>
            <w:vAlign w:val="bottom"/>
          </w:tcPr>
          <w:p>
            <w:pPr>
              <w:ind w:left="320"/>
              <w:spacing w:after="0"/>
              <w:rPr>
                <w:sz w:val="20"/>
                <w:szCs w:val="20"/>
                <w:color w:val="auto"/>
              </w:rPr>
            </w:pPr>
            <w:r>
              <w:rPr>
                <w:rFonts w:ascii="Arial" w:cs="Arial" w:eastAsia="Arial" w:hAnsi="Arial"/>
                <w:sz w:val="18"/>
                <w:szCs w:val="18"/>
                <w:color w:val="auto"/>
              </w:rPr>
              <w:t>Defeasance and Discharge</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8360" w:type="dxa"/>
            <w:vAlign w:val="bottom"/>
          </w:tcPr>
          <w:p>
            <w:pPr>
              <w:ind w:left="320"/>
              <w:spacing w:after="0"/>
              <w:rPr>
                <w:sz w:val="20"/>
                <w:szCs w:val="20"/>
                <w:color w:val="auto"/>
              </w:rPr>
            </w:pPr>
            <w:r>
              <w:rPr>
                <w:rFonts w:ascii="Arial" w:cs="Arial" w:eastAsia="Arial" w:hAnsi="Arial"/>
                <w:sz w:val="18"/>
                <w:szCs w:val="18"/>
                <w:color w:val="auto"/>
              </w:rPr>
              <w:t>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8360" w:type="dxa"/>
            <w:vAlign w:val="bottom"/>
          </w:tcPr>
          <w:p>
            <w:pPr>
              <w:ind w:left="320"/>
              <w:spacing w:after="0"/>
              <w:rPr>
                <w:sz w:val="20"/>
                <w:szCs w:val="20"/>
                <w:color w:val="auto"/>
              </w:rPr>
            </w:pPr>
            <w:r>
              <w:rPr>
                <w:rFonts w:ascii="Arial" w:cs="Arial" w:eastAsia="Arial" w:hAnsi="Arial"/>
                <w:sz w:val="18"/>
                <w:szCs w:val="18"/>
                <w:color w:val="auto"/>
              </w:rPr>
              <w:t>Conditions to Defeasance or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8360" w:type="dxa"/>
            <w:vAlign w:val="bottom"/>
          </w:tcPr>
          <w:p>
            <w:pPr>
              <w:ind w:left="320"/>
              <w:spacing w:after="0"/>
              <w:rPr>
                <w:sz w:val="20"/>
                <w:szCs w:val="20"/>
                <w:color w:val="auto"/>
              </w:rPr>
            </w:pPr>
            <w:r>
              <w:rPr>
                <w:rFonts w:ascii="Arial" w:cs="Arial" w:eastAsia="Arial" w:hAnsi="Arial"/>
                <w:sz w:val="18"/>
                <w:szCs w:val="18"/>
                <w:color w:val="auto"/>
              </w:rPr>
              <w:t>Deposited Money and U.S. Government Obligations to be Held in Trust; Miscellaneous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13.06.</w:t>
            </w:r>
          </w:p>
        </w:tc>
        <w:tc>
          <w:tcPr>
            <w:tcW w:w="8360" w:type="dxa"/>
            <w:vAlign w:val="bottom"/>
          </w:tcPr>
          <w:p>
            <w:pPr>
              <w:ind w:left="32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-1356360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-1356360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3893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This Table of Contents shall not, for any purpose, be deemed to be part of this Indenture.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INDENTURE, dated as of April 20, 2007, between The Toro Company, a corporation duly organized and existing under the laws of the State of Delaware (herein called the “Company”), having its principal office at 8111 Lyndale South, Bloomington, Minnesota 55420, and The Bank of New York Trust Company, N.A., a national banking association duly organized and existing under the laws of the United States of America, as Trustee (herein called the “Trustee”).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DEFINITIONS AND OTHER PROVISIONS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 GENERAL APPLICATION</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this Indenture, except as otherwise expressly provided or unless the context otherwise requires:</w:t>
      </w:r>
    </w:p>
    <w:p>
      <w:pPr>
        <w:spacing w:after="0" w:line="225" w:lineRule="exact"/>
        <w:rPr>
          <w:sz w:val="20"/>
          <w:szCs w:val="20"/>
          <w:color w:val="auto"/>
        </w:rPr>
      </w:pPr>
    </w:p>
    <w:p>
      <w:pPr>
        <w:ind w:left="1980" w:hanging="675"/>
        <w:spacing w:after="0"/>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660" w:right="140" w:firstLine="645"/>
        <w:spacing w:after="0" w:line="277" w:lineRule="auto"/>
        <w:tabs>
          <w:tab w:leader="none" w:pos="1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gender used in this Indenture shall be deemed and construed to include correlative words of the masculine, feminine or neutral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gender;</w:t>
      </w:r>
    </w:p>
    <w:p>
      <w:pPr>
        <w:spacing w:after="0" w:line="210" w:lineRule="exact"/>
        <w:rPr>
          <w:rFonts w:ascii="Arial" w:cs="Arial" w:eastAsia="Arial" w:hAnsi="Arial"/>
          <w:sz w:val="16"/>
          <w:szCs w:val="16"/>
          <w:color w:val="auto"/>
        </w:rPr>
      </w:pPr>
    </w:p>
    <w:p>
      <w:pPr>
        <w:ind w:left="660" w:right="280" w:firstLine="645"/>
        <w:spacing w:after="0" w:line="312" w:lineRule="auto"/>
        <w:tabs>
          <w:tab w:leader="none" w:pos="1977"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46" w:lineRule="exact"/>
        <w:rPr>
          <w:rFonts w:ascii="Arial" w:cs="Arial" w:eastAsia="Arial" w:hAnsi="Arial"/>
          <w:sz w:val="16"/>
          <w:szCs w:val="16"/>
          <w:color w:val="auto"/>
        </w:rPr>
      </w:pPr>
    </w:p>
    <w:p>
      <w:pPr>
        <w:ind w:left="660" w:right="80" w:firstLine="645"/>
        <w:spacing w:after="0" w:line="277" w:lineRule="auto"/>
        <w:tabs>
          <w:tab w:leader="none" w:pos="1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801" w:gutter="0" w:footer="0" w:header="0"/>
        </w:sectPr>
      </w:pPr>
    </w:p>
    <w:bookmarkStart w:id="19" w:name="page20"/>
    <w:bookmarkEnd w:id="19"/>
    <w:p>
      <w:pPr>
        <w:ind w:left="660" w:right="200" w:firstLine="645"/>
        <w:spacing w:after="0" w:line="277" w:lineRule="auto"/>
        <w:tabs>
          <w:tab w:leader="none" w:pos="19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1.04.</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“Attributable Debt” when used in connection with a Sale and Lease-Back Transaction involving a Principal Property means, at the time of determination, the present value of the total net amount of rent and other payments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6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 In the event the Board of Directors shall delegate to any director or officer of the Company or any group consisting of directors of the Company, officers of the Company or directors and officers of the Company the authority to take any action which under the terms of this Indenture may be taken by “Board Resolution,” then any action so taken by, and set forth in a resolution adopted by, the director, officer or group within the scope of such delegation shall be deemed to be a “Board Resolution” for purposes of this Indenture.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80" w:firstLine="648"/>
        <w:spacing w:after="0" w:line="308" w:lineRule="auto"/>
        <w:rPr>
          <w:sz w:val="20"/>
          <w:szCs w:val="20"/>
          <w:color w:val="auto"/>
        </w:rPr>
      </w:pPr>
      <w:r>
        <w:rPr>
          <w:rFonts w:ascii="Arial" w:cs="Arial" w:eastAsia="Arial" w:hAnsi="Arial"/>
          <w:sz w:val="17"/>
          <w:szCs w:val="17"/>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4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Chief Executive Officer, its President or a Vice President, and by its Treasurer, an Assistant Treasurer, its Secretary or an Assistant Secretary, and delivered to the Trustee.</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“Consolidated Net Tangible Assets” means,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7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“Corporate Trust Office” means the principal office of the Trustee at which at any particular time its corporate trust business shall be principally administered, which office is at the date of this Indenture located at 2 North LaSalle Street, Chicago, Illinois 60602, Attn: Global Corporate Trust.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includes corporations, associations, companies, joint stock companies and business trusts.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13.03.</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“Debt” means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w:t>
      </w:r>
    </w:p>
    <w:p>
      <w:pPr>
        <w:sectPr>
          <w:pgSz w:w="11900" w:h="16838" w:orient="portrait"/>
          <w:cols w:equalWidth="0" w:num="1">
            <w:col w:w="11420"/>
          </w:cols>
          <w:pgMar w:left="240" w:top="125" w:right="239" w:bottom="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0" w:gutter="0" w:footer="0" w:header="0"/>
          <w:type w:val="continuous"/>
        </w:sectPr>
      </w:pPr>
    </w:p>
    <w:bookmarkStart w:id="20" w:name="page21"/>
    <w:bookmarkEnd w:id="20"/>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Clauses (i) through (vi) of another Person and all dividends of another Person the payment of which, in either case, such Person has guaranteed or is responsible or liable, directly or indirectly, as obligor, guarantor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has the meaning specified in Section 13.02.</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 has the meaning specified in Section 1.04.</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 change in generally accepting accounting principles that results in an obligation of such Person that exists at such time becoming Debt shall not be deemed an Incurrence of such Debt.</w:t>
      </w:r>
    </w:p>
    <w:p>
      <w:pPr>
        <w:spacing w:after="0" w:line="173"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spacing w:after="0" w:line="15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“Maturity”, when used with respect to any Security, means the date on which the principal of such Security or an installment of such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“Nonrecourse Obligation” means Debt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Debt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5.01(4) or 5.01(5).</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“Officers’ Certificate” means a certificate signed by the Chairman of the Board, the Chief Executive Officer,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“Opinion of Counsel” means a written opinion of counsel, who may be counsel for the Company, and who shall be acceptable to the Trustee.</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1980" w:hanging="675"/>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ind w:left="660" w:right="80" w:firstLine="645"/>
        <w:spacing w:after="0" w:line="259" w:lineRule="auto"/>
        <w:tabs>
          <w:tab w:leader="none" w:pos="19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ectPr>
          <w:pgSz w:w="11900" w:h="16838" w:orient="portrait"/>
          <w:cols w:equalWidth="0" w:num="1">
            <w:col w:w="11400"/>
          </w:cols>
          <w:pgMar w:left="240" w:top="517" w:right="259" w:bottom="0" w:gutter="0" w:footer="0" w:header="0"/>
        </w:sectPr>
      </w:pPr>
    </w:p>
    <w:bookmarkStart w:id="21" w:name="page22"/>
    <w:bookmarkEnd w:id="21"/>
    <w:p>
      <w:pPr>
        <w:ind w:left="5660" w:right="3440" w:hanging="4355"/>
        <w:spacing w:after="0" w:line="778" w:lineRule="auto"/>
        <w:tabs>
          <w:tab w:leader="none" w:pos="19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13.02; and 5</w:t>
      </w:r>
    </w:p>
    <w:p>
      <w:pPr>
        <w:spacing w:after="0" w:line="265" w:lineRule="exact"/>
        <w:rPr>
          <w:rFonts w:ascii="Arial" w:cs="Arial" w:eastAsia="Arial" w:hAnsi="Arial"/>
          <w:sz w:val="18"/>
          <w:szCs w:val="18"/>
          <w:color w:val="auto"/>
        </w:rPr>
      </w:pPr>
    </w:p>
    <w:p>
      <w:pPr>
        <w:ind w:left="660" w:right="440" w:firstLine="645"/>
        <w:spacing w:after="0" w:line="259" w:lineRule="auto"/>
        <w:tabs>
          <w:tab w:leader="none" w:pos="19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-808355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“Person” means any individual, corporation, partnership, joint venture, trust, unincorporated organization or government or any agency or political subdivision thereof.</w:t>
      </w:r>
    </w:p>
    <w:p>
      <w:pPr>
        <w:spacing w:after="0" w:line="170" w:lineRule="exact"/>
        <w:rPr>
          <w:sz w:val="20"/>
          <w:szCs w:val="20"/>
          <w:color w:val="auto"/>
        </w:rPr>
      </w:pPr>
    </w:p>
    <w:p>
      <w:pPr>
        <w:jc w:val="both"/>
        <w:ind w:right="2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70"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“Principal Property” means the land, land improvements, buildings and fixtures (to the extent they constitute real property interests), (including any leasehold interest therein)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3.01.</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“Responsible Officer”, means when used with respect to the Trustee, any officer or assistant officer within the corporate trust department of the Trustee assigned by the Trustee to administer its corporate trust matters and who shall have direct responsibility for the administration of this Indenture and also, with respect to a particular matter, any other officer to whom such matter is referred because of such officer’s knowledge and familiarity with the particular subject.</w:t>
      </w:r>
    </w:p>
    <w:p>
      <w:pPr>
        <w:spacing w:after="0" w:line="18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“Restricted Subsidiary” means any Subsidiary which owns any Principal Property which has a market value on the date as of which the</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determination is being made in excess of 2.0% of Consolidated Net Tangible Assets of the Company as most recently determined on or prior to such date.</w:t>
      </w:r>
    </w:p>
    <w:p>
      <w:pPr>
        <w:spacing w:after="0" w:line="23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ectPr>
          <w:pgSz w:w="11900" w:h="16838" w:orient="portrait"/>
          <w:cols w:equalWidth="0" w:num="1">
            <w:col w:w="11400"/>
          </w:cols>
          <w:pgMar w:left="240" w:top="125" w:right="259" w:bottom="93" w:gutter="0" w:footer="0" w:header="0"/>
        </w:sectPr>
      </w:pPr>
    </w:p>
    <w:bookmarkStart w:id="22" w:name="page23"/>
    <w:bookmarkEnd w:id="22"/>
    <w:p>
      <w:pPr>
        <w:ind w:right="60"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3.07.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7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Government Obligation” has the meaning specified in Section 13.04.</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“Vice President”, when used with respect to the Company, means any vice president, whether or not designated by a number or a word or words added before or after the title “vice president”.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1980" w:hanging="675"/>
        <w:spacing w:after="0"/>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firstLine="645"/>
        <w:spacing w:after="0" w:line="277" w:lineRule="auto"/>
        <w:tabs>
          <w:tab w:leader="none" w:pos="19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40" w:firstLine="645"/>
        <w:spacing w:after="0" w:line="308" w:lineRule="auto"/>
        <w:tabs>
          <w:tab w:leader="none" w:pos="197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Form of Documents Delivered to Trustee</w:t>
      </w:r>
      <w:r>
        <w:rPr>
          <w:rFonts w:ascii="Arial" w:cs="Arial" w:eastAsia="Arial" w:hAnsi="Arial"/>
          <w:sz w:val="17"/>
          <w:szCs w:val="17"/>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ectPr>
          <w:pgSz w:w="11900" w:h="16838" w:orient="portrait"/>
          <w:cols w:equalWidth="0" w:num="1">
            <w:col w:w="11420"/>
          </w:cols>
          <w:pgMar w:left="240" w:top="125" w:right="239" w:bottom="0" w:gutter="0" w:footer="0" w:header="0"/>
        </w:sectPr>
      </w:pPr>
    </w:p>
    <w:bookmarkStart w:id="23" w:name="page24"/>
    <w:bookmarkEnd w:id="23"/>
    <w:p>
      <w:pPr>
        <w:ind w:right="54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Acts of Holders; Record Dates</w:t>
      </w:r>
      <w:r>
        <w:rPr>
          <w:rFonts w:ascii="Arial" w:cs="Arial" w:eastAsia="Arial" w:hAnsi="Arial"/>
          <w:sz w:val="16"/>
          <w:szCs w:val="16"/>
          <w:color w:val="auto"/>
        </w:rPr>
        <w:t>.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Expiration Date shall be later than the 180th day after the applicable record date; and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ectPr>
          <w:pgSz w:w="11900" w:h="16838" w:orient="portrait"/>
          <w:cols w:equalWidth="0" w:num="1">
            <w:col w:w="11420"/>
          </w:cols>
          <w:pgMar w:left="240" w:top="125" w:right="239" w:bottom="150" w:gutter="0" w:footer="0" w:header="0"/>
        </w:sectPr>
      </w:pPr>
    </w:p>
    <w:bookmarkStart w:id="24" w:name="page25"/>
    <w:bookmarkEnd w:id="24"/>
    <w:p>
      <w:pPr>
        <w:ind w:right="80" w:firstLine="648"/>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Notices, Etc., to Trustee and Company</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660" w:right="140" w:firstLine="645"/>
        <w:spacing w:after="0" w:line="308" w:lineRule="auto"/>
        <w:tabs>
          <w:tab w:leader="none" w:pos="197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by any Holder or by the Company shall be sufficient for every purpose hereunder if made, given, furnished or filed in writing to or with a Responsible Officer of the Trustee at its Corporate Trust Office, Attention: Global Corporate Trust, or</w:t>
      </w:r>
    </w:p>
    <w:p>
      <w:pPr>
        <w:spacing w:after="0" w:line="146" w:lineRule="exact"/>
        <w:rPr>
          <w:rFonts w:ascii="Arial" w:cs="Arial" w:eastAsia="Arial" w:hAnsi="Arial"/>
          <w:sz w:val="17"/>
          <w:szCs w:val="17"/>
          <w:color w:val="auto"/>
        </w:rPr>
      </w:pPr>
    </w:p>
    <w:p>
      <w:pPr>
        <w:ind w:left="660" w:right="220" w:firstLine="645"/>
        <w:spacing w:after="0" w:line="286" w:lineRule="auto"/>
        <w:tabs>
          <w:tab w:leader="none" w:pos="197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Notice to Holders; Waiver</w:t>
      </w:r>
      <w:r>
        <w:rPr>
          <w:rFonts w:ascii="Arial" w:cs="Arial" w:eastAsia="Arial" w:hAnsi="Arial"/>
          <w:sz w:val="18"/>
          <w:szCs w:val="18"/>
          <w:color w:val="auto"/>
        </w:rPr>
        <w:t>. Where this Indenture provides for notice to Holders of any event, such notice shall be sufficiently given (unless otherwise herein expressly provided) if in writing and mailed, first-class postage prepaid, to each Holder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3"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 This Indenture is subject to, and shall be governed by, the provisions of the Trust Indenture Act that are required to be part of this Indenture.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this Indenture by the Company shall bind its successors and assigns, whether so expressed or not.</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Separability Clause</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4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INDENTURE AND THE SECURITIES SHALL BE GOVERNED BY AND CONSTRUED IN ACCORDANCE WITH THE LAWS OF THE STATE OF NEW YORK.</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Legal Holidays</w:t>
      </w:r>
      <w:r>
        <w:rPr>
          <w:rFonts w:ascii="Arial" w:cs="Arial" w:eastAsia="Arial" w:hAnsi="Arial"/>
          <w:sz w:val="18"/>
          <w:szCs w:val="18"/>
          <w:color w:val="auto"/>
        </w:rPr>
        <w:t>.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Place of Payment on such date, but may be made on the next succeeding Business Day at such Place of Payment with the same force and effect as if made on the Interest Payment Date or Redemption Date, or at the Stated Maturity.</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Appointment of Agent for Service</w:t>
      </w:r>
      <w:r>
        <w:rPr>
          <w:rFonts w:ascii="Arial" w:cs="Arial" w:eastAsia="Arial" w:hAnsi="Arial"/>
          <w:sz w:val="16"/>
          <w:szCs w:val="16"/>
          <w:color w:val="auto"/>
        </w:rPr>
        <w:t>. By the execution and delivery of this Indenture, the Company hereby appoints the Trustee as its agent upon which process may be served in any legal action or proceeding which may be instituted in any Federal or State court in the Borough of Manhattan, City of New York, arising out of or relating to the Securities or this Indenture. Service of process upon such agent at the office of such agent at the Corporate Trust Office of the Trustee, Attention: Global Corporate Trust, and written notice of said service to the Company by the Person serving the same addressed as provided in Section 1.05, shall be deemed in every respect effective service of process upon the Company in any such legal action or proceeding, and the Company hereby submits to the jurisdiction of any such court in which any such legal action or proceeding is so instituted. Such appointment shall be irrevocable so long as the Holders of Securities shall have any rights pursuant to the terms thereof or of this Indenture until the appointment of a successor by the Company with the consent of the Trustee and such successor’s acceptance of such appointment. The Company further agrees to take any and all action, including the execution and filing of any and all such documents and instruments, as may be necessary to continue such designation and appointment of such agent or successor. By the execution and delivery of this Indenture, the Trustee hereby agrees to act as such agent and undertakes promptly to notify the Company of receipt by it of service of process in accordance with this Section 1.14.</w:t>
      </w:r>
    </w:p>
    <w:p>
      <w:pPr>
        <w:sectPr>
          <w:pgSz w:w="11900" w:h="16838" w:orient="portrait"/>
          <w:cols w:equalWidth="0" w:num="1">
            <w:col w:w="11420"/>
          </w:cols>
          <w:pgMar w:left="240" w:top="125" w:right="239" w:bottom="142" w:gutter="0" w:footer="0" w:header="0"/>
        </w:sectPr>
      </w:pPr>
    </w:p>
    <w:bookmarkStart w:id="25" w:name="page26"/>
    <w:bookmarkEnd w:id="25"/>
    <w:p>
      <w:pPr>
        <w:ind w:left="522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SECURITY FORMS</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Forms Generally</w:t>
      </w:r>
      <w:r>
        <w:rPr>
          <w:rFonts w:ascii="Arial" w:cs="Arial" w:eastAsia="Arial" w:hAnsi="Arial"/>
          <w:sz w:val="17"/>
          <w:szCs w:val="17"/>
          <w:color w:val="auto"/>
        </w:rPr>
        <w:t>. 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definitive Securities shall be typewritten, printed, lithographed or engraved on steel engraved borders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Face of Security</w:t>
      </w:r>
      <w:r>
        <w:rPr>
          <w:rFonts w:ascii="Arial" w:cs="Arial" w:eastAsia="Arial" w:hAnsi="Arial"/>
          <w:sz w:val="18"/>
          <w:szCs w:val="18"/>
          <w:color w:val="auto"/>
        </w:rPr>
        <w:t>. [INSERT ANY LEGEND REQUIRED BY THE INTERNAL REVENUE CODE AND THE REGULATIONS THEREUNDER.]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10220" w:space="720"/>
            <w:col w:w="460"/>
          </w:cols>
          <w:pgMar w:left="240" w:top="125" w:right="259" w:bottom="0" w:gutter="0" w:footer="0" w:header="0"/>
          <w:type w:val="continuous"/>
        </w:sectPr>
      </w:pPr>
    </w:p>
    <w:p>
      <w:pPr>
        <w:spacing w:after="0" w:line="91" w:lineRule="exact"/>
        <w:rPr>
          <w:sz w:val="20"/>
          <w:szCs w:val="20"/>
          <w:color w:val="auto"/>
        </w:rPr>
      </w:pPr>
    </w:p>
    <w:p>
      <w:pPr>
        <w:ind w:left="2600"/>
        <w:spacing w:after="0"/>
        <w:tabs>
          <w:tab w:leader="none" w:pos="9060" w:val="left"/>
        </w:tabs>
        <w:rPr>
          <w:sz w:val="20"/>
          <w:szCs w:val="20"/>
          <w:color w:val="auto"/>
        </w:rPr>
      </w:pPr>
      <w:r>
        <w:rPr>
          <w:rFonts w:ascii="Arial" w:cs="Arial" w:eastAsia="Arial" w:hAnsi="Arial"/>
          <w:sz w:val="18"/>
          <w:szCs w:val="18"/>
          <w:color w:val="auto"/>
        </w:rPr>
        <w:t>, a corporation duly organized and existing under the laws of</w:t>
      </w:r>
      <w:r>
        <w:rPr>
          <w:sz w:val="20"/>
          <w:szCs w:val="20"/>
          <w:color w:val="auto"/>
        </w:rPr>
        <w:tab/>
      </w:r>
      <w:r>
        <w:rPr>
          <w:rFonts w:ascii="Arial" w:cs="Arial" w:eastAsia="Arial" w:hAnsi="Arial"/>
          <w:sz w:val="16"/>
          <w:szCs w:val="16"/>
          <w:color w:val="auto"/>
        </w:rPr>
        <w:t>(herein called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which term includes any successor Person under the Indenture hereinafter referred to), for value received, hereby promises to pay</w:t>
      </w:r>
    </w:p>
    <w:p>
      <w:pPr>
        <w:spacing w:after="0" w:line="9" w:lineRule="exact"/>
        <w:rPr>
          <w:sz w:val="20"/>
          <w:szCs w:val="20"/>
          <w:color w:val="auto"/>
        </w:rPr>
      </w:pPr>
    </w:p>
    <w:p>
      <w:pPr>
        <w:spacing w:after="0"/>
        <w:tabs>
          <w:tab w:leader="none" w:pos="2160" w:val="left"/>
          <w:tab w:leader="none" w:pos="7360" w:val="left"/>
          <w:tab w:leader="none" w:pos="101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or registered assigns, the principal sum of</w:t>
      </w:r>
      <w:r>
        <w:rPr>
          <w:sz w:val="20"/>
          <w:szCs w:val="20"/>
          <w:color w:val="auto"/>
        </w:rPr>
        <w:tab/>
      </w:r>
      <w:r>
        <w:rPr>
          <w:rFonts w:ascii="Arial" w:cs="Arial" w:eastAsia="Arial" w:hAnsi="Arial"/>
          <w:sz w:val="18"/>
          <w:szCs w:val="18"/>
          <w:color w:val="auto"/>
        </w:rPr>
        <w:t>Dollars on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7000" w:val="left"/>
        </w:tabs>
        <w:rPr>
          <w:sz w:val="20"/>
          <w:szCs w:val="20"/>
          <w:color w:val="auto"/>
        </w:rPr>
      </w:pPr>
      <w:r>
        <w:rPr>
          <w:rFonts w:ascii="Arial" w:cs="Arial" w:eastAsia="Arial" w:hAnsi="Arial"/>
          <w:sz w:val="18"/>
          <w:szCs w:val="18"/>
          <w:color w:val="auto"/>
        </w:rPr>
        <w:t>[IF THE SECURITY IS TO BEAR INTEREST PRIOR TO MATURITY, INSERT—</w:t>
      </w:r>
      <w:r>
        <w:rPr>
          <w:sz w:val="20"/>
          <w:szCs w:val="20"/>
          <w:color w:val="auto"/>
        </w:rPr>
        <w:tab/>
      </w:r>
      <w:r>
        <w:rPr>
          <w:rFonts w:ascii="Arial" w:cs="Arial" w:eastAsia="Arial" w:hAnsi="Arial"/>
          <w:sz w:val="16"/>
          <w:szCs w:val="16"/>
          <w:color w:val="auto"/>
        </w:rPr>
        <w:t>, and to pay interest thereon from</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or from the most recent Interest Payment Date to which interest has been paid or duly provided for, semi-annually on</w:t>
      </w:r>
    </w:p>
    <w:p>
      <w:pPr>
        <w:spacing w:after="0" w:line="21" w:lineRule="exact"/>
        <w:rPr>
          <w:sz w:val="20"/>
          <w:szCs w:val="20"/>
          <w:color w:val="auto"/>
        </w:rPr>
      </w:pPr>
    </w:p>
    <w:p>
      <w:pPr>
        <w:ind w:left="1620"/>
        <w:spacing w:after="0"/>
        <w:tabs>
          <w:tab w:leader="none" w:pos="3540" w:val="left"/>
          <w:tab w:leader="none" w:pos="7080" w:val="left"/>
          <w:tab w:leader="none" w:pos="91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in each year, commencing</w:t>
      </w:r>
      <w:r>
        <w:rPr>
          <w:sz w:val="20"/>
          <w:szCs w:val="20"/>
          <w:color w:val="auto"/>
        </w:rPr>
        <w:tab/>
      </w:r>
      <w:r>
        <w:rPr>
          <w:rFonts w:ascii="Arial" w:cs="Arial" w:eastAsia="Arial" w:hAnsi="Arial"/>
          <w:sz w:val="18"/>
          <w:szCs w:val="18"/>
          <w:color w:val="auto"/>
        </w:rPr>
        <w:t>, at the rate of</w:t>
      </w:r>
      <w:r>
        <w:rPr>
          <w:sz w:val="20"/>
          <w:szCs w:val="20"/>
          <w:color w:val="auto"/>
        </w:rPr>
        <w:tab/>
      </w:r>
      <w:r>
        <w:rPr>
          <w:rFonts w:ascii="Arial" w:cs="Arial" w:eastAsia="Arial" w:hAnsi="Arial"/>
          <w:sz w:val="16"/>
          <w:szCs w:val="16"/>
          <w:color w:val="auto"/>
        </w:rPr>
        <w:t>% per annum, until the</w:t>
      </w:r>
    </w:p>
    <w:p>
      <w:pPr>
        <w:sectPr>
          <w:pgSz w:w="11900" w:h="16838" w:orient="portrait"/>
          <w:cols w:equalWidth="0" w:num="1">
            <w:col w:w="11400"/>
          </w:cols>
          <w:pgMar w:left="240" w:top="125" w:right="259" w:bottom="0" w:gutter="0" w:footer="0" w:header="0"/>
          <w:type w:val="continuous"/>
        </w:sectPr>
      </w:pPr>
    </w:p>
    <w:p>
      <w:pPr>
        <w:spacing w:after="0" w:line="9" w:lineRule="exact"/>
        <w:rPr>
          <w:sz w:val="20"/>
          <w:szCs w:val="20"/>
          <w:color w:val="auto"/>
        </w:rPr>
      </w:pPr>
    </w:p>
    <w:p>
      <w:pPr>
        <w:spacing w:after="0"/>
        <w:tabs>
          <w:tab w:leader="none" w:pos="6400" w:val="left"/>
        </w:tabs>
        <w:rPr>
          <w:sz w:val="20"/>
          <w:szCs w:val="20"/>
          <w:color w:val="auto"/>
        </w:rPr>
      </w:pPr>
      <w:r>
        <w:rPr>
          <w:rFonts w:ascii="Arial" w:cs="Arial" w:eastAsia="Arial" w:hAnsi="Arial"/>
          <w:sz w:val="18"/>
          <w:szCs w:val="18"/>
          <w:color w:val="auto"/>
        </w:rPr>
        <w:t>principal hereof is paid or made available for payment [IF APPLICABLE, INSERT—</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w:t>
      </w:r>
    </w:p>
    <w:p>
      <w:pPr>
        <w:spacing w:after="0" w:line="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7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[IF THE SECURITY IS NOT TO BEAR INTEREST PRIOR TO MATURITY, INSERT—The principal of this Security shall not bear interest except in the case of a default in payment of principal upon acceleration, upon redemption [, repayment] or at Stated Maturity and in such case the overdue</w:t>
      </w:r>
    </w:p>
    <w:p>
      <w:pPr>
        <w:ind w:right="40"/>
        <w:spacing w:after="0" w:line="281" w:lineRule="auto"/>
        <w:rPr>
          <w:sz w:val="20"/>
          <w:szCs w:val="20"/>
          <w:color w:val="auto"/>
        </w:rPr>
      </w:pPr>
      <w:r>
        <w:rPr>
          <w:rFonts w:ascii="Arial" w:cs="Arial" w:eastAsia="Arial" w:hAnsi="Arial"/>
          <w:sz w:val="16"/>
          <w:szCs w:val="16"/>
          <w:color w:val="auto"/>
        </w:rPr>
        <w:t>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648"/>
        <w:spacing w:after="0" w:line="274" w:lineRule="auto"/>
        <w:rPr>
          <w:sz w:val="20"/>
          <w:szCs w:val="20"/>
          <w:color w:val="auto"/>
        </w:rPr>
      </w:pPr>
      <w:r>
        <w:rPr>
          <w:rFonts w:ascii="Arial" w:cs="Arial" w:eastAsia="Arial" w:hAnsi="Arial"/>
          <w:sz w:val="17"/>
          <w:szCs w:val="17"/>
          <w:color w:val="auto"/>
        </w:rPr>
        <w:t>Payment of the principal of (and premium, if any) and [if applicable, insert any such] interest on this Security will be made at the office or agency of the Company maintained for that purpose in , in such coin or currency of the United States of America as at the time of payment is</w:t>
      </w:r>
    </w:p>
    <w:p>
      <w:pPr>
        <w:spacing w:after="0" w:line="290" w:lineRule="auto"/>
        <w:rPr>
          <w:sz w:val="20"/>
          <w:szCs w:val="20"/>
          <w:color w:val="auto"/>
        </w:rPr>
      </w:pPr>
      <w:r>
        <w:rPr>
          <w:rFonts w:ascii="Arial" w:cs="Arial" w:eastAsia="Arial" w:hAnsi="Arial"/>
          <w:sz w:val="17"/>
          <w:szCs w:val="17"/>
          <w:color w:val="auto"/>
        </w:rPr>
        <w:t xml:space="preserve">legal tender for payment of public and private debts [IF APPLICABLE, INSERT—;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at the option of the Company payment of interest may be made by check mailed to the address of the Person entitled thereto as such address shall appear in the Security Register].</w:t>
      </w:r>
    </w:p>
    <w:p>
      <w:pPr>
        <w:spacing w:after="0" w:line="16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152400</wp:posOffset>
            </wp:positionV>
            <wp:extent cx="27527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-130810</wp:posOffset>
            </wp:positionV>
            <wp:extent cx="2470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6" w:name="page27"/>
    <w:bookmarkEnd w:id="26"/>
    <w:p>
      <w:pPr>
        <w:ind w:right="200" w:firstLine="648"/>
        <w:spacing w:after="0" w:line="284"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Form of Reverse of Security</w:t>
      </w:r>
      <w:r>
        <w:rPr>
          <w:rFonts w:ascii="Arial" w:cs="Arial" w:eastAsia="Arial" w:hAnsi="Arial"/>
          <w:sz w:val="16"/>
          <w:szCs w:val="16"/>
          <w:color w:val="auto"/>
        </w:rPr>
        <w:t>. This Security is one of a duly authorized issue of securities of the Company (herein called the “Securities”), issued and to be issued in one or more series under an Indenture, dated as of April 20, 2007 (herein called the “Indenture”, which term shall have the meaning assigned to it in such instrument), between the Company and The Bank of New York Trust Company, N.A.,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[IF APPLICABLE, INSERT—,</w:t>
      </w:r>
    </w:p>
    <w:p>
      <w:pPr>
        <w:spacing w:after="0" w:line="5" w:lineRule="exact"/>
        <w:rPr>
          <w:sz w:val="20"/>
          <w:szCs w:val="20"/>
          <w:color w:val="auto"/>
        </w:rPr>
      </w:pPr>
    </w:p>
    <w:p>
      <w:pPr>
        <w:spacing w:after="0"/>
        <w:tabs>
          <w:tab w:leader="none" w:pos="4180" w:val="left"/>
        </w:tabs>
        <w:rPr>
          <w:sz w:val="20"/>
          <w:szCs w:val="20"/>
          <w:color w:val="auto"/>
        </w:rPr>
      </w:pPr>
      <w:r>
        <w:rPr>
          <w:rFonts w:ascii="Arial" w:cs="Arial" w:eastAsia="Arial" w:hAnsi="Arial"/>
          <w:sz w:val="18"/>
          <w:szCs w:val="18"/>
          <w:color w:val="auto"/>
        </w:rPr>
        <w:t>limited in aggregate principal amount 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8260" w:val="left"/>
          <w:tab w:leader="none" w:pos="8720" w:val="left"/>
        </w:tabs>
        <w:rPr>
          <w:sz w:val="20"/>
          <w:szCs w:val="20"/>
          <w:color w:val="auto"/>
        </w:rPr>
      </w:pPr>
      <w:r>
        <w:rPr>
          <w:rFonts w:ascii="Arial" w:cs="Arial" w:eastAsia="Arial" w:hAnsi="Arial"/>
          <w:sz w:val="18"/>
          <w:szCs w:val="18"/>
          <w:color w:val="auto"/>
        </w:rPr>
        <w:t>[IF APPLICABLE, INSERT—The Securities of this Series are subject to repayment on or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at the option of the Holder upon not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less than 30 days’ (but not more than 60 days’) notice by mail to the Paying Agent prior to the repayment date including (a) appropriate wire instructions and</w:t>
      </w:r>
    </w:p>
    <w:p>
      <w:pPr>
        <w:spacing w:after="0" w:line="32"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either (i) the Security with the form entitled Option to Elect Repayment (as set forth below) attached to the Security duly completed or (ii) a telegram,</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(substantially in the form set out in the Indenture)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The repayment option may be exercised by the Holder of such Security for less than the entire principal amount of the Security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APPLICABLE, INSERT—The Securities of this series are subject to redemption upon not less than 30 days’ notice by mail, [IF APPLICABLE,</w:t>
      </w:r>
    </w:p>
    <w:p>
      <w:pPr>
        <w:spacing w:after="0" w:line="4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INSERT—(1) on in any year commencing with the year and ending with the year through operation of the sinking fund for this series at a Redemption Price equal to 100% of the principal amount, and (2) at any time [IF APPLICABLE, INSERT—on or after , 20 ], as a whole or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part, at the election of the Company, at the following Redemption Prices (expressed as percentages of the principal amount): If redeemed [IF APPLICABLE,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w w:val="98"/>
              </w:rPr>
              <w:t>INSERT—on or before</w:t>
            </w: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4900" w:type="dxa"/>
            <w:vAlign w:val="bottom"/>
            <w:gridSpan w:val="6"/>
          </w:tcPr>
          <w:p>
            <w:pPr>
              <w:ind w:left="220"/>
              <w:spacing w:after="0"/>
              <w:rPr>
                <w:sz w:val="20"/>
                <w:szCs w:val="20"/>
                <w:color w:val="auto"/>
              </w:rPr>
            </w:pPr>
            <w:r>
              <w:rPr>
                <w:rFonts w:ascii="Arial" w:cs="Arial" w:eastAsia="Arial" w:hAnsi="Arial"/>
                <w:sz w:val="18"/>
                <w:szCs w:val="18"/>
                <w:color w:val="auto"/>
              </w:rPr>
              <w:t>%, and if redeemed] during the 12-month period beginning</w:t>
            </w:r>
          </w:p>
        </w:tc>
        <w:tc>
          <w:tcPr>
            <w:tcW w:w="3560" w:type="dxa"/>
            <w:vAlign w:val="bottom"/>
          </w:tcPr>
          <w:p>
            <w:pPr>
              <w:ind w:left="440"/>
              <w:spacing w:after="0"/>
              <w:rPr>
                <w:sz w:val="20"/>
                <w:szCs w:val="20"/>
                <w:color w:val="auto"/>
              </w:rPr>
            </w:pPr>
            <w:r>
              <w:rPr>
                <w:rFonts w:ascii="Arial" w:cs="Arial" w:eastAsia="Arial" w:hAnsi="Arial"/>
                <w:sz w:val="18"/>
                <w:szCs w:val="18"/>
                <w:color w:val="auto"/>
              </w:rPr>
              <w:t>of the years indicated,</w:t>
            </w:r>
          </w:p>
        </w:tc>
      </w:tr>
      <w:tr>
        <w:trPr>
          <w:trHeight w:val="337"/>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Redemption Price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3480" w:type="dxa"/>
            <w:vAlign w:val="bottom"/>
            <w:gridSpan w:val="2"/>
          </w:tcPr>
          <w:p>
            <w:pPr>
              <w:ind w:left="180"/>
              <w:spacing w:after="0"/>
              <w:rPr>
                <w:sz w:val="20"/>
                <w:szCs w:val="20"/>
                <w:color w:val="auto"/>
              </w:rPr>
            </w:pPr>
            <w:r>
              <w:rPr>
                <w:rFonts w:ascii="Arial" w:cs="Arial" w:eastAsia="Arial" w:hAnsi="Arial"/>
                <w:sz w:val="14"/>
                <w:szCs w:val="14"/>
                <w:b w:val="1"/>
                <w:bCs w:val="1"/>
                <w:color w:val="auto"/>
              </w:rPr>
              <w:t>Redemption Price</w:t>
            </w:r>
          </w:p>
        </w:tc>
        <w:tc>
          <w:tcPr>
            <w:tcW w:w="3560" w:type="dxa"/>
            <w:vAlign w:val="bottom"/>
          </w:tcPr>
          <w:p>
            <w:pPr>
              <w:spacing w:after="0"/>
              <w:rPr>
                <w:sz w:val="24"/>
                <w:szCs w:val="24"/>
                <w:color w:val="auto"/>
              </w:rPr>
            </w:pPr>
          </w:p>
        </w:tc>
      </w:tr>
      <w:tr>
        <w:trPr>
          <w:trHeight w:val="210"/>
        </w:trPr>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432"/>
        </w:trPr>
        <w:tc>
          <w:tcPr>
            <w:tcW w:w="3460" w:type="dxa"/>
            <w:vAlign w:val="bottom"/>
            <w:gridSpan w:val="5"/>
          </w:tcPr>
          <w:p>
            <w:pPr>
              <w:spacing w:after="0"/>
              <w:rPr>
                <w:sz w:val="20"/>
                <w:szCs w:val="20"/>
                <w:color w:val="auto"/>
              </w:rPr>
            </w:pPr>
            <w:r>
              <w:rPr>
                <w:rFonts w:ascii="Arial" w:cs="Arial" w:eastAsia="Arial" w:hAnsi="Arial"/>
                <w:sz w:val="18"/>
                <w:szCs w:val="18"/>
                <w:color w:val="auto"/>
                <w:w w:val="94"/>
              </w:rPr>
              <w:t>and thereafter at a Redemption Price equal to</w:t>
            </w:r>
          </w:p>
        </w:tc>
        <w:tc>
          <w:tcPr>
            <w:tcW w:w="7720" w:type="dxa"/>
            <w:vAlign w:val="bottom"/>
            <w:gridSpan w:val="5"/>
          </w:tcPr>
          <w:p>
            <w:pPr>
              <w:ind w:left="340"/>
              <w:spacing w:after="0"/>
              <w:rPr>
                <w:sz w:val="20"/>
                <w:szCs w:val="20"/>
                <w:color w:val="auto"/>
              </w:rPr>
            </w:pPr>
            <w:r>
              <w:rPr>
                <w:rFonts w:ascii="Arial" w:cs="Arial" w:eastAsia="Arial" w:hAnsi="Arial"/>
                <w:sz w:val="18"/>
                <w:szCs w:val="18"/>
                <w:color w:val="auto"/>
                <w:w w:val="92"/>
              </w:rPr>
              <w:t>% of the principal amount, together in the case of any such redemption [IF APPLICABLE, INSERT—</w:t>
            </w:r>
          </w:p>
        </w:tc>
      </w:tr>
    </w:tbl>
    <w:p>
      <w:pPr>
        <w:ind w:right="60"/>
        <w:spacing w:after="0" w:line="255" w:lineRule="auto"/>
        <w:rPr>
          <w:sz w:val="20"/>
          <w:szCs w:val="20"/>
          <w:color w:val="auto"/>
        </w:rPr>
      </w:pPr>
      <w:r>
        <w:rPr>
          <w:rFonts w:ascii="Arial" w:cs="Arial" w:eastAsia="Arial" w:hAnsi="Arial"/>
          <w:sz w:val="18"/>
          <w:szCs w:val="18"/>
          <w:color w:val="auto"/>
        </w:rPr>
        <w:t>(whether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ectPr>
          <w:pgSz w:w="11900" w:h="16838" w:orient="portrait"/>
          <w:cols w:equalWidth="0" w:num="1">
            <w:col w:w="11460"/>
          </w:cols>
          <w:pgMar w:left="240" w:top="125" w:right="199" w:bottom="0" w:gutter="0" w:footer="0" w:header="0"/>
        </w:sectPr>
      </w:pPr>
    </w:p>
    <w:p>
      <w:pPr>
        <w:spacing w:after="0" w:line="19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[IF APPLICABLE, INSERT—The Securities of this series are subject to redemption upon not less than 30 days’ notice by mail, (1) on</w:t>
      </w:r>
    </w:p>
    <w:p>
      <w:pPr>
        <w:spacing w:after="0" w:line="23" w:lineRule="exact"/>
        <w:rPr>
          <w:sz w:val="20"/>
          <w:szCs w:val="20"/>
          <w:color w:val="auto"/>
        </w:rPr>
      </w:pPr>
    </w:p>
    <w:p>
      <w:pPr>
        <w:jc w:val="center"/>
        <w:spacing w:after="0"/>
        <w:tabs>
          <w:tab w:leader="none" w:pos="700" w:val="left"/>
          <w:tab w:leader="none" w:pos="800" w:val="left"/>
        </w:tabs>
        <w:rPr>
          <w:sz w:val="20"/>
          <w:szCs w:val="20"/>
          <w:color w:val="auto"/>
        </w:rPr>
      </w:pPr>
      <w:r>
        <w:rPr>
          <w:rFonts w:ascii="Arial" w:cs="Arial" w:eastAsia="Arial" w:hAnsi="Arial"/>
          <w:sz w:val="18"/>
          <w:szCs w:val="18"/>
          <w:color w:val="auto"/>
        </w:rPr>
        <w:t>any year commencing with the year</w:t>
      </w:r>
      <w:r>
        <w:rPr>
          <w:sz w:val="20"/>
          <w:szCs w:val="20"/>
          <w:color w:val="auto"/>
        </w:rPr>
        <w:tab/>
      </w:r>
      <w:r>
        <w:rPr>
          <w:rFonts w:ascii="Arial" w:cs="Arial" w:eastAsia="Arial" w:hAnsi="Arial"/>
          <w:sz w:val="18"/>
          <w:szCs w:val="18"/>
          <w:color w:val="auto"/>
        </w:rPr>
        <w:t>and ending with the year</w:t>
      </w:r>
      <w:r>
        <w:rPr>
          <w:sz w:val="20"/>
          <w:szCs w:val="20"/>
          <w:color w:val="auto"/>
        </w:rPr>
        <w:tab/>
      </w:r>
      <w:r>
        <w:rPr>
          <w:rFonts w:ascii="Arial" w:cs="Arial" w:eastAsia="Arial" w:hAnsi="Arial"/>
          <w:sz w:val="16"/>
          <w:szCs w:val="16"/>
          <w:color w:val="auto"/>
        </w:rPr>
        <w:t>through operation of the sinking fund for this series at the Redemption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250" w:lineRule="exact"/>
        <w:rPr>
          <w:sz w:val="20"/>
          <w:szCs w:val="20"/>
          <w:color w:val="auto"/>
        </w:rPr>
      </w:pPr>
    </w:p>
    <w:p>
      <w:pPr>
        <w:sectPr>
          <w:pgSz w:w="11900" w:h="16838" w:orient="portrait"/>
          <w:cols w:equalWidth="0" w:num="2">
            <w:col w:w="10960" w:space="200"/>
            <w:col w:w="30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Prices for redemption through operation of the sinking fund (expressed as percentages of the principal amount) set forth in the table below, and (2) at any time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[IF APPLICABLE, INSERT—on or after</w:t>
            </w:r>
          </w:p>
        </w:tc>
        <w:tc>
          <w:tcPr>
            <w:tcW w:w="7640" w:type="dxa"/>
            <w:vAlign w:val="bottom"/>
            <w:gridSpan w:val="5"/>
          </w:tcPr>
          <w:p>
            <w:pPr>
              <w:ind w:left="680"/>
              <w:spacing w:after="0"/>
              <w:rPr>
                <w:sz w:val="20"/>
                <w:szCs w:val="20"/>
                <w:color w:val="auto"/>
              </w:rPr>
            </w:pPr>
            <w:r>
              <w:rPr>
                <w:rFonts w:ascii="Arial" w:cs="Arial" w:eastAsia="Arial" w:hAnsi="Arial"/>
                <w:sz w:val="18"/>
                <w:szCs w:val="18"/>
                <w:color w:val="auto"/>
                <w:w w:val="90"/>
              </w:rPr>
              <w:t>], as a whole or in part, at the election of the Company, at the Redemption Prices for redemption</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otherwise than through operation of the</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480" w:type="dxa"/>
            <w:vAlign w:val="bottom"/>
          </w:tcPr>
          <w:p>
            <w:pPr>
              <w:spacing w:after="0"/>
              <w:rPr>
                <w:sz w:val="24"/>
                <w:szCs w:val="24"/>
                <w:color w:val="auto"/>
              </w:rPr>
            </w:pPr>
          </w:p>
        </w:tc>
        <w:tc>
          <w:tcPr>
            <w:tcW w:w="4600" w:type="dxa"/>
            <w:vAlign w:val="bottom"/>
            <w:gridSpan w:val="3"/>
          </w:tcPr>
          <w:p>
            <w:pPr>
              <w:jc w:val="right"/>
              <w:ind w:right="2208"/>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780" w:type="dxa"/>
            <w:vAlign w:val="bottom"/>
            <w:tcBorders>
              <w:bottom w:val="single" w:sz="8" w:color="010101"/>
            </w:tcBorders>
            <w:gridSpan w:val="2"/>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gridSpan w:val="2"/>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50"/>
        </w:trPr>
        <w:tc>
          <w:tcPr>
            <w:tcW w:w="11120" w:type="dxa"/>
            <w:vAlign w:val="bottom"/>
            <w:gridSpan w:val="6"/>
          </w:tcPr>
          <w:p>
            <w:pPr>
              <w:spacing w:after="0"/>
              <w:rPr>
                <w:sz w:val="20"/>
                <w:szCs w:val="20"/>
                <w:color w:val="auto"/>
              </w:rPr>
            </w:pPr>
            <w:r>
              <w:rPr>
                <w:rFonts w:ascii="Arial" w:cs="Arial" w:eastAsia="Arial" w:hAnsi="Arial"/>
                <w:sz w:val="18"/>
                <w:szCs w:val="18"/>
                <w:color w:val="auto"/>
                <w:w w:val="97"/>
              </w:rPr>
              <w:t>sinking fund (expressed as percentages of the principal amount) set forth in the table below: If redeemed during the 12-month period beginning</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the years indicated,</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Redemption Price Through</w:t>
            </w:r>
          </w:p>
        </w:tc>
        <w:tc>
          <w:tcPr>
            <w:tcW w:w="278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Redemption Price For Redemption</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Operation of the Sinking</w:t>
            </w:r>
          </w:p>
        </w:tc>
        <w:tc>
          <w:tcPr>
            <w:tcW w:w="278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w w:val="94"/>
              </w:rPr>
              <w:t>Otherwise Than Through Operation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Fund</w:t>
            </w:r>
          </w:p>
        </w:tc>
        <w:tc>
          <w:tcPr>
            <w:tcW w:w="2780" w:type="dxa"/>
            <w:vAlign w:val="bottom"/>
          </w:tcPr>
          <w:p>
            <w:pPr>
              <w:jc w:val="center"/>
              <w:ind w:left="168"/>
              <w:spacing w:after="0"/>
              <w:rPr>
                <w:sz w:val="20"/>
                <w:szCs w:val="20"/>
                <w:color w:val="auto"/>
              </w:rPr>
            </w:pPr>
            <w:r>
              <w:rPr>
                <w:rFonts w:ascii="Arial" w:cs="Arial" w:eastAsia="Arial" w:hAnsi="Arial"/>
                <w:sz w:val="14"/>
                <w:szCs w:val="14"/>
                <w:b w:val="1"/>
                <w:bCs w:val="1"/>
                <w:color w:val="auto"/>
                <w:w w:val="93"/>
              </w:rPr>
              <w:t>the Sinking Fund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3480" w:type="dxa"/>
            <w:vAlign w:val="bottom"/>
          </w:tcPr>
          <w:p>
            <w:pPr>
              <w:spacing w:after="0"/>
              <w:rPr>
                <w:sz w:val="20"/>
                <w:szCs w:val="20"/>
                <w:color w:val="auto"/>
              </w:rPr>
            </w:pPr>
            <w:r>
              <w:rPr>
                <w:rFonts w:ascii="Arial" w:cs="Arial" w:eastAsia="Arial" w:hAnsi="Arial"/>
                <w:sz w:val="18"/>
                <w:szCs w:val="18"/>
                <w:color w:val="auto"/>
                <w:w w:val="94"/>
              </w:rPr>
              <w:t>and thereafter at a Redemption Price equal to</w:t>
            </w:r>
          </w:p>
        </w:tc>
        <w:tc>
          <w:tcPr>
            <w:tcW w:w="7980" w:type="dxa"/>
            <w:vAlign w:val="bottom"/>
            <w:gridSpan w:val="7"/>
          </w:tcPr>
          <w:p>
            <w:pPr>
              <w:jc w:val="right"/>
              <w:ind w:right="180"/>
              <w:spacing w:after="0"/>
              <w:rPr>
                <w:sz w:val="20"/>
                <w:szCs w:val="20"/>
                <w:color w:val="auto"/>
              </w:rPr>
            </w:pPr>
            <w:r>
              <w:rPr>
                <w:rFonts w:ascii="Arial" w:cs="Arial" w:eastAsia="Arial" w:hAnsi="Arial"/>
                <w:sz w:val="18"/>
                <w:szCs w:val="18"/>
                <w:color w:val="auto"/>
                <w:w w:val="93"/>
              </w:rPr>
              <w:t>% of the principal amount, together in the case of any such redemption (whether through operation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-1373505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-1373505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80"/>
        <w:spacing w:after="0" w:line="255" w:lineRule="auto"/>
        <w:rPr>
          <w:sz w:val="20"/>
          <w:szCs w:val="20"/>
          <w:color w:val="auto"/>
        </w:rPr>
      </w:pPr>
      <w:r>
        <w:rPr>
          <w:rFonts w:ascii="Arial" w:cs="Arial" w:eastAsia="Arial" w:hAnsi="Arial"/>
          <w:sz w:val="18"/>
          <w:szCs w:val="18"/>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90"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[IF APPLICABLE, INSERT—Notwithstanding the foregoing, the Company may not, prior to , redeem any Securities of this series as contemplated by [IF APPLICABLE, INSERT—Clause (2) of] the preceding paragraph as a part of, or in anticipation of, any refunding operation by the application, directly or indirectly, of moneys borrowed having an interest cost to the Company (calculated in accordance with generally accepted financial</w:t>
      </w:r>
    </w:p>
    <w:p>
      <w:pPr>
        <w:spacing w:after="0"/>
        <w:tabs>
          <w:tab w:leader="none" w:pos="2240" w:val="left"/>
        </w:tabs>
        <w:rPr>
          <w:sz w:val="20"/>
          <w:szCs w:val="20"/>
          <w:color w:val="auto"/>
        </w:rPr>
      </w:pPr>
      <w:r>
        <w:rPr>
          <w:rFonts w:ascii="Arial" w:cs="Arial" w:eastAsia="Arial" w:hAnsi="Arial"/>
          <w:sz w:val="18"/>
          <w:szCs w:val="18"/>
          <w:color w:val="auto"/>
        </w:rPr>
        <w:t>practice) of less than</w:t>
      </w:r>
      <w:r>
        <w:rPr>
          <w:sz w:val="20"/>
          <w:szCs w:val="20"/>
          <w:color w:val="auto"/>
        </w:rPr>
        <w:tab/>
      </w:r>
      <w:r>
        <w:rPr>
          <w:rFonts w:ascii="Arial" w:cs="Arial" w:eastAsia="Arial" w:hAnsi="Arial"/>
          <w:sz w:val="16"/>
          <w:szCs w:val="16"/>
          <w:color w:val="auto"/>
        </w:rPr>
        <w:t>% per annum.]</w:t>
      </w:r>
    </w:p>
    <w:p>
      <w:pPr>
        <w:spacing w:after="0" w:line="211" w:lineRule="exact"/>
        <w:rPr>
          <w:sz w:val="20"/>
          <w:szCs w:val="20"/>
          <w:color w:val="auto"/>
        </w:rPr>
      </w:pPr>
    </w:p>
    <w:p>
      <w:pPr>
        <w:ind w:right="500" w:firstLine="648"/>
        <w:spacing w:after="0" w:line="258" w:lineRule="auto"/>
        <w:rPr>
          <w:sz w:val="20"/>
          <w:szCs w:val="20"/>
          <w:color w:val="auto"/>
        </w:rPr>
      </w:pPr>
      <w:r>
        <w:rPr>
          <w:rFonts w:ascii="Arial" w:cs="Arial" w:eastAsia="Arial" w:hAnsi="Arial"/>
          <w:sz w:val="18"/>
          <w:szCs w:val="18"/>
          <w:color w:val="auto"/>
        </w:rPr>
        <w:t>[IF APPLICABLE, INSERT—The sinking fund for this series provides for the redemption on in each year beginning with the year and ending with the year of [IF APPLICABLE, INSERT—not less than $ (“mandatory sinking fund”) and not more than]</w:t>
      </w:r>
    </w:p>
    <w:p>
      <w:pPr>
        <w:spacing w:after="0" w:line="1" w:lineRule="exact"/>
        <w:rPr>
          <w:sz w:val="20"/>
          <w:szCs w:val="20"/>
          <w:color w:val="auto"/>
        </w:rPr>
      </w:pPr>
    </w:p>
    <w:p>
      <w:pPr>
        <w:ind w:right="380" w:firstLine="8"/>
        <w:spacing w:after="0" w:line="277"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aggregate principal amount of Securities of this series. Securities of this series acquired or redeemed by the Company otherwise than through [IF APPLICABLE, INSERT—mandatory] sinking fund payments may be credited against subsequent [IF APPLICABLE, INSERT—mandatory] sinking fund payments otherwise required to be made in the [IF APPLICABLE, INSERT—inverse] order in which they become due.]</w:t>
      </w:r>
    </w:p>
    <w:p>
      <w:pPr>
        <w:sectPr>
          <w:pgSz w:w="11900" w:h="16838" w:orient="portrait"/>
          <w:cols w:equalWidth="0" w:num="1">
            <w:col w:w="11460"/>
          </w:cols>
          <w:pgMar w:left="240" w:top="125" w:right="199" w:bottom="0" w:gutter="0" w:footer="0" w:header="0"/>
          <w:type w:val="continuous"/>
        </w:sectPr>
      </w:pPr>
    </w:p>
    <w:bookmarkStart w:id="27" w:name="page28"/>
    <w:bookmarkEnd w:id="27"/>
    <w:p>
      <w:pPr>
        <w:jc w:val="both"/>
        <w:ind w:right="160" w:firstLine="648"/>
        <w:spacing w:after="0" w:line="264" w:lineRule="auto"/>
        <w:rPr>
          <w:sz w:val="20"/>
          <w:szCs w:val="20"/>
          <w:color w:val="auto"/>
        </w:rPr>
      </w:pPr>
      <w:r>
        <w:rPr>
          <w:rFonts w:ascii="Arial" w:cs="Arial" w:eastAsia="Arial" w:hAnsi="Arial"/>
          <w:sz w:val="18"/>
          <w:szCs w:val="18"/>
          <w:color w:val="auto"/>
        </w:rPr>
        <w:t>[IF THE SECURITY IS SUBJECT TO REDEMPTION OF ANY KIND, INSERT—In the event of redemption of this Security in part only, a new Security or Securities of this series and of like tenor for the unredeemed portion hereof will be issued in the name of the Holder hereof upon the cancellation hereof.]</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APPLICABLE, INSERT—The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24"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THE SECURITY IS AN ORIGINAL ISSUE DISCOUNT SECURITY, INSERT—If an Event of Default with respect to Securities of this series shall occur and be continuing, an amount of principal of the Securities of this series may be declared due and payable in the manner and with the effect provided in the Indenture. Such amount shall be equal to—INSERT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Form of Legend for Global Securities</w:t>
      </w:r>
      <w:r>
        <w:rPr>
          <w:rFonts w:ascii="Arial" w:cs="Arial" w:eastAsia="Arial" w:hAnsi="Arial"/>
          <w:sz w:val="18"/>
          <w:szCs w:val="18"/>
          <w:color w:val="auto"/>
        </w:rPr>
        <w:t>. Unless otherwise specified as contemplated by Section 3.01 for the Securities evidenced thereby, every Global Security authenticated and delivered hereunder shall bear a legend in substantially the following form:</w:t>
      </w:r>
    </w:p>
    <w:p>
      <w:pPr>
        <w:spacing w:after="0" w:line="170"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w:t>
      </w:r>
    </w:p>
    <w:p>
      <w:pPr>
        <w:sectPr>
          <w:pgSz w:w="11900" w:h="16838" w:orient="portrait"/>
          <w:cols w:equalWidth="0" w:num="1">
            <w:col w:w="11420"/>
          </w:cols>
          <w:pgMar w:left="240" w:top="125" w:right="239" w:bottom="0" w:gutter="0" w:footer="0" w:header="0"/>
        </w:sectPr>
      </w:pPr>
    </w:p>
    <w:bookmarkStart w:id="28" w:name="page29"/>
    <w:bookmarkEnd w:id="28"/>
    <w:p>
      <w:pPr>
        <w:spacing w:after="0" w:line="29" w:lineRule="exact"/>
        <w:rPr>
          <w:sz w:val="20"/>
          <w:szCs w:val="20"/>
          <w:color w:val="auto"/>
        </w:rPr>
      </w:pPr>
    </w:p>
    <w:p>
      <w:pPr>
        <w:ind w:left="660" w:right="1160"/>
        <w:spacing w:after="0" w:line="277" w:lineRule="auto"/>
        <w:rPr>
          <w:sz w:val="20"/>
          <w:szCs w:val="20"/>
          <w:color w:val="auto"/>
        </w:rPr>
      </w:pPr>
      <w:r>
        <w:rPr>
          <w:rFonts w:ascii="Arial" w:cs="Arial" w:eastAsia="Arial" w:hAnsi="Arial"/>
          <w:sz w:val="18"/>
          <w:szCs w:val="18"/>
          <w:color w:val="auto"/>
        </w:rPr>
        <w:t>MAY BE REGISTERED, IN THE NAME OF ANY PERSON OTHER THAN SUCH DEPOSITARY OR A NOMINEE THEREOF, EXCEPT IN THE LIMITED CIRCUMSTANCES DESCRIBED IN THE INDENTURE.</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Trustee’s certificates of authentication shall be in substantially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ectPr>
          <w:pgSz w:w="11900" w:h="16867" w:orient="portrait"/>
          <w:cols w:equalWidth="0" w:num="1">
            <w:col w:w="11420"/>
          </w:cols>
          <w:pgMar w:left="240" w:top="125"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TRUST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N.A., as Trustee</w:t>
      </w:r>
    </w:p>
    <w:p>
      <w:pPr>
        <w:spacing w:after="0" w:line="200" w:lineRule="exact"/>
        <w:rPr>
          <w:sz w:val="20"/>
          <w:szCs w:val="20"/>
          <w:color w:val="auto"/>
        </w:rPr>
      </w:pPr>
    </w:p>
    <w:p>
      <w:pPr>
        <w:sectPr>
          <w:pgSz w:w="11900" w:h="16867" w:orient="portrait"/>
          <w:cols w:equalWidth="0" w:num="3">
            <w:col w:w="1160" w:space="720"/>
            <w:col w:w="3120" w:space="720"/>
            <w:col w:w="5700"/>
          </w:cols>
          <w:pgMar w:left="240" w:top="125" w:right="239" w:bottom="0" w:gutter="0" w:footer="0" w:header="0"/>
          <w:type w:val="continuous"/>
        </w:sect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first issuance of a Security of any series,</w:t>
      </w:r>
    </w:p>
    <w:p>
      <w:pPr>
        <w:spacing w:after="0" w:line="181" w:lineRule="exact"/>
        <w:rPr>
          <w:sz w:val="20"/>
          <w:szCs w:val="20"/>
          <w:color w:val="auto"/>
        </w:rPr>
      </w:pPr>
    </w:p>
    <w:p>
      <w:pPr>
        <w:ind w:left="2000" w:hanging="695"/>
        <w:spacing w:after="0"/>
        <w:tabs>
          <w:tab w:leader="none" w:pos="2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ind w:left="660" w:right="120" w:firstLine="645"/>
        <w:spacing w:after="0" w:line="259" w:lineRule="auto"/>
        <w:tabs>
          <w:tab w:leader="none" w:pos="20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6" w:lineRule="exact"/>
        <w:rPr>
          <w:rFonts w:ascii="Arial" w:cs="Arial" w:eastAsia="Arial" w:hAnsi="Arial"/>
          <w:sz w:val="18"/>
          <w:szCs w:val="18"/>
          <w:color w:val="auto"/>
        </w:rPr>
      </w:pPr>
    </w:p>
    <w:p>
      <w:pPr>
        <w:ind w:left="660" w:right="120" w:firstLine="645"/>
        <w:spacing w:after="0" w:line="308" w:lineRule="auto"/>
        <w:tabs>
          <w:tab w:leader="none" w:pos="201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on which the principal or installments of principal of any Securities of the series is payable;</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20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and interest on any Securities of the series shall be payable;</w:t>
      </w:r>
    </w:p>
    <w:p>
      <w:pPr>
        <w:spacing w:after="0" w:line="236" w:lineRule="exact"/>
        <w:rPr>
          <w:rFonts w:ascii="Arial" w:cs="Arial" w:eastAsia="Arial" w:hAnsi="Arial"/>
          <w:sz w:val="17"/>
          <w:szCs w:val="17"/>
          <w:color w:val="auto"/>
        </w:rPr>
      </w:pPr>
    </w:p>
    <w:p>
      <w:pPr>
        <w:ind w:left="660" w:firstLine="645"/>
        <w:spacing w:after="0" w:line="264" w:lineRule="auto"/>
        <w:tabs>
          <w:tab w:leader="none" w:pos="20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ind w:left="660" w:right="760" w:firstLine="645"/>
        <w:spacing w:after="0" w:line="277" w:lineRule="auto"/>
        <w:tabs>
          <w:tab w:leader="none" w:pos="20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any Securities of the series pursuant to any sinking fund or analogous provisions or at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70" w:lineRule="exact"/>
        <w:rPr>
          <w:sz w:val="20"/>
          <w:szCs w:val="20"/>
          <w:color w:val="auto"/>
        </w:rPr>
      </w:pPr>
    </w:p>
    <w:p>
      <w:pPr>
        <w:ind w:left="2000" w:hanging="695"/>
        <w:spacing w:after="0"/>
        <w:tabs>
          <w:tab w:leader="none" w:pos="2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left="660" w:right="300" w:firstLine="645"/>
        <w:spacing w:after="0" w:line="277" w:lineRule="auto"/>
        <w:tabs>
          <w:tab w:leader="none" w:pos="20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left="660" w:right="180" w:firstLine="645"/>
        <w:spacing w:after="0" w:line="286" w:lineRule="auto"/>
        <w:tabs>
          <w:tab w:leader="none" w:pos="2007"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65" w:lineRule="exact"/>
        <w:rPr>
          <w:rFonts w:ascii="Arial" w:cs="Arial" w:eastAsia="Arial" w:hAnsi="Arial"/>
          <w:sz w:val="17"/>
          <w:szCs w:val="17"/>
          <w:color w:val="auto"/>
        </w:rPr>
      </w:pPr>
    </w:p>
    <w:p>
      <w:pPr>
        <w:ind w:left="660" w:right="60" w:firstLine="645"/>
        <w:spacing w:after="0" w:line="342" w:lineRule="auto"/>
        <w:tabs>
          <w:tab w:leader="none" w:pos="201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w:t>
      </w:r>
    </w:p>
    <w:p>
      <w:pPr>
        <w:sectPr>
          <w:pgSz w:w="11900" w:h="16867" w:orient="portrait"/>
          <w:cols w:equalWidth="0" w:num="1">
            <w:col w:w="11420"/>
          </w:cols>
          <w:pgMar w:left="240" w:top="125" w:right="239" w:bottom="0" w:gutter="0" w:footer="0" w:header="0"/>
          <w:type w:val="continuous"/>
        </w:sectPr>
      </w:pPr>
    </w:p>
    <w:bookmarkStart w:id="29" w:name="page30"/>
    <w:bookmarkEnd w:id="29"/>
    <w:p>
      <w:pPr>
        <w:ind w:left="660" w:right="60"/>
        <w:spacing w:after="0" w:line="264" w:lineRule="auto"/>
        <w:rPr>
          <w:sz w:val="20"/>
          <w:szCs w:val="20"/>
          <w:color w:val="auto"/>
        </w:rPr>
      </w:pPr>
      <w:r>
        <w:rPr>
          <w:rFonts w:ascii="Arial" w:cs="Arial" w:eastAsia="Arial" w:hAnsi="Arial"/>
          <w:sz w:val="18"/>
          <w:szCs w:val="18"/>
          <w:color w:val="auto"/>
        </w:rPr>
        <w:t>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1" w:lineRule="exact"/>
        <w:rPr>
          <w:sz w:val="20"/>
          <w:szCs w:val="20"/>
          <w:color w:val="auto"/>
        </w:rPr>
      </w:pPr>
    </w:p>
    <w:p>
      <w:pPr>
        <w:ind w:left="660" w:right="100" w:firstLine="645"/>
        <w:spacing w:after="0" w:line="277" w:lineRule="auto"/>
        <w:tabs>
          <w:tab w:leader="none" w:pos="20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70" w:lineRule="exact"/>
        <w:rPr>
          <w:rFonts w:ascii="Arial" w:cs="Arial" w:eastAsia="Arial" w:hAnsi="Arial"/>
          <w:sz w:val="18"/>
          <w:szCs w:val="18"/>
          <w:color w:val="auto"/>
        </w:rPr>
      </w:pPr>
    </w:p>
    <w:p>
      <w:pPr>
        <w:ind w:left="660" w:right="140" w:firstLine="645"/>
        <w:spacing w:after="0" w:line="257" w:lineRule="auto"/>
        <w:tabs>
          <w:tab w:leader="none" w:pos="20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ind w:left="660" w:right="360" w:firstLine="645"/>
        <w:spacing w:after="0" w:line="264" w:lineRule="auto"/>
        <w:tabs>
          <w:tab w:leader="none" w:pos="20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181" w:lineRule="exact"/>
        <w:rPr>
          <w:rFonts w:ascii="Arial" w:cs="Arial" w:eastAsia="Arial" w:hAnsi="Arial"/>
          <w:sz w:val="18"/>
          <w:szCs w:val="18"/>
          <w:color w:val="auto"/>
        </w:rPr>
      </w:pPr>
    </w:p>
    <w:p>
      <w:pPr>
        <w:ind w:left="660" w:right="80" w:firstLine="645"/>
        <w:spacing w:after="0" w:line="264" w:lineRule="auto"/>
        <w:tabs>
          <w:tab w:leader="none" w:pos="20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1" w:lineRule="exact"/>
        <w:rPr>
          <w:sz w:val="20"/>
          <w:szCs w:val="20"/>
          <w:color w:val="auto"/>
        </w:rPr>
      </w:pPr>
    </w:p>
    <w:p>
      <w:pPr>
        <w:ind w:left="660" w:firstLine="645"/>
        <w:spacing w:after="0" w:line="342" w:lineRule="auto"/>
        <w:tabs>
          <w:tab w:leader="none" w:pos="2013"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addition to, limitation of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addition to, limitation of or change in the covenants set forth in Article X which applies to Securities of the series; and</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9.01(5)).</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Denominations</w:t>
      </w:r>
      <w:r>
        <w:rPr>
          <w:rFonts w:ascii="Arial" w:cs="Arial" w:eastAsia="Arial" w:hAnsi="Arial"/>
          <w:sz w:val="18"/>
          <w:szCs w:val="18"/>
          <w:color w:val="auto"/>
        </w:rPr>
        <w:t>.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The Securities shall be executed on behalf of the Company by its Chairman of the Board, its Chief Executive Officer, its President or one of its Vice Presidents, which may be under its corporate seal reproduced thereon and attested by its Secretary or one of its Assistant Secretaries. The signature of any of these officers on the Securities may be manual or facsimile.</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47" w:lineRule="exact"/>
        <w:rPr>
          <w:sz w:val="20"/>
          <w:szCs w:val="20"/>
          <w:color w:val="auto"/>
        </w:rPr>
      </w:pPr>
    </w:p>
    <w:p>
      <w:pPr>
        <w:ind w:left="660" w:right="360" w:firstLine="645"/>
        <w:spacing w:after="0" w:line="277" w:lineRule="auto"/>
        <w:tabs>
          <w:tab w:leader="none" w:pos="20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2.01, that such form has been established in conformity with the provisions of this Indenture;</w:t>
      </w:r>
    </w:p>
    <w:p>
      <w:pPr>
        <w:sectPr>
          <w:pgSz w:w="11900" w:h="16838" w:orient="portrait"/>
          <w:cols w:equalWidth="0" w:num="1">
            <w:col w:w="11400"/>
          </w:cols>
          <w:pgMar w:left="240" w:top="125" w:right="259" w:bottom="139" w:gutter="0" w:footer="0" w:header="0"/>
        </w:sectPr>
      </w:pPr>
    </w:p>
    <w:bookmarkStart w:id="30" w:name="page31"/>
    <w:bookmarkEnd w:id="30"/>
    <w:p>
      <w:pPr>
        <w:ind w:left="660" w:right="240" w:firstLine="645"/>
        <w:spacing w:after="0" w:line="277" w:lineRule="auto"/>
        <w:tabs>
          <w:tab w:leader="none" w:pos="20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3.01, that such terms have been established in conformity with the provisions of this Indenture; and</w:t>
      </w:r>
    </w:p>
    <w:p>
      <w:pPr>
        <w:spacing w:after="0" w:line="170" w:lineRule="exact"/>
        <w:rPr>
          <w:rFonts w:ascii="Arial" w:cs="Arial" w:eastAsia="Arial" w:hAnsi="Arial"/>
          <w:sz w:val="18"/>
          <w:szCs w:val="18"/>
          <w:color w:val="auto"/>
        </w:rPr>
      </w:pPr>
    </w:p>
    <w:p>
      <w:pPr>
        <w:ind w:left="660" w:firstLine="645"/>
        <w:spacing w:after="0" w:line="273" w:lineRule="auto"/>
        <w:tabs>
          <w:tab w:leader="none" w:pos="201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 Pending the preparation of definitive Securities of any series, the Company may execute, and upon Company Order the Trustee shall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authenticate and deliver, temporary Securities which are typewritten,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Registration, Registration of Transfer and Exchange</w:t>
      </w:r>
      <w:r>
        <w:rPr>
          <w:rFonts w:ascii="Arial" w:cs="Arial" w:eastAsia="Arial" w:hAnsi="Arial"/>
          <w:sz w:val="18"/>
          <w:szCs w:val="18"/>
          <w:color w:val="auto"/>
        </w:rPr>
        <w:t>.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ectPr>
          <w:pgSz w:w="11900" w:h="16838" w:orient="portrait"/>
          <w:cols w:equalWidth="0" w:num="1">
            <w:col w:w="11420"/>
          </w:cols>
          <w:pgMar w:left="240" w:top="125" w:right="239" w:bottom="0" w:gutter="0" w:footer="0" w:header="0"/>
        </w:sectPr>
      </w:pPr>
    </w:p>
    <w:bookmarkStart w:id="31" w:name="page32"/>
    <w:bookmarkEnd w:id="31"/>
    <w:p>
      <w:pPr>
        <w:ind w:right="40"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ind w:left="660" w:right="320" w:firstLine="645"/>
        <w:spacing w:after="0" w:line="264" w:lineRule="auto"/>
        <w:tabs>
          <w:tab w:leader="none" w:pos="20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ind w:left="660" w:right="20" w:firstLine="645"/>
        <w:spacing w:after="0" w:line="273" w:lineRule="auto"/>
        <w:tabs>
          <w:tab w:leader="none" w:pos="2013"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78" w:lineRule="exact"/>
        <w:rPr>
          <w:rFonts w:ascii="Arial" w:cs="Arial" w:eastAsia="Arial" w:hAnsi="Arial"/>
          <w:sz w:val="17"/>
          <w:szCs w:val="17"/>
          <w:color w:val="auto"/>
        </w:rPr>
      </w:pPr>
    </w:p>
    <w:p>
      <w:pPr>
        <w:ind w:left="660" w:right="460" w:firstLine="645"/>
        <w:spacing w:after="0" w:line="264" w:lineRule="auto"/>
        <w:tabs>
          <w:tab w:leader="none" w:pos="20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ind w:left="660" w:right="80" w:firstLine="645"/>
        <w:spacing w:after="0" w:line="259" w:lineRule="auto"/>
        <w:tabs>
          <w:tab w:leader="none" w:pos="20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Destroyed, Lost and Stolen Securities</w:t>
      </w:r>
      <w:r>
        <w:rPr>
          <w:rFonts w:ascii="Arial" w:cs="Arial" w:eastAsia="Arial" w:hAnsi="Arial"/>
          <w:sz w:val="18"/>
          <w:szCs w:val="18"/>
          <w:color w:val="auto"/>
        </w:rPr>
        <w:t>.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 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ind w:left="660" w:firstLine="645"/>
        <w:spacing w:after="0" w:line="264" w:lineRule="auto"/>
        <w:tabs>
          <w:tab w:leader="none" w:pos="19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w:t>
      </w:r>
    </w:p>
    <w:p>
      <w:pPr>
        <w:sectPr>
          <w:pgSz w:w="11900" w:h="16838" w:orient="portrait"/>
          <w:cols w:equalWidth="0" w:num="1">
            <w:col w:w="11420"/>
          </w:cols>
          <w:pgMar w:left="240" w:top="125" w:right="239" w:bottom="0" w:gutter="0" w:footer="0" w:header="0"/>
        </w:sectPr>
      </w:pPr>
    </w:p>
    <w:bookmarkStart w:id="32" w:name="page33"/>
    <w:bookmarkEnd w:id="32"/>
    <w:p>
      <w:pPr>
        <w:ind w:left="660" w:right="60"/>
        <w:spacing w:after="0" w:line="288" w:lineRule="auto"/>
        <w:rPr>
          <w:sz w:val="20"/>
          <w:szCs w:val="20"/>
          <w:color w:val="auto"/>
        </w:rPr>
      </w:pPr>
      <w:r>
        <w:rPr>
          <w:rFonts w:ascii="Arial" w:cs="Arial" w:eastAsia="Arial" w:hAnsi="Arial"/>
          <w:sz w:val="16"/>
          <w:szCs w:val="16"/>
          <w:color w:val="auto"/>
        </w:rPr>
        <w:t>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69" w:lineRule="exact"/>
        <w:rPr>
          <w:sz w:val="20"/>
          <w:szCs w:val="20"/>
          <w:color w:val="auto"/>
        </w:rPr>
      </w:pPr>
    </w:p>
    <w:p>
      <w:pPr>
        <w:ind w:left="660" w:right="100" w:firstLine="645"/>
        <w:spacing w:after="0" w:line="259" w:lineRule="auto"/>
        <w:tabs>
          <w:tab w:leader="none" w:pos="19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Persons Deemed Owners</w:t>
      </w:r>
      <w:r>
        <w:rPr>
          <w:rFonts w:ascii="Arial" w:cs="Arial" w:eastAsia="Arial" w:hAnsi="Arial"/>
          <w:sz w:val="16"/>
          <w:szCs w:val="16"/>
          <w:color w:val="auto"/>
        </w:rPr>
        <w:t>. 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54"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Cancellation</w:t>
      </w:r>
      <w:r>
        <w:rPr>
          <w:rFonts w:ascii="Arial" w:cs="Arial" w:eastAsia="Arial" w:hAnsi="Arial"/>
          <w:sz w:val="17"/>
          <w:szCs w:val="17"/>
          <w:color w:val="auto"/>
        </w:rPr>
        <w:t>. 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destroyed, and the Trustee shall have provide proof of destruction to the Company.</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r>
        <w:rPr>
          <w:rFonts w:ascii="Arial" w:cs="Arial" w:eastAsia="Arial" w:hAnsi="Arial"/>
          <w:sz w:val="18"/>
          <w:szCs w:val="18"/>
          <w:color w:val="auto"/>
        </w:rPr>
        <w:t>. Except as otherwise specified as contemplated by Section 3.01 for Securities of any series, interest on the Securities of each series shall be computed on the basis of a 360-day year of twelve 30-day months.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1" w:lineRule="exact"/>
        <w:rPr>
          <w:sz w:val="20"/>
          <w:szCs w:val="20"/>
          <w:color w:val="auto"/>
        </w:rPr>
      </w:pPr>
    </w:p>
    <w:p>
      <w:pPr>
        <w:ind w:left="660" w:right="60" w:firstLine="645"/>
        <w:spacing w:after="0" w:line="288" w:lineRule="auto"/>
        <w:tabs>
          <w:tab w:leader="none" w:pos="197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either (A) 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w:t>
      </w:r>
    </w:p>
    <w:p>
      <w:pPr>
        <w:ind w:left="660"/>
        <w:spacing w:after="0"/>
        <w:rPr>
          <w:rFonts w:ascii="Arial" w:cs="Arial" w:eastAsia="Arial" w:hAnsi="Arial"/>
          <w:sz w:val="16"/>
          <w:szCs w:val="16"/>
          <w:color w:val="auto"/>
        </w:rPr>
      </w:pPr>
      <w:r>
        <w:rPr>
          <w:rFonts w:ascii="Arial" w:cs="Arial" w:eastAsia="Arial" w:hAnsi="Arial"/>
          <w:sz w:val="16"/>
          <w:szCs w:val="16"/>
          <w:color w:val="auto"/>
        </w:rPr>
        <w:t>Section 10.03) have been delivered to the Trustee for cancellation; or (B) all such Securities not theretofore delivered to the Trustee for cancellation</w:t>
      </w:r>
    </w:p>
    <w:p>
      <w:pPr>
        <w:spacing w:after="0" w:line="32" w:lineRule="exact"/>
        <w:rPr>
          <w:rFonts w:ascii="Arial" w:cs="Arial" w:eastAsia="Arial" w:hAnsi="Arial"/>
          <w:sz w:val="16"/>
          <w:szCs w:val="16"/>
          <w:color w:val="auto"/>
        </w:rPr>
      </w:pPr>
    </w:p>
    <w:p>
      <w:pPr>
        <w:ind w:left="660" w:hanging="4"/>
        <w:spacing w:after="0" w:line="270" w:lineRule="auto"/>
        <w:tabs>
          <w:tab w:leader="none" w:pos="8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 Trustee as trust funds in trust for the purpose money in an amount in United States dollars sufficient to pay and discharge the entire Debt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178" w:lineRule="exact"/>
        <w:rPr>
          <w:rFonts w:ascii="Arial" w:cs="Arial" w:eastAsia="Arial" w:hAnsi="Arial"/>
          <w:sz w:val="17"/>
          <w:szCs w:val="17"/>
          <w:color w:val="auto"/>
        </w:rPr>
      </w:pPr>
    </w:p>
    <w:p>
      <w:pPr>
        <w:ind w:left="1980" w:hanging="675"/>
        <w:spacing w:after="0"/>
        <w:tabs>
          <w:tab w:leader="none" w:pos="1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right="460" w:firstLine="645"/>
        <w:spacing w:after="0" w:line="277" w:lineRule="auto"/>
        <w:tabs>
          <w:tab w:leader="none" w:pos="197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6.07, the obligations of the Trustee to any Authenticating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Agent under Section 6.14 and, if money shall have been deposited with the Trustee pursuant to subclause (B) of Clause (1) of this Section, the obligations of the Trustee under Section 4.02 and the last paragraph of Section 10.03 shall survive.</w:t>
      </w:r>
    </w:p>
    <w:p>
      <w:pPr>
        <w:sectPr>
          <w:pgSz w:w="11900" w:h="16838" w:orient="portrait"/>
          <w:cols w:equalWidth="0" w:num="1">
            <w:col w:w="11400"/>
          </w:cols>
          <w:pgMar w:left="240" w:top="125" w:right="259" w:bottom="0" w:gutter="0" w:footer="0" w:header="0"/>
        </w:sectPr>
      </w:pPr>
    </w:p>
    <w:bookmarkStart w:id="33" w:name="page34"/>
    <w:bookmarkEnd w:id="33"/>
    <w:p>
      <w:pPr>
        <w:ind w:right="60" w:firstLine="648"/>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Application of Trust Money</w:t>
      </w:r>
      <w:r>
        <w:rPr>
          <w:rFonts w:ascii="Arial" w:cs="Arial" w:eastAsia="Arial" w:hAnsi="Arial"/>
          <w:sz w:val="17"/>
          <w:szCs w:val="17"/>
          <w:color w:val="auto"/>
        </w:rPr>
        <w:t>.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REMEDIES</w:t>
      </w:r>
    </w:p>
    <w:p>
      <w:pPr>
        <w:spacing w:after="0" w:line="211" w:lineRule="exact"/>
        <w:rPr>
          <w:sz w:val="20"/>
          <w:szCs w:val="20"/>
          <w:color w:val="auto"/>
        </w:rPr>
      </w:pPr>
    </w:p>
    <w:p>
      <w:pPr>
        <w:jc w:val="both"/>
        <w:ind w:right="540" w:firstLine="648"/>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6" w:lineRule="exact"/>
        <w:rPr>
          <w:sz w:val="20"/>
          <w:szCs w:val="20"/>
          <w:color w:val="auto"/>
        </w:rPr>
      </w:pPr>
    </w:p>
    <w:p>
      <w:pPr>
        <w:ind w:left="660" w:right="140" w:firstLine="645"/>
        <w:spacing w:after="0" w:line="277" w:lineRule="auto"/>
        <w:tabs>
          <w:tab w:leader="none" w:pos="19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if any, on any Security of that series at its Maturity;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left="660" w:right="20" w:firstLine="645"/>
        <w:spacing w:after="0" w:line="273" w:lineRule="auto"/>
        <w:tabs>
          <w:tab w:leader="none" w:pos="1977"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30 days after there has been given, by registered or certified mail, to the Company by the Trustee or to the Company and the Trustee by the Holders of at least 10%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ind w:left="660" w:firstLine="645"/>
        <w:spacing w:after="0" w:line="259" w:lineRule="auto"/>
        <w:tabs>
          <w:tab w:leader="none" w:pos="19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under any bond, debenture, note or other evidence of indebtedness for money borrowed by the Company (including a default with respect to Securities of any series other than that series), or under any mortgage, indenture or instrument (including this Indenture) under which there may be issued or by which there may be secured or evidenced any indebtedness for money borrowed by the Company having an aggregate principal amount outstanding of at least $10 million, whether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spacing w:after="0" w:line="290" w:lineRule="auto"/>
        <w:rPr>
          <w:sz w:val="20"/>
          <w:szCs w:val="20"/>
          <w:color w:val="auto"/>
        </w:rPr>
      </w:pPr>
      <w:r>
        <w:rPr>
          <w:rFonts w:ascii="Arial" w:cs="Arial" w:eastAsia="Arial" w:hAnsi="Arial"/>
          <w:sz w:val="16"/>
          <w:szCs w:val="16"/>
          <w:color w:val="auto"/>
        </w:rPr>
        <w:t>indebtedness now exists or shall hereafter be created, which default (A) shall constitute a failure to pay any portion of the principal of such indebtedness when due and payable after the expiration of any applicable grace period with respect thereto or (B) 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Company by the Trustee or to the Company and the Trustee by the Holders of at least 25% in principal amount of the Outstanding Securities of that series a written notice specifying such default and requiring the Company to cause such indebtedness to be discharged or cause such acceleration to be rescinded or annulled, as the case may be, and stating that such notice is a “Notice of Default” hereunder; or</w:t>
      </w:r>
    </w:p>
    <w:p>
      <w:pPr>
        <w:spacing w:after="0" w:line="166" w:lineRule="exact"/>
        <w:rPr>
          <w:sz w:val="20"/>
          <w:szCs w:val="20"/>
          <w:color w:val="auto"/>
        </w:rPr>
      </w:pPr>
    </w:p>
    <w:p>
      <w:pPr>
        <w:ind w:left="660" w:right="20" w:firstLine="645"/>
        <w:spacing w:after="0" w:line="271" w:lineRule="auto"/>
        <w:tabs>
          <w:tab w:leader="none" w:pos="197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or any of its Restricted Subsidiaries in an involuntary case or proceeding under any applicable Federal or State bankruptcy, insolvency, reorganization or other similar law or (B) a decree or order adjudging the Company or any of its Restricted Subsidiaries a bankrupt or insolvent, or approving as properly filed a petition seeking reorganization, arrangement, adjustment or composition of or in respect of the Company or any of its Restricted Subsidiaries under any applicable Federal or State law, or appointing a custodian, receiver, liquidator, assignee, trustee, sequestrator or other similar official of the Company or any of its Restricted Subsidiaries or of any substantial part of its property (or that of any such Restricted Subsidiary), or ordering the winding up or liquidation of its affairs, and the continuance of any such decree or order for relief or any such other decree or order unstayed and in effect for a period of 60 consecutive days; or</w:t>
      </w:r>
    </w:p>
    <w:p>
      <w:pPr>
        <w:spacing w:after="0" w:line="178" w:lineRule="exact"/>
        <w:rPr>
          <w:rFonts w:ascii="Arial" w:cs="Arial" w:eastAsia="Arial" w:hAnsi="Arial"/>
          <w:sz w:val="17"/>
          <w:szCs w:val="17"/>
          <w:color w:val="auto"/>
        </w:rPr>
      </w:pPr>
    </w:p>
    <w:p>
      <w:pPr>
        <w:ind w:left="660" w:firstLine="645"/>
        <w:spacing w:after="0" w:line="270" w:lineRule="auto"/>
        <w:tabs>
          <w:tab w:leader="none" w:pos="1977"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or any of its Restricted Subsidiaries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any of its Restricted Subsidiaries or of any substantial part of its property (or that of any such Restricted Subsidiary), or the making by it of an assignment for the benefit of creditors, or the admission by it in writing of its inability to pay its debts generally as they become due, or the taking of corporate action by the Company or any of its Restricted Subsidiaries in furtherance of any such action;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80" w:hanging="675"/>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 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w:t>
      </w:r>
    </w:p>
    <w:p>
      <w:pPr>
        <w:sectPr>
          <w:pgSz w:w="11900" w:h="16838" w:orient="portrait"/>
          <w:cols w:equalWidth="0" w:num="1">
            <w:col w:w="11420"/>
          </w:cols>
          <w:pgMar w:left="240" w:top="125" w:right="239" w:bottom="0" w:gutter="0" w:footer="0" w:header="0"/>
        </w:sectPr>
      </w:pPr>
    </w:p>
    <w:bookmarkStart w:id="34" w:name="page35"/>
    <w:bookmarkEnd w:id="34"/>
    <w:p>
      <w:pPr>
        <w:ind w:right="40"/>
        <w:spacing w:after="0" w:line="288" w:lineRule="auto"/>
        <w:rPr>
          <w:sz w:val="20"/>
          <w:szCs w:val="20"/>
          <w:color w:val="auto"/>
        </w:rPr>
      </w:pPr>
      <w:r>
        <w:rPr>
          <w:rFonts w:ascii="Arial" w:cs="Arial" w:eastAsia="Arial" w:hAnsi="Arial"/>
          <w:sz w:val="16"/>
          <w:szCs w:val="16"/>
          <w:color w:val="auto"/>
        </w:rPr>
        <w:t>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5.01(6) or</w:t>
      </w:r>
    </w:p>
    <w:p>
      <w:pPr>
        <w:ind w:right="140"/>
        <w:spacing w:after="0" w:line="302" w:lineRule="auto"/>
        <w:rPr>
          <w:sz w:val="20"/>
          <w:szCs w:val="20"/>
          <w:color w:val="auto"/>
        </w:rPr>
      </w:pPr>
      <w:r>
        <w:rPr>
          <w:rFonts w:ascii="Arial" w:cs="Arial" w:eastAsia="Arial" w:hAnsi="Arial"/>
          <w:sz w:val="16"/>
          <w:szCs w:val="16"/>
          <w:color w:val="auto"/>
        </w:rPr>
        <w:t>5.01(7)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15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At any time after such a declaration of acceleration with respect to Securities of any series has been made, but before a judgment or decree for payment of the money based on such acceleration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7" w:lineRule="exact"/>
        <w:rPr>
          <w:sz w:val="20"/>
          <w:szCs w:val="20"/>
          <w:color w:val="auto"/>
        </w:rPr>
      </w:pPr>
    </w:p>
    <w:p>
      <w:pPr>
        <w:ind w:left="1980" w:hanging="675"/>
        <w:spacing w:after="0"/>
        <w:tabs>
          <w:tab w:leader="none" w:pos="1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a sum sufficient to pay (A) all overdue interest on all Securities of that series,</w:t>
      </w:r>
    </w:p>
    <w:p>
      <w:pPr>
        <w:spacing w:after="0" w:line="46" w:lineRule="exact"/>
        <w:rPr>
          <w:rFonts w:ascii="Arial" w:cs="Arial" w:eastAsia="Arial" w:hAnsi="Arial"/>
          <w:sz w:val="16"/>
          <w:szCs w:val="16"/>
          <w:color w:val="auto"/>
        </w:rPr>
      </w:pPr>
    </w:p>
    <w:p>
      <w:pPr>
        <w:ind w:left="660" w:right="40" w:hanging="4"/>
        <w:spacing w:after="0" w:line="253" w:lineRule="auto"/>
        <w:tabs>
          <w:tab w:leader="none" w:pos="9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 (C) to the extent that payment of such interest is lawful, interest upon overdue interest at the rate or rates prescribed therefor in such Securities, and (D) all sums paid or advanced by the Trustee hereunder and the reasonable compensation, expenses, disbursements and advances of the Trustee, its agents and counsel, and any other amounts due to the Trustee under Section 6.07; and</w:t>
      </w:r>
    </w:p>
    <w:p>
      <w:pPr>
        <w:spacing w:after="0" w:line="191" w:lineRule="exact"/>
        <w:rPr>
          <w:rFonts w:ascii="Arial" w:cs="Arial" w:eastAsia="Arial" w:hAnsi="Arial"/>
          <w:sz w:val="18"/>
          <w:szCs w:val="18"/>
          <w:color w:val="auto"/>
        </w:rPr>
      </w:pPr>
    </w:p>
    <w:p>
      <w:pPr>
        <w:ind w:left="660" w:right="440" w:firstLine="645"/>
        <w:spacing w:after="0" w:line="308" w:lineRule="auto"/>
        <w:tabs>
          <w:tab w:leader="none" w:pos="1977"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and annulment shall affect any subsequent default or impair any right consequent thereon.</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 The Company covenants that if: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80" w:firstLine="645"/>
        <w:spacing w:after="0" w:line="277" w:lineRule="auto"/>
        <w:tabs>
          <w:tab w:leader="none" w:pos="19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and any other amounts due to the Trustee under Section 6.07.</w:t>
      </w:r>
    </w:p>
    <w:p>
      <w:pPr>
        <w:spacing w:after="0" w:line="17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(i) file and prove a claim for the whole amount of principal and any premium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under Section 6.07) and of the Holders allowed in such judicial proceeding; and (ii)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 All rights of action and claims under this Indenture or the Securities may be prosecuted and enforced by the Trustee without the possession of any of the Securities or the production thereof in any proceeding relating</w:t>
      </w:r>
    </w:p>
    <w:p>
      <w:pPr>
        <w:sectPr>
          <w:pgSz w:w="11900" w:h="16838" w:orient="portrait"/>
          <w:cols w:equalWidth="0" w:num="1">
            <w:col w:w="11420"/>
          </w:cols>
          <w:pgMar w:left="240" w:top="125" w:right="239" w:bottom="0" w:gutter="0" w:footer="0" w:header="0"/>
        </w:sectPr>
      </w:pPr>
    </w:p>
    <w:bookmarkStart w:id="35" w:name="page36"/>
    <w:bookmarkEnd w:id="35"/>
    <w:p>
      <w:pPr>
        <w:ind w:right="80"/>
        <w:spacing w:after="0" w:line="259" w:lineRule="auto"/>
        <w:rPr>
          <w:sz w:val="20"/>
          <w:szCs w:val="20"/>
          <w:color w:val="auto"/>
        </w:rPr>
      </w:pPr>
      <w:r>
        <w:rPr>
          <w:rFonts w:ascii="Arial" w:cs="Arial" w:eastAsia="Arial" w:hAnsi="Arial"/>
          <w:sz w:val="18"/>
          <w:szCs w:val="18"/>
          <w:color w:val="auto"/>
        </w:rPr>
        <w:t>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and for any other amounts due to the Trustee under Section 6.07, be for the ratable benefit of the Holders of the Securities in respect of which such judgment has been recovered.</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Application of Money Collected</w:t>
      </w:r>
      <w:r>
        <w:rPr>
          <w:rFonts w:ascii="Arial" w:cs="Arial" w:eastAsia="Arial" w:hAnsi="Arial"/>
          <w:sz w:val="17"/>
          <w:szCs w:val="17"/>
          <w:color w:val="auto"/>
        </w:rPr>
        <w:t>.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6.07; and</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Persons or Persons entitled thereto.</w:t>
      </w:r>
    </w:p>
    <w:p>
      <w:pPr>
        <w:spacing w:after="0" w:line="225"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Holder of any Security of any series shall have any right to institute any proceeding, judicial or otherwise, with respect to this Indenture, or for the appointment of a receiver or trustee, or for any other remedy hereunder, unless:</w:t>
      </w:r>
    </w:p>
    <w:p>
      <w:pPr>
        <w:spacing w:after="0" w:line="147" w:lineRule="exact"/>
        <w:rPr>
          <w:sz w:val="20"/>
          <w:szCs w:val="20"/>
          <w:color w:val="auto"/>
        </w:rPr>
      </w:pPr>
    </w:p>
    <w:p>
      <w:pPr>
        <w:ind w:left="1980" w:hanging="675"/>
        <w:spacing w:after="0"/>
        <w:tabs>
          <w:tab w:leader="none" w:pos="1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that series;</w:t>
      </w:r>
    </w:p>
    <w:p>
      <w:pPr>
        <w:spacing w:after="0" w:line="210" w:lineRule="exact"/>
        <w:rPr>
          <w:rFonts w:ascii="Arial" w:cs="Arial" w:eastAsia="Arial" w:hAnsi="Arial"/>
          <w:sz w:val="16"/>
          <w:szCs w:val="16"/>
          <w:color w:val="auto"/>
        </w:rPr>
      </w:pPr>
    </w:p>
    <w:p>
      <w:pPr>
        <w:ind w:left="660" w:firstLine="645"/>
        <w:spacing w:after="0" w:line="277" w:lineRule="auto"/>
        <w:tabs>
          <w:tab w:leader="none" w:pos="19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9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100" w:firstLine="645"/>
        <w:spacing w:after="0" w:line="276" w:lineRule="auto"/>
        <w:tabs>
          <w:tab w:leader="none" w:pos="1977"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73"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 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5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Restoration of Rights and Remedies</w:t>
      </w:r>
      <w:r>
        <w:rPr>
          <w:rFonts w:ascii="Arial" w:cs="Arial" w:eastAsia="Arial" w:hAnsi="Arial"/>
          <w:sz w:val="18"/>
          <w:szCs w:val="18"/>
          <w:color w:val="auto"/>
        </w:rPr>
        <w:t xml:space="preserve">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Rights and Remedies Cumulative</w:t>
      </w:r>
      <w:r>
        <w:rPr>
          <w:rFonts w:ascii="Arial" w:cs="Arial" w:eastAsia="Arial" w:hAnsi="Arial"/>
          <w:sz w:val="17"/>
          <w:szCs w:val="17"/>
          <w:color w:val="auto"/>
        </w:rPr>
        <w:t>.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r>
        <w:rPr>
          <w:rFonts w:ascii="Arial" w:cs="Arial" w:eastAsia="Arial" w:hAnsi="Arial"/>
          <w:sz w:val="18"/>
          <w:szCs w:val="18"/>
          <w:color w:val="auto"/>
        </w:rPr>
        <w:t>.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w:t>
      </w:r>
      <w:r>
        <w:rPr>
          <w:rFonts w:ascii="Arial" w:cs="Arial" w:eastAsia="Arial" w:hAnsi="Arial"/>
          <w:sz w:val="18"/>
          <w:szCs w:val="18"/>
          <w:color w:val="auto"/>
        </w:rPr>
        <w:t>.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980" w:hanging="675"/>
        <w:spacing w:after="0"/>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w:t>
      </w:r>
    </w:p>
    <w:p>
      <w:pPr>
        <w:sectPr>
          <w:pgSz w:w="11900" w:h="16838" w:orient="portrait"/>
          <w:cols w:equalWidth="0" w:num="1">
            <w:col w:w="11400"/>
          </w:cols>
          <w:pgMar w:left="240" w:top="125" w:right="259" w:bottom="0" w:gutter="0" w:footer="0" w:header="0"/>
          <w:type w:val="continuous"/>
        </w:sectPr>
      </w:pPr>
    </w:p>
    <w:bookmarkStart w:id="36" w:name="page37"/>
    <w:bookmarkEnd w:id="36"/>
    <w:p>
      <w:pPr>
        <w:ind w:left="1980" w:hanging="675"/>
        <w:spacing w:after="0"/>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181" w:lineRule="exact"/>
        <w:rPr>
          <w:sz w:val="20"/>
          <w:szCs w:val="20"/>
          <w:color w:val="auto"/>
        </w:rPr>
      </w:pPr>
    </w:p>
    <w:p>
      <w:pPr>
        <w:ind w:left="1980" w:hanging="675"/>
        <w:spacing w:after="0"/>
        <w:tabs>
          <w:tab w:leader="none" w:pos="1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payment of the principal of or any premium, if any (other than by a declaration of acceleration), or interest on any Security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such series, or</w:t>
      </w:r>
    </w:p>
    <w:p>
      <w:pPr>
        <w:spacing w:after="0" w:line="210" w:lineRule="exact"/>
        <w:rPr>
          <w:rFonts w:ascii="Arial" w:cs="Arial" w:eastAsia="Arial" w:hAnsi="Arial"/>
          <w:sz w:val="16"/>
          <w:szCs w:val="16"/>
          <w:color w:val="auto"/>
        </w:rPr>
      </w:pPr>
    </w:p>
    <w:p>
      <w:pPr>
        <w:ind w:left="660" w:right="340" w:firstLine="645"/>
        <w:spacing w:after="0" w:line="277" w:lineRule="auto"/>
        <w:tabs>
          <w:tab w:leader="none" w:pos="19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IX cannot be modified or amended without the consent of the Holder of each Outstanding Security of such series affected.</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Undertaking for Costs</w:t>
      </w:r>
      <w:r>
        <w:rPr>
          <w:rFonts w:ascii="Arial" w:cs="Arial" w:eastAsia="Arial" w:hAnsi="Arial"/>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25% in principal amount of the Outstanding Securities of any series, or to any suit instituted by any Holder of any Security for the enforcement of the payment of the principal and any premium and interest on any Security on or after the Stated Maturity or Maturities expressed in such Security (or, in the case of redemption, on or after the Redemption Date).</w:t>
      </w:r>
    </w:p>
    <w:p>
      <w:pPr>
        <w:spacing w:after="0" w:line="19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Certain Duties and Responsibilities</w:t>
      </w:r>
      <w:r>
        <w:rPr>
          <w:rFonts w:ascii="Arial" w:cs="Arial" w:eastAsia="Arial" w:hAnsi="Arial"/>
          <w:sz w:val="18"/>
          <w:szCs w:val="18"/>
          <w:color w:val="auto"/>
        </w:rPr>
        <w:t>. 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9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Notice of Defaults</w:t>
      </w:r>
      <w:r>
        <w:rPr>
          <w:rFonts w:ascii="Arial" w:cs="Arial" w:eastAsia="Arial" w:hAnsi="Arial"/>
          <w:sz w:val="18"/>
          <w:szCs w:val="18"/>
          <w:color w:val="auto"/>
        </w:rPr>
        <w:t>. 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 Subject to the provisions of Section 6.01:</w:t>
      </w:r>
    </w:p>
    <w:p>
      <w:pPr>
        <w:spacing w:after="0" w:line="225" w:lineRule="exact"/>
        <w:rPr>
          <w:sz w:val="20"/>
          <w:szCs w:val="20"/>
          <w:color w:val="auto"/>
        </w:rPr>
      </w:pPr>
    </w:p>
    <w:p>
      <w:pPr>
        <w:ind w:left="660" w:right="620" w:firstLine="645"/>
        <w:spacing w:after="0" w:line="312" w:lineRule="auto"/>
        <w:tabs>
          <w:tab w:leader="none" w:pos="1977"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320" w:firstLine="645"/>
        <w:spacing w:after="0" w:line="277" w:lineRule="auto"/>
        <w:tabs>
          <w:tab w:leader="none" w:pos="19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ind w:left="660" w:right="140" w:firstLine="645"/>
        <w:spacing w:after="0" w:line="264" w:lineRule="auto"/>
        <w:tabs>
          <w:tab w:leader="none" w:pos="19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1" w:lineRule="exact"/>
        <w:rPr>
          <w:rFonts w:ascii="Arial" w:cs="Arial" w:eastAsia="Arial" w:hAnsi="Arial"/>
          <w:sz w:val="18"/>
          <w:szCs w:val="18"/>
          <w:color w:val="auto"/>
        </w:rPr>
      </w:pPr>
    </w:p>
    <w:p>
      <w:pPr>
        <w:ind w:left="660" w:right="80" w:firstLine="645"/>
        <w:spacing w:after="0" w:line="308" w:lineRule="auto"/>
        <w:tabs>
          <w:tab w:leader="none" w:pos="1977"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left="660" w:right="480" w:firstLine="645"/>
        <w:spacing w:after="0" w:line="277" w:lineRule="auto"/>
        <w:tabs>
          <w:tab w:leader="none" w:pos="19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w:t>
      </w:r>
    </w:p>
    <w:p>
      <w:pPr>
        <w:sectPr>
          <w:pgSz w:w="11900" w:h="16838" w:orient="portrait"/>
          <w:cols w:equalWidth="0" w:num="1">
            <w:col w:w="11400"/>
          </w:cols>
          <w:pgMar w:left="240" w:top="125" w:right="259" w:bottom="312"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2" w:gutter="0" w:footer="0" w:header="0"/>
          <w:type w:val="continuous"/>
        </w:sectPr>
      </w:pPr>
    </w:p>
    <w:bookmarkStart w:id="37" w:name="page38"/>
    <w:bookmarkEnd w:id="37"/>
    <w:p>
      <w:pPr>
        <w:ind w:left="660" w:right="680"/>
        <w:spacing w:after="0" w:line="277" w:lineRule="auto"/>
        <w:rPr>
          <w:sz w:val="20"/>
          <w:szCs w:val="20"/>
          <w:color w:val="auto"/>
        </w:rPr>
      </w:pPr>
      <w:r>
        <w:rPr>
          <w:rFonts w:ascii="Arial" w:cs="Arial" w:eastAsia="Arial" w:hAnsi="Arial"/>
          <w:sz w:val="18"/>
          <w:szCs w:val="18"/>
          <w:color w:val="auto"/>
        </w:rPr>
        <w:t>reasonable security or indemnity against the costs, expenses and liabilities which might be incurred by it in compliance with such request or direction;</w:t>
      </w:r>
    </w:p>
    <w:p>
      <w:pPr>
        <w:spacing w:after="0" w:line="170" w:lineRule="exact"/>
        <w:rPr>
          <w:sz w:val="20"/>
          <w:szCs w:val="20"/>
          <w:color w:val="auto"/>
        </w:rPr>
      </w:pPr>
    </w:p>
    <w:p>
      <w:pPr>
        <w:ind w:left="660" w:right="20" w:firstLine="645"/>
        <w:spacing w:after="0" w:line="257" w:lineRule="auto"/>
        <w:tabs>
          <w:tab w:leader="none" w:pos="19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88" w:lineRule="exact"/>
        <w:rPr>
          <w:rFonts w:ascii="Arial" w:cs="Arial" w:eastAsia="Arial" w:hAnsi="Arial"/>
          <w:sz w:val="18"/>
          <w:szCs w:val="18"/>
          <w:color w:val="auto"/>
        </w:rPr>
      </w:pPr>
    </w:p>
    <w:p>
      <w:pPr>
        <w:ind w:left="660" w:right="60" w:firstLine="645"/>
        <w:spacing w:after="0" w:line="264" w:lineRule="auto"/>
        <w:tabs>
          <w:tab w:leader="none" w:pos="19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left="660" w:right="100" w:firstLine="645"/>
        <w:spacing w:after="0" w:line="257" w:lineRule="auto"/>
        <w:tabs>
          <w:tab w:leader="none" w:pos="19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with respect to Sections 1.02, 10.01 and 10.04, the Trustee shall have no duty to inquire as to the performance of the Issuers’ covenants in Article X. In addition, the Trustee shall not be deemed to have knowledge of any Default or Event of Default except (i) any Event of Default occurring pursuant to Sections 1.02, 5.01(1), 5.01(2), 10.01 and 10.04 or (ii) any Default or Event of Default with respect to which the Trustee shall have received written notification at its Corporate Trust Office which references the relevant Securities and this Indenture or obtained actual knowledge;</w:t>
      </w:r>
    </w:p>
    <w:p>
      <w:pPr>
        <w:spacing w:after="0" w:line="188" w:lineRule="exact"/>
        <w:rPr>
          <w:rFonts w:ascii="Arial" w:cs="Arial" w:eastAsia="Arial" w:hAnsi="Arial"/>
          <w:sz w:val="18"/>
          <w:szCs w:val="18"/>
          <w:color w:val="auto"/>
        </w:rPr>
      </w:pPr>
    </w:p>
    <w:p>
      <w:pPr>
        <w:ind w:left="660" w:right="160" w:firstLine="645"/>
        <w:spacing w:after="0" w:line="277" w:lineRule="auto"/>
        <w:tabs>
          <w:tab w:leader="none" w:pos="197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and/or an Opinion of Counsel. The Trustee shall not be liable for any action it takes or omits to take in good faith in reliance on such certificate or opinion;</w:t>
      </w:r>
    </w:p>
    <w:p>
      <w:pPr>
        <w:spacing w:after="0" w:line="170" w:lineRule="exact"/>
        <w:rPr>
          <w:rFonts w:ascii="Arial" w:cs="Arial" w:eastAsia="Arial" w:hAnsi="Arial"/>
          <w:sz w:val="18"/>
          <w:szCs w:val="18"/>
          <w:color w:val="auto"/>
        </w:rPr>
      </w:pPr>
    </w:p>
    <w:p>
      <w:pPr>
        <w:ind w:left="660" w:right="120" w:firstLine="645"/>
        <w:spacing w:after="0" w:line="264" w:lineRule="auto"/>
        <w:tabs>
          <w:tab w:leader="none" w:pos="19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with the Company. Money held in trust by the Trustee need not be segregated from other funds, except to the extent required by law; and</w:t>
      </w:r>
    </w:p>
    <w:p>
      <w:pPr>
        <w:spacing w:after="0" w:line="170" w:lineRule="exact"/>
        <w:rPr>
          <w:rFonts w:ascii="Arial" w:cs="Arial" w:eastAsia="Arial" w:hAnsi="Arial"/>
          <w:sz w:val="18"/>
          <w:szCs w:val="18"/>
          <w:color w:val="auto"/>
        </w:rPr>
      </w:pPr>
    </w:p>
    <w:p>
      <w:pPr>
        <w:jc w:val="both"/>
        <w:ind w:left="660" w:right="40" w:firstLine="645"/>
        <w:spacing w:after="0" w:line="264" w:lineRule="auto"/>
        <w:tabs>
          <w:tab w:leader="none" w:pos="19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hereunder, including, without limitation, its right to be indemnified, are extended to, and shall be enforceable by, the Trustee in each of its respective capacities hereunder, and each agent, custodian and other Person employed to act hereunder.</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Not Responsible for Recitals or Issuance of Securities</w:t>
      </w:r>
      <w:r>
        <w:rPr>
          <w:rFonts w:ascii="Arial" w:cs="Arial" w:eastAsia="Arial" w:hAnsi="Arial"/>
          <w:sz w:val="18"/>
          <w:szCs w:val="18"/>
          <w:color w:val="auto"/>
        </w:rPr>
        <w:t>.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Authenticating Agent shall be accountable for the use or application by the Company of Securities or the proceeds thereof.</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May Hold Securities</w:t>
      </w:r>
      <w:r>
        <w:rPr>
          <w:rFonts w:ascii="Arial" w:cs="Arial" w:eastAsia="Arial" w:hAnsi="Arial"/>
          <w:sz w:val="16"/>
          <w:szCs w:val="16"/>
          <w:color w:val="auto"/>
        </w:rPr>
        <w:t>.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4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Money Held in Trust</w:t>
      </w:r>
      <w:r>
        <w:rPr>
          <w:rFonts w:ascii="Arial" w:cs="Arial" w:eastAsia="Arial" w:hAnsi="Arial"/>
          <w:sz w:val="16"/>
          <w:szCs w:val="16"/>
          <w:color w:val="auto"/>
        </w:rPr>
        <w: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2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Compensation and Reimbursement</w:t>
      </w:r>
      <w:r>
        <w:rPr>
          <w:rFonts w:ascii="Arial" w:cs="Arial" w:eastAsia="Arial" w:hAnsi="Arial"/>
          <w:sz w:val="16"/>
          <w:szCs w:val="16"/>
          <w:color w:val="auto"/>
        </w:rPr>
        <w:t>. The Company agrees:</w:t>
      </w:r>
    </w:p>
    <w:p>
      <w:pPr>
        <w:spacing w:after="0" w:line="225" w:lineRule="exact"/>
        <w:rPr>
          <w:sz w:val="20"/>
          <w:szCs w:val="20"/>
          <w:color w:val="auto"/>
        </w:rPr>
      </w:pPr>
    </w:p>
    <w:p>
      <w:pPr>
        <w:ind w:left="660" w:right="300" w:firstLine="645"/>
        <w:spacing w:after="0" w:line="277" w:lineRule="auto"/>
        <w:tabs>
          <w:tab w:leader="none" w:pos="19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ind w:left="660" w:firstLine="645"/>
        <w:spacing w:after="0" w:line="259" w:lineRule="auto"/>
        <w:tabs>
          <w:tab w:leader="none" w:pos="19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ind w:left="660" w:right="60" w:firstLine="645"/>
        <w:spacing w:after="0" w:line="312" w:lineRule="auto"/>
        <w:tabs>
          <w:tab w:leader="none" w:pos="197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7" w:lineRule="exact"/>
        <w:rPr>
          <w:sz w:val="20"/>
          <w:szCs w:val="20"/>
          <w:color w:val="auto"/>
        </w:rPr>
      </w:pPr>
    </w:p>
    <w:p>
      <w:pPr>
        <w:jc w:val="both"/>
        <w:ind w:right="60" w:firstLine="1297"/>
        <w:spacing w:after="0" w:line="312" w:lineRule="auto"/>
        <w:rPr>
          <w:sz w:val="20"/>
          <w:szCs w:val="20"/>
          <w:color w:val="auto"/>
        </w:rPr>
      </w:pPr>
      <w:r>
        <w:rPr>
          <w:rFonts w:ascii="Arial" w:cs="Arial" w:eastAsia="Arial" w:hAnsi="Arial"/>
          <w:sz w:val="16"/>
          <w:szCs w:val="16"/>
          <w:color w:val="auto"/>
        </w:rPr>
        <w:t>As security for the performance of the obligations of the Company under this Section, the Trustee shall have a claim prior to the Securities upon all property and funds held or collected by the Trustee as such, except funds held in trust for the payment or principal of and premium, if any, or interest on particular Securities. The provisions of this Section 6.07 shall survive the resignation or removal of the Trustee and the termination of this Indenture.</w:t>
      </w:r>
    </w:p>
    <w:p>
      <w:pPr>
        <w:spacing w:after="0" w:line="14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Conflicting Interests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w:t>
      </w:r>
    </w:p>
    <w:p>
      <w:pPr>
        <w:sectPr>
          <w:pgSz w:w="11900" w:h="16838" w:orient="portrait"/>
          <w:cols w:equalWidth="0" w:num="1">
            <w:col w:w="11420"/>
          </w:cols>
          <w:pgMar w:left="240" w:top="368" w:right="239" w:bottom="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such Act, the Trustee shall not be deemed to have a conflicting interest by virtue of being a trustee under this Indenture with respect to Securities of more than one series.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 There shall at all times be a Trustee hereunder that is a Corporation organized and doing business under the laws of the United States of America, any State or the District of Columbia, authorized under such laws to exercise corporate trust powers, or any other person permitted by the Trust Indenture Act to act as trustee under an indenture qualified under the Trust Indenture Act and that has or is a Wholly Owned Subsidiary of a banking holding company having a combined capital and surplus (computed in accordance with the Trust Indenture Act) of at least $50,000,000, is subject to supervision or examination by Federal, State or District of Columbia authority and is not otherwise ineligible under the Trust Indenture Act.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w:t>
      </w:r>
    </w:p>
    <w:p>
      <w:pPr>
        <w:spacing w:after="0" w:line="167"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right="120" w:firstLine="645"/>
        <w:spacing w:after="0" w:line="277"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fail to comply with Section 6.08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and shall fail to resign after written request therefor by the Company or by any such Holder, or</w:t>
      </w:r>
    </w:p>
    <w:p>
      <w:pPr>
        <w:spacing w:after="0" w:line="170" w:lineRule="exact"/>
        <w:rPr>
          <w:rFonts w:ascii="Arial" w:cs="Arial" w:eastAsia="Arial" w:hAnsi="Arial"/>
          <w:sz w:val="18"/>
          <w:szCs w:val="18"/>
          <w:color w:val="auto"/>
        </w:rPr>
      </w:pPr>
    </w:p>
    <w:p>
      <w:pPr>
        <w:ind w:left="660" w:right="440" w:firstLine="645"/>
        <w:spacing w:after="0" w:line="264" w:lineRule="auto"/>
        <w:tabs>
          <w:tab w:leader="none" w:pos="19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then, in any such case, (A) the Company by a Board Resolution may remove the Trustee with respect to all Securities, or (B) subject to Section 5.14, any Holder who has been a bona fide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8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4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w:t>
      </w:r>
    </w:p>
    <w:p>
      <w:pPr>
        <w:sectPr>
          <w:pgSz w:w="11900" w:h="16838" w:orient="portrait"/>
          <w:cols w:equalWidth="0" w:num="1">
            <w:col w:w="11400"/>
          </w:cols>
          <w:pgMar w:left="240" w:top="125" w:right="259" w:bottom="0" w:gutter="0" w:footer="0" w:header="0"/>
        </w:sectPr>
      </w:pPr>
    </w:p>
    <w:bookmarkStart w:id="39" w:name="page40"/>
    <w:bookmarkEnd w:id="39"/>
    <w:p>
      <w:pPr>
        <w:ind w:right="120"/>
        <w:spacing w:after="0" w:line="277" w:lineRule="auto"/>
        <w:rPr>
          <w:sz w:val="20"/>
          <w:szCs w:val="20"/>
          <w:color w:val="auto"/>
        </w:rPr>
      </w:pPr>
      <w:r>
        <w:rPr>
          <w:rFonts w:ascii="Arial" w:cs="Arial" w:eastAsia="Arial" w:hAnsi="Arial"/>
          <w:sz w:val="18"/>
          <w:szCs w:val="18"/>
          <w:color w:val="auto"/>
        </w:rPr>
        <w:t>the rights, powers and trusts of the retiring Trustee and shall duly assign, transfer and deliver to such successor Trustee all property and money held by such retiring Trustee hereunder.</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retiring Trustee shall have no liability for any acts or omissions of any successor Trustee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appointment of any successor Trustee, hereunder, all fees, charges and expenses of the retiring Trustee shall become immediately due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payable.</w:t>
      </w:r>
    </w:p>
    <w:p>
      <w:pPr>
        <w:spacing w:after="0" w:line="21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the Trustee then in office, any successor by merger, conversion or</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consolidation to such Trustee may authenticate such Securities either in the name of such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7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Preferential Collection of Claims Against Company</w:t>
      </w:r>
      <w:r>
        <w:rPr>
          <w:rFonts w:ascii="Arial" w:cs="Arial" w:eastAsia="Arial" w:hAnsi="Arial"/>
          <w:sz w:val="18"/>
          <w:szCs w:val="18"/>
          <w:color w:val="auto"/>
        </w:rPr>
        <w:t>.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ectPr>
          <w:pgSz w:w="11900" w:h="16838" w:orient="portrait"/>
          <w:cols w:equalWidth="0" w:num="1">
            <w:col w:w="11360"/>
          </w:cols>
          <w:pgMar w:left="240" w:top="125" w:right="299" w:bottom="144" w:gutter="0" w:footer="0" w:header="0"/>
        </w:sectPr>
      </w:pPr>
    </w:p>
    <w:bookmarkStart w:id="40" w:name="page41"/>
    <w:bookmarkEnd w:id="40"/>
    <w:p>
      <w:pPr>
        <w:ind w:right="20"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5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 BANK OF NEW YORK TRUST COMPANY,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 as Trustee</w:t>
      </w:r>
    </w:p>
    <w:p>
      <w:pPr>
        <w:spacing w:after="0" w:line="200" w:lineRule="exact"/>
        <w:rPr>
          <w:sz w:val="20"/>
          <w:szCs w:val="20"/>
          <w:color w:val="auto"/>
        </w:rPr>
      </w:pP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HOLDERS’ LISTS AND REPORTS BY TRUSTEE AND COMPANY</w:t>
      </w:r>
    </w:p>
    <w:p>
      <w:pPr>
        <w:spacing w:after="0" w:line="211" w:lineRule="exact"/>
        <w:rPr>
          <w:sz w:val="20"/>
          <w:szCs w:val="20"/>
          <w:color w:val="auto"/>
        </w:rPr>
      </w:pPr>
    </w:p>
    <w:p>
      <w:pPr>
        <w:jc w:val="center"/>
        <w:ind w:right="-59"/>
        <w:spacing w:after="0"/>
        <w:tabs>
          <w:tab w:leader="none" w:pos="2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Company to Furnish Trustee Names and Addresses of Holders</w:t>
      </w:r>
      <w:r>
        <w:rPr>
          <w:rFonts w:ascii="Arial" w:cs="Arial" w:eastAsia="Arial" w:hAnsi="Arial"/>
          <w:sz w:val="16"/>
          <w:szCs w:val="16"/>
          <w:color w:val="auto"/>
        </w:rPr>
        <w:t>. The Company will furnish or cause to be furnished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right="60" w:firstLine="645"/>
        <w:spacing w:after="0" w:line="342" w:lineRule="auto"/>
        <w:tabs>
          <w:tab w:leader="none" w:pos="1977"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semi-annually, not later than January 15 and July 15 in each year, a list, in such form as the Trustee may reasonably require, of the names and addresses of the Holders of Securities of each series as of the preceding December 31 or June 30, as the case may be, and</w:t>
      </w:r>
    </w:p>
    <w:p>
      <w:pPr>
        <w:spacing w:after="0" w:line="123" w:lineRule="exact"/>
        <w:rPr>
          <w:rFonts w:ascii="Arial" w:cs="Arial" w:eastAsia="Arial" w:hAnsi="Arial"/>
          <w:sz w:val="16"/>
          <w:szCs w:val="16"/>
          <w:color w:val="auto"/>
        </w:rPr>
      </w:pPr>
    </w:p>
    <w:p>
      <w:pPr>
        <w:ind w:left="660" w:right="200" w:firstLine="645"/>
        <w:spacing w:after="0" w:line="277" w:lineRule="auto"/>
        <w:tabs>
          <w:tab w:leader="none" w:pos="19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from any such list names and addresses received by the Trustee in its capacity as Security Registrar.</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7"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Reports by Trustee</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w:t>
      </w:r>
    </w:p>
    <w:p>
      <w:pPr>
        <w:sectPr>
          <w:pgSz w:w="11900" w:h="16838" w:orient="portrait"/>
          <w:cols w:equalWidth="0" w:num="1">
            <w:col w:w="11400"/>
          </w:cols>
          <w:pgMar w:left="240" w:top="125" w:right="259" w:bottom="58" w:gutter="0" w:footer="0" w:header="0"/>
        </w:sectPr>
      </w:pPr>
    </w:p>
    <w:bookmarkStart w:id="41" w:name="page42"/>
    <w:bookmarkEnd w:id="41"/>
    <w:p>
      <w:pPr>
        <w:ind w:right="480" w:firstLine="648"/>
        <w:spacing w:after="0" w:line="264"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Reports by Company</w:t>
      </w:r>
      <w:r>
        <w:rPr>
          <w:rFonts w:ascii="Arial" w:cs="Arial" w:eastAsia="Arial" w:hAnsi="Arial"/>
          <w:sz w:val="16"/>
          <w:szCs w:val="16"/>
          <w:color w:val="auto"/>
        </w:rPr>
        <w:t>. The Company shall:</w:t>
      </w:r>
    </w:p>
    <w:p>
      <w:pPr>
        <w:spacing w:after="0" w:line="225" w:lineRule="exact"/>
        <w:rPr>
          <w:sz w:val="20"/>
          <w:szCs w:val="20"/>
          <w:color w:val="auto"/>
        </w:rPr>
      </w:pPr>
    </w:p>
    <w:p>
      <w:pPr>
        <w:ind w:left="660" w:right="40" w:firstLine="645"/>
        <w:spacing w:after="0" w:line="270" w:lineRule="auto"/>
        <w:tabs>
          <w:tab w:leader="none" w:pos="1977"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file with the Trustee, within 15 days after it is required to file the same with the Commission, copies of the annual reports and of the information, documents and other reports (or copies of such portions of any of the foregoing as the Commission may from time to time by rules and regulations prescribe) which such Issuer or the Guarantor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notwithstanding anything to the contrary herein, the Trustee shall have no duty to review such documents for purposes of determining compliance with any provisions of this Indenture;</w:t>
      </w:r>
    </w:p>
    <w:p>
      <w:pPr>
        <w:spacing w:after="0" w:line="181" w:lineRule="exact"/>
        <w:rPr>
          <w:rFonts w:ascii="Arial" w:cs="Arial" w:eastAsia="Arial" w:hAnsi="Arial"/>
          <w:sz w:val="17"/>
          <w:szCs w:val="17"/>
          <w:color w:val="auto"/>
        </w:rPr>
      </w:pPr>
    </w:p>
    <w:p>
      <w:pPr>
        <w:ind w:left="660" w:right="880" w:firstLine="645"/>
        <w:spacing w:after="0" w:line="342" w:lineRule="auto"/>
        <w:tabs>
          <w:tab w:leader="none" w:pos="1977"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file with the Trustee and the Commission, in accordance with rules and regulations prescribed from time to time by the Commission, such additional information, documents and reports with respect to compliance by the Company with the conditions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covenants of this Indenture as may be required from time to time by such rules and regulations; and</w:t>
      </w:r>
    </w:p>
    <w:p>
      <w:pPr>
        <w:spacing w:after="0" w:line="225" w:lineRule="exact"/>
        <w:rPr>
          <w:sz w:val="20"/>
          <w:szCs w:val="20"/>
          <w:color w:val="auto"/>
        </w:rPr>
      </w:pPr>
    </w:p>
    <w:p>
      <w:pPr>
        <w:jc w:val="both"/>
        <w:ind w:left="660" w:right="40" w:firstLine="645"/>
        <w:spacing w:after="0" w:line="286" w:lineRule="auto"/>
        <w:tabs>
          <w:tab w:leader="none" w:pos="197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transmit by mail to all Holders, as their names and addresses appear in the Security Register,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CONSOLIDATION, MERGER, CONVEYANCE, TRANSFER OR LEASE</w:t>
      </w:r>
    </w:p>
    <w:p>
      <w:pPr>
        <w:spacing w:after="0" w:line="211"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Company May Consolidate, Etc., Only on Certain Terms</w:t>
      </w:r>
      <w:r>
        <w:rPr>
          <w:rFonts w:ascii="Arial" w:cs="Arial" w:eastAsia="Arial" w:hAnsi="Arial"/>
          <w:sz w:val="16"/>
          <w:szCs w:val="16"/>
          <w:color w:val="auto"/>
        </w:rPr>
        <w:t>. 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147" w:lineRule="exact"/>
        <w:rPr>
          <w:sz w:val="20"/>
          <w:szCs w:val="20"/>
          <w:color w:val="auto"/>
        </w:rPr>
      </w:pPr>
    </w:p>
    <w:p>
      <w:pPr>
        <w:ind w:left="660" w:firstLine="645"/>
        <w:spacing w:after="0" w:line="272" w:lineRule="auto"/>
        <w:tabs>
          <w:tab w:leader="none" w:pos="1977"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77" w:lineRule="exact"/>
        <w:rPr>
          <w:rFonts w:ascii="Arial" w:cs="Arial" w:eastAsia="Arial" w:hAnsi="Arial"/>
          <w:sz w:val="17"/>
          <w:szCs w:val="17"/>
          <w:color w:val="auto"/>
        </w:rPr>
      </w:pPr>
    </w:p>
    <w:p>
      <w:pPr>
        <w:ind w:left="660" w:firstLine="645"/>
        <w:spacing w:after="0" w:line="312" w:lineRule="auto"/>
        <w:tabs>
          <w:tab w:leader="none" w:pos="1977" w:val="left"/>
        </w:tabs>
        <w:numPr>
          <w:ilvl w:val="0"/>
          <w:numId w:val="6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46" w:lineRule="exact"/>
        <w:rPr>
          <w:rFonts w:ascii="Arial" w:cs="Arial" w:eastAsia="Arial" w:hAnsi="Arial"/>
          <w:sz w:val="16"/>
          <w:szCs w:val="16"/>
          <w:color w:val="auto"/>
        </w:rPr>
      </w:pPr>
    </w:p>
    <w:p>
      <w:pPr>
        <w:ind w:left="660" w:right="20" w:firstLine="645"/>
        <w:spacing w:after="0" w:line="259" w:lineRule="auto"/>
        <w:tabs>
          <w:tab w:leader="none" w:pos="19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86" w:lineRule="exact"/>
        <w:rPr>
          <w:rFonts w:ascii="Arial" w:cs="Arial" w:eastAsia="Arial" w:hAnsi="Arial"/>
          <w:sz w:val="18"/>
          <w:szCs w:val="18"/>
          <w:color w:val="auto"/>
        </w:rPr>
      </w:pPr>
    </w:p>
    <w:p>
      <w:pPr>
        <w:ind w:left="660" w:right="60" w:firstLine="645"/>
        <w:spacing w:after="0" w:line="277" w:lineRule="auto"/>
        <w:tabs>
          <w:tab w:leader="none" w:pos="197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transfer or lease and, if a supplemental indenture is required in connection with such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such supplemental indenture comply with this Article and that all conditions precedent herein provided for relating to such transaction have been complied with.</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Successor Substituted</w:t>
      </w:r>
      <w:r>
        <w:rPr>
          <w:rFonts w:ascii="Arial" w:cs="Arial" w:eastAsia="Arial" w:hAnsi="Arial"/>
          <w:sz w:val="18"/>
          <w:szCs w:val="18"/>
          <w:color w:val="auto"/>
        </w:rPr>
        <w:t>.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INDENTURES</w:t>
      </w:r>
    </w:p>
    <w:p>
      <w:pPr>
        <w:sectPr>
          <w:pgSz w:w="11900" w:h="16838" w:orient="portrait"/>
          <w:cols w:equalWidth="0" w:num="1">
            <w:col w:w="11420"/>
          </w:cols>
          <w:pgMar w:left="240" w:top="125" w:right="239" w:bottom="0" w:gutter="0" w:footer="0" w:header="0"/>
        </w:sectPr>
      </w:pPr>
    </w:p>
    <w:bookmarkStart w:id="42" w:name="page43"/>
    <w:bookmarkEnd w:id="42"/>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81" w:lineRule="exact"/>
        <w:rPr>
          <w:sz w:val="20"/>
          <w:szCs w:val="20"/>
          <w:color w:val="auto"/>
        </w:rPr>
      </w:pPr>
    </w:p>
    <w:p>
      <w:pPr>
        <w:ind w:left="660" w:right="280" w:firstLine="645"/>
        <w:spacing w:after="0" w:line="277" w:lineRule="auto"/>
        <w:tabs>
          <w:tab w:leader="none" w:pos="19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or</w:t>
      </w:r>
    </w:p>
    <w:p>
      <w:pPr>
        <w:spacing w:after="0" w:line="170" w:lineRule="exact"/>
        <w:rPr>
          <w:rFonts w:ascii="Arial" w:cs="Arial" w:eastAsia="Arial" w:hAnsi="Arial"/>
          <w:sz w:val="18"/>
          <w:szCs w:val="18"/>
          <w:color w:val="auto"/>
        </w:rPr>
      </w:pPr>
    </w:p>
    <w:p>
      <w:pPr>
        <w:ind w:left="660" w:firstLine="645"/>
        <w:spacing w:after="0" w:line="264" w:lineRule="auto"/>
        <w:tabs>
          <w:tab w:leader="none" w:pos="19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right="500" w:firstLine="645"/>
        <w:spacing w:after="0" w:line="264" w:lineRule="auto"/>
        <w:tabs>
          <w:tab w:leader="none" w:pos="19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ind w:left="660" w:firstLine="645"/>
        <w:spacing w:after="0" w:line="264" w:lineRule="auto"/>
        <w:tabs>
          <w:tab w:leader="none" w:pos="197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ind w:left="660" w:right="140" w:firstLine="645"/>
        <w:spacing w:after="0" w:line="288" w:lineRule="auto"/>
        <w:tabs>
          <w:tab w:leader="none" w:pos="1977"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to add to, change or eliminate any of the provisions of this Indenture in respect of one or more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80" w:hanging="675"/>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secure the Securities pursuant to the requirements of Section 10.08 or otherwise;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or</w:t>
      </w:r>
    </w:p>
    <w:p>
      <w:pPr>
        <w:spacing w:after="0" w:line="225" w:lineRule="exact"/>
        <w:rPr>
          <w:rFonts w:ascii="Arial" w:cs="Arial" w:eastAsia="Arial" w:hAnsi="Arial"/>
          <w:sz w:val="18"/>
          <w:szCs w:val="18"/>
          <w:color w:val="auto"/>
        </w:rPr>
      </w:pPr>
    </w:p>
    <w:p>
      <w:pPr>
        <w:jc w:val="both"/>
        <w:ind w:left="660" w:right="180" w:firstLine="645"/>
        <w:spacing w:after="0" w:line="264" w:lineRule="auto"/>
        <w:tabs>
          <w:tab w:leader="none" w:pos="19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action pursuant to this Clause (9) shall not adversely affect the interests of the Holders of Securities of any series.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Holders</w:t>
      </w:r>
      <w:r>
        <w:rPr>
          <w:rFonts w:ascii="Arial" w:cs="Arial" w:eastAsia="Arial" w:hAnsi="Arial"/>
          <w:sz w:val="18"/>
          <w:szCs w:val="18"/>
          <w:color w:val="auto"/>
        </w:rPr>
        <w:t>.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93" w:lineRule="exact"/>
        <w:rPr>
          <w:sz w:val="20"/>
          <w:szCs w:val="20"/>
          <w:color w:val="auto"/>
        </w:rPr>
      </w:pPr>
    </w:p>
    <w:p>
      <w:pPr>
        <w:ind w:left="660" w:right="20" w:firstLine="645"/>
        <w:spacing w:after="0" w:line="255" w:lineRule="auto"/>
        <w:tabs>
          <w:tab w:leader="none" w:pos="1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93" w:lineRule="exact"/>
        <w:rPr>
          <w:rFonts w:ascii="Arial" w:cs="Arial" w:eastAsia="Arial" w:hAnsi="Arial"/>
          <w:sz w:val="18"/>
          <w:szCs w:val="18"/>
          <w:color w:val="auto"/>
        </w:rPr>
      </w:pPr>
    </w:p>
    <w:p>
      <w:pPr>
        <w:jc w:val="both"/>
        <w:ind w:left="660" w:right="20" w:firstLine="645"/>
        <w:spacing w:after="0" w:line="264" w:lineRule="auto"/>
        <w:tabs>
          <w:tab w:leader="none" w:pos="1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ind w:left="660" w:right="240" w:firstLine="645"/>
        <w:spacing w:after="0" w:line="277" w:lineRule="auto"/>
        <w:tabs>
          <w:tab w:leader="none" w:pos="19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10.10 except to increase any such percentage or to provide that certain other provisions of this Indenture cannot be modified or waived without the consent of the Holder of each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60" w:right="180"/>
        <w:spacing w:after="0" w:line="264" w:lineRule="auto"/>
        <w:rPr>
          <w:sz w:val="20"/>
          <w:szCs w:val="20"/>
          <w:color w:val="auto"/>
        </w:rPr>
      </w:pPr>
      <w:r>
        <w:rPr>
          <w:rFonts w:ascii="Arial" w:cs="Arial" w:eastAsia="Arial" w:hAnsi="Arial"/>
          <w:sz w:val="18"/>
          <w:szCs w:val="18"/>
          <w:color w:val="auto"/>
        </w:rPr>
        <w:t xml:space="preserve">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this clause shall not be deemed to require the consent of any Holder with respect to changes in the references to “the Trustee” and concomitant changes in this Section and Section 10.10, or the deletion of this proviso, in accordance with the requirements of Sections 6.11 and 9.01(8).</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ectPr>
          <w:pgSz w:w="11900" w:h="16838" w:orient="portrait"/>
          <w:cols w:equalWidth="0" w:num="1">
            <w:col w:w="11420"/>
          </w:cols>
          <w:pgMar w:left="240" w:top="125" w:right="239" w:bottom="0" w:gutter="0" w:footer="0" w:header="0"/>
        </w:sectPr>
      </w:pPr>
    </w:p>
    <w:bookmarkStart w:id="43" w:name="page44"/>
    <w:bookmarkEnd w:id="43"/>
    <w:p>
      <w:pPr>
        <w:ind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 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Reference in Securities to Supplemental Indentures</w:t>
      </w:r>
      <w:r>
        <w:rPr>
          <w:rFonts w:ascii="Arial" w:cs="Arial" w:eastAsia="Arial" w:hAnsi="Arial"/>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 The Company covenants and agrees for the benefit of each series of Securities that it will duly and punctually pay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principal of and any premium and interest on the Securities of that series in accordance with the terms of the Securities and this Indenture.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5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ectPr>
          <w:pgSz w:w="11900" w:h="16838" w:orient="portrait"/>
          <w:cols w:equalWidth="0" w:num="1">
            <w:col w:w="11400"/>
          </w:cols>
          <w:pgMar w:left="240" w:top="125" w:right="259" w:bottom="140" w:gutter="0" w:footer="0" w:header="0"/>
        </w:sectPr>
      </w:pPr>
    </w:p>
    <w:bookmarkStart w:id="44" w:name="page45"/>
    <w:bookmarkEnd w:id="44"/>
    <w:p>
      <w:pPr>
        <w:ind w:right="40" w:firstLine="648"/>
        <w:spacing w:after="0" w:line="270" w:lineRule="auto"/>
        <w:rPr>
          <w:sz w:val="20"/>
          <w:szCs w:val="20"/>
          <w:color w:val="auto"/>
        </w:rPr>
      </w:pPr>
      <w:r>
        <w:rPr>
          <w:rFonts w:ascii="Arial" w:cs="Arial" w:eastAsia="Arial" w:hAnsi="Arial"/>
          <w:sz w:val="17"/>
          <w:szCs w:val="17"/>
          <w:color w:val="auto"/>
        </w:rPr>
        <w:t xml:space="preserve">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City, notice that such money remains unclaimed and that, after a date specified therein, which shall not be less than 30 days from the date of such publication, any unclaimed balance of such money then remaining will be repaid to the Company.</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Statement by Officers as to Default</w:t>
      </w:r>
      <w:r>
        <w:rPr>
          <w:rFonts w:ascii="Arial" w:cs="Arial" w:eastAsia="Arial" w:hAnsi="Arial"/>
          <w:sz w:val="18"/>
          <w:szCs w:val="18"/>
          <w:color w:val="auto"/>
        </w:rPr>
        <w: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Existence</w:t>
      </w:r>
      <w:r>
        <w:rPr>
          <w:rFonts w:ascii="Arial" w:cs="Arial" w:eastAsia="Arial" w:hAnsi="Arial"/>
          <w:sz w:val="18"/>
          <w:szCs w:val="18"/>
          <w:color w:val="auto"/>
        </w:rPr>
        <w:t>.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judgment of the Company, desirable in the conduct of its business or the business of any Subsidiary and not disadvantageous in any material respect to the Holders.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5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Limitation on Liens</w:t>
      </w:r>
      <w:r>
        <w:rPr>
          <w:rFonts w:ascii="Arial" w:cs="Arial" w:eastAsia="Arial" w:hAnsi="Arial"/>
          <w:sz w:val="17"/>
          <w:szCs w:val="17"/>
          <w:color w:val="auto"/>
        </w:rPr>
        <w:t>. 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79" w:lineRule="exact"/>
        <w:rPr>
          <w:sz w:val="20"/>
          <w:szCs w:val="20"/>
          <w:color w:val="auto"/>
        </w:rPr>
      </w:pPr>
    </w:p>
    <w:p>
      <w:pPr>
        <w:ind w:left="1980" w:hanging="675"/>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by the Company or any Subsidiary;</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on property, shares of stock or Debt or other assets of any corporation existing at the time such corporation becomes a Restricted Subsidiary;</w:t>
      </w:r>
    </w:p>
    <w:p>
      <w:pPr>
        <w:spacing w:after="0" w:line="170" w:lineRule="exact"/>
        <w:rPr>
          <w:rFonts w:ascii="Arial" w:cs="Arial" w:eastAsia="Arial" w:hAnsi="Arial"/>
          <w:sz w:val="18"/>
          <w:szCs w:val="18"/>
          <w:color w:val="auto"/>
        </w:rPr>
      </w:pPr>
    </w:p>
    <w:p>
      <w:pPr>
        <w:ind w:left="660" w:right="200" w:firstLine="645"/>
        <w:spacing w:after="0" w:line="297" w:lineRule="auto"/>
        <w:tabs>
          <w:tab w:leader="none" w:pos="1977" w:val="left"/>
        </w:tabs>
        <w:numPr>
          <w:ilvl w:val="0"/>
          <w:numId w:val="65"/>
        </w:numPr>
        <w:rPr>
          <w:rFonts w:ascii="Arial" w:cs="Arial" w:eastAsia="Arial" w:hAnsi="Arial"/>
          <w:sz w:val="16"/>
          <w:szCs w:val="16"/>
          <w:color w:val="auto"/>
        </w:rPr>
      </w:pPr>
      <w:r>
        <w:rPr>
          <w:rFonts w:ascii="Arial" w:cs="Arial" w:eastAsia="Arial" w:hAnsi="Arial"/>
          <w:sz w:val="16"/>
          <w:szCs w:val="16"/>
          <w:color w:val="auto"/>
        </w:rPr>
        <w:t>mortgages on property, shares of stock or Debt existing at the time of acquisition thereof by the Company or a Restricted Subsidiary or mortgages thereon to secure the payment of all or any part of the purchase price thereof, or mortgages on property, shares of stock or Debt to secure any Debt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58" w:lineRule="exact"/>
        <w:rPr>
          <w:rFonts w:ascii="Arial" w:cs="Arial" w:eastAsia="Arial" w:hAnsi="Arial"/>
          <w:sz w:val="16"/>
          <w:szCs w:val="16"/>
          <w:color w:val="auto"/>
        </w:rPr>
      </w:pPr>
    </w:p>
    <w:p>
      <w:pPr>
        <w:ind w:left="1980" w:hanging="675"/>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to secure Debt owing to the Company or to a Restricted Subsidiary;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mortgages existing at the dates of issuance of the series of Securities under this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firstLine="645"/>
        <w:spacing w:after="0" w:line="264" w:lineRule="auto"/>
        <w:tabs>
          <w:tab w:leader="none" w:pos="1977" w:val="left"/>
        </w:tabs>
        <w:numPr>
          <w:ilvl w:val="0"/>
          <w:numId w:val="66"/>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w:t>
      </w:r>
    </w:p>
    <w:p>
      <w:pPr>
        <w:sectPr>
          <w:pgSz w:w="11900" w:h="16838" w:orient="portrait"/>
          <w:cols w:equalWidth="0" w:num="1">
            <w:col w:w="11420"/>
          </w:cols>
          <w:pgMar w:left="240" w:top="125" w:right="239" w:bottom="150" w:gutter="0" w:footer="0" w:header="0"/>
        </w:sectPr>
      </w:pPr>
    </w:p>
    <w:bookmarkStart w:id="45" w:name="page46"/>
    <w:bookmarkEnd w:id="45"/>
    <w:p>
      <w:pPr>
        <w:ind w:left="660" w:right="160" w:firstLine="645"/>
        <w:spacing w:after="0" w:line="279" w:lineRule="auto"/>
        <w:tabs>
          <w:tab w:leader="none" w:pos="1977" w:val="left"/>
        </w:tabs>
        <w:numPr>
          <w:ilvl w:val="0"/>
          <w:numId w:val="67"/>
        </w:numPr>
        <w:rPr>
          <w:rFonts w:ascii="Arial" w:cs="Arial" w:eastAsia="Arial" w:hAnsi="Arial"/>
          <w:sz w:val="17"/>
          <w:szCs w:val="17"/>
          <w:color w:val="auto"/>
        </w:rPr>
      </w:pPr>
      <w:r>
        <w:rPr>
          <w:rFonts w:ascii="Arial" w:cs="Arial" w:eastAsia="Arial" w:hAnsi="Arial"/>
          <w:sz w:val="17"/>
          <w:szCs w:val="17"/>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Debt incurred for the purpose of financing all or any part of the purchase price or the cost of constructing or improving the property subject to such mortgages;</w:t>
      </w:r>
    </w:p>
    <w:p>
      <w:pPr>
        <w:spacing w:after="0" w:line="171" w:lineRule="exact"/>
        <w:rPr>
          <w:rFonts w:ascii="Arial" w:cs="Arial" w:eastAsia="Arial" w:hAnsi="Arial"/>
          <w:sz w:val="17"/>
          <w:szCs w:val="17"/>
          <w:color w:val="auto"/>
        </w:rPr>
      </w:pPr>
    </w:p>
    <w:p>
      <w:pPr>
        <w:ind w:left="1980" w:hanging="675"/>
        <w:spacing w:after="0"/>
        <w:tabs>
          <w:tab w:leader="none" w:pos="1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mortgages created in connection with the acquisition of assets or a project financed with, and created to secure, a Nonrecourse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Obligation; and</w:t>
      </w:r>
    </w:p>
    <w:p>
      <w:pPr>
        <w:spacing w:after="0" w:line="210" w:lineRule="exact"/>
        <w:rPr>
          <w:rFonts w:ascii="Arial" w:cs="Arial" w:eastAsia="Arial" w:hAnsi="Arial"/>
          <w:sz w:val="16"/>
          <w:szCs w:val="16"/>
          <w:color w:val="auto"/>
        </w:rPr>
      </w:pPr>
    </w:p>
    <w:p>
      <w:pPr>
        <w:ind w:left="660" w:right="20" w:firstLine="645"/>
        <w:spacing w:after="0" w:line="257" w:lineRule="auto"/>
        <w:tabs>
          <w:tab w:leader="none" w:pos="1977"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extensions, renewals, refinancings or replacements of any mortgage referred to in the foregoing clauses (1), (2), (3), (5), (6), (7) and (8)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mortgages permitted by any of the foregoing clauses (1), (2), (3),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thereto, the aggregate amount of all Debt so secured by mortgages (not including mortgages permitted under clauses (1) through (9) above) does not exceed 15% of the Consolidated Net Tangible Assets of the Company as most recently determined on or prior to such date.</w:t>
      </w:r>
    </w:p>
    <w:p>
      <w:pPr>
        <w:spacing w:after="0" w:line="18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 The Company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Subsidiary that matures more than 12 months after the creation of such indebtedness or the purchase, construction or development of other comparable property.</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3.01(18), 9.01(2) or 9.01(7) for the benefit of the Holders of such series or in any of Sections 10.08 to 10.09, inclusive,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OR REPAYMENT OF SECURITIES</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Securities of any series which are redeemable or repayable before their Stated Maturity shall be redeemable or repayable in accordance with their terms and (except as otherwise specified as contemplated by Section 3.01 for such Securities) in accordance with this Article.</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in writing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Selection by Trustee of Securities to be Redeemed</w:t>
      </w:r>
      <w:r>
        <w:rPr>
          <w:rFonts w:ascii="Arial" w:cs="Arial" w:eastAsia="Arial" w:hAnsi="Arial"/>
          <w:sz w:val="18"/>
          <w:szCs w:val="18"/>
          <w:color w:val="auto"/>
        </w:rPr>
        <w:t>.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w:t>
      </w:r>
    </w:p>
    <w:p>
      <w:pPr>
        <w:sectPr>
          <w:pgSz w:w="11900" w:h="16838" w:orient="portrait"/>
          <w:cols w:equalWidth="0" w:num="1">
            <w:col w:w="11400"/>
          </w:cols>
          <w:pgMar w:left="240" w:top="125" w:right="25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accordance with the preceding sentence.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redemption shall be given by first-class mail, postage prepaid, mailed not less than 30 nor more than 60 days prior to the Redemption Date, to each Holder of Securities to be redeemed, at his address appearing in the Security Register.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980" w:hanging="675"/>
        <w:spacing w:after="0"/>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right="80" w:firstLine="645"/>
        <w:spacing w:after="0" w:line="259" w:lineRule="auto"/>
        <w:tabs>
          <w:tab w:leader="none" w:pos="19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ind w:left="660" w:right="180" w:firstLine="645"/>
        <w:spacing w:after="0" w:line="277" w:lineRule="auto"/>
        <w:tabs>
          <w:tab w:leader="none" w:pos="19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Deposit of Redemption Price</w:t>
      </w:r>
      <w:r>
        <w:rPr>
          <w:rFonts w:ascii="Arial" w:cs="Arial" w:eastAsia="Arial" w:hAnsi="Arial"/>
          <w:sz w:val="18"/>
          <w:szCs w:val="18"/>
          <w:color w:val="auto"/>
        </w:rPr>
        <w:t>.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Securities Payable on Redemption Date</w:t>
      </w:r>
      <w:r>
        <w:rPr>
          <w:rFonts w:ascii="Arial" w:cs="Arial" w:eastAsia="Arial" w:hAnsi="Arial"/>
          <w:sz w:val="17"/>
          <w:szCs w:val="17"/>
          <w:color w:val="auto"/>
        </w:rPr>
        <w:t>.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Securities Redeemed in Part</w:t>
      </w:r>
      <w:r>
        <w:rPr>
          <w:rFonts w:ascii="Arial" w:cs="Arial" w:eastAsia="Arial" w:hAnsi="Arial"/>
          <w:sz w:val="18"/>
          <w:szCs w:val="18"/>
          <w:color w:val="auto"/>
        </w:rPr>
        <w: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Right of Repayment</w:t>
      </w:r>
      <w:r>
        <w:rPr>
          <w:rFonts w:ascii="Arial" w:cs="Arial" w:eastAsia="Arial" w:hAnsi="Arial"/>
          <w:sz w:val="16"/>
          <w:szCs w:val="16"/>
          <w:color w:val="auto"/>
        </w:rPr>
        <w:t>. In order for any Security that is subject to repayment at the option of the Holder to be repaid, the Paying Agent must receive at least 30 days but not more than 60 days prior to the repayment date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w:t>
      </w:r>
    </w:p>
    <w:p>
      <w:pPr>
        <w:sectPr>
          <w:pgSz w:w="11900" w:h="16838" w:orient="portrait"/>
          <w:cols w:equalWidth="0" w:num="1">
            <w:col w:w="11420"/>
          </w:cols>
          <w:pgMar w:left="240" w:top="125" w:right="239" w:bottom="312"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2" w:gutter="0" w:footer="0" w:header="0"/>
          <w:type w:val="continuous"/>
        </w:sectPr>
      </w:pPr>
    </w:p>
    <w:bookmarkStart w:id="47" w:name="page48"/>
    <w:bookmarkEnd w:id="47"/>
    <w:p>
      <w:pPr>
        <w:ind w:right="20"/>
        <w:spacing w:after="0" w:line="290" w:lineRule="auto"/>
        <w:rPr>
          <w:sz w:val="20"/>
          <w:szCs w:val="20"/>
          <w:color w:val="auto"/>
        </w:rPr>
      </w:pPr>
      <w:r>
        <w:rPr>
          <w:rFonts w:ascii="Arial" w:cs="Arial" w:eastAsia="Arial" w:hAnsi="Arial"/>
          <w:sz w:val="16"/>
          <w:szCs w:val="16"/>
          <w:color w:val="auto"/>
        </w:rPr>
        <w:t>exercised thereby and a guarantee that such Security to be repaid with the form entitled Option to Elect Repayment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except as otherwise provided in the Board Resolution establishing the term of the Security. The repayment option may be exercised by the Holder of such Security for less than the entire principal amount of the Security provided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 All questions as to the validity, eligibility (including time of receipt) and acceptance of any Security for repayment will be determined by the Company, whose determination will be final, binding and non-appealable.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11.09.</w:t>
      </w:r>
      <w:r>
        <w:rPr>
          <w:sz w:val="20"/>
          <w:szCs w:val="20"/>
          <w:color w:val="auto"/>
        </w:rPr>
        <w:tab/>
      </w:r>
      <w:r>
        <w:rPr>
          <w:rFonts w:ascii="Arial" w:cs="Arial" w:eastAsia="Arial" w:hAnsi="Arial"/>
          <w:sz w:val="16"/>
          <w:szCs w:val="16"/>
          <w:u w:val="single" w:color="auto"/>
          <w:color w:val="auto"/>
        </w:rPr>
        <w:t>Form of Option to Elect Repayment</w:t>
      </w:r>
      <w:r>
        <w:rPr>
          <w:rFonts w:ascii="Arial" w:cs="Arial" w:eastAsia="Arial" w:hAnsi="Arial"/>
          <w:sz w:val="16"/>
          <w:szCs w:val="16"/>
          <w:color w:val="auto"/>
        </w:rPr>
        <w:t>. The following text shall be attached to each Security to which the provisions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11.08 apply:</w:t>
      </w:r>
    </w:p>
    <w:p>
      <w:pPr>
        <w:spacing w:after="0" w:line="211"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FORM OF OPTION TO ELECT REPAYMENT ON , . I or we hereby irrevocably elect to exercise the option to have the principal sum of together with accrued interest thereon to , repaid by the Company on , . If</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less than the entire principal amount of the Security is to be repaid specify the denomination or denominations (which shall be in authorized denominations) of the Securities to be issued to the Holder for the portion of the within Security not being repaid (in the absence of any such specification, one such Security will be issued for the portion not being repaid.</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24523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Signed:</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-130810</wp:posOffset>
            </wp:positionV>
            <wp:extent cx="23666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must be guaranteed by an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-130175</wp:posOffset>
            </wp:positionV>
            <wp:extent cx="41935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institution within the meaning of Rule 17A(d)-15</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under the Securities Exchange Act of 1934, as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amended)</w:t>
      </w:r>
    </w:p>
    <w:p>
      <w:pPr>
        <w:spacing w:after="0" w:line="200" w:lineRule="exact"/>
        <w:rPr>
          <w:sz w:val="20"/>
          <w:szCs w:val="20"/>
          <w:color w:val="auto"/>
        </w:rPr>
      </w:pPr>
    </w:p>
    <w:p>
      <w:pPr>
        <w:spacing w:after="0" w:line="28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The provisions of this Article shall be applicable to any sinking fund for the retirement of Securities of any series except as otherwise specified as contemplated by Section 3.01 for such Securities.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 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9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 Not less than 30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20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w:t>
      </w:r>
    </w:p>
    <w:p>
      <w:pPr>
        <w:spacing w:after="0" w:line="5"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color w:val="auto"/>
        </w:rPr>
        <w:t>Section 11.04. Such notice having been duly given, the redemption of such Securities shall be made upon the terms and in the manner stated in Sections 11.06 and 11.07.</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DEFEASANCE AND COVENANT DEFEASANCE</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Company’s Option to Effect Defeasance or Covenant Defeasance</w:t>
      </w:r>
      <w:r>
        <w:rPr>
          <w:rFonts w:ascii="Arial" w:cs="Arial" w:eastAsia="Arial" w:hAnsi="Arial"/>
          <w:sz w:val="18"/>
          <w:szCs w:val="18"/>
          <w:color w:val="auto"/>
        </w:rPr>
        <w:t>. 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ectPr>
          <w:pgSz w:w="11900" w:h="16838" w:orient="portrait"/>
          <w:cols w:equalWidth="0" w:num="1">
            <w:col w:w="11420"/>
          </w:cols>
          <w:pgMar w:left="240" w:top="368" w:right="239" w:bottom="0" w:gutter="0" w:footer="0" w:header="0"/>
        </w:sectPr>
      </w:pPr>
    </w:p>
    <w:bookmarkStart w:id="48" w:name="page49"/>
    <w:bookmarkEnd w:id="48"/>
    <w:p>
      <w:pPr>
        <w:ind w:right="160" w:firstLine="648"/>
        <w:spacing w:after="0" w:line="277"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Defeasance and Discharge</w:t>
      </w:r>
      <w:r>
        <w:rPr>
          <w:rFonts w:ascii="Arial" w:cs="Arial" w:eastAsia="Arial" w:hAnsi="Arial"/>
          <w:sz w:val="18"/>
          <w:szCs w:val="18"/>
          <w:color w:val="auto"/>
        </w:rPr>
        <w:t>. Upon the Company’s exercise of its option (if any) to have this Section applied to any Securities or any series of Securities, as the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its option (if any) to have this Section applied to any Securities or any series of Securities, as the case may be, (1) the Company shall be released from its obligations under Section 8.01(3), Sections 10.06 through 10.09, inclusive, and any covenants provided pursuant to Section 3.01(18), 9.01(2) or 9.01(7) for the benefit of the Holders of such Securities and (2) the occurrence of any event specified in Sections 501(4) (with respect to any of Section 8.01(3), Sections 10.06 through 10.09, inclusive, and any such covenants provided pursuant to Section 3.01(18), 9.01(2) or 9.01(7)), 5.01(5) and 5.01(8)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u w:val="single" w:color="auto"/>
          <w:color w:val="auto"/>
        </w:rPr>
        <w:t>Conditions to Defeasance or Covenant Defeasance</w:t>
      </w:r>
      <w:r>
        <w:rPr>
          <w:rFonts w:ascii="Arial" w:cs="Arial" w:eastAsia="Arial" w:hAnsi="Arial"/>
          <w:sz w:val="16"/>
          <w:szCs w:val="16"/>
          <w:color w:val="auto"/>
        </w:rPr>
        <w:t>. The following shall be the conditions to the application of Section 13.02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13.03 to any Securities or any series of Securities, as the case may be:</w:t>
      </w:r>
    </w:p>
    <w:p>
      <w:pPr>
        <w:spacing w:after="0" w:line="211" w:lineRule="exact"/>
        <w:rPr>
          <w:sz w:val="20"/>
          <w:szCs w:val="20"/>
          <w:color w:val="auto"/>
        </w:rPr>
      </w:pPr>
    </w:p>
    <w:p>
      <w:pPr>
        <w:ind w:left="660" w:right="180" w:firstLine="645"/>
        <w:spacing w:after="0" w:line="297" w:lineRule="auto"/>
        <w:tabs>
          <w:tab w:leader="none" w:pos="197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 xml:space="preserve">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75" w:lineRule="exact"/>
        <w:rPr>
          <w:sz w:val="20"/>
          <w:szCs w:val="20"/>
          <w:color w:val="auto"/>
        </w:rPr>
      </w:pPr>
    </w:p>
    <w:p>
      <w:pPr>
        <w:ind w:left="660" w:right="60" w:firstLine="645"/>
        <w:spacing w:after="0" w:line="255" w:lineRule="auto"/>
        <w:tabs>
          <w:tab w:leader="none" w:pos="19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9" w:lineRule="exact"/>
        <w:rPr>
          <w:rFonts w:ascii="Arial" w:cs="Arial" w:eastAsia="Arial" w:hAnsi="Arial"/>
          <w:sz w:val="18"/>
          <w:szCs w:val="18"/>
          <w:color w:val="auto"/>
        </w:rPr>
      </w:pPr>
    </w:p>
    <w:p>
      <w:pPr>
        <w:ind w:left="660" w:right="60" w:firstLine="645"/>
        <w:spacing w:after="0" w:line="257" w:lineRule="auto"/>
        <w:tabs>
          <w:tab w:leader="none" w:pos="19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left="660" w:right="280" w:firstLine="645"/>
        <w:spacing w:after="0" w:line="277" w:lineRule="auto"/>
        <w:tabs>
          <w:tab w:leader="none" w:pos="19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ectPr>
          <w:pgSz w:w="11900" w:h="16838" w:orient="portrait"/>
          <w:cols w:equalWidth="0" w:num="1">
            <w:col w:w="11400"/>
          </w:cols>
          <w:pgMar w:left="240" w:top="125" w:right="259" w:bottom="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right="40" w:firstLine="645"/>
        <w:spacing w:after="0" w:line="259" w:lineRule="auto"/>
        <w:tabs>
          <w:tab w:leader="none" w:pos="19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186" w:lineRule="exact"/>
        <w:rPr>
          <w:rFonts w:ascii="Arial" w:cs="Arial" w:eastAsia="Arial" w:hAnsi="Arial"/>
          <w:sz w:val="18"/>
          <w:szCs w:val="18"/>
          <w:color w:val="auto"/>
        </w:rPr>
      </w:pPr>
    </w:p>
    <w:p>
      <w:pPr>
        <w:ind w:left="660" w:firstLine="645"/>
        <w:spacing w:after="0" w:line="277" w:lineRule="auto"/>
        <w:tabs>
          <w:tab w:leader="none" w:pos="19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right="460" w:firstLine="645"/>
        <w:spacing w:after="0" w:line="277" w:lineRule="auto"/>
        <w:tabs>
          <w:tab w:leader="none" w:pos="19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right="500" w:firstLine="645"/>
        <w:spacing w:after="0" w:line="264" w:lineRule="auto"/>
        <w:tabs>
          <w:tab w:leader="none" w:pos="19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1" w:lineRule="exact"/>
        <w:rPr>
          <w:rFonts w:ascii="Arial" w:cs="Arial" w:eastAsia="Arial" w:hAnsi="Arial"/>
          <w:sz w:val="18"/>
          <w:szCs w:val="18"/>
          <w:color w:val="auto"/>
        </w:rPr>
      </w:pPr>
    </w:p>
    <w:p>
      <w:pPr>
        <w:ind w:left="660" w:right="680" w:firstLine="645"/>
        <w:spacing w:after="0" w:line="277" w:lineRule="auto"/>
        <w:tabs>
          <w:tab w:leader="none" w:pos="19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 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6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u w:val="single" w:color="auto"/>
          <w:color w:val="auto"/>
        </w:rPr>
        <w:t>Reinstatement</w:t>
      </w:r>
      <w:r>
        <w:rPr>
          <w:rFonts w:ascii="Arial" w:cs="Arial" w:eastAsia="Arial" w:hAnsi="Arial"/>
          <w:sz w:val="16"/>
          <w:szCs w:val="16"/>
          <w:color w:val="auto"/>
        </w:rPr>
        <w:t>.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6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4980"/>
        <w:spacing w:after="0"/>
        <w:tabs>
          <w:tab w:leader="none" w:pos="5420" w:val="left"/>
        </w:tabs>
        <w:rPr>
          <w:sz w:val="20"/>
          <w:szCs w:val="20"/>
          <w:color w:val="auto"/>
        </w:rPr>
      </w:pPr>
      <w:r>
        <w:rPr>
          <w:rFonts w:ascii="Arial" w:cs="Arial" w:eastAsia="Arial" w:hAnsi="Arial"/>
          <w:sz w:val="18"/>
          <w:szCs w:val="18"/>
          <w:color w:val="auto"/>
        </w:rPr>
        <w:t>By:</w:t>
        <w:tab/>
        <w:t>/s/ STEPHEN P. WOLFE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37992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THE BANK OF NEW YORK TRUST COMPANY,</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 as Trustee</w:t>
      </w:r>
    </w:p>
    <w:p>
      <w:pPr>
        <w:spacing w:after="0" w:line="211" w:lineRule="exact"/>
        <w:rPr>
          <w:sz w:val="20"/>
          <w:szCs w:val="20"/>
          <w:color w:val="auto"/>
        </w:rPr>
      </w:pPr>
    </w:p>
    <w:p>
      <w:pPr>
        <w:ind w:left="498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 xml:space="preserve">/s/ </w:t>
      </w:r>
      <w:r>
        <w:rPr>
          <w:rFonts w:ascii="Arial" w:cs="Arial" w:eastAsia="Arial" w:hAnsi="Arial"/>
          <w:sz w:val="17"/>
          <w:szCs w:val="17"/>
          <w:color w:val="auto"/>
        </w:rPr>
        <w:t>D.G. DONOVAN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D.G.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-130810</wp:posOffset>
            </wp:positionV>
            <wp:extent cx="38246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Title:Vice President</w:t>
      </w:r>
    </w:p>
    <w:p>
      <w:pPr>
        <w:sectPr>
          <w:pgSz w:w="11900" w:h="16838" w:orient="portrait"/>
          <w:cols w:equalWidth="0" w:num="1">
            <w:col w:w="11360"/>
          </w:cols>
          <w:pgMar w:left="240" w:top="125" w:right="299" w:bottom="0"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Plaza VII, Suite 3300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South Seventh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55402-1609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www.Oppenheimer.com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Main:</w:t>
            </w:r>
          </w:p>
        </w:tc>
        <w:tc>
          <w:tcPr>
            <w:tcW w:w="1420" w:type="dxa"/>
            <w:vAlign w:val="bottom"/>
          </w:tcPr>
          <w:p>
            <w:pPr>
              <w:jc w:val="right"/>
              <w:spacing w:after="0"/>
              <w:rPr>
                <w:sz w:val="20"/>
                <w:szCs w:val="20"/>
                <w:color w:val="auto"/>
              </w:rPr>
            </w:pPr>
            <w:r>
              <w:rPr>
                <w:rFonts w:ascii="Arial" w:cs="Arial" w:eastAsia="Arial" w:hAnsi="Arial"/>
                <w:sz w:val="18"/>
                <w:szCs w:val="18"/>
                <w:color w:val="auto"/>
              </w:rPr>
              <w:t>(612) 607-7000</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Fax:</w:t>
            </w:r>
          </w:p>
        </w:tc>
        <w:tc>
          <w:tcPr>
            <w:tcW w:w="1420" w:type="dxa"/>
            <w:vAlign w:val="bottom"/>
          </w:tcPr>
          <w:p>
            <w:pPr>
              <w:jc w:val="right"/>
              <w:spacing w:after="0"/>
              <w:rPr>
                <w:sz w:val="20"/>
                <w:szCs w:val="20"/>
                <w:color w:val="auto"/>
              </w:rPr>
            </w:pPr>
            <w:r>
              <w:rPr>
                <w:rFonts w:ascii="Arial" w:cs="Arial" w:eastAsia="Arial" w:hAnsi="Arial"/>
                <w:sz w:val="18"/>
                <w:szCs w:val="18"/>
                <w:color w:val="auto"/>
              </w:rPr>
              <w:t>(612) 607-7100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April 20,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55420-1196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The Toro Company — 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your request, we have examined the Registration Statement on Form S-3 of The Toro Company, a Delaware corporation (the “Company”), to be filed with the Securities and Exchange Commission (the “Commission”) pursuant to the Securities Act of 1933, as amended (the “Act”), for the purpose of registering an indeterminate amount of the Company’s debt securities (the “Debt Securities”). The Debt Securities are to be sold from time to time as set forth in the Registration Statement, any amendment thereto, the Prospectus contained therein (the “Prospectus”) and the supplements to the Prospectus (the “Prospectus Supplements”).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Debt Securities are to be issued pursuant to an Indenture dated April 20, 2007 (the “Indenture”) to be entered into between the Company and The Bank of New York Trust Company, N.A., as Trustee, which has been filed as an exhibit to the Registration Statement. The Indenture may be supplemented by a supplemental indenture or other appropriate action of the Company. The Debt Securities are to be issued in the form included in the Indenture or a supplemental indenture filed as an exhibit to the Registration Statement.</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familiar with the corporate action taken and proposed to be taken by the Company in connection with the authorization, issuance and sale of the Debt Securities. For the purpose of rendering this opinion, we have examined records, documents, instruments and certificates which we deemed relevant and necessary for the basis of our opinion hereinafter expressed. We have assumed the genuineness of all signatures, the authenticity of all documents submitted to us as originals, the conformity to authentic original documents of all copies submitted to us as conformed and certified or reproduced copies and the truth, accuracy and completeness of the information, representations and warranties contained in the records, documents, instruments and certificates we have reviewed.</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also assumed that (i) the Registration Statement and any amendments thereto (including post-effective amendments) will have become effective under the Act; (ii) a Prospectus Supplement will have been filed with the Commission describing the Debt Securities offered thereby; and (iii) all Debt Securities will be issued and sold in compliance with applicable federal and state securities laws and in the manner stated in the Registration Statement and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Based on the foregoing and subject to the assumptions, qualifications and limitations contained herein, we are of the opinion that when the issuance of Debt Securities has been duly authorized by appropriate corporate action and the Debt Securities, in the form included in the Indenture or any supplemental indenture filed as an exhibit to the Registration Statement, have been duly completed, executed, authenticated and delivered in accordance with the Indenture, as supplemented by a supplemental indenture or other appropriate action of the Company, and sold and paid for as contemplated by the Registration Statement, and amendment thereto, the Prospectus and any Prospectus Supplement relating thereto, the Debt Securities will be legal, valid and binding obligations of the Company, entitled to the benefits of the Indenture.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left="660" w:right="420" w:hanging="4"/>
        <w:spacing w:after="0" w:line="277" w:lineRule="auto"/>
        <w:tabs>
          <w:tab w:leader="none" w:pos="9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ind w:left="660" w:right="300" w:hanging="4"/>
        <w:spacing w:after="0" w:line="264" w:lineRule="auto"/>
        <w:tabs>
          <w:tab w:leader="none" w:pos="9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This opinion is limited to the Delaware General Corporation Law, the federal laws of the United States of America and the internal laws of the State of New York, and we express no opinion with respect to the applicability thereto, or the effect thereon, of the laws of any other jurisdiction or, in the case of Delaware, any other laws. We express no opinion as to the applicable choice of law rules that may affect the interpretation or enforcement of the Debt Securities. We further disclaim any opinion as to any statute, rule, regulation, ordinance, order or other promulgation of any regional or local governmental body or as to any related judicial or administrative opinion. For purposes of our opinions herein, we have assumed, without independent investigation, that the internal laws of the State of New York are identical in all relevant respects to the laws of the State of Minnesota.</w:t>
      </w:r>
    </w:p>
    <w:p>
      <w:pPr>
        <w:sectPr>
          <w:pgSz w:w="11900" w:h="16838" w:orient="portrait"/>
          <w:cols w:equalWidth="0" w:num="1">
            <w:col w:w="11420"/>
          </w:cols>
          <w:pgMar w:left="240" w:top="121" w:right="239" w:bottom="26" w:gutter="0" w:footer="0" w:header="0"/>
        </w:sectPr>
      </w:pPr>
    </w:p>
    <w:bookmarkStart w:id="52" w:name="page53"/>
    <w:bookmarkEnd w:id="52"/>
    <w:p>
      <w:pPr>
        <w:spacing w:after="0" w:line="255" w:lineRule="auto"/>
        <w:rPr>
          <w:sz w:val="20"/>
          <w:szCs w:val="20"/>
          <w:color w:val="auto"/>
        </w:rPr>
      </w:pPr>
      <w:r>
        <w:rPr>
          <w:rFonts w:ascii="Arial" w:cs="Arial" w:eastAsia="Arial" w:hAnsi="Arial"/>
          <w:sz w:val="18"/>
          <w:szCs w:val="18"/>
          <w:color w:val="auto"/>
        </w:rPr>
        <w:t>We hereby consent to the filing of this opinion as an exhibit to the above-referenced Registration Statement and the use of our name wherever it appears in the Registration Statement, the Prospectus, the Prospectus Supplement, and in any amendment of supplement thereto. In giving such consent, we do not believe that we are “experts” within the meaning of such term used in the Act or the rules and regulations of the Commission issued thereunder with respect to any part of the Registration Statement, including this opinion as an exhibit or otherwise. This opinion is expressed as of the date hereof unless otherwise expressly stated, and we disclaim any undertaking to advise you of any subsequent changes of the facts stated or assumed herein or any subsequent changes in applicable law.</w:t>
      </w:r>
    </w:p>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OPPENHEIMER WOLFF &amp; DONNELLY LLP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 Covered by Independent Auditors’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Months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3"/>
              </w:rPr>
              <w:t>Year Ended October 31,</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5"/>
              </w:rPr>
              <w:t>February 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92"/>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2"/>
              <w:spacing w:after="0" w:line="129"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12"/>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12"/>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12"/>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Earnings before income taxes and</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cumulative effect of change in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accounting principle</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86,799,000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120,918,000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153,233,000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170,272,000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192,754,000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25,688,000</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Plus: Fixed charges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25,324,000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22,251,000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22,004,000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24,298,000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24,153,987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6,176,457</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9"/>
              </w:rPr>
              <w:t>Earnings available to cover fixed</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charges</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112,123,000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143,169,000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175,237,000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216,907,987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31,864,457</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6"/>
              </w:rPr>
              <w:t>Ratio of earnings to fixed charges</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19,747,000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16,285,000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15,523,000</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17,733,000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17,672,000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4,487,000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Rentals (interest expense)</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5,577,000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5,966,000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6,481,000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6,565,000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6,481,987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1,689,457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Arial" w:cs="Arial" w:eastAsia="Arial" w:hAnsi="Arial"/>
                <w:sz w:val="18"/>
                <w:szCs w:val="18"/>
                <w:b w:val="1"/>
                <w:bCs w:val="1"/>
                <w:color w:val="auto"/>
              </w:rPr>
              <w:t>Total fixed charges</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25,324,000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22,251,000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22,004,000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24,298,000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24,153,987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6,176,457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2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consent to use of our reports dated December 22, 2006, relating to the consolidated balance sheets of The Toro Company and subsidiaries as of October 31, 2006 and 2005, and the related consolidated statements of earnings, cash flows, and changes in stockholders’ equity and related financial statement schedule for each of the years in the three year period ended October 31, 2006, management’s assessment of the effectiveness of internal control over financial reporting as of October 31, 2006, and the effectiveness of internal control over financial reporting as of October 31, 2006, incorporated herein by reference and to the reference to our firm under the heading “Experts” in the prospectus.</w:t>
      </w:r>
    </w:p>
    <w:p>
      <w:pPr>
        <w:spacing w:after="0" w:line="38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14605</wp:posOffset>
            </wp:positionV>
            <wp:extent cx="9436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left="10620"/>
        <w:spacing w:after="0"/>
        <w:rPr>
          <w:sz w:val="20"/>
          <w:szCs w:val="20"/>
          <w:color w:val="auto"/>
        </w:rPr>
      </w:pPr>
      <w:r>
        <w:rPr>
          <w:rFonts w:ascii="Arial" w:cs="Arial" w:eastAsia="Arial" w:hAnsi="Arial"/>
          <w:sz w:val="17"/>
          <w:szCs w:val="17"/>
          <w:b w:val="1"/>
          <w:bCs w:val="1"/>
          <w:color w:val="auto"/>
        </w:rPr>
        <w:t>Exhibit 24</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jointly and severally, Michael J. Hoffman, Stephen P. Wolfe and Timothy P. Dordell, and each one of them acting singly, as the person’s true and lawful attorneys-in-fact and agents, with full power of substitution and resubstitution, for the person and in the person’s name, place and stead, in any and all capacities, to sign a registration statement on Form S-3, any and all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 This Power of Attorney may be executed in counterparts.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Act of 1933, this Power of Attorney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Signature</w:t>
            </w:r>
          </w:p>
        </w:tc>
        <w:tc>
          <w:tcPr>
            <w:tcW w:w="104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spacing w:after="0"/>
              <w:rPr>
                <w:sz w:val="14"/>
                <w:szCs w:val="14"/>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0" w:type="dxa"/>
            <w:vAlign w:val="bottom"/>
          </w:tcPr>
          <w:p>
            <w:pPr>
              <w:spacing w:after="0"/>
              <w:rPr>
                <w:sz w:val="14"/>
                <w:szCs w:val="14"/>
                <w:color w:val="auto"/>
              </w:rPr>
            </w:pPr>
          </w:p>
        </w:tc>
      </w:tr>
      <w:tr>
        <w:trPr>
          <w:trHeight w:val="345"/>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O. BAUKOL</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18,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Ronald O. Baukol</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C. BUHRMASTER</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18,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Robert C. Buhrmaster</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WINSLOW H. BUXTON</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20,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Winslow H. Buxton</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JANET K. COOPER</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17,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Janet K. Cooper</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L. ELLIS</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18,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Gary L. Ellis</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J. HARLESS</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20,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Katherine J. Harless</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H. NASSAU</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18,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Robert H. Nassau</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GREGG W. STEINHAFEL</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17,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Gregg W. Steinhafel</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 TWOMEY</w:t>
            </w:r>
          </w:p>
        </w:tc>
        <w:tc>
          <w:tcPr>
            <w:tcW w:w="104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5"/>
              </w:rPr>
              <w:t>Director</w:t>
            </w:r>
          </w:p>
        </w:tc>
        <w:tc>
          <w:tcPr>
            <w:tcW w:w="2520" w:type="dxa"/>
            <w:vAlign w:val="bottom"/>
          </w:tcPr>
          <w:p>
            <w:pPr>
              <w:jc w:val="center"/>
              <w:spacing w:after="0"/>
              <w:rPr>
                <w:sz w:val="20"/>
                <w:szCs w:val="20"/>
                <w:color w:val="auto"/>
              </w:rPr>
            </w:pPr>
            <w:r>
              <w:rPr>
                <w:rFonts w:ascii="Arial" w:cs="Arial" w:eastAsia="Arial" w:hAnsi="Arial"/>
                <w:sz w:val="18"/>
                <w:szCs w:val="18"/>
                <w:color w:val="auto"/>
                <w:w w:val="95"/>
              </w:rPr>
              <w:t>April 18, 2007</w:t>
            </w:r>
          </w:p>
        </w:tc>
        <w:tc>
          <w:tcPr>
            <w:tcW w:w="40" w:type="dxa"/>
            <w:vAlign w:val="bottom"/>
          </w:tcPr>
          <w:p>
            <w:pPr>
              <w:spacing w:after="0"/>
              <w:rPr>
                <w:sz w:val="24"/>
                <w:szCs w:val="24"/>
                <w:color w:val="auto"/>
              </w:rPr>
            </w:pPr>
          </w:p>
        </w:tc>
      </w:tr>
      <w:tr>
        <w:trPr>
          <w:trHeight w:val="224"/>
        </w:trPr>
        <w:tc>
          <w:tcPr>
            <w:tcW w:w="4660" w:type="dxa"/>
            <w:vAlign w:val="bottom"/>
          </w:tcPr>
          <w:p>
            <w:pPr>
              <w:spacing w:after="0"/>
              <w:rPr>
                <w:sz w:val="20"/>
                <w:szCs w:val="20"/>
                <w:color w:val="auto"/>
              </w:rPr>
            </w:pPr>
            <w:r>
              <w:rPr>
                <w:rFonts w:ascii="Arial" w:cs="Arial" w:eastAsia="Arial" w:hAnsi="Arial"/>
                <w:sz w:val="18"/>
                <w:szCs w:val="18"/>
                <w:color w:val="auto"/>
              </w:rPr>
              <w:t>Christopher A. Twomey</w:t>
            </w:r>
          </w:p>
        </w:tc>
        <w:tc>
          <w:tcPr>
            <w:tcW w:w="10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793"/>
        </w:trPr>
        <w:tc>
          <w:tcPr>
            <w:tcW w:w="466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6" w:name="page57"/>
    <w:bookmarkEnd w:id="56"/>
    <w:p>
      <w:pPr>
        <w:ind w:left="10480"/>
        <w:spacing w:after="0"/>
        <w:rPr>
          <w:sz w:val="20"/>
          <w:szCs w:val="20"/>
          <w:color w:val="auto"/>
        </w:rPr>
      </w:pPr>
      <w:r>
        <w:rPr>
          <w:rFonts w:ascii="Arial" w:cs="Arial" w:eastAsia="Arial" w:hAnsi="Arial"/>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CHECK IF AN APPLICATION TO DETERMINE ELIGIBILITY</w:t>
      </w:r>
    </w:p>
    <w:p>
      <w:pPr>
        <w:spacing w:after="0" w:line="14" w:lineRule="exact"/>
        <w:rPr>
          <w:sz w:val="20"/>
          <w:szCs w:val="20"/>
          <w:color w:val="auto"/>
        </w:rPr>
      </w:pPr>
    </w:p>
    <w:p>
      <w:pPr>
        <w:ind w:left="2820"/>
        <w:spacing w:after="0"/>
        <w:tabs>
          <w:tab w:leader="none" w:pos="8480" w:val="left"/>
        </w:tabs>
        <w:rPr>
          <w:sz w:val="20"/>
          <w:szCs w:val="20"/>
          <w:color w:val="auto"/>
        </w:rPr>
      </w:pPr>
      <w:r>
        <w:rPr>
          <w:rFonts w:ascii="Arial" w:cs="Arial" w:eastAsia="Arial" w:hAnsi="Arial"/>
          <w:sz w:val="22"/>
          <w:szCs w:val="22"/>
          <w:b w:val="1"/>
          <w:bCs w:val="1"/>
          <w:color w:val="auto"/>
        </w:rPr>
        <w:t>OF A TRUSTEE PURSUANT TO SECTION 305(b)(2)</w:t>
      </w:r>
      <w:r>
        <w:rPr>
          <w:sz w:val="20"/>
          <w:szCs w:val="20"/>
          <w:color w:val="auto"/>
        </w:rPr>
        <w:tab/>
      </w:r>
      <w:r>
        <w:rPr>
          <w:rFonts w:ascii="Arial" w:cs="Arial" w:eastAsia="Arial" w:hAnsi="Arial"/>
          <w:sz w:val="17"/>
          <w:szCs w:val="17"/>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3893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THE BANK OF NEW YORK TRUST COMPANY, N.A.</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20"/>
        </w:trPr>
        <w:tc>
          <w:tcPr>
            <w:tcW w:w="6560" w:type="dxa"/>
            <w:vAlign w:val="bottom"/>
          </w:tcPr>
          <w:p>
            <w:pPr>
              <w:jc w:val="center"/>
              <w:ind w:right="3610"/>
              <w:spacing w:after="0"/>
              <w:rPr>
                <w:sz w:val="20"/>
                <w:szCs w:val="20"/>
                <w:color w:val="auto"/>
              </w:rPr>
            </w:pPr>
            <w:r>
              <w:rPr>
                <w:rFonts w:ascii="Arial" w:cs="Arial" w:eastAsia="Arial" w:hAnsi="Arial"/>
                <w:sz w:val="18"/>
                <w:szCs w:val="18"/>
                <w:b w:val="1"/>
                <w:bCs w:val="1"/>
                <w:color w:val="auto"/>
                <w:w w:val="93"/>
              </w:rPr>
              <w:t>Delaware</w:t>
            </w: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95-3571558</w:t>
            </w:r>
          </w:p>
        </w:tc>
      </w:tr>
      <w:tr>
        <w:trPr>
          <w:trHeight w:val="216"/>
        </w:trPr>
        <w:tc>
          <w:tcPr>
            <w:tcW w:w="6560" w:type="dxa"/>
            <w:vAlign w:val="bottom"/>
          </w:tcPr>
          <w:p>
            <w:pPr>
              <w:jc w:val="center"/>
              <w:ind w:right="3610"/>
              <w:spacing w:after="0"/>
              <w:rPr>
                <w:sz w:val="20"/>
                <w:szCs w:val="20"/>
                <w:color w:val="auto"/>
              </w:rPr>
            </w:pPr>
            <w:r>
              <w:rPr>
                <w:rFonts w:ascii="Arial" w:cs="Arial" w:eastAsia="Arial" w:hAnsi="Arial"/>
                <w:sz w:val="18"/>
                <w:szCs w:val="18"/>
                <w:color w:val="auto"/>
                <w:w w:val="91"/>
              </w:rPr>
              <w:t>(State of incorporation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6560" w:type="dxa"/>
            <w:vAlign w:val="bottom"/>
          </w:tcPr>
          <w:p>
            <w:pPr>
              <w:jc w:val="center"/>
              <w:ind w:right="3610"/>
              <w:spacing w:after="0"/>
              <w:rPr>
                <w:sz w:val="20"/>
                <w:szCs w:val="20"/>
                <w:color w:val="auto"/>
              </w:rPr>
            </w:pPr>
            <w:r>
              <w:rPr>
                <w:rFonts w:ascii="Arial" w:cs="Arial" w:eastAsia="Arial" w:hAnsi="Arial"/>
                <w:sz w:val="18"/>
                <w:szCs w:val="18"/>
                <w:color w:val="auto"/>
                <w:w w:val="91"/>
              </w:rPr>
              <w:t>if not a U.S. national bank)</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60" w:type="dxa"/>
            <w:vAlign w:val="bottom"/>
          </w:tcPr>
          <w:p>
            <w:pPr>
              <w:jc w:val="center"/>
              <w:ind w:right="3610"/>
              <w:spacing w:after="0"/>
              <w:rPr>
                <w:sz w:val="20"/>
                <w:szCs w:val="20"/>
                <w:color w:val="auto"/>
              </w:rPr>
            </w:pPr>
            <w:r>
              <w:rPr>
                <w:rFonts w:ascii="Arial" w:cs="Arial" w:eastAsia="Arial" w:hAnsi="Arial"/>
                <w:sz w:val="18"/>
                <w:szCs w:val="18"/>
                <w:b w:val="1"/>
                <w:bCs w:val="1"/>
                <w:color w:val="auto"/>
                <w:w w:val="90"/>
              </w:rPr>
              <w:t>700 South Flower Street, Suite 500</w:t>
            </w:r>
          </w:p>
        </w:tc>
        <w:tc>
          <w:tcPr>
            <w:tcW w:w="1360" w:type="dxa"/>
            <w:vAlign w:val="bottom"/>
          </w:tcPr>
          <w:p>
            <w:pPr>
              <w:spacing w:after="0"/>
              <w:rPr>
                <w:sz w:val="24"/>
                <w:szCs w:val="24"/>
                <w:color w:val="auto"/>
              </w:rPr>
            </w:pPr>
          </w:p>
        </w:tc>
      </w:tr>
      <w:tr>
        <w:trPr>
          <w:trHeight w:val="220"/>
        </w:trPr>
        <w:tc>
          <w:tcPr>
            <w:tcW w:w="6560" w:type="dxa"/>
            <w:vAlign w:val="bottom"/>
          </w:tcPr>
          <w:p>
            <w:pPr>
              <w:jc w:val="center"/>
              <w:ind w:right="3610"/>
              <w:spacing w:after="0"/>
              <w:rPr>
                <w:sz w:val="20"/>
                <w:szCs w:val="20"/>
                <w:color w:val="auto"/>
              </w:rPr>
            </w:pPr>
            <w:r>
              <w:rPr>
                <w:rFonts w:ascii="Arial" w:cs="Arial" w:eastAsia="Arial" w:hAnsi="Arial"/>
                <w:sz w:val="18"/>
                <w:szCs w:val="18"/>
                <w:b w:val="1"/>
                <w:bCs w:val="1"/>
                <w:color w:val="auto"/>
                <w:w w:val="90"/>
              </w:rPr>
              <w:t>Los Angeles, California</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90017</w:t>
            </w:r>
          </w:p>
        </w:tc>
      </w:tr>
      <w:tr>
        <w:trPr>
          <w:trHeight w:val="230"/>
        </w:trPr>
        <w:tc>
          <w:tcPr>
            <w:tcW w:w="6560" w:type="dxa"/>
            <w:vAlign w:val="bottom"/>
          </w:tcPr>
          <w:p>
            <w:pPr>
              <w:jc w:val="center"/>
              <w:ind w:right="3610"/>
              <w:spacing w:after="0"/>
              <w:rPr>
                <w:sz w:val="20"/>
                <w:szCs w:val="20"/>
                <w:color w:val="auto"/>
              </w:rPr>
            </w:pPr>
            <w:r>
              <w:rPr>
                <w:rFonts w:ascii="Arial" w:cs="Arial" w:eastAsia="Arial" w:hAnsi="Arial"/>
                <w:sz w:val="18"/>
                <w:szCs w:val="18"/>
                <w:color w:val="auto"/>
                <w:w w:val="92"/>
              </w:rPr>
              <w:t>(Address of principal executive offices)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68"/>
        </w:trPr>
        <w:tc>
          <w:tcPr>
            <w:tcW w:w="6560" w:type="dxa"/>
            <w:vAlign w:val="bottom"/>
          </w:tcPr>
          <w:p>
            <w:pPr>
              <w:jc w:val="center"/>
              <w:ind w:left="2070"/>
              <w:spacing w:after="0"/>
              <w:rPr>
                <w:sz w:val="20"/>
                <w:szCs w:val="20"/>
                <w:color w:val="auto"/>
              </w:rPr>
            </w:pPr>
            <w:r>
              <w:rPr>
                <w:rFonts w:ascii="Arial" w:cs="Arial" w:eastAsia="Arial" w:hAnsi="Arial"/>
                <w:sz w:val="18"/>
                <w:szCs w:val="18"/>
                <w:b w:val="1"/>
                <w:bCs w:val="1"/>
                <w:color w:val="auto"/>
                <w:w w:val="91"/>
              </w:rPr>
              <w:t>Mildred Quinones-Holmes</w:t>
            </w:r>
          </w:p>
        </w:tc>
        <w:tc>
          <w:tcPr>
            <w:tcW w:w="1360" w:type="dxa"/>
            <w:vAlign w:val="bottom"/>
          </w:tcPr>
          <w:p>
            <w:pPr>
              <w:spacing w:after="0"/>
              <w:rPr>
                <w:sz w:val="24"/>
                <w:szCs w:val="24"/>
                <w:color w:val="auto"/>
              </w:rPr>
            </w:pPr>
          </w:p>
        </w:tc>
      </w:tr>
      <w:tr>
        <w:trPr>
          <w:trHeight w:val="216"/>
        </w:trPr>
        <w:tc>
          <w:tcPr>
            <w:tcW w:w="6560" w:type="dxa"/>
            <w:vAlign w:val="bottom"/>
          </w:tcPr>
          <w:p>
            <w:pPr>
              <w:jc w:val="center"/>
              <w:ind w:left="2070"/>
              <w:spacing w:after="0"/>
              <w:rPr>
                <w:sz w:val="20"/>
                <w:szCs w:val="20"/>
                <w:color w:val="auto"/>
              </w:rPr>
            </w:pPr>
            <w:r>
              <w:rPr>
                <w:rFonts w:ascii="Arial" w:cs="Arial" w:eastAsia="Arial" w:hAnsi="Arial"/>
                <w:sz w:val="18"/>
                <w:szCs w:val="18"/>
                <w:b w:val="1"/>
                <w:bCs w:val="1"/>
                <w:color w:val="auto"/>
                <w:w w:val="92"/>
              </w:rPr>
              <w:t>Legal Department</w:t>
            </w:r>
          </w:p>
        </w:tc>
        <w:tc>
          <w:tcPr>
            <w:tcW w:w="1360" w:type="dxa"/>
            <w:vAlign w:val="bottom"/>
          </w:tcPr>
          <w:p>
            <w:pPr>
              <w:spacing w:after="0"/>
              <w:rPr>
                <w:sz w:val="18"/>
                <w:szCs w:val="18"/>
                <w:color w:val="auto"/>
              </w:rPr>
            </w:pPr>
          </w:p>
        </w:tc>
      </w:tr>
      <w:tr>
        <w:trPr>
          <w:trHeight w:val="216"/>
        </w:trPr>
        <w:tc>
          <w:tcPr>
            <w:tcW w:w="6560" w:type="dxa"/>
            <w:vAlign w:val="bottom"/>
          </w:tcPr>
          <w:p>
            <w:pPr>
              <w:jc w:val="center"/>
              <w:ind w:left="2070"/>
              <w:spacing w:after="0"/>
              <w:rPr>
                <w:sz w:val="20"/>
                <w:szCs w:val="20"/>
                <w:color w:val="auto"/>
              </w:rPr>
            </w:pPr>
            <w:r>
              <w:rPr>
                <w:rFonts w:ascii="Arial" w:cs="Arial" w:eastAsia="Arial" w:hAnsi="Arial"/>
                <w:sz w:val="18"/>
                <w:szCs w:val="18"/>
                <w:b w:val="1"/>
                <w:bCs w:val="1"/>
                <w:color w:val="auto"/>
                <w:w w:val="92"/>
              </w:rPr>
              <w:t>The Bank of New York Trust Company, N.A.</w:t>
            </w:r>
          </w:p>
        </w:tc>
        <w:tc>
          <w:tcPr>
            <w:tcW w:w="1360" w:type="dxa"/>
            <w:vAlign w:val="bottom"/>
          </w:tcPr>
          <w:p>
            <w:pPr>
              <w:spacing w:after="0"/>
              <w:rPr>
                <w:sz w:val="18"/>
                <w:szCs w:val="18"/>
                <w:color w:val="auto"/>
              </w:rPr>
            </w:pPr>
          </w:p>
        </w:tc>
      </w:tr>
      <w:tr>
        <w:trPr>
          <w:trHeight w:val="216"/>
        </w:trPr>
        <w:tc>
          <w:tcPr>
            <w:tcW w:w="6560" w:type="dxa"/>
            <w:vAlign w:val="bottom"/>
          </w:tcPr>
          <w:p>
            <w:pPr>
              <w:jc w:val="center"/>
              <w:ind w:left="2070"/>
              <w:spacing w:after="0"/>
              <w:rPr>
                <w:sz w:val="20"/>
                <w:szCs w:val="20"/>
                <w:color w:val="auto"/>
              </w:rPr>
            </w:pPr>
            <w:r>
              <w:rPr>
                <w:rFonts w:ascii="Arial" w:cs="Arial" w:eastAsia="Arial" w:hAnsi="Arial"/>
                <w:sz w:val="18"/>
                <w:szCs w:val="18"/>
                <w:b w:val="1"/>
                <w:bCs w:val="1"/>
                <w:color w:val="auto"/>
                <w:w w:val="92"/>
              </w:rPr>
              <w:t>One Wall Street, 29th Floor</w:t>
            </w:r>
          </w:p>
        </w:tc>
        <w:tc>
          <w:tcPr>
            <w:tcW w:w="1360" w:type="dxa"/>
            <w:vAlign w:val="bottom"/>
          </w:tcPr>
          <w:p>
            <w:pPr>
              <w:spacing w:after="0"/>
              <w:rPr>
                <w:sz w:val="18"/>
                <w:szCs w:val="18"/>
                <w:color w:val="auto"/>
              </w:rPr>
            </w:pPr>
          </w:p>
        </w:tc>
      </w:tr>
      <w:tr>
        <w:trPr>
          <w:trHeight w:val="216"/>
        </w:trPr>
        <w:tc>
          <w:tcPr>
            <w:tcW w:w="6560" w:type="dxa"/>
            <w:vAlign w:val="bottom"/>
          </w:tcPr>
          <w:p>
            <w:pPr>
              <w:jc w:val="center"/>
              <w:ind w:left="2050"/>
              <w:spacing w:after="0"/>
              <w:rPr>
                <w:sz w:val="20"/>
                <w:szCs w:val="20"/>
                <w:color w:val="auto"/>
              </w:rPr>
            </w:pPr>
            <w:r>
              <w:rPr>
                <w:rFonts w:ascii="Arial" w:cs="Arial" w:eastAsia="Arial" w:hAnsi="Arial"/>
                <w:sz w:val="18"/>
                <w:szCs w:val="18"/>
                <w:b w:val="1"/>
                <w:bCs w:val="1"/>
                <w:color w:val="auto"/>
                <w:w w:val="96"/>
              </w:rPr>
              <w:t>New York, NY 10286</w:t>
            </w:r>
          </w:p>
        </w:tc>
        <w:tc>
          <w:tcPr>
            <w:tcW w:w="1360" w:type="dxa"/>
            <w:vAlign w:val="bottom"/>
          </w:tcPr>
          <w:p>
            <w:pPr>
              <w:spacing w:after="0"/>
              <w:rPr>
                <w:sz w:val="18"/>
                <w:szCs w:val="18"/>
                <w:color w:val="auto"/>
              </w:rPr>
            </w:pPr>
          </w:p>
        </w:tc>
      </w:tr>
      <w:tr>
        <w:trPr>
          <w:trHeight w:val="220"/>
        </w:trPr>
        <w:tc>
          <w:tcPr>
            <w:tcW w:w="6560" w:type="dxa"/>
            <w:vAlign w:val="bottom"/>
          </w:tcPr>
          <w:p>
            <w:pPr>
              <w:jc w:val="center"/>
              <w:ind w:left="2070"/>
              <w:spacing w:after="0"/>
              <w:rPr>
                <w:sz w:val="20"/>
                <w:szCs w:val="20"/>
                <w:color w:val="auto"/>
              </w:rPr>
            </w:pPr>
            <w:r>
              <w:rPr>
                <w:rFonts w:ascii="Arial" w:cs="Arial" w:eastAsia="Arial" w:hAnsi="Arial"/>
                <w:sz w:val="18"/>
                <w:szCs w:val="18"/>
                <w:b w:val="1"/>
                <w:bCs w:val="1"/>
                <w:color w:val="auto"/>
                <w:w w:val="90"/>
              </w:rPr>
              <w:t>(212) 635-1889</w:t>
            </w:r>
          </w:p>
        </w:tc>
        <w:tc>
          <w:tcPr>
            <w:tcW w:w="1360" w:type="dxa"/>
            <w:vAlign w:val="bottom"/>
          </w:tcPr>
          <w:p>
            <w:pPr>
              <w:spacing w:after="0"/>
              <w:rPr>
                <w:sz w:val="19"/>
                <w:szCs w:val="19"/>
                <w:color w:val="auto"/>
              </w:rPr>
            </w:pPr>
          </w:p>
        </w:tc>
      </w:tr>
      <w:tr>
        <w:trPr>
          <w:trHeight w:val="230"/>
        </w:trPr>
        <w:tc>
          <w:tcPr>
            <w:tcW w:w="6560" w:type="dxa"/>
            <w:vAlign w:val="bottom"/>
          </w:tcPr>
          <w:p>
            <w:pPr>
              <w:jc w:val="center"/>
              <w:ind w:left="2050"/>
              <w:spacing w:after="0"/>
              <w:rPr>
                <w:sz w:val="20"/>
                <w:szCs w:val="20"/>
                <w:color w:val="auto"/>
              </w:rPr>
            </w:pPr>
            <w:r>
              <w:rPr>
                <w:rFonts w:ascii="Arial" w:cs="Arial" w:eastAsia="Arial" w:hAnsi="Arial"/>
                <w:sz w:val="18"/>
                <w:szCs w:val="18"/>
                <w:color w:val="auto"/>
                <w:w w:val="89"/>
              </w:rPr>
              <w:t>(Name, address and telephone number of agent for service)</w:t>
            </w: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137160</wp:posOffset>
            </wp:positionV>
            <wp:extent cx="13893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7740" w:type="dxa"/>
            <w:vAlign w:val="bottom"/>
            <w:gridSpan w:val="3"/>
          </w:tcPr>
          <w:p>
            <w:pPr>
              <w:jc w:val="center"/>
              <w:ind w:left="3582"/>
              <w:spacing w:after="0"/>
              <w:rPr>
                <w:sz w:val="20"/>
                <w:szCs w:val="20"/>
                <w:color w:val="auto"/>
              </w:rPr>
            </w:pPr>
            <w:r>
              <w:rPr>
                <w:rFonts w:ascii="Arial" w:cs="Arial" w:eastAsia="Arial" w:hAnsi="Arial"/>
                <w:sz w:val="32"/>
                <w:szCs w:val="32"/>
                <w:b w:val="1"/>
                <w:bCs w:val="1"/>
                <w:color w:val="auto"/>
              </w:rPr>
              <w:t>THE TORO COMPANY</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740" w:type="dxa"/>
            <w:vAlign w:val="bottom"/>
            <w:gridSpan w:val="3"/>
          </w:tcPr>
          <w:p>
            <w:pPr>
              <w:jc w:val="center"/>
              <w:ind w:left="3602"/>
              <w:spacing w:after="0"/>
              <w:rPr>
                <w:sz w:val="20"/>
                <w:szCs w:val="20"/>
                <w:color w:val="auto"/>
              </w:rPr>
            </w:pPr>
            <w:r>
              <w:rPr>
                <w:rFonts w:ascii="Arial" w:cs="Arial" w:eastAsia="Arial" w:hAnsi="Arial"/>
                <w:sz w:val="18"/>
                <w:szCs w:val="18"/>
                <w:color w:val="auto"/>
                <w:w w:val="91"/>
              </w:rPr>
              <w:t>(Exact name of obligor as specified in its charter)</w:t>
            </w: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774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2270"/>
              <w:spacing w:after="0"/>
              <w:rPr>
                <w:sz w:val="20"/>
                <w:szCs w:val="20"/>
                <w:color w:val="auto"/>
              </w:rPr>
            </w:pPr>
            <w:r>
              <w:rPr>
                <w:rFonts w:ascii="Arial" w:cs="Arial" w:eastAsia="Arial" w:hAnsi="Arial"/>
                <w:sz w:val="18"/>
                <w:szCs w:val="18"/>
                <w:b w:val="1"/>
                <w:bCs w:val="1"/>
                <w:color w:val="auto"/>
              </w:rPr>
              <w:t>41-0580470</w:t>
            </w:r>
          </w:p>
        </w:tc>
        <w:tc>
          <w:tcPr>
            <w:tcW w:w="40" w:type="dxa"/>
            <w:vAlign w:val="bottom"/>
          </w:tcPr>
          <w:p>
            <w:pPr>
              <w:spacing w:after="0"/>
              <w:rPr>
                <w:sz w:val="24"/>
                <w:szCs w:val="24"/>
                <w:color w:val="auto"/>
              </w:rPr>
            </w:pPr>
          </w:p>
        </w:tc>
      </w:tr>
      <w:tr>
        <w:trPr>
          <w:trHeight w:val="216"/>
        </w:trPr>
        <w:tc>
          <w:tcPr>
            <w:tcW w:w="7740" w:type="dxa"/>
            <w:vAlign w:val="bottom"/>
            <w:gridSpan w:val="3"/>
          </w:tcPr>
          <w:p>
            <w:pPr>
              <w:jc w:val="center"/>
              <w:ind w:right="2160"/>
              <w:spacing w:after="0"/>
              <w:rPr>
                <w:sz w:val="20"/>
                <w:szCs w:val="20"/>
                <w:color w:val="auto"/>
              </w:rPr>
            </w:pPr>
            <w:r>
              <w:rPr>
                <w:rFonts w:ascii="Arial" w:cs="Arial" w:eastAsia="Arial" w:hAnsi="Arial"/>
                <w:sz w:val="18"/>
                <w:szCs w:val="18"/>
                <w:color w:val="auto"/>
                <w:w w:val="93"/>
              </w:rPr>
              <w:t>(State or other jurisdiction of</w:t>
            </w:r>
          </w:p>
        </w:tc>
        <w:tc>
          <w:tcPr>
            <w:tcW w:w="3680" w:type="dxa"/>
            <w:vAlign w:val="bottom"/>
          </w:tcPr>
          <w:p>
            <w:pPr>
              <w:jc w:val="center"/>
              <w:ind w:right="1790"/>
              <w:spacing w:after="0"/>
              <w:rPr>
                <w:sz w:val="20"/>
                <w:szCs w:val="20"/>
                <w:color w:val="auto"/>
              </w:rPr>
            </w:pPr>
            <w:r>
              <w:rPr>
                <w:rFonts w:ascii="Arial" w:cs="Arial" w:eastAsia="Arial" w:hAnsi="Arial"/>
                <w:sz w:val="18"/>
                <w:szCs w:val="18"/>
                <w:color w:val="auto"/>
                <w:w w:val="92"/>
              </w:rPr>
              <w:t>(I.R.S. employer</w:t>
            </w:r>
          </w:p>
        </w:tc>
        <w:tc>
          <w:tcPr>
            <w:tcW w:w="40" w:type="dxa"/>
            <w:vAlign w:val="bottom"/>
          </w:tcPr>
          <w:p>
            <w:pPr>
              <w:spacing w:after="0"/>
              <w:rPr>
                <w:sz w:val="18"/>
                <w:szCs w:val="18"/>
                <w:color w:val="auto"/>
              </w:rPr>
            </w:pPr>
          </w:p>
        </w:tc>
      </w:tr>
      <w:tr>
        <w:trPr>
          <w:trHeight w:val="230"/>
        </w:trPr>
        <w:tc>
          <w:tcPr>
            <w:tcW w:w="7740" w:type="dxa"/>
            <w:vAlign w:val="bottom"/>
            <w:gridSpan w:val="3"/>
          </w:tcPr>
          <w:p>
            <w:pPr>
              <w:jc w:val="center"/>
              <w:ind w:right="2160"/>
              <w:spacing w:after="0"/>
              <w:rPr>
                <w:sz w:val="20"/>
                <w:szCs w:val="20"/>
                <w:color w:val="auto"/>
              </w:rPr>
            </w:pPr>
            <w:r>
              <w:rPr>
                <w:rFonts w:ascii="Arial" w:cs="Arial" w:eastAsia="Arial" w:hAnsi="Arial"/>
                <w:sz w:val="18"/>
                <w:szCs w:val="18"/>
                <w:color w:val="auto"/>
                <w:w w:val="93"/>
              </w:rPr>
              <w:t>incorporation or organization)</w:t>
            </w:r>
          </w:p>
        </w:tc>
        <w:tc>
          <w:tcPr>
            <w:tcW w:w="368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774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87"/>
              </w:rPr>
              <w:t>8111 Lyndale Avenue South</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7740" w:type="dxa"/>
            <w:vAlign w:val="bottom"/>
            <w:gridSpan w:val="3"/>
          </w:tcPr>
          <w:p>
            <w:pPr>
              <w:jc w:val="center"/>
              <w:ind w:right="2160"/>
              <w:spacing w:after="0"/>
              <w:rPr>
                <w:sz w:val="20"/>
                <w:szCs w:val="20"/>
                <w:color w:val="auto"/>
              </w:rPr>
            </w:pPr>
            <w:r>
              <w:rPr>
                <w:rFonts w:ascii="Arial" w:cs="Arial" w:eastAsia="Arial" w:hAnsi="Arial"/>
                <w:sz w:val="18"/>
                <w:szCs w:val="18"/>
                <w:b w:val="1"/>
                <w:bCs w:val="1"/>
                <w:color w:val="auto"/>
                <w:w w:val="90"/>
              </w:rPr>
              <w:t>Bloomington, Minnesota</w:t>
            </w:r>
          </w:p>
        </w:tc>
        <w:tc>
          <w:tcPr>
            <w:tcW w:w="3680" w:type="dxa"/>
            <w:vAlign w:val="bottom"/>
          </w:tcPr>
          <w:p>
            <w:pPr>
              <w:jc w:val="right"/>
              <w:ind w:right="2470"/>
              <w:spacing w:after="0"/>
              <w:rPr>
                <w:sz w:val="20"/>
                <w:szCs w:val="20"/>
                <w:color w:val="auto"/>
              </w:rPr>
            </w:pPr>
            <w:r>
              <w:rPr>
                <w:rFonts w:ascii="Arial" w:cs="Arial" w:eastAsia="Arial" w:hAnsi="Arial"/>
                <w:sz w:val="18"/>
                <w:szCs w:val="18"/>
                <w:b w:val="1"/>
                <w:bCs w:val="1"/>
                <w:color w:val="auto"/>
              </w:rPr>
              <w:t>55420</w:t>
            </w:r>
          </w:p>
        </w:tc>
        <w:tc>
          <w:tcPr>
            <w:tcW w:w="40" w:type="dxa"/>
            <w:vAlign w:val="bottom"/>
          </w:tcPr>
          <w:p>
            <w:pPr>
              <w:spacing w:after="0"/>
              <w:rPr>
                <w:sz w:val="19"/>
                <w:szCs w:val="19"/>
                <w:color w:val="auto"/>
              </w:rPr>
            </w:pPr>
          </w:p>
        </w:tc>
      </w:tr>
      <w:tr>
        <w:trPr>
          <w:trHeight w:val="230"/>
        </w:trPr>
        <w:tc>
          <w:tcPr>
            <w:tcW w:w="7740" w:type="dxa"/>
            <w:vAlign w:val="bottom"/>
            <w:gridSpan w:val="3"/>
          </w:tcPr>
          <w:p>
            <w:pPr>
              <w:jc w:val="center"/>
              <w:ind w:right="216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c>
          <w:tcPr>
            <w:tcW w:w="40" w:type="dxa"/>
            <w:vAlign w:val="bottom"/>
          </w:tcPr>
          <w:p>
            <w:pPr>
              <w:spacing w:after="0"/>
              <w:rPr>
                <w:sz w:val="20"/>
                <w:szCs w:val="20"/>
                <w:color w:val="auto"/>
              </w:rPr>
            </w:pPr>
          </w:p>
        </w:tc>
      </w:tr>
      <w:tr>
        <w:trPr>
          <w:trHeight w:val="270"/>
        </w:trPr>
        <w:tc>
          <w:tcPr>
            <w:tcW w:w="4620" w:type="dxa"/>
            <w:vAlign w:val="bottom"/>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9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11"/>
        </w:trPr>
        <w:tc>
          <w:tcPr>
            <w:tcW w:w="4620" w:type="dxa"/>
            <w:vAlign w:val="bottom"/>
          </w:tcPr>
          <w:p>
            <w:pPr>
              <w:spacing w:after="0"/>
              <w:rPr>
                <w:sz w:val="24"/>
                <w:szCs w:val="24"/>
                <w:color w:val="auto"/>
              </w:rPr>
            </w:pPr>
          </w:p>
        </w:tc>
        <w:tc>
          <w:tcPr>
            <w:tcW w:w="31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Debt Securities</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740" w:type="dxa"/>
            <w:vAlign w:val="bottom"/>
            <w:gridSpan w:val="3"/>
          </w:tcPr>
          <w:p>
            <w:pPr>
              <w:jc w:val="center"/>
              <w:ind w:left="3602"/>
              <w:spacing w:after="0"/>
              <w:rPr>
                <w:sz w:val="20"/>
                <w:szCs w:val="20"/>
                <w:color w:val="auto"/>
              </w:rPr>
            </w:pPr>
            <w:r>
              <w:rPr>
                <w:rFonts w:ascii="Arial" w:cs="Arial" w:eastAsia="Arial" w:hAnsi="Arial"/>
                <w:sz w:val="18"/>
                <w:szCs w:val="18"/>
                <w:color w:val="auto"/>
                <w:w w:val="91"/>
              </w:rPr>
              <w:t>(Title of the indenture securities)</w:t>
            </w: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676"/>
        </w:trPr>
        <w:tc>
          <w:tcPr>
            <w:tcW w:w="46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
        </w:trPr>
        <w:tc>
          <w:tcPr>
            <w:tcW w:w="46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375"/>
        </w:trPr>
        <w:tc>
          <w:tcPr>
            <w:tcW w:w="462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225" w:lineRule="exact"/>
        <w:rPr>
          <w:sz w:val="20"/>
          <w:szCs w:val="20"/>
          <w:color w:val="auto"/>
        </w:rPr>
      </w:pPr>
    </w:p>
    <w:p>
      <w:pPr>
        <w:ind w:left="1320" w:hanging="664"/>
        <w:spacing w:after="0"/>
        <w:tabs>
          <w:tab w:leader="none" w:pos="13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60" w:type="dxa"/>
            <w:vAlign w:val="bottom"/>
          </w:tcPr>
          <w:p>
            <w:pPr>
              <w:ind w:left="1560"/>
              <w:spacing w:after="0"/>
              <w:rPr>
                <w:sz w:val="20"/>
                <w:szCs w:val="20"/>
                <w:color w:val="auto"/>
              </w:rPr>
            </w:pPr>
            <w:r>
              <w:rPr>
                <w:rFonts w:ascii="Arial" w:cs="Arial" w:eastAsia="Arial" w:hAnsi="Arial"/>
                <w:sz w:val="14"/>
                <w:szCs w:val="14"/>
                <w:b w:val="1"/>
                <w:bCs w:val="1"/>
                <w:color w:val="auto"/>
              </w:rPr>
              <w:t>Address</w:t>
            </w:r>
          </w:p>
        </w:tc>
      </w:tr>
      <w:tr>
        <w:trPr>
          <w:trHeight w:val="195"/>
        </w:trPr>
        <w:tc>
          <w:tcPr>
            <w:tcW w:w="3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Comptroller of the Currency – United States</w:t>
            </w:r>
          </w:p>
        </w:tc>
        <w:tc>
          <w:tcPr>
            <w:tcW w:w="240" w:type="dxa"/>
            <w:vAlign w:val="bottom"/>
            <w:tcBorders>
              <w:top w:val="single" w:sz="8" w:color="CCEEFF"/>
            </w:tcBorders>
            <w:shd w:val="clear" w:color="auto" w:fill="CCEEFF"/>
          </w:tcPr>
          <w:p>
            <w:pPr>
              <w:spacing w:after="0"/>
              <w:rPr>
                <w:sz w:val="16"/>
                <w:szCs w:val="16"/>
                <w:color w:val="auto"/>
              </w:rPr>
            </w:pPr>
          </w:p>
        </w:tc>
        <w:tc>
          <w:tcPr>
            <w:tcW w:w="3660" w:type="dxa"/>
            <w:vAlign w:val="bottom"/>
            <w:tcBorders>
              <w:top w:val="single" w:sz="8" w:color="auto"/>
            </w:tcBorders>
            <w:shd w:val="clear" w:color="auto" w:fill="CCEEFF"/>
          </w:tcPr>
          <w:p>
            <w:pPr>
              <w:spacing w:after="0"/>
              <w:rPr>
                <w:sz w:val="16"/>
                <w:szCs w:val="16"/>
                <w:color w:val="auto"/>
              </w:rPr>
            </w:pPr>
          </w:p>
        </w:tc>
      </w:tr>
      <w:tr>
        <w:trPr>
          <w:trHeight w:val="23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Department of the Treasury</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Washington, D.C. 20219</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Reserve Bank</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California 94105</w:t>
            </w:r>
          </w:p>
        </w:tc>
      </w:tr>
      <w:tr>
        <w:trPr>
          <w:trHeight w:val="216"/>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Deposit Insurance Corporation</w:t>
            </w: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Washington, D.C. 20429</w:t>
            </w:r>
          </w:p>
        </w:tc>
      </w:tr>
    </w:tbl>
    <w:p>
      <w:pPr>
        <w:sectPr>
          <w:pgSz w:w="11900" w:h="16838" w:orient="portrait"/>
          <w:cols w:equalWidth="0" w:num="1">
            <w:col w:w="11460"/>
          </w:cols>
          <w:pgMar w:left="240" w:top="121" w:right="199" w:bottom="0" w:gutter="0" w:footer="0" w:header="0"/>
        </w:sectPr>
      </w:pPr>
    </w:p>
    <w:bookmarkStart w:id="57" w:name="page58"/>
    <w:bookmarkEnd w:id="57"/>
    <w:p>
      <w:pPr>
        <w:spacing w:after="0" w:line="36" w:lineRule="exact"/>
        <w:rPr>
          <w:sz w:val="20"/>
          <w:szCs w:val="20"/>
          <w:color w:val="auto"/>
        </w:rPr>
      </w:pPr>
    </w:p>
    <w:p>
      <w:pPr>
        <w:ind w:left="1340" w:hanging="684"/>
        <w:spacing w:after="0"/>
        <w:tabs>
          <w:tab w:leader="none" w:pos="1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the obligor is an affiliate of the trustee, describe each such affiliation.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25" w:lineRule="exact"/>
        <w:rPr>
          <w:rFonts w:ascii="Arial" w:cs="Arial" w:eastAsia="Arial" w:hAnsi="Arial"/>
          <w:sz w:val="18"/>
          <w:szCs w:val="18"/>
          <w:b w:val="1"/>
          <w:bCs w:val="1"/>
          <w:color w:val="auto"/>
        </w:rPr>
      </w:pPr>
    </w:p>
    <w:p>
      <w:pPr>
        <w:ind w:left="660" w:right="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65" w:lineRule="exact"/>
        <w:rPr>
          <w:rFonts w:ascii="Arial" w:cs="Arial" w:eastAsia="Arial" w:hAnsi="Arial"/>
          <w:sz w:val="18"/>
          <w:szCs w:val="18"/>
          <w:b w:val="1"/>
          <w:bCs w:val="1"/>
          <w:color w:val="auto"/>
        </w:rPr>
      </w:pPr>
    </w:p>
    <w:p>
      <w:pPr>
        <w:ind w:left="1300" w:right="660" w:hanging="644"/>
        <w:spacing w:after="0" w:line="277" w:lineRule="auto"/>
        <w:tabs>
          <w:tab w:leader="none" w:pos="13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Trust Company, N.A. (Exhibit 1 to Form T-1 filed with Registration Statement No. 333-121948 which is incorporated by reference).</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copy of certificate of authority of the trustee to commence business. (Exhibit 2 to Form T-1 filed with Registration Statement No. 333-121948 which is incorporated by reference).</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333-121948 which is incorporated by reference).</w:t>
      </w:r>
    </w:p>
    <w:p>
      <w:pPr>
        <w:spacing w:after="0" w:line="170" w:lineRule="exact"/>
        <w:rPr>
          <w:rFonts w:ascii="Arial" w:cs="Arial" w:eastAsia="Arial" w:hAnsi="Arial"/>
          <w:sz w:val="18"/>
          <w:szCs w:val="18"/>
          <w:color w:val="auto"/>
        </w:rPr>
      </w:pPr>
    </w:p>
    <w:p>
      <w:pPr>
        <w:ind w:left="1300" w:right="2760" w:hanging="644"/>
        <w:spacing w:after="0" w:line="277" w:lineRule="auto"/>
        <w:tabs>
          <w:tab w:leader="none" w:pos="13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333-121948 which is incorporated by reference).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 (Exhibit 6 to Form T-1 filed with Registration Statement No. 333-121948 which is incorporated by reference).</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1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copy of the latest report of condition of the Trustee published pursuant to law or to the requirements of its supervising or examining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19th day of April, 2007.</w:t>
      </w:r>
    </w:p>
    <w:p>
      <w:pPr>
        <w:spacing w:after="0" w:line="3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NEW YORK TRUST COMPANY, N.A.</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D.G. Donovan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D.G.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10807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7</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BANK OF NEW YORK TRUST COMPANY, N.A.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700 South Flower Street, Suite 200, Los Angeles, CA 90017</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the close of business December 31, 2006, published in accordance with Federal regulatory authority instructions.</w:t>
      </w:r>
    </w:p>
    <w:p>
      <w:pPr>
        <w:sectPr>
          <w:pgSz w:w="11900" w:h="16874" w:orient="portrait"/>
          <w:cols w:equalWidth="0" w:num="1">
            <w:col w:w="11420"/>
          </w:cols>
          <w:pgMar w:left="240" w:top="121" w:right="239" w:bottom="0" w:gutter="0" w:footer="0" w:header="0"/>
        </w:sectPr>
      </w:pPr>
    </w:p>
    <w:bookmarkStart w:id="58" w:name="page59"/>
    <w:bookmarkEnd w:id="58"/>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Dollar Amounts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47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Cash and balances due from depository institutions: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Interest-bearing balances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Held-to-maturity securities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funds sold</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Loans and leases held for sale</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4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740" w:type="dxa"/>
            <w:vAlign w:val="bottom"/>
            <w:vMerge w:val="restart"/>
          </w:tcPr>
          <w:p>
            <w:pPr>
              <w:jc w:val="right"/>
              <w:ind w:right="42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740" w:type="dxa"/>
            <w:vAlign w:val="bottom"/>
            <w:tcBorders>
              <w:bottom w:val="single" w:sz="8" w:color="010101"/>
            </w:tcBorders>
          </w:tcPr>
          <w:p>
            <w:pPr>
              <w:spacing w:after="0"/>
              <w:rPr>
                <w:sz w:val="24"/>
                <w:szCs w:val="24"/>
                <w:color w:val="auto"/>
              </w:rPr>
            </w:pPr>
          </w:p>
        </w:tc>
        <w:tc>
          <w:tcPr>
            <w:tcW w:w="47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In domestic offices</w:t>
            </w:r>
          </w:p>
        </w:tc>
        <w:tc>
          <w:tcPr>
            <w:tcW w:w="940" w:type="dxa"/>
            <w:vAlign w:val="bottom"/>
          </w:tcPr>
          <w:p>
            <w:pPr>
              <w:jc w:val="right"/>
              <w:spacing w:after="0"/>
              <w:rPr>
                <w:sz w:val="20"/>
                <w:szCs w:val="20"/>
                <w:color w:val="auto"/>
              </w:rPr>
            </w:pPr>
            <w:r>
              <w:rPr>
                <w:rFonts w:ascii="Arial" w:cs="Arial" w:eastAsia="Arial" w:hAnsi="Arial"/>
                <w:sz w:val="18"/>
                <w:szCs w:val="18"/>
                <w:color w:val="auto"/>
              </w:rPr>
              <w:t>2,517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Federal funds purchased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Other borrowed money:</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Subordinated notes and debentures</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187,750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in consolidated subsidiaries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9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139,524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0" w:type="dxa"/>
            <w:vAlign w:val="bottom"/>
            <w:gridSpan w:val="3"/>
          </w:tcPr>
          <w:p>
            <w:pPr>
              <w:spacing w:after="0"/>
              <w:rPr>
                <w:sz w:val="20"/>
                <w:szCs w:val="20"/>
                <w:color w:val="auto"/>
              </w:rPr>
            </w:pPr>
            <w:r>
              <w:rPr>
                <w:rFonts w:ascii="Arial" w:cs="Arial" w:eastAsia="Arial" w:hAnsi="Arial"/>
                <w:sz w:val="18"/>
                <w:szCs w:val="18"/>
                <w:color w:val="auto"/>
              </w:rPr>
              <w:t>Total liabilities, minority interest, and equity capital (sum of items 21, 22, and 28)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 William J. Winkelmann, Vice President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660"/>
        <w:spacing w:after="0"/>
        <w:tabs>
          <w:tab w:leader="none" w:pos="3320" w:val="left"/>
        </w:tabs>
        <w:rPr>
          <w:sz w:val="20"/>
          <w:szCs w:val="20"/>
          <w:color w:val="auto"/>
        </w:rPr>
      </w:pPr>
      <w:r>
        <w:rPr>
          <w:rFonts w:ascii="Arial" w:cs="Arial" w:eastAsia="Arial" w:hAnsi="Arial"/>
          <w:sz w:val="18"/>
          <w:szCs w:val="18"/>
          <w:color w:val="auto"/>
        </w:rPr>
        <w:t>William J. Winkelmann )</w:t>
      </w:r>
      <w:r>
        <w:rPr>
          <w:sz w:val="20"/>
          <w:szCs w:val="20"/>
          <w:color w:val="auto"/>
        </w:rPr>
        <w:tab/>
      </w:r>
      <w:r>
        <w:rPr>
          <w:rFonts w:ascii="Arial" w:cs="Arial" w:eastAsia="Arial" w:hAnsi="Arial"/>
          <w:sz w:val="16"/>
          <w:szCs w:val="16"/>
          <w:color w:val="auto"/>
        </w:rPr>
        <w:t>Vice President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81" w:lineRule="exact"/>
        <w:rPr>
          <w:sz w:val="20"/>
          <w:szCs w:val="20"/>
          <w:color w:val="auto"/>
        </w:rPr>
      </w:pPr>
    </w:p>
    <w:p>
      <w:pPr>
        <w:ind w:left="880"/>
        <w:spacing w:after="0"/>
        <w:tabs>
          <w:tab w:leader="none" w:pos="4700" w:val="left"/>
        </w:tabs>
        <w:rPr>
          <w:sz w:val="20"/>
          <w:szCs w:val="20"/>
          <w:color w:val="auto"/>
        </w:rPr>
      </w:pPr>
      <w:r>
        <w:rPr>
          <w:rFonts w:ascii="Arial" w:cs="Arial" w:eastAsia="Arial" w:hAnsi="Arial"/>
          <w:sz w:val="18"/>
          <w:szCs w:val="18"/>
          <w:color w:val="auto"/>
        </w:rPr>
        <w:t>Michael K. Klugman, President</w:t>
      </w:r>
      <w:r>
        <w:rPr>
          <w:sz w:val="20"/>
          <w:szCs w:val="20"/>
          <w:color w:val="auto"/>
        </w:rPr>
        <w:tab/>
      </w:r>
      <w:r>
        <w:rPr>
          <w:rFonts w:ascii="Arial" w:cs="Arial" w:eastAsia="Arial" w:hAnsi="Arial"/>
          <w:sz w:val="18"/>
          <w:szCs w:val="18"/>
          <w:color w:val="auto"/>
        </w:rPr>
        <w:t>)</w:t>
      </w:r>
    </w:p>
    <w:p>
      <w:pPr>
        <w:sectPr>
          <w:pgSz w:w="11900" w:h="16888" w:orient="portrait"/>
          <w:cols w:equalWidth="0" w:num="1">
            <w:col w:w="11460"/>
          </w:cols>
          <w:pgMar w:left="240" w:top="87" w:right="199"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4060" w:type="dxa"/>
            <w:vAlign w:val="bottom"/>
          </w:tcPr>
          <w:p>
            <w:pPr>
              <w:ind w:left="880"/>
              <w:spacing w:after="0"/>
              <w:rPr>
                <w:sz w:val="20"/>
                <w:szCs w:val="20"/>
                <w:color w:val="auto"/>
              </w:rPr>
            </w:pPr>
            <w:r>
              <w:rPr>
                <w:rFonts w:ascii="Arial" w:cs="Arial" w:eastAsia="Arial" w:hAnsi="Arial"/>
                <w:sz w:val="18"/>
                <w:szCs w:val="18"/>
                <w:color w:val="auto"/>
              </w:rPr>
              <w:t>Michael F. McFadden, MD</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260" w:type="dxa"/>
            <w:vAlign w:val="bottom"/>
          </w:tcPr>
          <w:p>
            <w:pPr>
              <w:jc w:val="right"/>
              <w:ind w:right="4310"/>
              <w:spacing w:after="0"/>
              <w:rPr>
                <w:sz w:val="20"/>
                <w:szCs w:val="20"/>
                <w:color w:val="auto"/>
              </w:rPr>
            </w:pPr>
            <w:r>
              <w:rPr>
                <w:rFonts w:ascii="Arial" w:cs="Arial" w:eastAsia="Arial" w:hAnsi="Arial"/>
                <w:sz w:val="18"/>
                <w:szCs w:val="18"/>
                <w:color w:val="auto"/>
              </w:rPr>
              <w:t>Directors (Trustees)</w:t>
            </w:r>
          </w:p>
        </w:tc>
      </w:tr>
      <w:tr>
        <w:trPr>
          <w:trHeight w:val="230"/>
        </w:trPr>
        <w:tc>
          <w:tcPr>
            <w:tcW w:w="4060" w:type="dxa"/>
            <w:vAlign w:val="bottom"/>
          </w:tcPr>
          <w:p>
            <w:pPr>
              <w:ind w:left="880"/>
              <w:spacing w:after="0"/>
              <w:rPr>
                <w:sz w:val="20"/>
                <w:szCs w:val="20"/>
                <w:color w:val="auto"/>
              </w:rPr>
            </w:pPr>
            <w:r>
              <w:rPr>
                <w:rFonts w:ascii="Arial" w:cs="Arial" w:eastAsia="Arial" w:hAnsi="Arial"/>
                <w:sz w:val="18"/>
                <w:szCs w:val="18"/>
                <w:color w:val="auto"/>
              </w:rPr>
              <w:t>Frank P. Sulzberger, Vice President</w:t>
            </w: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260" w:type="dxa"/>
            <w:vAlign w:val="bottom"/>
          </w:tcPr>
          <w:p>
            <w:pPr>
              <w:spacing w:after="0"/>
              <w:rPr>
                <w:sz w:val="20"/>
                <w:szCs w:val="20"/>
                <w:color w:val="auto"/>
              </w:rPr>
            </w:pPr>
          </w:p>
        </w:tc>
      </w:tr>
      <w:tr>
        <w:trPr>
          <w:trHeight w:val="702"/>
        </w:trPr>
        <w:tc>
          <w:tcPr>
            <w:tcW w:w="4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6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375"/>
        </w:trPr>
        <w:tc>
          <w:tcPr>
            <w:tcW w:w="406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62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1)"/>
      <w:numFmt w:val="decimal"/>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lowerRoman"/>
      <w:start w:val="4"/>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lowerLetter"/>
      <w:start w:val="4"/>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
    </w:lvl>
    <w:lvl w:ilvl="1">
      <w:lvlJc w:val="left"/>
      <w:lvlText w:val="(%2)"/>
      <w:numFmt w:val="lowerRoman"/>
      <w:start w:val="1"/>
    </w:lvl>
  </w:abstractNum>
  <w:abstractNum w:abstractNumId="17">
    <w:nsid w:val="7644A45C"/>
    <w:multiLevelType w:val="hybridMultilevel"/>
    <w:lvl w:ilvl="0">
      <w:lvlJc w:val="left"/>
      <w:lvlText w:val="(%1)"/>
      <w:numFmt w:val="decimal"/>
      <w:start w:val="2"/>
    </w:lvl>
    <w:lvl w:ilvl="1">
      <w:lvlJc w:val="left"/>
      <w:lvlText w:val="(%2)"/>
      <w:numFmt w:val="lowerRoman"/>
      <w:start w:val="1"/>
    </w:lvl>
  </w:abstractNum>
  <w:abstractNum w:abstractNumId="18">
    <w:nsid w:val="32FFF902"/>
    <w:multiLevelType w:val="hybridMultilevel"/>
    <w:lvl w:ilvl="0">
      <w:lvlJc w:val="left"/>
      <w:lvlText w:val="(%1)"/>
      <w:numFmt w:val="decimal"/>
      <w:start w:val="5"/>
    </w:lvl>
    <w:lvl w:ilvl="1">
      <w:lvlJc w:val="left"/>
      <w:lvlText w:val="(%2)"/>
      <w:numFmt w:val="lowerRoman"/>
      <w:start w:val="1"/>
    </w:lvl>
  </w:abstractNum>
  <w:abstractNum w:abstractNumId="19">
    <w:nsid w:val="684A481A"/>
    <w:multiLevelType w:val="hybridMultilevel"/>
    <w:lvl w:ilvl="0">
      <w:lvlJc w:val="left"/>
      <w:lvlText w:val="(%1)"/>
      <w:numFmt w:val="decimal"/>
      <w:start w:val="7"/>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6"/>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3"/>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2"/>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lowerLetter"/>
      <w:start w:val="2"/>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9"/>
    </w:lvl>
  </w:abstractNum>
  <w:abstractNum w:abstractNumId="32">
    <w:nsid w:val="649BB77C"/>
    <w:multiLevelType w:val="hybridMultilevel"/>
    <w:lvl w:ilvl="0">
      <w:lvlJc w:val="left"/>
      <w:lvlText w:val="(%1)"/>
      <w:numFmt w:val="decimal"/>
      <w:start w:val="13"/>
    </w:lvl>
  </w:abstractNum>
  <w:abstractNum w:abstractNumId="33">
    <w:nsid w:val="275AC794"/>
    <w:multiLevelType w:val="hybridMultilevel"/>
    <w:lvl w:ilvl="0">
      <w:lvlJc w:val="left"/>
      <w:lvlText w:val="(%1)"/>
      <w:numFmt w:val="decimal"/>
      <w:start w:val="17"/>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2"/>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decimal"/>
      <w:start w:val="2"/>
    </w:lvl>
  </w:abstractNum>
  <w:abstractNum w:abstractNumId="39">
    <w:nsid w:val="354FE9F9"/>
    <w:multiLevelType w:val="hybridMultilevel"/>
    <w:lvl w:ilvl="0">
      <w:lvlJc w:val="left"/>
      <w:lvlText w:val="%1"/>
      <w:numFmt w:val="lowerRoman"/>
      <w:start w:val="1"/>
    </w:lvl>
    <w:lvl w:ilvl="1">
      <w:lvlJc w:val="left"/>
      <w:lvlText w:val="(%2)"/>
      <w:numFmt w:val="decimal"/>
      <w:start w:val="1"/>
    </w:lvl>
  </w:abstractNum>
  <w:abstractNum w:abstractNumId="40">
    <w:nsid w:val="15B5AF5C"/>
    <w:multiLevelType w:val="hybridMultilevel"/>
    <w:lvl w:ilvl="0">
      <w:lvlJc w:val="left"/>
      <w:lvlText w:val="(%1)"/>
      <w:numFmt w:val="lowerRoman"/>
      <w:start w:val="1"/>
    </w:lvl>
    <w:lvl w:ilvl="1">
      <w:lvlJc w:val="left"/>
      <w:lvlText w:val="(%2)"/>
      <w:numFmt w:val="decimal"/>
      <w:start w:val="2"/>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6"/>
    </w:lvl>
  </w:abstractNum>
  <w:abstractNum w:abstractNumId="43">
    <w:nsid w:val="10233C99"/>
    <w:multiLevelType w:val="hybridMultilevel"/>
    <w:lvl w:ilvl="0">
      <w:lvlJc w:val="left"/>
      <w:lvlText w:val="(%1)"/>
      <w:numFmt w:val="decimal"/>
      <w:start w:val="8"/>
    </w:lvl>
  </w:abstractNum>
  <w:abstractNum w:abstractNumId="44">
    <w:nsid w:val="3F6AB60F"/>
    <w:multiLevelType w:val="hybridMultilevel"/>
    <w:lvl w:ilvl="0">
      <w:lvlJc w:val="left"/>
      <w:lvlText w:val="%1"/>
      <w:numFmt w:val="upperLetter"/>
      <w:start w:val="1"/>
    </w:lvl>
    <w:lvl w:ilvl="1">
      <w:lvlJc w:val="left"/>
      <w:lvlText w:val="(%2)"/>
      <w:numFmt w:val="decimal"/>
      <w:start w:val="1"/>
    </w:lvl>
  </w:abstractNum>
  <w:abstractNum w:abstractNumId="45">
    <w:nsid w:val="61574095"/>
    <w:multiLevelType w:val="hybridMultilevel"/>
    <w:lvl w:ilvl="0">
      <w:lvlJc w:val="left"/>
      <w:lvlText w:val="(%1)"/>
      <w:numFmt w:val="upperLetter"/>
      <w:start w:val="2"/>
    </w:lvl>
    <w:lvl w:ilvl="1">
      <w:lvlJc w:val="left"/>
      <w:lvlText w:val="(%2)"/>
      <w:numFmt w:val="decimal"/>
      <w:start w:val="2"/>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5"/>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2"/>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6"/>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1)"/>
      <w:numFmt w:val="decimal"/>
      <w:start w:val="3"/>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upperLetter"/>
      <w:start w:val="1"/>
    </w:lvl>
    <w:lvl w:ilvl="1">
      <w:lvlJc w:val="left"/>
      <w:lvlText w:val="(%2)"/>
      <w:numFmt w:val="decimal"/>
      <w:start w:val="1"/>
    </w:lvl>
  </w:abstractNum>
  <w:abstractNum w:abstractNumId="61">
    <w:nsid w:val="5F5E7FD0"/>
    <w:multiLevelType w:val="hybridMultilevel"/>
    <w:lvl w:ilvl="0">
      <w:lvlJc w:val="left"/>
      <w:lvlText w:val="(%1)"/>
      <w:numFmt w:val="upperLetter"/>
      <w:start w:val="2"/>
    </w:lvl>
    <w:lvl w:ilvl="1">
      <w:lvlJc w:val="left"/>
      <w:lvlText w:val="%2"/>
      <w:numFmt w:val="decimal"/>
      <w:start w:val="1"/>
    </w:lvl>
  </w:abstractNum>
  <w:abstractNum w:abstractNumId="62">
    <w:nsid w:val="98A3148"/>
    <w:multiLevelType w:val="hybridMultilevel"/>
    <w:lvl w:ilvl="0">
      <w:lvlJc w:val="left"/>
      <w:lvlText w:val="(%1)"/>
      <w:numFmt w:val="decimal"/>
      <w:start w:val="6"/>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6"/>
    </w:lvl>
  </w:abstractNum>
  <w:abstractNum w:abstractNumId="66">
    <w:nsid w:val="168E121F"/>
    <w:multiLevelType w:val="hybridMultilevel"/>
    <w:lvl w:ilvl="0">
      <w:lvlJc w:val="left"/>
      <w:lvlText w:val="(%1)"/>
      <w:numFmt w:val="decimal"/>
      <w:start w:val="7"/>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2"/>
    </w:lvl>
  </w:abstractNum>
  <w:abstractNum w:abstractNumId="70">
    <w:nsid w:val="540A471C"/>
    <w:multiLevelType w:val="hybridMultilevel"/>
    <w:lvl w:ilvl="0">
      <w:lvlJc w:val="left"/>
      <w:lvlText w:val="(%1)"/>
      <w:numFmt w:val="decimal"/>
      <w:start w:val="5"/>
    </w:lvl>
  </w:abstractNum>
  <w:abstractNum w:abstractNumId="71">
    <w:nsid w:val="7BD3EE7B"/>
    <w:multiLevelType w:val="hybridMultilevel"/>
    <w:lvl w:ilvl="0">
      <w:lvlJc w:val="left"/>
      <w:lvlText w:val="(%1)"/>
      <w:numFmt w:val="lowerLetter"/>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2"/>
    </w:lvl>
  </w:abstractNum>
  <w:abstractNum w:abstractNumId="75">
    <w:nsid w:val="11447B73"/>
    <w:multiLevelType w:val="hybridMultilevel"/>
    <w:lvl w:ilvl="0">
      <w:lvlJc w:val="left"/>
      <w:lvlText w:val="%1."/>
      <w:numFmt w:val="decimal"/>
      <w:start w:val="2"/>
    </w:lvl>
  </w:abstractNum>
  <w:abstractNum w:abstractNumId="76">
    <w:nsid w:val="42963E5A"/>
    <w:multiLevelType w:val="hybridMultilevel"/>
    <w:lvl w:ilvl="0">
      <w:lvlJc w:val="left"/>
      <w:lvlText w:val="%1."/>
      <w:numFmt w:val="decimal"/>
      <w:start w:val="16"/>
    </w:lvl>
    <w:lvl w:ilvl="1">
      <w:lvlJc w:val="left"/>
      <w:lvlText w:val="%2."/>
      <w:numFmt w:val="decimal"/>
      <w:start w:val="1"/>
    </w:lvl>
  </w:abstractNum>
  <w:abstractNum w:abstractNumId="77">
    <w:nsid w:val="A0382C5"/>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2019-12-11T19:39:13Z</dcterms:created>
  <dcterms:modified xsi:type="dcterms:W3CDTF">2019-12-11T19:39:13Z</dcterms:modified>
</cp:coreProperties>
</file>