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86995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9"/>
          <w:szCs w:val="19"/>
          <w:color w:val="auto"/>
        </w:rPr>
        <w:t>Date of Report (Date of earliest event reported): September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122555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120015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7" w:lineRule="exact"/>
        <w:rPr>
          <w:sz w:val="24"/>
          <w:szCs w:val="24"/>
          <w:color w:val="auto"/>
        </w:rPr>
      </w:pPr>
    </w:p>
    <w:tbl>
      <w:tblPr>
        <w:tblLayout w:type="fixed"/>
        <w:tblInd w:w="480" w:type="dxa"/>
        <w:tblCellMar>
          <w:top w:w="0" w:type="dxa"/>
          <w:left w:w="0" w:type="dxa"/>
          <w:bottom w:w="0" w:type="dxa"/>
          <w:right w:w="0" w:type="dxa"/>
        </w:tblCellMar>
      </w:tblP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8"/>
              </w:rPr>
              <w:t>DE</w:t>
            </w:r>
          </w:p>
        </w:tc>
        <w:tc>
          <w:tcPr>
            <w:tcW w:w="3100" w:type="dxa"/>
            <w:vAlign w:val="bottom"/>
          </w:tcPr>
          <w:p>
            <w:pPr>
              <w:jc w:val="right"/>
              <w:ind w:right="1268"/>
              <w:spacing w:after="0"/>
              <w:rPr>
                <w:sz w:val="20"/>
                <w:szCs w:val="20"/>
                <w:color w:val="auto"/>
              </w:rPr>
            </w:pPr>
            <w:r>
              <w:rPr>
                <w:rFonts w:ascii="Times New Roman" w:cs="Times New Roman" w:eastAsia="Times New Roman" w:hAnsi="Times New Roman"/>
                <w:sz w:val="19"/>
                <w:szCs w:val="19"/>
                <w:b w:val="1"/>
                <w:bCs w:val="1"/>
                <w:color w:val="auto"/>
              </w:rPr>
              <w:t>1-8649</w:t>
            </w: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9"/>
                <w:szCs w:val="19"/>
                <w:b w:val="1"/>
                <w:bCs w:val="1"/>
                <w:color w:val="auto"/>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48"/>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tcPr>
          <w:p>
            <w:pPr>
              <w:jc w:val="center"/>
              <w:ind w:left="52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Times New Roman" w:cs="Times New Roman" w:eastAsia="Times New Roman" w:hAnsi="Times New Roman"/>
                <w:sz w:val="19"/>
                <w:szCs w:val="19"/>
                <w:b w:val="1"/>
                <w:bCs w:val="1"/>
                <w:color w:val="auto"/>
              </w:rPr>
              <w:t>55420</w:t>
            </w:r>
          </w:p>
        </w:tc>
        <w:tc>
          <w:tcPr>
            <w:tcW w:w="0" w:type="dxa"/>
            <w:vAlign w:val="bottom"/>
          </w:tcPr>
          <w:p>
            <w:pPr>
              <w:spacing w:after="0"/>
              <w:rPr>
                <w:sz w:val="1"/>
                <w:szCs w:val="1"/>
                <w:color w:val="auto"/>
              </w:rPr>
            </w:pPr>
          </w:p>
        </w:tc>
      </w:t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Registrant's telephone number, including area code: </w:t>
      </w:r>
      <w:r>
        <w:rPr>
          <w:rFonts w:ascii="Times New Roman" w:cs="Times New Roman" w:eastAsia="Times New Roman" w:hAnsi="Times New Roman"/>
          <w:sz w:val="19"/>
          <w:szCs w:val="19"/>
          <w:b w:val="1"/>
          <w:bCs w:val="1"/>
          <w:color w:val="auto"/>
        </w:rPr>
        <w:t>(952) 888-8801</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128905</wp:posOffset>
            </wp:positionV>
            <wp:extent cx="175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right="2420" w:firstLine="8"/>
        <w:spacing w:after="0" w:line="466" w:lineRule="auto"/>
        <w:tabs>
          <w:tab w:leader="none" w:pos="364"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8"/>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8"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3"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09" w:lineRule="exact"/>
        <w:rPr>
          <w:sz w:val="24"/>
          <w:szCs w:val="24"/>
          <w:color w:val="auto"/>
        </w:rPr>
      </w:pPr>
    </w:p>
    <w:p>
      <w:pPr>
        <w:jc w:val="both"/>
        <w:spacing w:after="0" w:line="259"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91440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57150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1.01. Entry into a Material Definitive Agreement.</w:t>
      </w:r>
    </w:p>
    <w:p>
      <w:pPr>
        <w:spacing w:after="0" w:line="23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On September 30, 2025, The Toro Company (“TTC”) entered into a note purchase agreement (the “2025 Note Purchase Agreement”) with the purchasers named therein to which TTC agreed to issue and sell, and the purchasers agreed to purchase, an aggregate principal amount of $200 million of TTC’s 5.27% Senior Notes due September 30, 2032 (the “2025 Notes”). On that same date, TTC issued the 2025 Notes to the purchasers named in the 2025 Note Purchase Agreement pursuant thereto. TTC intends to use the proceeds from the 2025 Notes to fully repay the entire $200 million in indebtedness outstanding under TTC’s Term Loan Credit Agreement, dated as of April 27, 2022, by and among TTC, Bank of America, N.A., as Administrator Agent, Wells Fargo Bank, National Association and U.S. Bank National Association, as Co-Syndication Agents and the Other Lenders Party Thereto, and for general corporate purposes.</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2025 Note Purchase Agreement contains customary representations and warranties of TTC, as well as certain covenants, including limitations on transactions with affiliates, mergers, consolidations and asset sales and the incurrence of liens and subsidiary indebtedness. The 2025 Note Purchase Agreement also contains (i) a maximum leverage ratio covenant, and (ii) a most favored lender covenant, which effectively incorporates any interest coverage or fixed charge covenant from any material credit facility of TTC or its subsidiaries.</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2025 Note Purchase Agreement also contains customary events of default (subject in certain cases to specified cure periods), including, but not limited to, non-payment, breach of covenants, representations and warranties, cross defaults, bankruptcy or other insolvency events, judgments and ERISA events.</w:t>
      </w:r>
    </w:p>
    <w:p>
      <w:pPr>
        <w:spacing w:after="0" w:line="2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2025 Notes are senior, unsecured obligations of TTC and will mature on September 30, 2032. Interest on the 2025 Notes is payable semiannually on the 30th day of March and September in each year, beginning on March 30, 2026.</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TTC has the right to prepay all or a portion of the 2025 Notes upon notice to the holders for 100% of the principal amount so prepaid plus a make-whole premium, as set forth in the 2025 Note Purchase Agreement, plus accrued and unpaid interest, if any, to the date of prepayment. In addition, at any time during the 90-day period ending on the maturity date of the 2025 Notes, TTC will have the right to prepay all of the 2025 Notes without any make-whole premium. Upon the occurrence of certain change of control events, holders of the 2025 Notes will have the right to require that TTC purchase such holder’s 2025 Notes in cash at a purchase price equal to 100% of the principal amount thereof plus accrued and unpaid interest, if any, to the date of repurchase.</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TTC issued the 2025 Notes to the purchasers named in the 2025 Note Purchase Agreement and pursuant thereto on September 30, 2025 in a private placement pursuant to Section 4(a)(2) of the Securities Act of 1933, as amended (the “Securities Act”). The 2025 Notes were not registered under the Securities Act or any state securities laws and may not be offered or sold absent registration under the Securities Act, or pursuant to an applicable exemption from, or in a transaction not subject to, the registration requirements of the Securities Act and applicable state securities laws.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foregoing description of the 2025 Note Purchase Agreement and the 2025 Notes is a summary of the material terms thereof, does not purport to be complete and is qualified in its entirety by reference to the complete text of the 2025 Note Purchase Agreement and the form of 2025 Note, which are filed as Exhibit 10.1 and Exhibit 10.2, respectively, to this Current Report on Form 8-K and are incorporated by reference into this Item 1.01.</w:t>
      </w:r>
    </w:p>
    <w:p>
      <w:pPr>
        <w:spacing w:after="0"/>
        <w:rPr>
          <w:sz w:val="20"/>
          <w:szCs w:val="20"/>
          <w:color w:val="auto"/>
        </w:rPr>
      </w:pPr>
      <w:r>
        <w:rPr>
          <w:rFonts w:ascii="Times New Roman" w:cs="Times New Roman" w:eastAsia="Times New Roman" w:hAnsi="Times New Roman"/>
          <w:sz w:val="20"/>
          <w:szCs w:val="20"/>
          <w:b w:val="1"/>
          <w:bCs w:val="1"/>
          <w:color w:val="auto"/>
        </w:rPr>
        <w:t>Item 2.03 Creation of a Direct Financial Obligation or an Obligation under an Off-Balance Sheet Arrangement of a Registrant.</w:t>
      </w:r>
    </w:p>
    <w:p>
      <w:pPr>
        <w:spacing w:after="0" w:line="21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information described above under “Section 1 – Registrant’s Business and Operations – Item 1.01 Entry into a Material Definitive Agreement” is incorporated herein by reference.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715645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8"/>
        </w:trPr>
        <w:tc>
          <w:tcPr>
            <w:tcW w:w="1960" w:type="dxa"/>
            <w:vAlign w:val="bottom"/>
          </w:tcPr>
          <w:p>
            <w:pPr>
              <w:spacing w:after="0"/>
              <w:rPr>
                <w:sz w:val="20"/>
                <w:szCs w:val="20"/>
                <w:color w:val="auto"/>
              </w:rPr>
            </w:pPr>
            <w:r>
              <w:rPr>
                <w:rFonts w:ascii="Times New Roman" w:cs="Times New Roman" w:eastAsia="Times New Roman" w:hAnsi="Times New Roman"/>
                <w:sz w:val="20"/>
                <w:szCs w:val="20"/>
                <w:color w:val="auto"/>
              </w:rPr>
              <w:t>(d)  Exhibits.</w:t>
            </w:r>
          </w:p>
        </w:tc>
        <w:tc>
          <w:tcPr>
            <w:tcW w:w="5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8"/>
        </w:trPr>
        <w:tc>
          <w:tcPr>
            <w:tcW w:w="19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9280" w:type="dxa"/>
            <w:vAlign w:val="bottom"/>
            <w:gridSpan w:val="4"/>
          </w:tcPr>
          <w:p>
            <w:pPr>
              <w:ind w:left="2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0" w:type="dxa"/>
            <w:vAlign w:val="bottom"/>
          </w:tcPr>
          <w:p>
            <w:pPr>
              <w:spacing w:after="0"/>
              <w:rPr>
                <w:sz w:val="1"/>
                <w:szCs w:val="1"/>
                <w:color w:val="auto"/>
              </w:rPr>
            </w:pPr>
          </w:p>
        </w:tc>
      </w:tr>
      <w:tr>
        <w:trPr>
          <w:trHeight w:val="212"/>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10.1</w:t>
            </w:r>
          </w:p>
        </w:tc>
        <w:tc>
          <w:tcPr>
            <w:tcW w:w="9280" w:type="dxa"/>
            <w:vAlign w:val="bottom"/>
            <w:gridSpan w:val="4"/>
          </w:tcPr>
          <w:p>
            <w:pPr>
              <w:ind w:left="20"/>
              <w:spacing w:after="0" w:line="212" w:lineRule="exact"/>
              <w:rPr>
                <w:sz w:val="20"/>
                <w:szCs w:val="20"/>
                <w:color w:val="auto"/>
              </w:rPr>
            </w:pPr>
            <w:r>
              <w:rPr>
                <w:rFonts w:ascii="Times New Roman" w:cs="Times New Roman" w:eastAsia="Times New Roman" w:hAnsi="Times New Roman"/>
                <w:sz w:val="20"/>
                <w:szCs w:val="20"/>
                <w:color w:val="0000FF"/>
              </w:rPr>
              <w:t>Note Purchase Agreement, dated as of September 30, 2025, by and among The Toro Company</w:t>
            </w:r>
          </w:p>
        </w:tc>
        <w:tc>
          <w:tcPr>
            <w:tcW w:w="0" w:type="dxa"/>
            <w:vAlign w:val="bottom"/>
          </w:tcPr>
          <w:p>
            <w:pPr>
              <w:spacing w:after="0"/>
              <w:rPr>
                <w:sz w:val="1"/>
                <w:szCs w:val="1"/>
                <w:color w:val="auto"/>
              </w:rPr>
            </w:pPr>
          </w:p>
        </w:tc>
      </w:tr>
      <w:tr>
        <w:trPr>
          <w:trHeight w:val="169"/>
        </w:trPr>
        <w:tc>
          <w:tcPr>
            <w:tcW w:w="1960" w:type="dxa"/>
            <w:vAlign w:val="bottom"/>
            <w:vMerge w:val="continue"/>
          </w:tcPr>
          <w:p>
            <w:pPr>
              <w:spacing w:after="0"/>
              <w:rPr>
                <w:sz w:val="14"/>
                <w:szCs w:val="14"/>
                <w:color w:val="auto"/>
              </w:rPr>
            </w:pPr>
          </w:p>
        </w:tc>
        <w:tc>
          <w:tcPr>
            <w:tcW w:w="6180" w:type="dxa"/>
            <w:vAlign w:val="bottom"/>
            <w:tcBorders>
              <w:top w:val="single" w:sz="8" w:color="0000FF"/>
              <w:bottom w:val="single" w:sz="8" w:color="0000FF"/>
            </w:tcBorders>
            <w:gridSpan w:val="2"/>
          </w:tcPr>
          <w:p>
            <w:pPr>
              <w:ind w:left="20"/>
              <w:spacing w:after="0" w:line="169" w:lineRule="exact"/>
              <w:rPr>
                <w:sz w:val="20"/>
                <w:szCs w:val="20"/>
                <w:color w:val="auto"/>
              </w:rPr>
            </w:pPr>
            <w:r>
              <w:rPr>
                <w:rFonts w:ascii="Times New Roman" w:cs="Times New Roman" w:eastAsia="Times New Roman" w:hAnsi="Times New Roman"/>
                <w:sz w:val="19"/>
                <w:szCs w:val="19"/>
                <w:color w:val="0000FF"/>
              </w:rPr>
              <w:t>and the Purchasers Listed on the Purchaser Schedule Thereto (filed herewith).</w:t>
            </w:r>
          </w:p>
        </w:tc>
        <w:tc>
          <w:tcPr>
            <w:tcW w:w="1580" w:type="dxa"/>
            <w:vAlign w:val="bottom"/>
            <w:tcBorders>
              <w:top w:val="single" w:sz="8" w:color="0000FF"/>
            </w:tcBorders>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7"/>
        </w:trPr>
        <w:tc>
          <w:tcPr>
            <w:tcW w:w="1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10.2</w:t>
            </w:r>
          </w:p>
        </w:tc>
        <w:tc>
          <w:tcPr>
            <w:tcW w:w="92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rPr>
              <w:t>Form of 5.27% Senior Note due September 20, 2032 (filed herewith).</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5520" w:type="dxa"/>
            <w:vAlign w:val="bottom"/>
            <w:shd w:val="clear" w:color="auto" w:fill="0000FF"/>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1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92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0" w:type="dxa"/>
            <w:vAlign w:val="bottom"/>
          </w:tcPr>
          <w:p>
            <w:pPr>
              <w:spacing w:after="0"/>
              <w:rPr>
                <w:sz w:val="1"/>
                <w:szCs w:val="1"/>
                <w:color w:val="auto"/>
              </w:rPr>
            </w:pPr>
          </w:p>
        </w:tc>
      </w:tr>
      <w:tr>
        <w:trPr>
          <w:trHeight w:val="256"/>
        </w:trPr>
        <w:tc>
          <w:tcPr>
            <w:tcW w:w="1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92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Certain annexes, schedules and exhibits have been omitted pursuant to Item 601(a)(5) of</w:t>
            </w:r>
          </w:p>
        </w:tc>
        <w:tc>
          <w:tcPr>
            <w:tcW w:w="0" w:type="dxa"/>
            <w:vAlign w:val="bottom"/>
          </w:tcPr>
          <w:p>
            <w:pPr>
              <w:spacing w:after="0"/>
              <w:rPr>
                <w:sz w:val="1"/>
                <w:szCs w:val="1"/>
                <w:color w:val="auto"/>
              </w:rPr>
            </w:pPr>
          </w:p>
        </w:tc>
      </w:tr>
      <w:tr>
        <w:trPr>
          <w:trHeight w:val="257"/>
        </w:trPr>
        <w:tc>
          <w:tcPr>
            <w:tcW w:w="1960" w:type="dxa"/>
            <w:vAlign w:val="bottom"/>
          </w:tcPr>
          <w:p>
            <w:pPr>
              <w:spacing w:after="0"/>
              <w:rPr>
                <w:sz w:val="22"/>
                <w:szCs w:val="22"/>
                <w:color w:val="auto"/>
              </w:rPr>
            </w:pPr>
          </w:p>
        </w:tc>
        <w:tc>
          <w:tcPr>
            <w:tcW w:w="92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Regulation S-K. TTC agrees to furnish supplementally a copy of any omitted attachment</w:t>
            </w:r>
          </w:p>
        </w:tc>
        <w:tc>
          <w:tcPr>
            <w:tcW w:w="0" w:type="dxa"/>
            <w:vAlign w:val="bottom"/>
          </w:tcPr>
          <w:p>
            <w:pPr>
              <w:spacing w:after="0"/>
              <w:rPr>
                <w:sz w:val="1"/>
                <w:szCs w:val="1"/>
                <w:color w:val="auto"/>
              </w:rPr>
            </w:pPr>
          </w:p>
        </w:tc>
      </w:tr>
      <w:tr>
        <w:trPr>
          <w:trHeight w:val="258"/>
        </w:trPr>
        <w:tc>
          <w:tcPr>
            <w:tcW w:w="1960" w:type="dxa"/>
            <w:vAlign w:val="bottom"/>
          </w:tcPr>
          <w:p>
            <w:pPr>
              <w:spacing w:after="0"/>
              <w:rPr>
                <w:sz w:val="22"/>
                <w:szCs w:val="22"/>
                <w:color w:val="auto"/>
              </w:rPr>
            </w:pPr>
          </w:p>
        </w:tc>
        <w:tc>
          <w:tcPr>
            <w:tcW w:w="92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to the Securities and Exchange Commission on a confidential basis upon request.</w:t>
            </w:r>
          </w:p>
        </w:tc>
        <w:tc>
          <w:tcPr>
            <w:tcW w:w="0" w:type="dxa"/>
            <w:vAlign w:val="bottom"/>
          </w:tcPr>
          <w:p>
            <w:pPr>
              <w:spacing w:after="0"/>
              <w:rPr>
                <w:sz w:val="1"/>
                <w:szCs w:val="1"/>
                <w:color w:val="auto"/>
              </w:rPr>
            </w:pPr>
          </w:p>
        </w:tc>
      </w:tr>
      <w:tr>
        <w:trPr>
          <w:trHeight w:val="1216"/>
        </w:trPr>
        <w:tc>
          <w:tcPr>
            <w:tcW w:w="196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14" w:lineRule="exact"/>
        <w:rPr>
          <w:sz w:val="20"/>
          <w:szCs w:val="20"/>
          <w:color w:val="auto"/>
        </w:rPr>
      </w:pPr>
    </w:p>
    <w:tbl>
      <w:tblPr>
        <w:tblLayout w:type="fixed"/>
        <w:tblInd w:w="360" w:type="dxa"/>
        <w:tblCellMar>
          <w:top w:w="0" w:type="dxa"/>
          <w:left w:w="0" w:type="dxa"/>
          <w:bottom w:w="0" w:type="dxa"/>
          <w:right w:w="0" w:type="dxa"/>
        </w:tblCellMar>
      </w:tblPr>
      <w:tr>
        <w:trPr>
          <w:trHeight w:val="256"/>
        </w:trPr>
        <w:tc>
          <w:tcPr>
            <w:tcW w:w="430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TORO COMPANY</w:t>
            </w:r>
          </w:p>
        </w:tc>
      </w:tr>
      <w:tr>
        <w:trPr>
          <w:trHeight w:val="258"/>
        </w:trPr>
        <w:tc>
          <w:tcPr>
            <w:tcW w:w="430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(Registrant)</w:t>
            </w:r>
          </w:p>
        </w:tc>
      </w:tr>
      <w:tr>
        <w:trPr>
          <w:trHeight w:val="530"/>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Date: September 30, 2025</w:t>
            </w:r>
          </w:p>
        </w:tc>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Joanna M. Totsky</w:t>
            </w:r>
          </w:p>
        </w:tc>
      </w:tr>
      <w:tr>
        <w:trPr>
          <w:trHeight w:val="244"/>
        </w:trPr>
        <w:tc>
          <w:tcPr>
            <w:tcW w:w="430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Joanna M. Totsky</w:t>
            </w:r>
          </w:p>
        </w:tc>
      </w:tr>
      <w:tr>
        <w:trPr>
          <w:trHeight w:val="258"/>
        </w:trPr>
        <w:tc>
          <w:tcPr>
            <w:tcW w:w="430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Vice President, General Counsel and Corporate Secretary</w:t>
            </w:r>
          </w:p>
        </w:tc>
      </w:tr>
    </w:tbl>
    <w:p>
      <w:pPr>
        <w:sectPr>
          <w:pgSz w:w="11900" w:h="16838" w:orient="portrait"/>
          <w:cols w:equalWidth="0" w:num="1">
            <w:col w:w="11020"/>
          </w:cols>
          <w:pgMar w:left="320" w:top="1372" w:right="5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0808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Toro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$200,000,000 5.27% Senior Notes, due September 30, 2032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______________</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 Purchase Agreement</w:t>
      </w:r>
    </w:p>
    <w:p>
      <w:pPr>
        <w:spacing w:after="0" w:line="200" w:lineRule="exact"/>
        <w:rPr>
          <w:sz w:val="20"/>
          <w:szCs w:val="20"/>
          <w:color w:val="auto"/>
        </w:rPr>
      </w:pPr>
    </w:p>
    <w:p>
      <w:pPr>
        <w:spacing w:after="0" w:line="30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______________</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1433830</wp:posOffset>
            </wp:positionV>
            <wp:extent cx="70808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2"/>
        </w:trPr>
        <w:tc>
          <w:tcPr>
            <w:tcW w:w="1600" w:type="dxa"/>
            <w:vAlign w:val="bottom"/>
          </w:tcPr>
          <w:p>
            <w:pPr>
              <w:spacing w:after="0"/>
              <w:rPr>
                <w:sz w:val="24"/>
                <w:szCs w:val="24"/>
                <w:color w:val="auto"/>
              </w:rPr>
            </w:pPr>
          </w:p>
        </w:tc>
        <w:tc>
          <w:tcPr>
            <w:tcW w:w="43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The Toro Company</w:t>
            </w:r>
          </w:p>
        </w:tc>
        <w:tc>
          <w:tcPr>
            <w:tcW w:w="5240" w:type="dxa"/>
            <w:vAlign w:val="bottom"/>
          </w:tcPr>
          <w:p>
            <w:pPr>
              <w:jc w:val="right"/>
              <w:ind w:right="2770"/>
              <w:spacing w:after="0"/>
              <w:rPr>
                <w:sz w:val="20"/>
                <w:szCs w:val="20"/>
                <w:color w:val="auto"/>
              </w:rPr>
            </w:pPr>
            <w:r>
              <w:rPr>
                <w:rFonts w:ascii="Times New Roman" w:cs="Times New Roman" w:eastAsia="Times New Roman" w:hAnsi="Times New Roman"/>
                <w:sz w:val="22"/>
                <w:szCs w:val="22"/>
                <w:color w:val="auto"/>
              </w:rPr>
              <w:t>Note Purchase Agreement</w:t>
            </w:r>
          </w:p>
        </w:tc>
      </w:tr>
      <w:tr>
        <w:trPr>
          <w:trHeight w:val="1039"/>
        </w:trPr>
        <w:tc>
          <w:tcPr>
            <w:tcW w:w="1600" w:type="dxa"/>
            <w:vAlign w:val="bottom"/>
          </w:tcPr>
          <w:p>
            <w:pPr>
              <w:spacing w:after="0"/>
              <w:rPr>
                <w:sz w:val="24"/>
                <w:szCs w:val="24"/>
                <w:color w:val="auto"/>
              </w:rPr>
            </w:pPr>
          </w:p>
        </w:tc>
        <w:tc>
          <w:tcPr>
            <w:tcW w:w="9600" w:type="dxa"/>
            <w:vAlign w:val="bottom"/>
            <w:gridSpan w:val="2"/>
          </w:tcPr>
          <w:p>
            <w:pPr>
              <w:jc w:val="right"/>
              <w:ind w:right="4690"/>
              <w:spacing w:after="0"/>
              <w:rPr>
                <w:sz w:val="20"/>
                <w:szCs w:val="20"/>
                <w:color w:val="auto"/>
              </w:rPr>
            </w:pPr>
            <w:r>
              <w:rPr>
                <w:rFonts w:ascii="Times New Roman" w:cs="Times New Roman" w:eastAsia="Times New Roman" w:hAnsi="Times New Roman"/>
                <w:sz w:val="22"/>
                <w:szCs w:val="22"/>
                <w:b w:val="1"/>
                <w:bCs w:val="1"/>
                <w:color w:val="auto"/>
              </w:rPr>
              <w:t>Table of Contents</w:t>
            </w:r>
          </w:p>
        </w:tc>
      </w:tr>
      <w:tr>
        <w:trPr>
          <w:trHeight w:val="258"/>
        </w:trPr>
        <w:tc>
          <w:tcPr>
            <w:tcW w:w="1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Section</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Heading</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51"/>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 Authorization of Notes.</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 Sale and Purchase of Notes.</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3. Closing.</w:t>
            </w:r>
          </w:p>
        </w:tc>
        <w:tc>
          <w:tcPr>
            <w:tcW w:w="4360" w:type="dxa"/>
            <w:vAlign w:val="bottom"/>
          </w:tcPr>
          <w:p>
            <w:pPr>
              <w:spacing w:after="0"/>
              <w:rPr>
                <w:sz w:val="23"/>
                <w:szCs w:val="23"/>
                <w:color w:val="auto"/>
              </w:rPr>
            </w:pP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 Conditions to Closing.</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4.1. Representations and Warranties.</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4.2. Performance; No Default.</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4.3. Compliance Certificates.</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4.4. Opinions of Counsel.</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4.5. Purchase Permitted By Applicable Law, Etc.</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4.6. Sale of Other Notes.</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4.7. Payment of Special Counsel Fees.</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4.8. Private Placement Number.</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4.9. Changes in Corporate Structure.</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4.10. Funding Instructions.</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4.11. Proceedings and Documents.</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4.12. MFL Notice.</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 Representations and Warranties of the Company.</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5.1. Organization; Power and Authority.</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59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Section 5.2. Authorization, Etc.</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5.3. Disclosure.</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5.4. Organization and Ownership of Shares of Subsidiaries; Affiliates.</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5.5. Financial Statements; Material Liabilities.</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5.6. Compliance with Laws, Other Instruments, Etc.</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5.7. Governmental Authorizations, Etc.</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5.8. Litigation; Observance of Agreements, Statutes and Orders.</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16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Section 5.9. Taxes.</w:t>
            </w:r>
          </w:p>
        </w:tc>
        <w:tc>
          <w:tcPr>
            <w:tcW w:w="4360" w:type="dxa"/>
            <w:vAlign w:val="bottom"/>
          </w:tcPr>
          <w:p>
            <w:pPr>
              <w:spacing w:after="0"/>
              <w:rPr>
                <w:sz w:val="23"/>
                <w:szCs w:val="23"/>
                <w:color w:val="auto"/>
              </w:rPr>
            </w:pP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5.10. Title to Property; Leases.</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5.11. Licenses, Permits, Etc.</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5.12. Compliance with Employee Benefit Plans.</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5.13. Private Offering by the Company.</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5.14. Use of Proceeds; Margin Regulations.</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5.15. Existing Indebtedness; Future Liens.</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5.16. Foreign Assets Control Regulations, Etc.</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5.17. Status under Certain Statutes.</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5.18. Environmental Matters.</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5.19. Ranking of Obligations.</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 Representations of the Purchasers.</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6.1. Purchase for Investment.</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6.2. Source of Funds.</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 Information as to Company</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7.1. Financial and Business Information.</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7.2. Officer’s Certificate.</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7.3. Visitation.</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7.4. Electronic Delivery.</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 Payment and Prepayment of the Notes.</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0"/>
        </w:trPr>
        <w:tc>
          <w:tcPr>
            <w:tcW w:w="5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8.1. Maturity.</w:t>
            </w:r>
          </w:p>
        </w:tc>
        <w:tc>
          <w:tcPr>
            <w:tcW w:w="5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200" w:lineRule="exact"/>
        <w:rPr>
          <w:sz w:val="20"/>
          <w:szCs w:val="20"/>
          <w:color w:val="auto"/>
        </w:rPr>
      </w:pPr>
    </w:p>
    <w:p>
      <w:pPr>
        <w:sectPr>
          <w:pgSz w:w="11900" w:h="16838" w:orient="portrait"/>
          <w:cols w:equalWidth="0" w:num="1">
            <w:col w:w="11200"/>
          </w:cols>
          <w:pgMar w:left="340" w:top="369" w:right="359" w:bottom="4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00"/>
          </w:cols>
          <w:pgMar w:left="340" w:top="369" w:right="359" w:bottom="458" w:gutter="0" w:footer="0" w:header="0"/>
          <w:type w:val="continuous"/>
        </w:sectPr>
      </w:pPr>
    </w:p>
    <w:bookmarkStart w:id="6" w:name="page7"/>
    <w:bookmarkEnd w:id="6"/>
    <w:p>
      <w:pPr>
        <w:ind w:left="2880"/>
        <w:spacing w:after="0"/>
        <w:tabs>
          <w:tab w:leader="none" w:pos="606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822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Section 8.2. Optional Prepayments with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Amount.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2"/>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8.3. Allocation of Partial Prepayments.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8.4. Maturity; Surrender, Etc.</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65"/>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8.5. Purchase of Notes.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3"/>
        </w:trPr>
        <w:tc>
          <w:tcPr>
            <w:tcW w:w="822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Section 8.6.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Amount.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7"/>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8.7. Change of Control</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3"/>
        </w:trPr>
        <w:tc>
          <w:tcPr>
            <w:tcW w:w="822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Section 8.8. Payments Due on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Business Days.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2"/>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Section 9. Affirmative Covenants.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9.1. Compliance with Laws.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9.2. Insurance.</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9.3. Maintenance of Properties.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9.4. Payment of Taxes and Claims.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9.5. Corporate Existence, Etc.</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9.6. Books and Records.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8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9.7. Subsidiary Guarantors.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8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9.8. Priority of Obligations.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Section 10. Negative Covenants.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10.1. Transactions with Affiliates.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10.2. Merger, Consolidation, Etc.</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10.3. Sale of Assets, Etc.</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10.4. Line of Business.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10.5. Economic Sanctions, Etc.</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10.6. Liens.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10.7. Maximum Leverage Ratio.</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10.8. Priority Indebtedness.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10.9 Red Iron.</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10.10. Restricted Payments.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10.11. Most Favored Lender Status.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Section 11. Events of Default.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Section 12. Remedies on Default, Etc.</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12.1. Acceleration.</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12.2. Other Remedies.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12.3. Rescission.</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12.4. No Waivers or Election of Remedies, Expenses, Etc.</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Section 13. Registration; Exchange; Substitution of Notes.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13.1. Registration of Notes.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13.2. Transfer and Exchange of Notes.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13.3. Replacement of Notes.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Section 14. Payments on Notes.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14.1. Place of Payment.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14.2. Payment by Wire Transfer.</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14.3. FATCA Information.</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Section 15. Expenses, Etc.</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15.1. Transaction Expenses.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15.2. Certain Taxes.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15.3. Survival.</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Section 16. Survival of Representations and Warranties; Entire Agreement.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Section 17. Amendment and Waiver.</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17.1. Requirements.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200" w:lineRule="exact"/>
        <w:rPr>
          <w:sz w:val="20"/>
          <w:szCs w:val="20"/>
          <w:color w:val="auto"/>
        </w:rPr>
      </w:pPr>
    </w:p>
    <w:p>
      <w:pPr>
        <w:sectPr>
          <w:pgSz w:w="11900" w:h="16838" w:orient="portrait"/>
          <w:cols w:equalWidth="0" w:num="1">
            <w:col w:w="11200"/>
          </w:cols>
          <w:pgMar w:left="340" w:top="369" w:right="359" w:bottom="2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00"/>
          </w:cols>
          <w:pgMar w:left="340" w:top="369" w:right="359" w:bottom="256" w:gutter="0" w:footer="0" w:header="0"/>
          <w:type w:val="continuous"/>
        </w:sectPr>
      </w:pPr>
    </w:p>
    <w:bookmarkStart w:id="7" w:name="page8"/>
    <w:bookmarkEnd w:id="7"/>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17.2. Solicitation of Holders of Notes.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0"/>
        </w:trPr>
        <w:tc>
          <w:tcPr>
            <w:tcW w:w="7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17.3. Binding Effect, Etc.</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0"/>
        </w:trPr>
        <w:tc>
          <w:tcPr>
            <w:tcW w:w="7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17.4. Notes Held by Company, Etc.</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0"/>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18. Notices.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Section 19.</w:t>
            </w:r>
          </w:p>
        </w:tc>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Reproduction of Documents.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Section 20.</w:t>
            </w:r>
          </w:p>
        </w:tc>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Confidential Information.</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Substitution of Purchaser.</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Miscellaneous.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70"/>
        </w:trPr>
        <w:tc>
          <w:tcPr>
            <w:tcW w:w="7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22.1. Successors and Assigns.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70"/>
        </w:trPr>
        <w:tc>
          <w:tcPr>
            <w:tcW w:w="7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22.2. Accounting Terms.</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70"/>
        </w:trPr>
        <w:tc>
          <w:tcPr>
            <w:tcW w:w="7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22.3. Severability.</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70"/>
        </w:trPr>
        <w:tc>
          <w:tcPr>
            <w:tcW w:w="7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22.4. Construction, Etc.</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70"/>
        </w:trPr>
        <w:tc>
          <w:tcPr>
            <w:tcW w:w="7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22.5. Counterparts; Electronic Contracting.</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0"/>
        </w:trPr>
        <w:tc>
          <w:tcPr>
            <w:tcW w:w="7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22.6. Governing Law.</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0"/>
        </w:trPr>
        <w:tc>
          <w:tcPr>
            <w:tcW w:w="7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22.7. Jurisdiction and Process; Waiver of Jury Trial.</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A — Defined Terms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 — Form of 5.27% Senior Notes, due September 30, 2032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4.4(a) — Form of Opinion of Special Counsel for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4.4(b) — Form of Opinion of Special Counsel for the Purchasers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5.3 — Disclosure Materials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5.4 — Subsidiaries of the Company and Ownership of Subsidiary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5.5 — Financial Statements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5.15 — Existing Indebtedness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5.18 — Environmental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10.6 — Existing Liens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14.3 — Tax Compliance Certificate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22.2 — AMP Productivity Initiative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Schedule — Information Relating to Purchasers</w:t>
      </w:r>
    </w:p>
    <w:p>
      <w:pPr>
        <w:sectPr>
          <w:pgSz w:w="11900" w:h="16838" w:orient="portrait"/>
          <w:cols w:equalWidth="0" w:num="1">
            <w:col w:w="11220"/>
          </w:cols>
          <w:pgMar w:left="320" w:top="3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20"/>
          </w:cols>
          <w:pgMar w:left="320" w:top="369" w:right="359" w:bottom="1440" w:gutter="0" w:footer="0" w:header="0"/>
          <w:type w:val="continuous"/>
        </w:sectPr>
      </w:pPr>
    </w:p>
    <w:bookmarkStart w:id="8" w:name="page9"/>
    <w:bookmarkEnd w:id="8"/>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2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8111 Lyndale Avenue</w:t>
      </w:r>
    </w:p>
    <w:p>
      <w:pPr>
        <w:jc w:val="center"/>
        <w:spacing w:after="0"/>
        <w:rPr>
          <w:sz w:val="20"/>
          <w:szCs w:val="20"/>
          <w:color w:val="auto"/>
        </w:rPr>
      </w:pPr>
      <w:r>
        <w:rPr>
          <w:rFonts w:ascii="Times New Roman" w:cs="Times New Roman" w:eastAsia="Times New Roman" w:hAnsi="Times New Roman"/>
          <w:sz w:val="22"/>
          <w:szCs w:val="22"/>
          <w:b w:val="1"/>
          <w:bCs w:val="1"/>
          <w:color w:val="auto"/>
        </w:rPr>
        <w:t>South Bloomington, MN 55420</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$200,000,000 5.27% Senior Notes, due September 30, 2032</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September 30, 2025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Each of the Purchasers Listed in the Purchaser Schedule Hereto: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The Toro Company,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agrees with each of the Purchasers as follows: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 Authorization of Notes.</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The Company will authorize the issue and sale of $200,000,000 5.27% Senior Notes, due September 30, 2032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The Notes shall be substantially in the form set out in Schedule 1. Certain capitalized and other terms used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are defined in Schedule A and, for purposes of this Agreement, the rules of construction set forth in Section 22.4 shall govern.</w:t>
      </w:r>
    </w:p>
    <w:p>
      <w:pPr>
        <w:spacing w:after="0" w:line="21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The Company will authorize the issue and sale of $200,000,000 5.27% Senior Notes, due September 30, 2032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The Notes shall be substantially in the form set out in Schedule 1. Certain capitalized and other terms used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are defined in Schedule A and, for purposes of this Agreement, the rules of construction set forth in Section 22.4 shall govern.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Sale and Purchase of Notes.</w:t>
      </w:r>
    </w:p>
    <w:p>
      <w:pPr>
        <w:spacing w:after="0" w:line="251" w:lineRule="exact"/>
        <w:rPr>
          <w:sz w:val="20"/>
          <w:szCs w:val="20"/>
          <w:color w:val="auto"/>
        </w:rPr>
      </w:pPr>
    </w:p>
    <w:p>
      <w:pPr>
        <w:jc w:val="both"/>
        <w:ind w:firstLine="648"/>
        <w:spacing w:after="0" w:line="260" w:lineRule="exact"/>
        <w:rPr>
          <w:sz w:val="20"/>
          <w:szCs w:val="20"/>
          <w:color w:val="auto"/>
        </w:rPr>
      </w:pPr>
      <w:r>
        <w:rPr>
          <w:rFonts w:ascii="Times New Roman" w:cs="Times New Roman" w:eastAsia="Times New Roman" w:hAnsi="Times New Roman"/>
          <w:sz w:val="22"/>
          <w:szCs w:val="22"/>
          <w:color w:val="auto"/>
        </w:rPr>
        <w:t>Subject to the terms and conditions of this Agreement, the Company will issue and sell to each Purchaser and each Purchaser will purchase from the Company, at the Closing provided for in Section 3, Notes in the principal amount specified opposite such Purchaser’s name in the Purchaser Schedule at the purchase price of 100% of the principal amount thereof. The Purchasers’ obligations hereunder are several and not joint obligations and no Purchaser shall have any liability to any Person for the performance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performance of any obligation by any other Purchaser hereunder.</w:t>
      </w:r>
    </w:p>
    <w:p>
      <w:pPr>
        <w:spacing w:after="0" w:line="188" w:lineRule="exact"/>
        <w:rPr>
          <w:sz w:val="20"/>
          <w:szCs w:val="20"/>
          <w:color w:val="auto"/>
        </w:rPr>
      </w:pPr>
    </w:p>
    <w:p>
      <w:pPr>
        <w:jc w:val="both"/>
        <w:ind w:firstLine="648"/>
        <w:spacing w:after="0" w:line="263" w:lineRule="exact"/>
        <w:rPr>
          <w:sz w:val="20"/>
          <w:szCs w:val="20"/>
          <w:color w:val="auto"/>
        </w:rPr>
      </w:pPr>
      <w:r>
        <w:rPr>
          <w:rFonts w:ascii="Times New Roman" w:cs="Times New Roman" w:eastAsia="Times New Roman" w:hAnsi="Times New Roman"/>
          <w:sz w:val="22"/>
          <w:szCs w:val="22"/>
          <w:color w:val="auto"/>
        </w:rPr>
        <w:t>Subject to the terms and conditions of this Agreement, the Company will issue and sell to each Purchaser and each Purchaser will purchase from the Company, at the Closing provided for in Section 3, Notes in the principal amount specified opposite such Purchaser’s name in the Purchaser Schedule at the purchase price of 100% of the principal amount thereof. The Purchasers’ obligations hereunder are several and not joint obligations and no Purchaser shall have any liability to any Person for the performance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performance of any obligation by any other Purchaser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369" w:right="339" w:bottom="1440" w:gutter="0" w:footer="0" w:header="0"/>
        </w:sectPr>
      </w:pPr>
    </w:p>
    <w:bookmarkStart w:id="9" w:name="page10"/>
    <w:bookmarkEnd w:id="9"/>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Closing.</w:t>
      </w:r>
    </w:p>
    <w:p>
      <w:pPr>
        <w:spacing w:after="0" w:line="25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 xml:space="preserve">The sale and purchase of the Notes to be purchased by each Purchaser shall occur at the Chapman and Cutler LLP, 320 South Canal Street, Chicago, Illinois 60606 at 10:00 a.m. Central time, at a closing on a Business Day on September 30, 2025 or on such other Business Day thereafter on or prior to October 15, 2025 as may be agreed upon by the Company and the Purchasers. (the </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xml:space="preserve">). At the Closing the Company will deliver to each Purchaser the Notes to be purchased by such Purchaser in the form of a single Note (or such greater number of Notes in denominations of at least </w:t>
      </w:r>
      <w:r>
        <w:rPr>
          <w:rFonts w:ascii="Times New Roman" w:cs="Times New Roman" w:eastAsia="Times New Roman" w:hAnsi="Times New Roman"/>
          <w:sz w:val="22"/>
          <w:szCs w:val="22"/>
          <w:b w:val="1"/>
          <w:bCs w:val="1"/>
          <w:color w:val="auto"/>
        </w:rPr>
        <w:t>$100,000</w:t>
      </w:r>
      <w:r>
        <w:rPr>
          <w:rFonts w:ascii="Times New Roman" w:cs="Times New Roman" w:eastAsia="Times New Roman" w:hAnsi="Times New Roman"/>
          <w:sz w:val="22"/>
          <w:szCs w:val="22"/>
          <w:color w:val="auto"/>
        </w:rPr>
        <w:t xml:space="preserve"> as such Purchaser may request) dated the date of the Closing and registered in such Purchaser’s name (or in the name of its nominee), against delivery by such Purchaser to the Company or its order of immediately available funds in the amount of the purchase price therefor by wire transfer of immediately available funds for the account of the Company pursuant to wire instructions to be provided to the Purchasers by the Company at least five (5) Business Days prior to the Closing. If at the Closing the Company shall fail to tender such Notes to any Purchaser as provided above in this Section 3, or any of the conditions specified in Section 4 shall not have been fulfilled to such Purchaser’s satisfaction, such Purchaser shall, at its election, be relieved of all further obligations under this Agreement, without thereby waiving any rights such Purchaser may have by reason of such failure by the Company to tender such Notes or any of the conditions specified in Section 4 not having been fulfilled to such Purchaser’s satisfaction.</w:t>
      </w:r>
    </w:p>
    <w:p>
      <w:pPr>
        <w:spacing w:after="0" w:line="21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2"/>
          <w:szCs w:val="22"/>
          <w:color w:val="auto"/>
        </w:rPr>
        <w:t xml:space="preserve">The sale and purchase of the Notes to be purchased by each Purchaser shall occur at the Chapman and Cutler LLP, 320 South Canal Street, Chicago, Illinois 60606 at 10:00 a.m. Central time, at a closing on a Business Day on September 30, 2025 or on such other Business Day thereafter on or prior to October 15, 2025 as may be agreed upon by the Company and the Purchasers. (the </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xml:space="preserve">). At the Closing the Company will deliver to each Purchaser the Notes to be purchased by such Purchaser in the form of a single Note (or such greater number of Notes in denominations of at least </w:t>
      </w:r>
      <w:r>
        <w:rPr>
          <w:rFonts w:ascii="Times New Roman" w:cs="Times New Roman" w:eastAsia="Times New Roman" w:hAnsi="Times New Roman"/>
          <w:sz w:val="22"/>
          <w:szCs w:val="22"/>
          <w:b w:val="1"/>
          <w:bCs w:val="1"/>
          <w:color w:val="auto"/>
        </w:rPr>
        <w:t>$100,000</w:t>
      </w:r>
      <w:r>
        <w:rPr>
          <w:rFonts w:ascii="Times New Roman" w:cs="Times New Roman" w:eastAsia="Times New Roman" w:hAnsi="Times New Roman"/>
          <w:sz w:val="22"/>
          <w:szCs w:val="22"/>
          <w:color w:val="auto"/>
        </w:rPr>
        <w:t xml:space="preserve"> as such Purchaser may request) dated the date of the Closing and registered in such Purchaser’s name (or in the name of its nominee), against delivery by such Purchaser to the Company or its order of immediately available funds in the amount of the purchase price therefor by wire transfer of immediately available funds for the account of the Company pursuant to wire instructions to be provided to the Purchasers by the Company at least five (5) Business Days prior to the Closing. If at the Closing the Company shall fail to tender such Notes to any Purchaser as provided above in this Section 3, or any of the conditions specified in Section 4 shall not have been fulfilled to such Purchaser’s satisfaction, such Purchaser shall, at its election, be relieved of all further obligations under this Agreement, without thereby waiving any rights such Purchaser may have by reason of such failure by the Company to tender such Notes or any of the conditions specified in Section 4 not having been fulfilled to such Purchaser’s satisfaction.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4. Conditions to Closing.</w:t>
      </w:r>
    </w:p>
    <w:p>
      <w:pPr>
        <w:spacing w:after="0" w:line="23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Each Purchaser’s obligation to purchase and pay for the Notes to be sold to such Purchaser at the Closing is subject to the fulfillment to such Purchaser’s satisfaction, prior to or at the Closing, of the following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369" w:right="339" w:bottom="1440" w:gutter="0" w:footer="0" w:header="0"/>
        </w:sectPr>
      </w:pPr>
    </w:p>
    <w:bookmarkStart w:id="10" w:name="page11"/>
    <w:bookmarkEnd w:id="10"/>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Each Purchaser’s obligation to purchase and pay for the Notes to be sold to such Purchaser at the Closing is subject to the fulfillment to such Purchaser’s satisfaction, prior to or at the Closing, of the following conditions:</w:t>
      </w:r>
    </w:p>
    <w:p>
      <w:pPr>
        <w:spacing w:after="0" w:line="16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4.1. Representations and Warranties. </w:t>
      </w:r>
      <w:r>
        <w:rPr>
          <w:rFonts w:ascii="Times New Roman" w:cs="Times New Roman" w:eastAsia="Times New Roman" w:hAnsi="Times New Roman"/>
          <w:sz w:val="22"/>
          <w:szCs w:val="22"/>
          <w:color w:val="auto"/>
        </w:rPr>
        <w:t>The representations and warranties of the Company in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correct when made and at the Closing.</w:t>
      </w:r>
    </w:p>
    <w:p>
      <w:pPr>
        <w:spacing w:after="0" w:line="17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4.2. Performance; No Default. </w:t>
      </w:r>
      <w:r>
        <w:rPr>
          <w:rFonts w:ascii="Times New Roman" w:cs="Times New Roman" w:eastAsia="Times New Roman" w:hAnsi="Times New Roman"/>
          <w:sz w:val="22"/>
          <w:szCs w:val="22"/>
          <w:color w:val="auto"/>
        </w:rPr>
        <w:t>The Company shall have performed and complied with all agreements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contained in this Agreement required to be performed or complied with by it prior to or at the Closing. Before and after giving effect to the issue and sale of the Notes (and the application of the proceeds thereof as contemplated by Section 5.14), no Default or Event of Default shall have occurred and be continuing.</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Section 4.3. Compliance Certificates.</w:t>
      </w:r>
    </w:p>
    <w:p>
      <w:pPr>
        <w:spacing w:after="0" w:line="233" w:lineRule="exact"/>
        <w:rPr>
          <w:sz w:val="20"/>
          <w:szCs w:val="20"/>
          <w:color w:val="auto"/>
        </w:rPr>
      </w:pPr>
    </w:p>
    <w:p>
      <w:pPr>
        <w:jc w:val="both"/>
        <w:ind w:firstLine="8"/>
        <w:spacing w:after="0" w:line="244" w:lineRule="auto"/>
        <w:tabs>
          <w:tab w:leader="none" w:pos="321"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Officer’s Certificate</w:t>
      </w:r>
      <w:r>
        <w:rPr>
          <w:rFonts w:ascii="Times New Roman" w:cs="Times New Roman" w:eastAsia="Times New Roman" w:hAnsi="Times New Roman"/>
          <w:sz w:val="22"/>
          <w:szCs w:val="22"/>
          <w:color w:val="auto"/>
        </w:rPr>
        <w:t>. The Company shall have delivered to such Purchaser an Officer’s Certificate, dated the date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Closing, certifying that the conditions specified in Sections 4.1, 4.2 and 4.9 have been fulfilled. (b) </w:t>
      </w:r>
      <w:r>
        <w:rPr>
          <w:rFonts w:ascii="Times New Roman" w:cs="Times New Roman" w:eastAsia="Times New Roman" w:hAnsi="Times New Roman"/>
          <w:sz w:val="22"/>
          <w:szCs w:val="22"/>
          <w:i w:val="1"/>
          <w:iCs w:val="1"/>
          <w:color w:val="auto"/>
        </w:rPr>
        <w:t>Secretary’s Certificate</w:t>
      </w:r>
      <w:r>
        <w:rPr>
          <w:rFonts w:ascii="Times New Roman" w:cs="Times New Roman" w:eastAsia="Times New Roman" w:hAnsi="Times New Roman"/>
          <w:sz w:val="22"/>
          <w:szCs w:val="22"/>
          <w:color w:val="auto"/>
        </w:rPr>
        <w:t>. The Company shall have delivered to such Purchaser a certificate of its Secretary or Assistant Secretary, dated the date of the Closing, certifying as to (i) the resolutions attached thereto and other corporate proceedings relating to the authorization, execution and delivery of the Notes and this Agreement and (ii) the Company’s organizational documents as then in effect.</w:t>
      </w:r>
    </w:p>
    <w:p>
      <w:pPr>
        <w:spacing w:after="0" w:line="199" w:lineRule="exact"/>
        <w:rPr>
          <w:sz w:val="20"/>
          <w:szCs w:val="20"/>
          <w:color w:val="auto"/>
        </w:rPr>
      </w:pPr>
    </w:p>
    <w:p>
      <w:pPr>
        <w:ind w:firstLine="8"/>
        <w:spacing w:after="0" w:line="275" w:lineRule="auto"/>
        <w:tabs>
          <w:tab w:leader="none" w:pos="321"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Officer’s Certificate</w:t>
      </w:r>
      <w:r>
        <w:rPr>
          <w:rFonts w:ascii="Times New Roman" w:cs="Times New Roman" w:eastAsia="Times New Roman" w:hAnsi="Times New Roman"/>
          <w:sz w:val="22"/>
          <w:szCs w:val="22"/>
          <w:color w:val="auto"/>
        </w:rPr>
        <w:t>. The Company shall have delivered to such Purchaser an Officer’s Certificate, dated the date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Closing, certifying that the conditions specified in Sections 4.1, 4.2 and 4.9 have been fulfilled.</w:t>
      </w:r>
    </w:p>
    <w:p>
      <w:pPr>
        <w:spacing w:after="0" w:line="176" w:lineRule="exact"/>
        <w:rPr>
          <w:rFonts w:ascii="Times New Roman" w:cs="Times New Roman" w:eastAsia="Times New Roman" w:hAnsi="Times New Roman"/>
          <w:sz w:val="22"/>
          <w:szCs w:val="22"/>
          <w:color w:val="auto"/>
        </w:rPr>
      </w:pPr>
    </w:p>
    <w:p>
      <w:pPr>
        <w:jc w:val="both"/>
        <w:ind w:firstLine="8"/>
        <w:spacing w:after="0" w:line="249" w:lineRule="auto"/>
        <w:tabs>
          <w:tab w:leader="none" w:pos="34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Secretary’s Certificate</w:t>
      </w:r>
      <w:r>
        <w:rPr>
          <w:rFonts w:ascii="Times New Roman" w:cs="Times New Roman" w:eastAsia="Times New Roman" w:hAnsi="Times New Roman"/>
          <w:sz w:val="22"/>
          <w:szCs w:val="22"/>
          <w:color w:val="auto"/>
        </w:rPr>
        <w:t>. The Company shall have delivered to such Purchaser a certificate of its Secretary or Assistant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Secretary, dated the date of the Closing, certifying as to (i) the resolutions attached thereto and other corporate proceedings relating to the authorization, execution and delivery of the Notes and this Agreement and (ii) the Company’s organizational documents as then in effect.</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Section 4.4. Opinions of Counsel. </w:t>
      </w:r>
      <w:r>
        <w:rPr>
          <w:rFonts w:ascii="Times New Roman" w:cs="Times New Roman" w:eastAsia="Times New Roman" w:hAnsi="Times New Roman"/>
          <w:sz w:val="21"/>
          <w:szCs w:val="21"/>
          <w:color w:val="auto"/>
        </w:rPr>
        <w:t>Such Purchaser shall have received opinions in form and substance satisfactory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Purchaser, dated the date of the Closing (a) from Fox Rothschild LLP, counsel for the Company, covering the matters set forth in Schedule 4.4(a) and covering such other matters incident to the transactions contemplated hereby as such Purchaser or its counsel may reasonably request (and the Company hereby instructs its counsel to deliver such opinion to the Purchasers) and (b) from Chapman and Cutler LLP, the Purchasers’ special counsel in connection with such transactions, substantially in the form set forth in Schedule 4.4(b) and covering such other matters incident to such transactions as such Purchaser may reasonably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369" w:right="339" w:bottom="1440" w:gutter="0" w:footer="0" w:header="0"/>
        </w:sectPr>
      </w:pPr>
    </w:p>
    <w:bookmarkStart w:id="11" w:name="page12"/>
    <w:bookmarkEnd w:id="11"/>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Section 4.5. Purchase Permitted By Applicable Law, Etc. </w:t>
      </w:r>
      <w:r>
        <w:rPr>
          <w:rFonts w:ascii="Times New Roman" w:cs="Times New Roman" w:eastAsia="Times New Roman" w:hAnsi="Times New Roman"/>
          <w:sz w:val="22"/>
          <w:szCs w:val="22"/>
          <w:color w:val="auto"/>
        </w:rPr>
        <w:t>On the date of the Closing such Purchaser’s purchase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Notes shall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Regulation T, U or X of the Board of Governors of the Federal Reserve System) and (c) not subject such Purchaser to any tax, penalty or liability under or pursuant to any applicable law or regulation, which law or regulation was not in effect on the date hereof. If requested by such Purchaser at least five Business Days prior to the date of the Closing, such Purchaser shall have received an Officer’s Certificate certifying as to such matters of fact as such Purchaser may reasonably specify to enable such Purchaser to determine whether such purchase is so permitted.</w:t>
      </w:r>
    </w:p>
    <w:p>
      <w:pPr>
        <w:spacing w:after="0" w:line="196"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4.6. Sale of Other Notes. </w:t>
      </w:r>
      <w:r>
        <w:rPr>
          <w:rFonts w:ascii="Times New Roman" w:cs="Times New Roman" w:eastAsia="Times New Roman" w:hAnsi="Times New Roman"/>
          <w:sz w:val="22"/>
          <w:szCs w:val="22"/>
          <w:color w:val="auto"/>
        </w:rPr>
        <w:t>Contemporaneously with the Closing the Company shall sell to each other Purchaser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each other Purchaser shall purchase the Notes to be purchased by it at the Closing as specified in the Purchaser Schedule.</w:t>
      </w:r>
    </w:p>
    <w:p>
      <w:pPr>
        <w:spacing w:after="0" w:line="17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4.7. Payment of Special Counsel Fees. </w:t>
      </w:r>
      <w:r>
        <w:rPr>
          <w:rFonts w:ascii="Times New Roman" w:cs="Times New Roman" w:eastAsia="Times New Roman" w:hAnsi="Times New Roman"/>
          <w:sz w:val="22"/>
          <w:szCs w:val="22"/>
          <w:color w:val="auto"/>
        </w:rPr>
        <w:t>Without limiting Section 15.1, the Company shall have paid on or before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Closing the reasonable and documented fees, charges and disbursements of the Purchasers’ special counsel referred to in Section 4.4 to the extent reflected in a statement of such counsel rendered to the Company at least one Business Day prior to the Closing.</w:t>
      </w:r>
    </w:p>
    <w:p>
      <w:pPr>
        <w:spacing w:after="0" w:line="3"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Section 4.8. Private Placement Number. </w:t>
      </w:r>
      <w:r>
        <w:rPr>
          <w:rFonts w:ascii="Times New Roman" w:cs="Times New Roman" w:eastAsia="Times New Roman" w:hAnsi="Times New Roman"/>
          <w:sz w:val="22"/>
          <w:szCs w:val="22"/>
          <w:color w:val="auto"/>
        </w:rPr>
        <w:t>A Private Placement Number issued by the PPN CUSIP Unit of CUSIP Global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Services (in cooperation with the SVO) shall have been obtained for the Notes.</w:t>
      </w:r>
    </w:p>
    <w:p>
      <w:pPr>
        <w:spacing w:after="0" w:line="21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4.9. Changes in Corporate Structure. </w:t>
      </w:r>
      <w:r>
        <w:rPr>
          <w:rFonts w:ascii="Times New Roman" w:cs="Times New Roman" w:eastAsia="Times New Roman" w:hAnsi="Times New Roman"/>
          <w:sz w:val="22"/>
          <w:szCs w:val="22"/>
          <w:color w:val="auto"/>
        </w:rPr>
        <w:t>The Company shall not have changed its jurisdiction of incorporation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organization, as applicable, or been a party to any merger or consolidation or succeeded to all or any substantial part of the liabilities of any other entity, at any time following the date of the most recent financial statements referred to in Schedule 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369" w:right="339" w:bottom="1440" w:gutter="0" w:footer="0" w:header="0"/>
        </w:sectPr>
      </w:pPr>
    </w:p>
    <w:bookmarkStart w:id="12" w:name="page13"/>
    <w:bookmarkEnd w:id="12"/>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Section 4.10. Funding Instructions. </w:t>
      </w:r>
      <w:r>
        <w:rPr>
          <w:rFonts w:ascii="Times New Roman" w:cs="Times New Roman" w:eastAsia="Times New Roman" w:hAnsi="Times New Roman"/>
          <w:sz w:val="22"/>
          <w:szCs w:val="22"/>
          <w:color w:val="auto"/>
        </w:rPr>
        <w:t>At least five (5) Business Days prior to the Closing Date, each Purchaser shall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received written instructions signed by a Responsible Officer on letterhead of the Company confirming the information specified in Section 3 including (a) the name and address of the transferee bank, (b) such transferee bank’s ABA number/Swift Code/IBAN, and (c) the account name and number into which the purchase price for the Notes is to be deposited, which account shall be fully opened and able to receive micro deposits in accordance with this Section at least five (5) Business Days prior to the Closing Date. Each Purchaser has the right, but not the obligation, upon written notice (which may be by email) to the Company, to elect to deliver a micro deposit (less than $51.00) to the account identified in the written instructions no later than two (2) Business Days prior to the Closing Date. If a Purchaser delivers a micro deposit, a Responsible Officer must verbally verify the receipt and amount of the micro deposit to such Purchaser on a telephone call initiated by such Purchaser prior to the Closing Date. The Company shall not be obligated to return the amount of the micro deposit, nor will the amount of the micro deposit be netted against the Purchaser’s purchase price of the Notes.</w:t>
      </w:r>
    </w:p>
    <w:p>
      <w:pPr>
        <w:spacing w:after="0" w:line="21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4.11. Proceedings and Documents. </w:t>
      </w:r>
      <w:r>
        <w:rPr>
          <w:rFonts w:ascii="Times New Roman" w:cs="Times New Roman" w:eastAsia="Times New Roman" w:hAnsi="Times New Roman"/>
          <w:sz w:val="22"/>
          <w:szCs w:val="22"/>
          <w:color w:val="auto"/>
        </w:rPr>
        <w:t>All corporate and other proceedings in connection with the transactions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contemplated by this Agreement and all documents and instruments incident to such transactions shall be satisfactory to such Purchaser and its special counsel, and such Purchaser and its special counsel shall have received all such counterpart originals or certified or other copies of such documents as such Purchaser or such special counsel may reasonably request.</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4.12. MFL Notice. </w:t>
      </w:r>
      <w:r>
        <w:rPr>
          <w:rFonts w:ascii="Times New Roman" w:cs="Times New Roman" w:eastAsia="Times New Roman" w:hAnsi="Times New Roman"/>
          <w:sz w:val="22"/>
          <w:szCs w:val="22"/>
          <w:color w:val="auto"/>
        </w:rPr>
        <w:t>The Company shall deliver, or cause to be delivered, to each Purchaser a Most Favored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Lender Notice at Closing indicating any More Favorable Covenants which shall be incorporated herein as of the date of Closing pursuant to Section 10.11 hereof, including the text of such More Favorable Covenant and applicable definitions.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5. Representations and Warranties of the Company.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represents and warrants to each Purchaser that:</w:t>
      </w:r>
    </w:p>
    <w:p>
      <w:pPr>
        <w:spacing w:after="0" w:line="21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Section 5.1. Organization; Power and Authority. </w:t>
      </w:r>
      <w:r>
        <w:rPr>
          <w:rFonts w:ascii="Times New Roman" w:cs="Times New Roman" w:eastAsia="Times New Roman" w:hAnsi="Times New Roman"/>
          <w:sz w:val="22"/>
          <w:szCs w:val="22"/>
          <w:color w:val="auto"/>
        </w:rPr>
        <w:t>The Company is a corporation duly organized, validly existing and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good standing under the laws of its jurisdiction of incorporation, and is duly qualified as a foreign corporation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to execute and deliver this Agreement and the Notes and to perform the provisions hereof and thereof.</w:t>
      </w:r>
    </w:p>
    <w:p>
      <w:pPr>
        <w:spacing w:after="0" w:line="2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5.2. Authorization, Etc. </w:t>
      </w:r>
      <w:r>
        <w:rPr>
          <w:rFonts w:ascii="Times New Roman" w:cs="Times New Roman" w:eastAsia="Times New Roman" w:hAnsi="Times New Roman"/>
          <w:sz w:val="22"/>
          <w:szCs w:val="22"/>
          <w:color w:val="auto"/>
        </w:rPr>
        <w:t>This Agreement and the Notes have been duly authorized by all necessary corporate action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 of the Company, and this Agreement constitutes, and upon execution and delivery thereof each Note will constitute, a legal, valid and binding obligation of the Company enforceable against the Company in accordance with its terms, except as such enforceability may be limited by (i) applicable bankruptcy, insolvency,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369" w:right="339" w:bottom="1440" w:gutter="0" w:footer="0" w:header="0"/>
        </w:sectPr>
      </w:pPr>
    </w:p>
    <w:bookmarkStart w:id="13" w:name="page14"/>
    <w:bookmarkEnd w:id="13"/>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reorganization, moratorium or other similar laws affecting the enforcement of creditors’ rights generally and (ii) general principles of equity (regardless of whether such enforceability is considered in a proceeding in equity or at law).</w:t>
      </w:r>
    </w:p>
    <w:p>
      <w:pPr>
        <w:spacing w:after="0" w:line="16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Section 5.3. Disclosure. </w:t>
      </w:r>
      <w:r>
        <w:rPr>
          <w:rFonts w:ascii="Times New Roman" w:cs="Times New Roman" w:eastAsia="Times New Roman" w:hAnsi="Times New Roman"/>
          <w:sz w:val="22"/>
          <w:szCs w:val="22"/>
          <w:color w:val="auto"/>
        </w:rPr>
        <w:t>The Disclosure Documents fairly describe, in all material respects, the general nature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business of the Company and its Subsidiaries. This Agreement, the financial statements listed in Schedule 5.5, and the documents, certificates or other writings delivered to the Purchasers by or on behalf of the Company prior to July 31, 2025 in connection with the transactions contemplated hereby and identified in Schedule 5.3 (this Agreement, and such documents, certificates or other writings and such financial statements delivered to each Purchaser being referred to, collectively, as the </w:t>
      </w:r>
      <w:r>
        <w:rPr>
          <w:rFonts w:ascii="Times New Roman" w:cs="Times New Roman" w:eastAsia="Times New Roman" w:hAnsi="Times New Roman"/>
          <w:sz w:val="22"/>
          <w:szCs w:val="22"/>
          <w:b w:val="1"/>
          <w:bCs w:val="1"/>
          <w:color w:val="auto"/>
        </w:rPr>
        <w:t>“Disclosure Documents”</w:t>
      </w:r>
      <w:r>
        <w:rPr>
          <w:rFonts w:ascii="Times New Roman" w:cs="Times New Roman" w:eastAsia="Times New Roman" w:hAnsi="Times New Roman"/>
          <w:sz w:val="22"/>
          <w:szCs w:val="22"/>
          <w:color w:val="auto"/>
        </w:rPr>
        <w:t>), taken as a whole, do not contain any untrue statement of a material fact or omit to state any 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fact necessary to make the statements therein not misleading in light of the circumstances under which they were made;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any projections, estimates and other forward looking information, the Company represents only that such information was prepared in good faith based upon assumptions believed to be reasonable at the time. Except as disclosed in the Disclosure Documents, since October 31, 2024, there has been no change in the financial condition, operations, business, properties of the Company or any Subsidiary except changes that could not, individually or in the aggregate, reasonably be expected to have a Material Adverse Effect. There is no fact known to the Company that could reasonably be expected to have a Material Adverse Effect that has not been set forth herein or in the Disclosure Documents.</w:t>
      </w:r>
    </w:p>
    <w:p>
      <w:pPr>
        <w:spacing w:after="0" w:line="2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5.4. Organization and Ownership of Shares of Subsidiaries; Affiliates. </w:t>
      </w:r>
      <w:r>
        <w:rPr>
          <w:rFonts w:ascii="Times New Roman" w:cs="Times New Roman" w:eastAsia="Times New Roman" w:hAnsi="Times New Roman"/>
          <w:sz w:val="22"/>
          <w:szCs w:val="22"/>
          <w:color w:val="auto"/>
        </w:rPr>
        <w:t>(a) Schedule 5.4 contains (except as noted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therein) complete and correct lists of (i) the Company’s Subsidiaries, showing, as to each Subsidiary, the name thereof, the jurisdiction of its organization, the percentage of shares of each class of its capital stock or similar equity interests outstanding owned by the Company and each other Subsidiary and whether such Subsidiary is a Subsidiary Guarantor and (ii) the Company’s directors and executive officers as of the date of this Agreement.</w:t>
      </w:r>
    </w:p>
    <w:p>
      <w:pPr>
        <w:spacing w:after="0" w:line="195" w:lineRule="exact"/>
        <w:rPr>
          <w:sz w:val="20"/>
          <w:szCs w:val="20"/>
          <w:color w:val="auto"/>
        </w:rPr>
      </w:pPr>
    </w:p>
    <w:p>
      <w:pPr>
        <w:jc w:val="both"/>
        <w:ind w:firstLine="8"/>
        <w:spacing w:after="0" w:line="265" w:lineRule="exact"/>
        <w:tabs>
          <w:tab w:leader="none" w:pos="31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outstanding shares of capital stock or similar equity interests of each Subsidiary shown in Schedule 5.4 as being owned by the Company and its Subsidiaries have been validly issued, are fully paid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assessable and are owned by the Company or another Subsidiary free and clear of any Lien that is prohibited by this Agreement.</w:t>
      </w:r>
    </w:p>
    <w:p>
      <w:pPr>
        <w:spacing w:after="0" w:line="218" w:lineRule="exact"/>
        <w:rPr>
          <w:rFonts w:ascii="Times New Roman" w:cs="Times New Roman" w:eastAsia="Times New Roman" w:hAnsi="Times New Roman"/>
          <w:sz w:val="22"/>
          <w:szCs w:val="22"/>
          <w:color w:val="auto"/>
        </w:rPr>
      </w:pPr>
    </w:p>
    <w:p>
      <w:pPr>
        <w:jc w:val="both"/>
        <w:ind w:firstLine="8"/>
        <w:spacing w:after="0" w:line="243" w:lineRule="auto"/>
        <w:tabs>
          <w:tab w:leader="none" w:pos="29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Subsidiary is a corporation or other legal entity duly organized, validly existing and, where applicable, in good standing under the laws of its jurisdiction of organization, and is, where applicable, duly qualified as a foreign corporation or other legal entity and, where applicable,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 except to such extent that could not, individually or in the aggregate,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369" w:right="339" w:bottom="1440" w:gutter="0" w:footer="0" w:header="0"/>
        </w:sectPr>
      </w:pPr>
    </w:p>
    <w:bookmarkStart w:id="14" w:name="page15"/>
    <w:bookmarkEnd w:id="14"/>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8"/>
        <w:spacing w:after="0" w:line="248" w:lineRule="auto"/>
        <w:tabs>
          <w:tab w:leader="none" w:pos="30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Subsidiary is subject to any legal, regulatory, contractual or other restriction (other than the agreements listed on Schedule 5.4 and limitations imposed by applicable law rule or regulation) restricting the ability of such Subsidiary to pay dividends out of profits or make any other similar distributions of profits to the Company or any of its Subsidiaries that owns outstanding shares of capital stock or similar equity interests of such Subsidiary.</w:t>
      </w:r>
    </w:p>
    <w:p>
      <w:pPr>
        <w:spacing w:after="0" w:line="206" w:lineRule="exact"/>
        <w:rPr>
          <w:sz w:val="20"/>
          <w:szCs w:val="20"/>
          <w:color w:val="auto"/>
        </w:rPr>
      </w:pPr>
    </w:p>
    <w:p>
      <w:pPr>
        <w:jc w:val="both"/>
        <w:spacing w:after="0" w:line="257" w:lineRule="exact"/>
        <w:rPr>
          <w:sz w:val="20"/>
          <w:szCs w:val="20"/>
          <w:color w:val="auto"/>
        </w:rPr>
      </w:pPr>
      <w:r>
        <w:rPr>
          <w:rFonts w:ascii="Times New Roman" w:cs="Times New Roman" w:eastAsia="Times New Roman" w:hAnsi="Times New Roman"/>
          <w:sz w:val="22"/>
          <w:szCs w:val="22"/>
          <w:b w:val="1"/>
          <w:bCs w:val="1"/>
          <w:color w:val="auto"/>
        </w:rPr>
        <w:t xml:space="preserve">Section 5.5. Financial Statements; Material Liabilities. </w:t>
      </w:r>
      <w:r>
        <w:rPr>
          <w:rFonts w:ascii="Times New Roman" w:cs="Times New Roman" w:eastAsia="Times New Roman" w:hAnsi="Times New Roman"/>
          <w:sz w:val="22"/>
          <w:szCs w:val="22"/>
          <w:color w:val="auto"/>
        </w:rPr>
        <w:t>The Company has delivered to each Purchaser copies of the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statements of the Company and its Subsidiaries listed on Schedule 5.5 (it being understood the filing of such financial statements with the EDGAR Next filing system on the Securities and Exchange Commission website constitutes delivery). All of such financial statements (including in each case the related schedules and notes) fairly present in all material respects the consolidated financial position of the Company and its Subsidiaries as of the respective dates specified in such Schedule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end adjustments). The Company and its Subsidiaries do not have any Material liabilities that are not disclosed in the Disclosure Documents.</w:t>
      </w:r>
    </w:p>
    <w:p>
      <w:pPr>
        <w:spacing w:after="0" w:line="206" w:lineRule="exact"/>
        <w:rPr>
          <w:sz w:val="20"/>
          <w:szCs w:val="20"/>
          <w:color w:val="auto"/>
        </w:rPr>
      </w:pPr>
    </w:p>
    <w:p>
      <w:pPr>
        <w:jc w:val="both"/>
        <w:spacing w:after="0" w:line="257" w:lineRule="exact"/>
        <w:rPr>
          <w:sz w:val="20"/>
          <w:szCs w:val="20"/>
          <w:color w:val="auto"/>
        </w:rPr>
      </w:pPr>
      <w:r>
        <w:rPr>
          <w:rFonts w:ascii="Times New Roman" w:cs="Times New Roman" w:eastAsia="Times New Roman" w:hAnsi="Times New Roman"/>
          <w:sz w:val="22"/>
          <w:szCs w:val="22"/>
          <w:b w:val="1"/>
          <w:bCs w:val="1"/>
          <w:color w:val="auto"/>
        </w:rPr>
        <w:t xml:space="preserve">Section 5.6. Compliance with Laws, Other Instruments, Etc. </w:t>
      </w:r>
      <w:r>
        <w:rPr>
          <w:rFonts w:ascii="Times New Roman" w:cs="Times New Roman" w:eastAsia="Times New Roman" w:hAnsi="Times New Roman"/>
          <w:sz w:val="22"/>
          <w:szCs w:val="22"/>
          <w:color w:val="auto"/>
        </w:rPr>
        <w:t>The execution, delivery and performance by the Company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the Notes will not (i) contravene, result in any breach of, or constitute a default under, or result in the creation of any Lien in respect of any property of the Company or any Subsidiary under, any indenture, mortgage, deed of trust, loan, purchase or credit agreement, lease, corporate charter, regulations or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shareholders agreement or any other agreement or instrument to which the Company or any Subsidiary is bound or by which the Company or any Subsidiary or any of their respective properties may be bound or affected, except as would not be Material, (ii) conflict with or result in a breach of any of the terms, conditions or provisions of any order, judgment, decree or ruling of any court, arbitrator or Governmental Authority applicable to the Company or any Subsidiary or (iii) violate any provision of any statute or other rule or regulation of any Governmental Authority applicable to the Company or any Subsidiary.</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5.7. Governmental Authorizations, Etc. </w:t>
      </w:r>
      <w:r>
        <w:rPr>
          <w:rFonts w:ascii="Times New Roman" w:cs="Times New Roman" w:eastAsia="Times New Roman" w:hAnsi="Times New Roman"/>
          <w:sz w:val="22"/>
          <w:szCs w:val="22"/>
          <w:color w:val="auto"/>
        </w:rPr>
        <w:t>No consent, approval or authorization of, or registration, filing or declaration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any Governmental Authority is required in connection with the execution, delivery or performance by the Company of this Agreement or the Notes, except for any Form 8-K filing that is required by the Company upon execution of this Agreement or other filings with the SEC to comply with the Company’s disclosure obligations under the Exchange Act.</w:t>
      </w:r>
    </w:p>
    <w:p>
      <w:pPr>
        <w:spacing w:after="0" w:line="2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Section 5.8. Litigation; Observance of Agreements, Statutes and Orders. </w:t>
      </w:r>
      <w:r>
        <w:rPr>
          <w:rFonts w:ascii="Times New Roman" w:cs="Times New Roman" w:eastAsia="Times New Roman" w:hAnsi="Times New Roman"/>
          <w:sz w:val="21"/>
          <w:szCs w:val="21"/>
          <w:color w:val="auto"/>
        </w:rPr>
        <w:t>(a) There are no actions, suits, investigations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proceedings pending or, to the best knowledge of the Company, threatened in writing against or affecting the Company or any Subsidiary or any property of the Company or any Subsidiary in any court or before any arbitrator of any kind or before or by any Governmental Authority that could, individually or in the aggregate,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369" w:right="339" w:bottom="1440" w:gutter="0" w:footer="0" w:header="0"/>
        </w:sectPr>
      </w:pPr>
    </w:p>
    <w:bookmarkStart w:id="15" w:name="page16"/>
    <w:bookmarkEnd w:id="15"/>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8"/>
        <w:spacing w:after="0" w:line="261" w:lineRule="auto"/>
        <w:tabs>
          <w:tab w:leader="none" w:pos="306"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any Subsidiary is (i) in default under any agreement or instrument to which it is a party or by which it is bound, (ii) in violation of any order, judgment, decree or ruling of any court, any arbitrator of any kind or any Governmental Authority or (iii) in violation of any applicable law, ordinance, rule or regulation of any Governmental Authority (including Environmental Laws, the USA PATRIOT Act or any of the other laws and regulations that are referred to in Section 5.16), which default or violation could, individually or in the aggregate, reasonably be expected to have a Material Adverse Effect.</w:t>
      </w:r>
    </w:p>
    <w:p>
      <w:pPr>
        <w:spacing w:after="0" w:line="1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Section 5.9. Taxes. </w:t>
      </w:r>
      <w:r>
        <w:rPr>
          <w:rFonts w:ascii="Times New Roman" w:cs="Times New Roman" w:eastAsia="Times New Roman" w:hAnsi="Times New Roman"/>
          <w:sz w:val="21"/>
          <w:szCs w:val="21"/>
          <w:color w:val="auto"/>
        </w:rPr>
        <w:t>The Company and its Subsidiaries have filed all tax returns that are required to have been filed in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jurisdiction, and have paid all taxes shown to be due and payable on such returns and all other taxes and assessments levied upon them or their properties, assets, income or franchises, to the extent such taxes and assessments have become due and payable and before they have become delinquent, except for any taxes and assessments (i) the amount of which, individually or in the aggregate, is not Material or (ii) the amount, applicability or validity of which is currently being contested in good faith by appropriate proceedings and with respect to which the Company or a Subsidiary, as the case may be, has established adequate reserves in accordance with GAAP. The Company knows of no basis for any other tax or assessment that could, individually or in the aggregate, reasonably be expected to have a Material Adverse Effect. The charges, accruals and reserves on the books of the Company and its Subsidiaries in respect of U.S. federal, state or other taxes for all fiscal periods are adequate. The U.S. federal income tax liabilities of the Company and its Subsidiaries have been finally determined (whether by reason of completed audits or the statute of limitations having run) for all fiscal years up to and including the fiscal year ended October 31, 2022.</w:t>
      </w:r>
    </w:p>
    <w:p>
      <w:pPr>
        <w:spacing w:after="0" w:line="20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Section 5.10. Title to Property; Leases. </w:t>
      </w:r>
      <w:r>
        <w:rPr>
          <w:rFonts w:ascii="Times New Roman" w:cs="Times New Roman" w:eastAsia="Times New Roman" w:hAnsi="Times New Roman"/>
          <w:sz w:val="22"/>
          <w:szCs w:val="22"/>
          <w:color w:val="auto"/>
        </w:rPr>
        <w:t>The Company and its Subsidiaries have good and sufficient title to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properties, including all such properties reflected in the most recent audited balance sheet referred to in Section 5.5 or purported to have been acquired by the Company or any Subsidiary after such date (except as sold or otherwise disposed of in the ordinary course of business), except for those defects in title that could not, individually or in the aggregate, reasonably be expected have a Material Adverse Effect, in each case free and clear of Liens prohibited by this Agreement. All leases that individually or in the aggregate are Material are valid and subsisting and are in full force and effect in all material respects.</w:t>
      </w:r>
    </w:p>
    <w:p>
      <w:pPr>
        <w:spacing w:after="0" w:line="21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Section 5.11. Licenses, Permits, Etc. </w:t>
      </w:r>
      <w:r>
        <w:rPr>
          <w:rFonts w:ascii="Times New Roman" w:cs="Times New Roman" w:eastAsia="Times New Roman" w:hAnsi="Times New Roman"/>
          <w:sz w:val="22"/>
          <w:szCs w:val="22"/>
          <w:color w:val="auto"/>
        </w:rPr>
        <w:t>(a) The Company and its Subsidiaries own, license, possess or otherwise have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use licenses, permits, franchises, authorizations, patents, copyrights, proprietary software, service marks, trademarks and trade names, or rights thereto (collectively, “</w:t>
      </w:r>
      <w:r>
        <w:rPr>
          <w:rFonts w:ascii="Times New Roman" w:cs="Times New Roman" w:eastAsia="Times New Roman" w:hAnsi="Times New Roman"/>
          <w:sz w:val="22"/>
          <w:szCs w:val="22"/>
          <w:b w:val="1"/>
          <w:bCs w:val="1"/>
          <w:color w:val="auto"/>
        </w:rPr>
        <w:t>Intellectual Property</w:t>
      </w:r>
      <w:r>
        <w:rPr>
          <w:rFonts w:ascii="Times New Roman" w:cs="Times New Roman" w:eastAsia="Times New Roman" w:hAnsi="Times New Roman"/>
          <w:sz w:val="22"/>
          <w:szCs w:val="22"/>
          <w:color w:val="auto"/>
        </w:rPr>
        <w:t>”), that individually or in the aggregate are Material. Except as could not, individually or in the aggregate, reasonably be expected to have a Material Adverse Effect, the Company’s and its Subsidiaries’ ownership, license, possession or other right to use Intellectual Property is without known conflict with the rights of others.</w:t>
      </w:r>
    </w:p>
    <w:p>
      <w:pPr>
        <w:spacing w:after="0" w:line="216" w:lineRule="exact"/>
        <w:rPr>
          <w:sz w:val="20"/>
          <w:szCs w:val="20"/>
          <w:color w:val="auto"/>
        </w:rPr>
      </w:pPr>
    </w:p>
    <w:p>
      <w:pPr>
        <w:jc w:val="both"/>
        <w:ind w:firstLine="8"/>
        <w:spacing w:after="0" w:line="257" w:lineRule="auto"/>
        <w:tabs>
          <w:tab w:leader="none" w:pos="34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product or service of the Company or any of its Subsidiaries infringes in any material respect any license, permit, franchise, authorization, patent, copyright, proprietary software, service mark, trademark, trade name or other right owned by any other Person that could, individually or in the aggregate, reasonably be expected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369" w:right="339" w:bottom="1440" w:gutter="0" w:footer="0" w:header="0"/>
        </w:sectPr>
      </w:pPr>
    </w:p>
    <w:bookmarkStart w:id="16" w:name="page17"/>
    <w:bookmarkEnd w:id="16"/>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8"/>
        <w:spacing w:after="0" w:line="248" w:lineRule="auto"/>
        <w:tabs>
          <w:tab w:leader="none" w:pos="29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violation by any Person of any right of the Company or any of its Subsidiaries with respect to any license, permit, franchise, authorization, patent, copyright, proprietary software, service mark, trademark, trade name or other right owned or used by the Company or any of its Subsidiaries that could, individually or in the aggregate, reasonably be expected have a Material Adverse Effect.</w:t>
      </w:r>
    </w:p>
    <w:p>
      <w:pPr>
        <w:spacing w:after="0" w:line="20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Section 5.12. Compliance with Employee Benefit Plans. </w:t>
      </w:r>
      <w:r>
        <w:rPr>
          <w:rFonts w:ascii="Times New Roman" w:cs="Times New Roman" w:eastAsia="Times New Roman" w:hAnsi="Times New Roman"/>
          <w:sz w:val="22"/>
          <w:szCs w:val="22"/>
          <w:color w:val="auto"/>
        </w:rPr>
        <w:t>(a) The Company and each ERISA Affiliate have operated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administered each Plan in compliance with all applicable laws except for such instances of noncompliance as have not resulted in and could not, individually or in the aggregate, reasonably be expected to result in a Material Adverse Effect. Except for such liabilities and Liens as could not, individually or in the aggregate,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could, individually or in the aggregate,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section 430(k) of the Code or to any such penalty or excise tax provisions under the Code or federal law or section 4068 of ERISA or by the granting of a security interest in connection with the amendment of a Plan.</w:t>
      </w:r>
    </w:p>
    <w:p>
      <w:pPr>
        <w:spacing w:after="0" w:line="222" w:lineRule="exact"/>
        <w:rPr>
          <w:sz w:val="20"/>
          <w:szCs w:val="20"/>
          <w:color w:val="auto"/>
        </w:rPr>
      </w:pPr>
    </w:p>
    <w:p>
      <w:pPr>
        <w:jc w:val="both"/>
        <w:ind w:firstLine="8"/>
        <w:spacing w:after="0" w:line="257" w:lineRule="exact"/>
        <w:tabs>
          <w:tab w:leader="none" w:pos="319"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could not, individually or in the aggregate, reasonably be expected to result in a Material Adverse Effect, (i) the present value of the aggregate benefit liabilities under each of the Plans (other than Multiemployer Plans), determined as of the end of each such Plan’s most recently ended plan year on the basis of the actuarial assumptions specified for funding purposes in such Plan’s most recent actuarial valuation report, did not exceed the aggregate current value of the assets of such Plan allocable to such benefit liabilities and (ii) the present value of the accrued benefit liabilities (whether or not vested) under each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Plan that is funded, determined as of the end of the Company’s most recently ended fiscal year on the basis of reasonable actuarial assumptions, did not exceed the current value of the assets of such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U.S. Plan allocable to such benefit liabilities. The term </w:t>
      </w:r>
      <w:r>
        <w:rPr>
          <w:rFonts w:ascii="Times New Roman" w:cs="Times New Roman" w:eastAsia="Times New Roman" w:hAnsi="Times New Roman"/>
          <w:sz w:val="22"/>
          <w:szCs w:val="22"/>
          <w:b w:val="1"/>
          <w:bCs w:val="1"/>
          <w:color w:val="auto"/>
        </w:rPr>
        <w:t>“benefit liabilities”</w:t>
      </w:r>
      <w:r>
        <w:rPr>
          <w:rFonts w:ascii="Times New Roman" w:cs="Times New Roman" w:eastAsia="Times New Roman" w:hAnsi="Times New Roman"/>
          <w:sz w:val="22"/>
          <w:szCs w:val="22"/>
          <w:color w:val="auto"/>
        </w:rPr>
        <w:t xml:space="preserve"> has the meaning specified in section 4001 of ERISA and the terms </w:t>
      </w:r>
      <w:r>
        <w:rPr>
          <w:rFonts w:ascii="Times New Roman" w:cs="Times New Roman" w:eastAsia="Times New Roman" w:hAnsi="Times New Roman"/>
          <w:sz w:val="22"/>
          <w:szCs w:val="22"/>
          <w:b w:val="1"/>
          <w:bCs w:val="1"/>
          <w:color w:val="auto"/>
        </w:rPr>
        <w:t>“current value”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“present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value” </w:t>
      </w:r>
      <w:r>
        <w:rPr>
          <w:rFonts w:ascii="Times New Roman" w:cs="Times New Roman" w:eastAsia="Times New Roman" w:hAnsi="Times New Roman"/>
          <w:sz w:val="22"/>
          <w:szCs w:val="22"/>
          <w:color w:val="auto"/>
        </w:rPr>
        <w:t>have the meaning specified in section 3 of ERISA.</w:t>
      </w:r>
    </w:p>
    <w:p>
      <w:pPr>
        <w:spacing w:after="0" w:line="205" w:lineRule="exact"/>
        <w:rPr>
          <w:rFonts w:ascii="Times New Roman" w:cs="Times New Roman" w:eastAsia="Times New Roman" w:hAnsi="Times New Roman"/>
          <w:sz w:val="22"/>
          <w:szCs w:val="22"/>
          <w:color w:val="auto"/>
        </w:rPr>
      </w:pPr>
    </w:p>
    <w:p>
      <w:pPr>
        <w:jc w:val="both"/>
        <w:ind w:firstLine="8"/>
        <w:spacing w:after="0" w:line="248" w:lineRule="auto"/>
        <w:tabs>
          <w:tab w:leader="none" w:pos="321"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could not, individually or in the aggregate reasonably be expected to result in a Material Adverse Effect, the Company and its ERISA Affiliates have not incurred (i) withdrawal liabilities (and are not subject to contingent withdrawal liabilities) under section 4201 or 4204 of ERISA in respect of Multiemployer Plans or (ii) any obligation in connection with the termination of or withdrawal from any Non-U.S. Plan.</w:t>
      </w:r>
    </w:p>
    <w:p>
      <w:pPr>
        <w:spacing w:after="0" w:line="209" w:lineRule="exact"/>
        <w:rPr>
          <w:rFonts w:ascii="Times New Roman" w:cs="Times New Roman" w:eastAsia="Times New Roman" w:hAnsi="Times New Roman"/>
          <w:sz w:val="22"/>
          <w:szCs w:val="22"/>
          <w:color w:val="auto"/>
        </w:rPr>
      </w:pPr>
    </w:p>
    <w:p>
      <w:pPr>
        <w:jc w:val="both"/>
        <w:ind w:firstLine="8"/>
        <w:spacing w:after="0" w:line="276" w:lineRule="exact"/>
        <w:tabs>
          <w:tab w:leader="none" w:pos="319"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do not have any postretirement benefit obligation (determined as of the last day of the Company’s most recently ended fiscal year in accordance with Financial Accounting Standards Board Accounting Standards Codification Topic 715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60, without regard to liabilities attributable to continuation coverage mandated by section 4980B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369" w:right="339" w:bottom="1440" w:gutter="0" w:footer="0" w:header="0"/>
        </w:sectPr>
      </w:pPr>
    </w:p>
    <w:bookmarkStart w:id="17" w:name="page18"/>
    <w:bookmarkEnd w:id="17"/>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Code) of the Company and its Subsidiaries, except as could not, individually or in the aggregate, reasonably be expected to result in a Material Adverse Effect.</w:t>
      </w:r>
    </w:p>
    <w:p>
      <w:pPr>
        <w:spacing w:after="0" w:line="171" w:lineRule="exact"/>
        <w:rPr>
          <w:sz w:val="20"/>
          <w:szCs w:val="20"/>
          <w:color w:val="auto"/>
        </w:rPr>
      </w:pPr>
    </w:p>
    <w:p>
      <w:pPr>
        <w:jc w:val="both"/>
        <w:ind w:firstLine="8"/>
        <w:spacing w:after="0" w:line="259" w:lineRule="exact"/>
        <w:tabs>
          <w:tab w:leader="none" w:pos="33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and delivery of this Agreement and the issuance and sale of the Notes hereunder will not involve any transaction that is subject to the prohibitions of section 406 of ERISA or in connection with which a tax could be imposed pursuant to section 4975(c)(1)(A)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 of the Code. The representation by the Company to each Purchaser in the first sentence of this Section 5.12(e) is made in reliance upon and subject to the accuracy of such Purchaser’s representation in Section 6.2 as to the sources of the funds to be used to pay the purchase price of the Notes to be purchased by such Purchaser.</w:t>
      </w:r>
    </w:p>
    <w:p>
      <w:pPr>
        <w:spacing w:after="0" w:line="172" w:lineRule="exact"/>
        <w:rPr>
          <w:rFonts w:ascii="Times New Roman" w:cs="Times New Roman" w:eastAsia="Times New Roman" w:hAnsi="Times New Roman"/>
          <w:sz w:val="22"/>
          <w:szCs w:val="22"/>
          <w:color w:val="auto"/>
        </w:rPr>
      </w:pPr>
    </w:p>
    <w:p>
      <w:pPr>
        <w:jc w:val="both"/>
        <w:ind w:firstLine="8"/>
        <w:spacing w:after="0" w:line="268" w:lineRule="exact"/>
        <w:tabs>
          <w:tab w:leader="none" w:pos="27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Plans have been established, operated, administered and maintained in compliance with all laws, regulations and orders applicable thereto, except where failure so to comply could not be reasonably expected to have a Material Adverse Effect. All premiums, contributions and any other amounts required by applicable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Plan documents or applicable laws to be paid or accrued by the Company and its Subsidiaries have been paid or accrued as required, except where failure so to pay or accrue could not be reasonably expected to have a Material Adverse Effect.</w:t>
      </w:r>
    </w:p>
    <w:p>
      <w:pPr>
        <w:spacing w:after="0" w:line="21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Section 5.13. Private Offering by the Company. </w:t>
      </w:r>
      <w:r>
        <w:rPr>
          <w:rFonts w:ascii="Times New Roman" w:cs="Times New Roman" w:eastAsia="Times New Roman" w:hAnsi="Times New Roman"/>
          <w:sz w:val="22"/>
          <w:szCs w:val="22"/>
          <w:color w:val="auto"/>
        </w:rPr>
        <w:t>Neither the Company nor anyone acting on its behalf has offered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Notes or any similar Securities for sale to, or solicited any offer to buy the Notes or any similar Securities from, or otherwise approached or negotiated in respect thereof with, any Person other than the Purchasers and not more than ten (10) other Institutional Investors, each of which has been offered the Notes at a private sale for investment. Neither the Company nor anyone acting on its behalf has taken, or will take, any action that would subject the issuance or sale of the Notes to the registration requirements of section 5 of the Securities Act or to the registration requirements of any Securities or blue sky laws of any applicable jurisdiction.</w:t>
      </w:r>
    </w:p>
    <w:p>
      <w:pPr>
        <w:spacing w:after="0" w:line="21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b w:val="1"/>
          <w:bCs w:val="1"/>
          <w:color w:val="auto"/>
        </w:rPr>
        <w:t xml:space="preserve">Section 5.14. Use of Proceeds; Margin Regulations. </w:t>
      </w:r>
      <w:r>
        <w:rPr>
          <w:rFonts w:ascii="Times New Roman" w:cs="Times New Roman" w:eastAsia="Times New Roman" w:hAnsi="Times New Roman"/>
          <w:sz w:val="21"/>
          <w:szCs w:val="21"/>
          <w:color w:val="auto"/>
        </w:rPr>
        <w:t>The Company will apply the proceeds of the sale of the Notes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hereunder to repay indebtedness and for general corporate purposes. No part of the proceeds from the sale of the Notes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more than 3% of the value of the consolidated assets of the Company and its Subsidiaries and the Company does not have any present intention that margin stock will constitute more than 3% of the value of such assets. As used in this Section, the terms </w:t>
      </w:r>
      <w:r>
        <w:rPr>
          <w:rFonts w:ascii="Times New Roman" w:cs="Times New Roman" w:eastAsia="Times New Roman" w:hAnsi="Times New Roman"/>
          <w:sz w:val="21"/>
          <w:szCs w:val="21"/>
          <w:b w:val="1"/>
          <w:bCs w:val="1"/>
          <w:color w:val="auto"/>
        </w:rPr>
        <w:t>“margin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stock”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b w:val="1"/>
          <w:bCs w:val="1"/>
          <w:color w:val="auto"/>
        </w:rPr>
        <w:t xml:space="preserve"> “purpose of buying or carrying” </w:t>
      </w:r>
      <w:r>
        <w:rPr>
          <w:rFonts w:ascii="Times New Roman" w:cs="Times New Roman" w:eastAsia="Times New Roman" w:hAnsi="Times New Roman"/>
          <w:sz w:val="21"/>
          <w:szCs w:val="21"/>
          <w:color w:val="auto"/>
        </w:rPr>
        <w:t>shall have the meanings assigned to them in said Regulation 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369" w:right="339" w:bottom="1440" w:gutter="0" w:footer="0" w:header="0"/>
        </w:sectPr>
      </w:pPr>
    </w:p>
    <w:bookmarkStart w:id="18" w:name="page19"/>
    <w:bookmarkEnd w:id="18"/>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Section 5.15. Existing Indebtedness; Future Liens. </w:t>
      </w:r>
      <w:r>
        <w:rPr>
          <w:rFonts w:ascii="Times New Roman" w:cs="Times New Roman" w:eastAsia="Times New Roman" w:hAnsi="Times New Roman"/>
          <w:sz w:val="22"/>
          <w:szCs w:val="22"/>
          <w:color w:val="auto"/>
        </w:rPr>
        <w:t>(a) Except as described therein, Schedule 5.15 sets forth a complete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correct list of all outstanding Indebtedness (other than (i) intercompany Indebtedness and (ii) Indebtedness with an aggregate principal amount of less than $5,000,000) of the Company and its Subsidiaries as of August 31, 2025 (including descriptions of the obligors and obligees (or the agent, trustee or other entity acting in a similar capacity on behalf of the obligees), principal amounts outstanding, any collateral therefor and any Guaranty thereof), since which date there has been no Material change in the amounts, interest rates, sinking funds, installment payments or maturities of the Indebtedness of the Company or its Subsidiaries. Neither the Company nor any Subsidiary is in default and no waiver of default is currently in effect, in the payment of any principal or interest on any Indebtedness of the Company or such Subsidiary and no event or condition exists with respect to any Indebtedness of the Company or any Subsidiary that would permit (or that with notice or the lapse of time, or both, would permit) one or more Persons to cause such Indebtedness to become due and payable before its stated maturity or before its regularly scheduled dates of payment.</w:t>
      </w:r>
    </w:p>
    <w:p>
      <w:pPr>
        <w:spacing w:after="0" w:line="222" w:lineRule="exact"/>
        <w:rPr>
          <w:sz w:val="20"/>
          <w:szCs w:val="20"/>
          <w:color w:val="auto"/>
        </w:rPr>
      </w:pPr>
    </w:p>
    <w:p>
      <w:pPr>
        <w:jc w:val="both"/>
        <w:ind w:firstLine="8"/>
        <w:spacing w:after="0" w:line="248" w:lineRule="auto"/>
        <w:tabs>
          <w:tab w:leader="none" w:pos="30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in Schedule 5.15, neither the Company nor any Subsidiary has agreed or consented to cause or permit any of its property, whether now owned or hereafter acquired, to be subject to a Lien that secures Indebtedness for borrowed money or to cause or permit in the future (upon the happening of a contingency or otherwise) any of its property, whether now owned or hereafter acquired, to be subject to a Lien that secures Indebtedness for borrowed money.</w:t>
      </w:r>
    </w:p>
    <w:p>
      <w:pPr>
        <w:spacing w:after="0" w:line="209" w:lineRule="exact"/>
        <w:rPr>
          <w:rFonts w:ascii="Times New Roman" w:cs="Times New Roman" w:eastAsia="Times New Roman" w:hAnsi="Times New Roman"/>
          <w:sz w:val="22"/>
          <w:szCs w:val="22"/>
          <w:color w:val="auto"/>
        </w:rPr>
      </w:pPr>
    </w:p>
    <w:p>
      <w:pPr>
        <w:jc w:val="both"/>
        <w:ind w:firstLine="8"/>
        <w:spacing w:after="0" w:line="248" w:lineRule="auto"/>
        <w:tabs>
          <w:tab w:leader="none" w:pos="30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Subsidiary is a party to, or otherwise subject to any provision contained in, any instrument evidencing Indebtedness of the Company or such Subsidiary, any agreement relating thereto or any other agreement (including its charter or any other organizational document) which limits the amount of, or otherwise imposes restrictions on the incurring of, Indebtedness of the Company, except as disclosed in Schedule 5.15.</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5.16. Foreign Assets Control Regulations, Etc. </w:t>
      </w:r>
      <w:r>
        <w:rPr>
          <w:rFonts w:ascii="Times New Roman" w:cs="Times New Roman" w:eastAsia="Times New Roman" w:hAnsi="Times New Roman"/>
          <w:sz w:val="22"/>
          <w:szCs w:val="22"/>
          <w:color w:val="auto"/>
        </w:rPr>
        <w:t>(a) Neither the Company nor any Controlled Entity (i) is a Blocked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 (ii) has been notified that its name appears or may in the future appear on a State Sanctions List or (iii) is a target of sanctions that have been imposed by the United Nations or the European Union.</w:t>
      </w:r>
    </w:p>
    <w:p>
      <w:pPr>
        <w:spacing w:after="0" w:line="206" w:lineRule="exact"/>
        <w:rPr>
          <w:sz w:val="20"/>
          <w:szCs w:val="20"/>
          <w:color w:val="auto"/>
        </w:rPr>
      </w:pPr>
    </w:p>
    <w:p>
      <w:pPr>
        <w:jc w:val="both"/>
        <w:ind w:firstLine="8"/>
        <w:spacing w:after="0" w:line="267" w:lineRule="exact"/>
        <w:tabs>
          <w:tab w:leader="none" w:pos="31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Controlled Entity (i) has violated, been found in violation of, or been charged or convicted under, any applicable U.S. Economic Sanctions Laws,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Laws or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 or (ii) to the Company’s knowledge, is under investigation by any Governmental Authority for possible violation of any U.S. Economic Sanctions Laws,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Laws or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w:t>
      </w:r>
    </w:p>
    <w:p>
      <w:pPr>
        <w:spacing w:after="0" w:line="188" w:lineRule="exact"/>
        <w:rPr>
          <w:rFonts w:ascii="Times New Roman" w:cs="Times New Roman" w:eastAsia="Times New Roman" w:hAnsi="Times New Roman"/>
          <w:sz w:val="22"/>
          <w:szCs w:val="22"/>
          <w:color w:val="auto"/>
        </w:rPr>
      </w:pPr>
    </w:p>
    <w:p>
      <w:pPr>
        <w:ind w:left="300" w:hanging="292"/>
        <w:spacing w:after="0"/>
        <w:tabs>
          <w:tab w:leader="none" w:pos="3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 of the proceeds from the sale of the Notes hereunder:</w:t>
      </w:r>
    </w:p>
    <w:p>
      <w:pPr>
        <w:spacing w:after="0" w:line="233" w:lineRule="exact"/>
        <w:rPr>
          <w:rFonts w:ascii="Times New Roman" w:cs="Times New Roman" w:eastAsia="Times New Roman" w:hAnsi="Times New Roman"/>
          <w:sz w:val="22"/>
          <w:szCs w:val="22"/>
          <w:color w:val="auto"/>
        </w:rPr>
      </w:pPr>
    </w:p>
    <w:p>
      <w:pPr>
        <w:jc w:val="both"/>
        <w:ind w:firstLine="656"/>
        <w:spacing w:after="0" w:line="252" w:lineRule="auto"/>
        <w:tabs>
          <w:tab w:leader="none" w:pos="946"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constitutes or will constitute funds obtained on behalf of any Blocked Person or will otherwise be used by the Company or any Controlled Entity, directly or indirectly, (A) in connection with any investment in, or any transactions or dealings with, any Blocked Person, (B) for any purpose that would cause any Purchaser to be in violation of any U.S. Economic Sanctions Laws or (C) otherwise in violation of any U.S. Economic Sanctions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369" w:right="339" w:bottom="1440" w:gutter="0" w:footer="0" w:header="0"/>
        </w:sectPr>
      </w:pPr>
    </w:p>
    <w:bookmarkStart w:id="19" w:name="page20"/>
    <w:bookmarkEnd w:id="19"/>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0" w:firstLine="656"/>
        <w:spacing w:after="0" w:line="285" w:lineRule="exact"/>
        <w:tabs>
          <w:tab w:leader="none" w:pos="99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be used, directly or indirectly, in violation of, or cause any Purchaser to be in violation of, any applicable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Laws; or</w:t>
      </w:r>
    </w:p>
    <w:p>
      <w:pPr>
        <w:spacing w:after="0" w:line="173" w:lineRule="exact"/>
        <w:rPr>
          <w:rFonts w:ascii="Times New Roman" w:cs="Times New Roman" w:eastAsia="Times New Roman" w:hAnsi="Times New Roman"/>
          <w:sz w:val="22"/>
          <w:szCs w:val="22"/>
          <w:color w:val="auto"/>
        </w:rPr>
      </w:pPr>
    </w:p>
    <w:p>
      <w:pPr>
        <w:jc w:val="both"/>
        <w:ind w:firstLine="656"/>
        <w:spacing w:after="0" w:line="276" w:lineRule="exact"/>
        <w:tabs>
          <w:tab w:leader="none" w:pos="1053"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any Purchaser to be in violation of, any applicable Anti</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Corruption Laws.</w:t>
      </w:r>
    </w:p>
    <w:p>
      <w:pPr>
        <w:spacing w:after="0" w:line="185" w:lineRule="exact"/>
        <w:rPr>
          <w:sz w:val="20"/>
          <w:szCs w:val="20"/>
          <w:color w:val="auto"/>
        </w:rPr>
      </w:pPr>
    </w:p>
    <w:p>
      <w:pPr>
        <w:jc w:val="both"/>
        <w:ind w:right="20" w:firstLine="8"/>
        <w:spacing w:after="0" w:line="271" w:lineRule="exact"/>
        <w:tabs>
          <w:tab w:leader="none" w:pos="30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Laws and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Corruption Laws.</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5.17. Status under Certain Statutes. </w:t>
      </w:r>
      <w:r>
        <w:rPr>
          <w:rFonts w:ascii="Times New Roman" w:cs="Times New Roman" w:eastAsia="Times New Roman" w:hAnsi="Times New Roman"/>
          <w:sz w:val="22"/>
          <w:szCs w:val="22"/>
          <w:color w:val="auto"/>
        </w:rPr>
        <w:t>Neither the Company nor any Subsidiary is subject to regulation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Company Act of 1940, the Public Utility Holding Company Act of 2005, the ICC Termination Act of 1995, or the Federal Power Act.</w:t>
      </w:r>
    </w:p>
    <w:p>
      <w:pPr>
        <w:spacing w:after="0" w:line="20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5.18. Environmental Matters. </w:t>
      </w:r>
      <w:r>
        <w:rPr>
          <w:rFonts w:ascii="Times New Roman" w:cs="Times New Roman" w:eastAsia="Times New Roman" w:hAnsi="Times New Roman"/>
          <w:sz w:val="22"/>
          <w:szCs w:val="22"/>
          <w:color w:val="auto"/>
        </w:rPr>
        <w:t>The Company and its Subsidiaries conduct in the ordinary course of business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review of the effect of existing Environmental Laws and claims alleging potential liability or responsibility for violation of any Environmental Law on their respective businesses, operations and properties, and as a result thereof the Company has reasonably concluded that, except as specifically disclosed in Schedule 5.18, such Environmental Laws and claims would not, individually or in the aggregate, reasonably be expected to have a Material Adverse Effect.</w:t>
      </w:r>
    </w:p>
    <w:p>
      <w:pPr>
        <w:spacing w:after="0" w:line="20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5.19. Ranking of Obligations. </w:t>
      </w:r>
      <w:r>
        <w:rPr>
          <w:rFonts w:ascii="Times New Roman" w:cs="Times New Roman" w:eastAsia="Times New Roman" w:hAnsi="Times New Roman"/>
          <w:sz w:val="22"/>
          <w:szCs w:val="22"/>
          <w:color w:val="auto"/>
        </w:rPr>
        <w:t>The Company’s payment obligations under this Agreement and the Notes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upon issuance of the Notes, rank at least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without preference or priority, with all other unsecured and unsubordinated Indebtedness of the Company.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6. Representations of the Purchasers.</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Section 6.1. Purchase for Investment. </w:t>
      </w:r>
      <w:r>
        <w:rPr>
          <w:rFonts w:ascii="Times New Roman" w:cs="Times New Roman" w:eastAsia="Times New Roman" w:hAnsi="Times New Roman"/>
          <w:sz w:val="22"/>
          <w:szCs w:val="22"/>
          <w:color w:val="auto"/>
        </w:rPr>
        <w:t>Each Purchaser severally represents that it is an institutional “accredited investor”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within the meaning of Rule 501 of the Securities Act and is purchasing the Notes for its own account or for one or more separate accounts maintained by such Purchaser or for the account of one or more pension or trust funds and not with a view to the distribution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disposition of such Purchaser’s or their property shall at all times be within such Purchaser’s or their control. Each Purchaser understands that the Notes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369" w:right="339" w:bottom="1440" w:gutter="0" w:footer="0" w:header="0"/>
        </w:sectPr>
      </w:pPr>
    </w:p>
    <w:bookmarkStart w:id="20" w:name="page21"/>
    <w:bookmarkEnd w:id="20"/>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6.2. Source of Funds. </w:t>
      </w:r>
      <w:r>
        <w:rPr>
          <w:rFonts w:ascii="Times New Roman" w:cs="Times New Roman" w:eastAsia="Times New Roman" w:hAnsi="Times New Roman"/>
          <w:sz w:val="22"/>
          <w:szCs w:val="22"/>
          <w:color w:val="auto"/>
        </w:rPr>
        <w:t>Each Purchaser severally represents that at least one of the following statements is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accurate representation as to each source of funds (a </w:t>
      </w:r>
      <w:r>
        <w:rPr>
          <w:rFonts w:ascii="Times New Roman" w:cs="Times New Roman" w:eastAsia="Times New Roman" w:hAnsi="Times New Roman"/>
          <w:sz w:val="22"/>
          <w:szCs w:val="22"/>
          <w:b w:val="1"/>
          <w:bCs w:val="1"/>
          <w:color w:val="auto"/>
        </w:rPr>
        <w:t>“Source”</w:t>
      </w:r>
      <w:r>
        <w:rPr>
          <w:rFonts w:ascii="Times New Roman" w:cs="Times New Roman" w:eastAsia="Times New Roman" w:hAnsi="Times New Roman"/>
          <w:sz w:val="22"/>
          <w:szCs w:val="22"/>
          <w:color w:val="auto"/>
        </w:rPr>
        <w:t>) to be used by such Purchaser to pay the purchase price of the Notes to be purchased by such Purchaser hereunder:</w:t>
      </w:r>
    </w:p>
    <w:p>
      <w:pPr>
        <w:spacing w:after="0" w:line="206" w:lineRule="exact"/>
        <w:rPr>
          <w:sz w:val="20"/>
          <w:szCs w:val="20"/>
          <w:color w:val="auto"/>
        </w:rPr>
      </w:pPr>
    </w:p>
    <w:p>
      <w:pPr>
        <w:jc w:val="both"/>
        <w:ind w:firstLine="656"/>
        <w:spacing w:after="0" w:line="257" w:lineRule="exact"/>
        <w:tabs>
          <w:tab w:leader="none" w:pos="969"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is an “insurance company general account” (as the term is defined in the United States Department of Labor’s Prohibited Transaction Exemption (</w:t>
      </w:r>
      <w:r>
        <w:rPr>
          <w:rFonts w:ascii="Times New Roman" w:cs="Times New Roman" w:eastAsia="Times New Roman" w:hAnsi="Times New Roman"/>
          <w:sz w:val="22"/>
          <w:szCs w:val="22"/>
          <w:b w:val="1"/>
          <w:bCs w:val="1"/>
          <w:color w:val="auto"/>
        </w:rPr>
        <w:t>“PTE”</w:t>
      </w:r>
      <w:r>
        <w:rPr>
          <w:rFonts w:ascii="Times New Roman" w:cs="Times New Roman" w:eastAsia="Times New Roman" w:hAnsi="Times New Roman"/>
          <w:sz w:val="22"/>
          <w:szCs w:val="22"/>
          <w:color w:val="auto"/>
        </w:rPr>
        <w:t>) 95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60) in respect of which the reserves and liabilities (as defined by the annual statement for life insurance companies approved by the NAIC (the </w:t>
      </w:r>
      <w:r>
        <w:rPr>
          <w:rFonts w:ascii="Times New Roman" w:cs="Times New Roman" w:eastAsia="Times New Roman" w:hAnsi="Times New Roman"/>
          <w:sz w:val="22"/>
          <w:szCs w:val="22"/>
          <w:b w:val="1"/>
          <w:bCs w:val="1"/>
          <w:color w:val="auto"/>
        </w:rPr>
        <w:t>“NAIC Annual Statement”</w:t>
      </w:r>
      <w:r>
        <w:rPr>
          <w:rFonts w:ascii="Times New Roman" w:cs="Times New Roman" w:eastAsia="Times New Roman" w:hAnsi="Times New Roman"/>
          <w:sz w:val="22"/>
          <w:szCs w:val="22"/>
          <w:color w:val="auto"/>
        </w:rPr>
        <w: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60) 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w:t>
      </w:r>
    </w:p>
    <w:p>
      <w:pPr>
        <w:spacing w:after="0" w:line="218" w:lineRule="exact"/>
        <w:rPr>
          <w:rFonts w:ascii="Times New Roman" w:cs="Times New Roman" w:eastAsia="Times New Roman" w:hAnsi="Times New Roman"/>
          <w:sz w:val="22"/>
          <w:szCs w:val="22"/>
          <w:color w:val="auto"/>
        </w:rPr>
      </w:pPr>
    </w:p>
    <w:p>
      <w:pPr>
        <w:jc w:val="both"/>
        <w:ind w:firstLine="656"/>
        <w:spacing w:after="0" w:line="248" w:lineRule="auto"/>
        <w:tabs>
          <w:tab w:leader="none" w:pos="98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spacing w:after="0" w:line="161" w:lineRule="exact"/>
        <w:rPr>
          <w:rFonts w:ascii="Times New Roman" w:cs="Times New Roman" w:eastAsia="Times New Roman" w:hAnsi="Times New Roman"/>
          <w:sz w:val="22"/>
          <w:szCs w:val="22"/>
          <w:color w:val="auto"/>
        </w:rPr>
      </w:pPr>
    </w:p>
    <w:p>
      <w:pPr>
        <w:jc w:val="both"/>
        <w:ind w:firstLine="656"/>
        <w:spacing w:after="0" w:line="268" w:lineRule="exact"/>
        <w:tabs>
          <w:tab w:leader="none" w:pos="94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is either (i) an insurance company pooled separate account, within the meaning of PTE 90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or (ii) a bank collective investment fund, within the meaning of the PTE 91</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spacing w:after="0" w:line="159" w:lineRule="exact"/>
        <w:rPr>
          <w:rFonts w:ascii="Times New Roman" w:cs="Times New Roman" w:eastAsia="Times New Roman" w:hAnsi="Times New Roman"/>
          <w:sz w:val="22"/>
          <w:szCs w:val="22"/>
          <w:color w:val="auto"/>
        </w:rPr>
      </w:pPr>
    </w:p>
    <w:p>
      <w:pPr>
        <w:jc w:val="both"/>
        <w:ind w:firstLine="656"/>
        <w:spacing w:after="0" w:line="261" w:lineRule="exact"/>
        <w:tabs>
          <w:tab w:leader="none" w:pos="981"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Source constitutes assets of an “investment fund” (within the meaning of Part VI of PTE 84</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14 (the </w:t>
      </w:r>
      <w:r>
        <w:rPr>
          <w:rFonts w:ascii="Times New Roman" w:cs="Times New Roman" w:eastAsia="Times New Roman" w:hAnsi="Times New Roman"/>
          <w:sz w:val="21"/>
          <w:szCs w:val="21"/>
          <w:b w:val="1"/>
          <w:bCs w:val="1"/>
          <w:color w:val="auto"/>
        </w:rPr>
        <w:t>“QPAM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Exemption”</w:t>
      </w:r>
      <w:r>
        <w:rPr>
          <w:rFonts w:ascii="Times New Roman" w:cs="Times New Roman" w:eastAsia="Times New Roman" w:hAnsi="Times New Roman"/>
          <w:sz w:val="21"/>
          <w:szCs w:val="21"/>
          <w:color w:val="auto"/>
        </w:rPr>
        <w:t>)) managed by a “qualified professional asset manager” or “QPAM” (within the meaning of Part VI of the QPAM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“related” within the meaning of Part VI(h) of the QPAM Exemption and (i) the identity of such QPAM and (ii)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369" w:right="339" w:bottom="1440" w:gutter="0" w:footer="0" w:header="0"/>
        </w:sectPr>
      </w:pPr>
    </w:p>
    <w:bookmarkStart w:id="21" w:name="page22"/>
    <w:bookmarkEnd w:id="21"/>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organization, represent 10% or more of the assets of such investment fund, have been disclosed to the Company in writing pursuant to this clause (d); or</w:t>
      </w:r>
    </w:p>
    <w:p>
      <w:pPr>
        <w:spacing w:after="0" w:line="123" w:lineRule="exact"/>
        <w:rPr>
          <w:sz w:val="20"/>
          <w:szCs w:val="20"/>
          <w:color w:val="auto"/>
        </w:rPr>
      </w:pPr>
    </w:p>
    <w:p>
      <w:pPr>
        <w:jc w:val="both"/>
        <w:ind w:firstLine="656"/>
        <w:spacing w:after="0" w:line="266" w:lineRule="exact"/>
        <w:tabs>
          <w:tab w:leader="none" w:pos="99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constitutes assets of a “plan(s)” (within the meaning of Part IV(h) of PTE 96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23 (the </w:t>
      </w:r>
      <w:r>
        <w:rPr>
          <w:rFonts w:ascii="Times New Roman" w:cs="Times New Roman" w:eastAsia="Times New Roman" w:hAnsi="Times New Roman"/>
          <w:sz w:val="22"/>
          <w:szCs w:val="22"/>
          <w:b w:val="1"/>
          <w:bCs w:val="1"/>
          <w:color w:val="auto"/>
        </w:rPr>
        <w:t>“INHAM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Exemption”</w:t>
      </w:r>
      <w:r>
        <w:rPr>
          <w:rFonts w:ascii="Times New Roman" w:cs="Times New Roman" w:eastAsia="Times New Roman" w:hAnsi="Times New Roman"/>
          <w:sz w:val="22"/>
          <w:szCs w:val="22"/>
          <w:color w:val="auto"/>
        </w:rPr>
        <w:t>)) managed by an “in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house asset manager” or “INHAM” (within the meaning of Part IV(a) of the INHAM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Exemption), the conditions of Part I(a), (g) and (h) of the INHAM Exemption are satisfied, neither the INHAM nor a person controlling or controlled by the INHAM (applying the definition of “control” in Part IV(d)(3) of the INHAM Exemption) owns a 10% or more interest in the Company and (i) the identity of such INHAM and (ii) the name(s) of the employee benefit plan(s) whose assets constitute the Source have been disclosed to the Company in writing pursuant to this clause (e); or</w:t>
      </w:r>
    </w:p>
    <w:p>
      <w:pPr>
        <w:spacing w:after="0" w:line="222" w:lineRule="exact"/>
        <w:rPr>
          <w:rFonts w:ascii="Times New Roman" w:cs="Times New Roman" w:eastAsia="Times New Roman" w:hAnsi="Times New Roman"/>
          <w:sz w:val="22"/>
          <w:szCs w:val="22"/>
          <w:color w:val="auto"/>
        </w:rPr>
      </w:pPr>
    </w:p>
    <w:p>
      <w:pPr>
        <w:ind w:firstLine="656"/>
        <w:spacing w:after="0" w:line="258" w:lineRule="auto"/>
        <w:tabs>
          <w:tab w:leader="none" w:pos="91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is a governmental plan (as defined in Section 3 of ERISA) which is not subject to the provisions of Title I of ERISA or Section 4975 of the Code; or</w:t>
      </w:r>
    </w:p>
    <w:p>
      <w:pPr>
        <w:spacing w:after="0" w:line="198" w:lineRule="exact"/>
        <w:rPr>
          <w:rFonts w:ascii="Times New Roman" w:cs="Times New Roman" w:eastAsia="Times New Roman" w:hAnsi="Times New Roman"/>
          <w:sz w:val="22"/>
          <w:szCs w:val="22"/>
          <w:color w:val="auto"/>
        </w:rPr>
      </w:pPr>
    </w:p>
    <w:p>
      <w:pPr>
        <w:ind w:firstLine="656"/>
        <w:spacing w:after="0" w:line="271" w:lineRule="auto"/>
        <w:tabs>
          <w:tab w:leader="none" w:pos="98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is one or more employee benefit plans, or a separate account or trust fund comprised of one or more employee benefit plans, each of which has been identified to the Company in writing pursuant to this clause (g); or</w:t>
      </w:r>
    </w:p>
    <w:p>
      <w:pPr>
        <w:spacing w:after="0" w:line="184"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does not include assets of any employee benefit plan, other than a plan exempt from the coverage of</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ERISA.</w:t>
      </w:r>
    </w:p>
    <w:p>
      <w:pPr>
        <w:spacing w:after="0" w:line="21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color w:val="auto"/>
        </w:rPr>
        <w:t xml:space="preserve">As used in this Section 6.2, the terms </w:t>
      </w:r>
      <w:r>
        <w:rPr>
          <w:rFonts w:ascii="Times New Roman" w:cs="Times New Roman" w:eastAsia="Times New Roman" w:hAnsi="Times New Roman"/>
          <w:sz w:val="22"/>
          <w:szCs w:val="22"/>
          <w:b w:val="1"/>
          <w:bCs w:val="1"/>
          <w:color w:val="auto"/>
        </w:rPr>
        <w:t>“employee benefit plan,” “governmental plan,”</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“separate account”</w:t>
      </w:r>
      <w:r>
        <w:rPr>
          <w:rFonts w:ascii="Times New Roman" w:cs="Times New Roman" w:eastAsia="Times New Roman" w:hAnsi="Times New Roman"/>
          <w:sz w:val="22"/>
          <w:szCs w:val="22"/>
          <w:color w:val="auto"/>
        </w:rPr>
        <w:t xml:space="preserve"> shall have the respective meanings assigned to such terms in section 3 of ERISA.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 Information as to Company</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Section 7.1. Financial and Business Information. </w:t>
      </w:r>
      <w:r>
        <w:rPr>
          <w:rFonts w:ascii="Times New Roman" w:cs="Times New Roman" w:eastAsia="Times New Roman" w:hAnsi="Times New Roman"/>
          <w:sz w:val="22"/>
          <w:szCs w:val="22"/>
          <w:color w:val="auto"/>
        </w:rPr>
        <w:t>The Company shall deliver to each holder of a Note that is 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Institutional Investor:</w:t>
      </w:r>
    </w:p>
    <w:p>
      <w:pPr>
        <w:spacing w:after="0" w:line="219" w:lineRule="exact"/>
        <w:rPr>
          <w:sz w:val="20"/>
          <w:szCs w:val="20"/>
          <w:color w:val="auto"/>
        </w:rPr>
      </w:pPr>
    </w:p>
    <w:p>
      <w:pPr>
        <w:jc w:val="both"/>
        <w:ind w:firstLine="656"/>
        <w:spacing w:after="0" w:line="257" w:lineRule="exact"/>
        <w:tabs>
          <w:tab w:leader="none" w:pos="94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Quarterly Statements </w:t>
      </w:r>
      <w:r>
        <w:rPr>
          <w:rFonts w:ascii="Times New Roman" w:cs="Times New Roman" w:eastAsia="Times New Roman" w:hAnsi="Times New Roman"/>
          <w:sz w:val="22"/>
          <w:szCs w:val="22"/>
          <w:color w:val="auto"/>
        </w:rPr>
        <w:t>— within 60 days (or such (x) longer period as may be permitted by the SEC, including pursuant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Rule 12b-25 or other SEC permitted extensions; or (y) such shorter period as is the earlier of (A) 15 days greater than the period applicable to the filing of the Company’s Quarterly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Q (the </w:t>
      </w:r>
      <w:r>
        <w:rPr>
          <w:rFonts w:ascii="Times New Roman" w:cs="Times New Roman" w:eastAsia="Times New Roman" w:hAnsi="Times New Roman"/>
          <w:sz w:val="22"/>
          <w:szCs w:val="22"/>
          <w:b w:val="1"/>
          <w:bCs w:val="1"/>
          <w:color w:val="auto"/>
        </w:rPr>
        <w:t>“Form 10</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Q”</w:t>
      </w:r>
      <w:r>
        <w:rPr>
          <w:rFonts w:ascii="Times New Roman" w:cs="Times New Roman" w:eastAsia="Times New Roman" w:hAnsi="Times New Roman"/>
          <w:sz w:val="22"/>
          <w:szCs w:val="22"/>
          <w:color w:val="auto"/>
        </w:rPr>
        <w:t>) with the SEC regardless of whether the Company is subject to the filing requirements thereof and (B) the date by which such financial statements are required to be delivered under any Material Credit Facility or the date on which such corresponding financial statements are delivered under any Material Credit Facility if such delivery occurs earlier than such required delivery date) after the end of each quarterly fiscal period in each fiscal year of the Company (other than the last quarterly fiscal period of each such fiscal year), duplicate copies of,</w:t>
      </w:r>
    </w:p>
    <w:p>
      <w:pPr>
        <w:spacing w:after="0" w:line="222" w:lineRule="exact"/>
        <w:rPr>
          <w:rFonts w:ascii="Times New Roman" w:cs="Times New Roman" w:eastAsia="Times New Roman" w:hAnsi="Times New Roman"/>
          <w:sz w:val="22"/>
          <w:szCs w:val="22"/>
          <w:color w:val="auto"/>
        </w:rPr>
      </w:pPr>
    </w:p>
    <w:p>
      <w:pPr>
        <w:ind w:left="1560" w:hanging="256"/>
        <w:spacing w:after="0"/>
        <w:tabs>
          <w:tab w:leader="none" w:pos="156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consolidated balance sheet of the Company and its Subsidiaries as at the end of such quarter,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369" w:right="339" w:bottom="1440" w:gutter="0" w:footer="0" w:header="0"/>
        </w:sectPr>
      </w:pPr>
    </w:p>
    <w:bookmarkStart w:id="22" w:name="page23"/>
    <w:bookmarkEnd w:id="22"/>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1304"/>
        <w:spacing w:after="0" w:line="250" w:lineRule="auto"/>
        <w:tabs>
          <w:tab w:leader="none" w:pos="162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statements of income, changes in shareholders’ equity and cash flows of the Company and its Subsidiaries, for such quarter and (in the case of the second and third quarters) for the portion of the fiscal year ending with such quarter,</w:t>
      </w:r>
    </w:p>
    <w:p>
      <w:pPr>
        <w:spacing w:after="0" w:line="208" w:lineRule="exact"/>
        <w:rPr>
          <w:sz w:val="20"/>
          <w:szCs w:val="20"/>
          <w:color w:val="auto"/>
        </w:rPr>
      </w:pPr>
    </w:p>
    <w:p>
      <w:pPr>
        <w:jc w:val="both"/>
        <w:spacing w:after="0" w:line="259" w:lineRule="exact"/>
        <w:rPr>
          <w:sz w:val="20"/>
          <w:szCs w:val="20"/>
          <w:color w:val="auto"/>
        </w:rPr>
      </w:pPr>
      <w:r>
        <w:rPr>
          <w:rFonts w:ascii="Times New Roman" w:cs="Times New Roman" w:eastAsia="Times New Roman" w:hAnsi="Times New Roman"/>
          <w:sz w:val="22"/>
          <w:szCs w:val="22"/>
          <w:color w:val="auto"/>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end adjustments;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delivery within the time period specified above of copies of the Company’s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Q prepared in compliance with the requirements therefor and filed with the SEC shall be deemed to satisfy the requirements of this Section 7.1(a);</w:t>
      </w:r>
    </w:p>
    <w:p>
      <w:pPr>
        <w:spacing w:after="0" w:line="202" w:lineRule="exact"/>
        <w:rPr>
          <w:sz w:val="20"/>
          <w:szCs w:val="20"/>
          <w:color w:val="auto"/>
        </w:rPr>
      </w:pPr>
    </w:p>
    <w:p>
      <w:pPr>
        <w:jc w:val="both"/>
        <w:ind w:firstLine="656"/>
        <w:spacing w:after="0" w:line="259" w:lineRule="exact"/>
        <w:tabs>
          <w:tab w:leader="none" w:pos="95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Annual Statements </w:t>
      </w:r>
      <w:r>
        <w:rPr>
          <w:rFonts w:ascii="Times New Roman" w:cs="Times New Roman" w:eastAsia="Times New Roman" w:hAnsi="Times New Roman"/>
          <w:sz w:val="22"/>
          <w:szCs w:val="22"/>
          <w:color w:val="auto"/>
        </w:rPr>
        <w:t>— within 120 days (or such (x) longer period as may be permitted by the SEC, including pursuant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Rule 12b-25 or other SEC permitted extensions; or (y) such shorter period as is the earlier of (A) 15 days greater than the period applicable to the filing of the Company’s Annual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K (the </w:t>
      </w:r>
      <w:r>
        <w:rPr>
          <w:rFonts w:ascii="Times New Roman" w:cs="Times New Roman" w:eastAsia="Times New Roman" w:hAnsi="Times New Roman"/>
          <w:sz w:val="22"/>
          <w:szCs w:val="22"/>
          <w:b w:val="1"/>
          <w:bCs w:val="1"/>
          <w:color w:val="auto"/>
        </w:rPr>
        <w:t>“Form 10</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K”</w:t>
      </w:r>
      <w:r>
        <w:rPr>
          <w:rFonts w:ascii="Times New Roman" w:cs="Times New Roman" w:eastAsia="Times New Roman" w:hAnsi="Times New Roman"/>
          <w:sz w:val="22"/>
          <w:szCs w:val="22"/>
          <w:color w:val="auto"/>
        </w:rPr>
        <w:t>) with the SEC regardless of whether the Company is subject to the filing requirements thereof and (B) the date by which such financial statements are required to be delivered under any Material Credit Facility or the date on which such corresponding financial statements are delivered under any Material Credit Facility if such delivery occurs earlier than such required delivery date) after the end of each fiscal year of the Company, duplicate copies of</w:t>
      </w:r>
    </w:p>
    <w:p>
      <w:pPr>
        <w:spacing w:after="0" w:line="221" w:lineRule="exact"/>
        <w:rPr>
          <w:rFonts w:ascii="Times New Roman" w:cs="Times New Roman" w:eastAsia="Times New Roman" w:hAnsi="Times New Roman"/>
          <w:sz w:val="22"/>
          <w:szCs w:val="22"/>
          <w:color w:val="auto"/>
        </w:rPr>
      </w:pPr>
    </w:p>
    <w:p>
      <w:pPr>
        <w:ind w:left="1560" w:hanging="256"/>
        <w:spacing w:after="0"/>
        <w:tabs>
          <w:tab w:leader="none" w:pos="156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consolidated balance sheet of the Company and its Subsidiaries as at the end of such year, and</w:t>
      </w:r>
    </w:p>
    <w:p>
      <w:pPr>
        <w:spacing w:after="0" w:line="233" w:lineRule="exact"/>
        <w:rPr>
          <w:rFonts w:ascii="Times New Roman" w:cs="Times New Roman" w:eastAsia="Times New Roman" w:hAnsi="Times New Roman"/>
          <w:sz w:val="22"/>
          <w:szCs w:val="22"/>
          <w:color w:val="auto"/>
        </w:rPr>
      </w:pPr>
    </w:p>
    <w:p>
      <w:pPr>
        <w:ind w:firstLine="1304"/>
        <w:spacing w:after="0" w:line="271" w:lineRule="auto"/>
        <w:tabs>
          <w:tab w:leader="none" w:pos="1627"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statements of income, changes in shareholders’ equity and cash flows of the Company and its Subsidiaries for such year,</w:t>
      </w:r>
    </w:p>
    <w:p>
      <w:pPr>
        <w:spacing w:after="0" w:line="185" w:lineRule="exact"/>
        <w:rPr>
          <w:sz w:val="20"/>
          <w:szCs w:val="20"/>
          <w:color w:val="auto"/>
        </w:rPr>
      </w:pPr>
    </w:p>
    <w:p>
      <w:pPr>
        <w:jc w:val="both"/>
        <w:spacing w:after="0" w:line="255" w:lineRule="exact"/>
        <w:rPr>
          <w:sz w:val="20"/>
          <w:szCs w:val="20"/>
          <w:color w:val="auto"/>
        </w:rPr>
      </w:pPr>
      <w:r>
        <w:rPr>
          <w:rFonts w:ascii="Times New Roman" w:cs="Times New Roman" w:eastAsia="Times New Roman" w:hAnsi="Times New Roman"/>
          <w:sz w:val="22"/>
          <w:szCs w:val="22"/>
          <w:color w:val="auto"/>
        </w:rPr>
        <w:t xml:space="preserve">setting forth in each case in comparative form the figures for the previous fiscal year, all in reasonable detail, prepared in accordance with GAAP, and accompanied by an opinion thereon (without a “going concern” or similar qualification or exception and without any qualification or exception as to the scope of the audit on which such opinion is based) of independent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delivery within the time period specified above of the Company’s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for such fiscal year prepared in accordance with the requirements therefor and filed with the SEC, shall be deemed to satisfy the requirements of this Section 7.1(b);</w:t>
      </w:r>
    </w:p>
    <w:p>
      <w:pPr>
        <w:spacing w:after="0" w:line="223" w:lineRule="exact"/>
        <w:rPr>
          <w:sz w:val="20"/>
          <w:szCs w:val="20"/>
          <w:color w:val="auto"/>
        </w:rPr>
      </w:pPr>
    </w:p>
    <w:p>
      <w:pPr>
        <w:jc w:val="both"/>
        <w:ind w:firstLine="656"/>
        <w:spacing w:after="0" w:line="252" w:lineRule="auto"/>
        <w:tabs>
          <w:tab w:leader="none" w:pos="95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SEC and Other Reports </w:t>
      </w:r>
      <w:r>
        <w:rPr>
          <w:rFonts w:ascii="Times New Roman" w:cs="Times New Roman" w:eastAsia="Times New Roman" w:hAnsi="Times New Roman"/>
          <w:sz w:val="22"/>
          <w:szCs w:val="22"/>
          <w:color w:val="auto"/>
        </w:rPr>
        <w:t>— promptly upon their becoming available, one copy of (i) each financial statement, report,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notice, proxy statement or similar document sent by the Company or any Subsidiary (x) to its creditors under any Material Credit Facility (excluding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369" w:right="339" w:bottom="1440" w:gutter="0" w:footer="0" w:header="0"/>
        </w:sectPr>
      </w:pPr>
    </w:p>
    <w:bookmarkStart w:id="23" w:name="page24"/>
    <w:bookmarkEnd w:id="23"/>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information sent to such creditors in the ordinary course of administration of a credit facility, such as information or notices relating to pricing and borrowing availability, notices of borrowing, and quarterly and annual certifications demonstrating compliance) or (y) to its public Securities holders generally, and (ii) each regular or periodic report, each registration statement (without exhibits except as expressly requested by such holder), and each prospectus and all amendments thereto filed by the Company or any Subsidiary with the SEC and of all press releases made available generally by the Company or any Subsidiary to the public concerning developments that are Material;</w:t>
      </w:r>
    </w:p>
    <w:p>
      <w:pPr>
        <w:spacing w:after="0" w:line="195" w:lineRule="exact"/>
        <w:rPr>
          <w:sz w:val="20"/>
          <w:szCs w:val="20"/>
          <w:color w:val="auto"/>
        </w:rPr>
      </w:pPr>
    </w:p>
    <w:p>
      <w:pPr>
        <w:jc w:val="both"/>
        <w:ind w:firstLine="656"/>
        <w:spacing w:after="0" w:line="248" w:lineRule="auto"/>
        <w:tabs>
          <w:tab w:leader="none" w:pos="98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 of Default or Event of Default </w:t>
      </w:r>
      <w:r>
        <w:rPr>
          <w:rFonts w:ascii="Times New Roman" w:cs="Times New Roman" w:eastAsia="Times New Roman" w:hAnsi="Times New Roman"/>
          <w:sz w:val="22"/>
          <w:szCs w:val="22"/>
          <w:color w:val="auto"/>
        </w:rPr>
        <w:t>— promptly, and in any event within 10 days after a Responsible Officer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becoming aware of the existence of any Default or Event of Default or that any Person has given any notice or taken any action with respect to a claimed default hereunder or that any Person has given any notice or taken any action with respect to a claimed default of the type referred to in Section 11(f), a written notice specifying the nature and period of existence thereof and what action the Company is taking or proposes to take with respect thereto;</w:t>
      </w:r>
    </w:p>
    <w:p>
      <w:pPr>
        <w:spacing w:after="0" w:line="204" w:lineRule="exact"/>
        <w:rPr>
          <w:rFonts w:ascii="Times New Roman" w:cs="Times New Roman" w:eastAsia="Times New Roman" w:hAnsi="Times New Roman"/>
          <w:sz w:val="22"/>
          <w:szCs w:val="22"/>
          <w:color w:val="auto"/>
        </w:rPr>
      </w:pPr>
    </w:p>
    <w:p>
      <w:pPr>
        <w:jc w:val="both"/>
        <w:ind w:firstLine="656"/>
        <w:spacing w:after="0" w:line="252" w:lineRule="auto"/>
        <w:tabs>
          <w:tab w:leader="none" w:pos="94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Employee Benefits Matters </w:t>
      </w:r>
      <w:r>
        <w:rPr>
          <w:rFonts w:ascii="Times New Roman" w:cs="Times New Roman" w:eastAsia="Times New Roman" w:hAnsi="Times New Roman"/>
          <w:sz w:val="22"/>
          <w:szCs w:val="22"/>
          <w:color w:val="auto"/>
        </w:rPr>
        <w:t>— promptly, and in any event within 10 days after a Responsible Officer becoming aware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any of the following, a written notice setting forth the nature thereof and the action, if any, that the Company or an ERISA Affiliate proposes to take with respect thereto:</w:t>
      </w:r>
    </w:p>
    <w:p>
      <w:pPr>
        <w:spacing w:after="0" w:line="206" w:lineRule="exact"/>
        <w:rPr>
          <w:rFonts w:ascii="Times New Roman" w:cs="Times New Roman" w:eastAsia="Times New Roman" w:hAnsi="Times New Roman"/>
          <w:sz w:val="22"/>
          <w:szCs w:val="22"/>
          <w:color w:val="auto"/>
        </w:rPr>
      </w:pPr>
    </w:p>
    <w:p>
      <w:pPr>
        <w:ind w:firstLine="1304"/>
        <w:spacing w:after="0" w:line="271" w:lineRule="auto"/>
        <w:tabs>
          <w:tab w:leader="none" w:pos="1581"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Plan, any reportable event, as defined in section 4043(c) of ERISA and the regulations thereunder, for which notice thereof has not been waived pursuant to such regulations as in effect on the date hereof;</w:t>
      </w:r>
    </w:p>
    <w:p>
      <w:pPr>
        <w:spacing w:after="0" w:line="184" w:lineRule="exact"/>
        <w:rPr>
          <w:rFonts w:ascii="Times New Roman" w:cs="Times New Roman" w:eastAsia="Times New Roman" w:hAnsi="Times New Roman"/>
          <w:sz w:val="22"/>
          <w:szCs w:val="22"/>
          <w:color w:val="auto"/>
        </w:rPr>
      </w:pPr>
    </w:p>
    <w:p>
      <w:pPr>
        <w:jc w:val="both"/>
        <w:ind w:firstLine="1304"/>
        <w:spacing w:after="0" w:line="242" w:lineRule="auto"/>
        <w:tabs>
          <w:tab w:leader="none" w:pos="1614"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institution by the PBGC of, or the threatening by the PBGC of the institution of, proceedings under section 4042 of ERISA for the termination of, or the appointment of a trustee to administer, any Plan, or the receipt by the Company or any ERISA Affiliate of a notice from a Multiemployer Plan that such action has been taken by the PBGC with respect to such Multiemployer Plan;</w:t>
      </w:r>
    </w:p>
    <w:p>
      <w:pPr>
        <w:spacing w:after="0" w:line="2" w:lineRule="exact"/>
        <w:rPr>
          <w:rFonts w:ascii="Times New Roman" w:cs="Times New Roman" w:eastAsia="Times New Roman" w:hAnsi="Times New Roman"/>
          <w:sz w:val="22"/>
          <w:szCs w:val="22"/>
          <w:color w:val="auto"/>
        </w:rPr>
      </w:pPr>
    </w:p>
    <w:p>
      <w:pPr>
        <w:jc w:val="both"/>
        <w:ind w:firstLine="1304"/>
        <w:spacing w:after="0" w:line="241" w:lineRule="auto"/>
        <w:tabs>
          <w:tab w:leader="none" w:pos="1674"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transaction or condition that could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could reasonably be expected to have a Material Adverse Effect; or</w:t>
      </w:r>
    </w:p>
    <w:p>
      <w:pPr>
        <w:spacing w:after="0" w:line="217" w:lineRule="exact"/>
        <w:rPr>
          <w:rFonts w:ascii="Times New Roman" w:cs="Times New Roman" w:eastAsia="Times New Roman" w:hAnsi="Times New Roman"/>
          <w:sz w:val="22"/>
          <w:szCs w:val="22"/>
          <w:color w:val="auto"/>
        </w:rPr>
      </w:pPr>
    </w:p>
    <w:p>
      <w:pPr>
        <w:ind w:firstLine="1304"/>
        <w:spacing w:after="0" w:line="285" w:lineRule="exact"/>
        <w:tabs>
          <w:tab w:leader="none" w:pos="1662"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receipt of notice of the imposition of a Material financial penalty (which for this purpose shall mean any tax, penalty or other liability, whether by way of indemnity or otherwise) with respect to one or more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Plans;</w:t>
      </w:r>
    </w:p>
    <w:p>
      <w:pPr>
        <w:spacing w:after="0" w:line="169" w:lineRule="exact"/>
        <w:rPr>
          <w:rFonts w:ascii="Times New Roman" w:cs="Times New Roman" w:eastAsia="Times New Roman" w:hAnsi="Times New Roman"/>
          <w:sz w:val="22"/>
          <w:szCs w:val="22"/>
          <w:color w:val="auto"/>
        </w:rPr>
      </w:pPr>
    </w:p>
    <w:p>
      <w:pPr>
        <w:ind w:right="20" w:firstLine="656"/>
        <w:spacing w:after="0" w:line="275" w:lineRule="auto"/>
        <w:tabs>
          <w:tab w:leader="none" w:pos="93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Notices from Governmental Authority </w:t>
      </w:r>
      <w:r>
        <w:rPr>
          <w:rFonts w:ascii="Times New Roman" w:cs="Times New Roman" w:eastAsia="Times New Roman" w:hAnsi="Times New Roman"/>
          <w:sz w:val="22"/>
          <w:szCs w:val="22"/>
          <w:color w:val="auto"/>
        </w:rPr>
        <w:t>— promptly, and in any event within 30 days of receipt thereof, copies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notice to the Company or any Subsidiary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369" w:right="339" w:bottom="1440" w:gutter="0" w:footer="0" w:header="0"/>
        </w:sectPr>
      </w:pPr>
    </w:p>
    <w:bookmarkStart w:id="24" w:name="page25"/>
    <w:bookmarkEnd w:id="24"/>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any Governmental Authority relating to any order, ruling, statute or other law or regulation that could reasonably be expected to have a Material Adverse Effect;</w:t>
      </w:r>
    </w:p>
    <w:p>
      <w:pPr>
        <w:spacing w:after="0" w:line="167" w:lineRule="exact"/>
        <w:rPr>
          <w:sz w:val="20"/>
          <w:szCs w:val="20"/>
          <w:color w:val="auto"/>
        </w:rPr>
      </w:pPr>
    </w:p>
    <w:p>
      <w:pPr>
        <w:jc w:val="both"/>
        <w:ind w:firstLine="656"/>
        <w:spacing w:after="0" w:line="253" w:lineRule="auto"/>
        <w:tabs>
          <w:tab w:leader="none" w:pos="95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Resignation or Replacement of Auditors </w:t>
      </w:r>
      <w:r>
        <w:rPr>
          <w:rFonts w:ascii="Times New Roman" w:cs="Times New Roman" w:eastAsia="Times New Roman" w:hAnsi="Times New Roman"/>
          <w:sz w:val="22"/>
          <w:szCs w:val="22"/>
          <w:color w:val="auto"/>
        </w:rPr>
        <w:t>— within 10 days following the date on which the Company’s auditors resign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or the Company elects to change auditors, as the case may be, notification thereof, together with such further information as the Required Holders may request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filing by the Company of a current report on Form 8-K with the SEC regarding such resignation or change shall be deemed to constitute notification pursuant to this clause (g); and</w:t>
      </w:r>
    </w:p>
    <w:p>
      <w:pPr>
        <w:spacing w:after="0" w:line="188" w:lineRule="exact"/>
        <w:rPr>
          <w:rFonts w:ascii="Times New Roman" w:cs="Times New Roman" w:eastAsia="Times New Roman" w:hAnsi="Times New Roman"/>
          <w:sz w:val="22"/>
          <w:szCs w:val="22"/>
          <w:color w:val="auto"/>
        </w:rPr>
      </w:pPr>
    </w:p>
    <w:p>
      <w:pPr>
        <w:jc w:val="both"/>
        <w:ind w:firstLine="656"/>
        <w:spacing w:after="0" w:line="261" w:lineRule="exact"/>
        <w:tabs>
          <w:tab w:leader="none" w:pos="99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Requested Information </w:t>
      </w:r>
      <w:r>
        <w:rPr>
          <w:rFonts w:ascii="Times New Roman" w:cs="Times New Roman" w:eastAsia="Times New Roman" w:hAnsi="Times New Roman"/>
          <w:sz w:val="22"/>
          <w:szCs w:val="22"/>
          <w:color w:val="auto"/>
        </w:rPr>
        <w:t>— with reasonable promptness, such other data and information relating to the business,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operations, affairs, financial condition, assets or properties of the Company or any of its Subsidiaries (including actual copies of the Company’s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Q and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or relating to the ability of the Company to perform its obligations hereunder and under the Notes as from time to time may be reasonably requested by any such holder of a Note.</w:t>
      </w:r>
    </w:p>
    <w:p>
      <w:pPr>
        <w:spacing w:after="0" w:line="214"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7.2. Officer’s Certificate. </w:t>
      </w:r>
      <w:r>
        <w:rPr>
          <w:rFonts w:ascii="Times New Roman" w:cs="Times New Roman" w:eastAsia="Times New Roman" w:hAnsi="Times New Roman"/>
          <w:sz w:val="22"/>
          <w:szCs w:val="22"/>
          <w:color w:val="auto"/>
        </w:rPr>
        <w:t>Each set of financial statements delivered to a holder of a Note pursuant to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7.1(a) or Section 7.1(b) shall be accompanied by a certificate of a Senior Financial Officer:</w:t>
      </w:r>
    </w:p>
    <w:p>
      <w:pPr>
        <w:spacing w:after="0" w:line="176" w:lineRule="exact"/>
        <w:rPr>
          <w:sz w:val="20"/>
          <w:szCs w:val="20"/>
          <w:color w:val="auto"/>
        </w:rPr>
      </w:pPr>
    </w:p>
    <w:p>
      <w:pPr>
        <w:jc w:val="both"/>
        <w:ind w:firstLine="8"/>
        <w:spacing w:after="0" w:line="242" w:lineRule="auto"/>
        <w:tabs>
          <w:tab w:leader="none" w:pos="30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Covenant Compliance </w:t>
      </w:r>
      <w:r>
        <w:rPr>
          <w:rFonts w:ascii="Times New Roman" w:cs="Times New Roman" w:eastAsia="Times New Roman" w:hAnsi="Times New Roman"/>
          <w:sz w:val="22"/>
          <w:szCs w:val="22"/>
          <w:color w:val="auto"/>
        </w:rPr>
        <w:t>— setting forth the information from such financial statements that is required in order to establish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whether the Company was in compliance with the requirements of Section 10 during the quarterly or annual period covered by the financial statements then being furnished (including with respect to each such provision that involves mathematical calculations, the information from such financial statements that is required to perform such calculations) and detailed calculations of the maximum or minimum amount, ratio or percentage, as the case may be, permissible under the terms of such Section, and the calculation of the amount, ratio or percentage then in existence. In the event that the Company or any Subsidiary has made an election to measure any financial liability using fair value (which election is being disregarded for purposes of determining compliance with this Agreement pursuant to Section 22.2) as to the period covered by any such financial statement, such Senior Financial Officer’s certificate as to such period shall include a reconciliation from GAAP with respect to such election;</w:t>
      </w:r>
    </w:p>
    <w:p>
      <w:pPr>
        <w:spacing w:after="0" w:line="216" w:lineRule="exact"/>
        <w:rPr>
          <w:rFonts w:ascii="Times New Roman" w:cs="Times New Roman" w:eastAsia="Times New Roman" w:hAnsi="Times New Roman"/>
          <w:sz w:val="22"/>
          <w:szCs w:val="22"/>
          <w:color w:val="auto"/>
        </w:rPr>
      </w:pPr>
    </w:p>
    <w:p>
      <w:pPr>
        <w:jc w:val="both"/>
        <w:ind w:firstLine="656"/>
        <w:spacing w:after="0" w:line="257" w:lineRule="auto"/>
        <w:tabs>
          <w:tab w:leader="none" w:pos="954"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Event of Default </w:t>
      </w:r>
      <w:r>
        <w:rPr>
          <w:rFonts w:ascii="Times New Roman" w:cs="Times New Roman" w:eastAsia="Times New Roman" w:hAnsi="Times New Roman"/>
          <w:sz w:val="21"/>
          <w:szCs w:val="21"/>
          <w:color w:val="auto"/>
        </w:rPr>
        <w:t>— certifying that such Senior Financial Officer has reviewed the relevant terms hereof and has made,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any such event or condition resulting from the failure of the Company or any Subsidiary to comply with any Environmental Law), specifying the nature and period of existence thereof and what action the Company shall have taken or proposes to take with respect thereto;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369" w:right="339" w:bottom="1440" w:gutter="0" w:footer="0" w:header="0"/>
        </w:sectPr>
      </w:pPr>
    </w:p>
    <w:bookmarkStart w:id="25" w:name="page26"/>
    <w:bookmarkEnd w:id="25"/>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656"/>
        <w:spacing w:after="0" w:line="252" w:lineRule="auto"/>
        <w:tabs>
          <w:tab w:leader="none" w:pos="94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Subsidiary Guarantors </w:t>
      </w:r>
      <w:r>
        <w:rPr>
          <w:rFonts w:ascii="Times New Roman" w:cs="Times New Roman" w:eastAsia="Times New Roman" w:hAnsi="Times New Roman"/>
          <w:sz w:val="22"/>
          <w:szCs w:val="22"/>
          <w:color w:val="auto"/>
        </w:rPr>
        <w:t>– setting forth a list of all Subsidiaries that are Subsidiary Guarantors and certifying that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Subsidiary that is required to be a Subsidiary Guarantor pursuant to Section 9.7 is a Subsidiary Guarantor, in each case, as of the date of such certificate of Senior Financial Officer.</w:t>
      </w:r>
    </w:p>
    <w:p>
      <w:pPr>
        <w:spacing w:after="0" w:line="202"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7.3. Visitation. </w:t>
      </w:r>
      <w:r>
        <w:rPr>
          <w:rFonts w:ascii="Times New Roman" w:cs="Times New Roman" w:eastAsia="Times New Roman" w:hAnsi="Times New Roman"/>
          <w:sz w:val="22"/>
          <w:szCs w:val="22"/>
          <w:color w:val="auto"/>
        </w:rPr>
        <w:t>The Company shall permit the representatives of each holder of a Note that is an Institutional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Investor:</w:t>
      </w:r>
    </w:p>
    <w:p>
      <w:pPr>
        <w:spacing w:after="0" w:line="176" w:lineRule="exact"/>
        <w:rPr>
          <w:sz w:val="20"/>
          <w:szCs w:val="20"/>
          <w:color w:val="auto"/>
        </w:rPr>
      </w:pPr>
    </w:p>
    <w:p>
      <w:pPr>
        <w:jc w:val="both"/>
        <w:ind w:firstLine="656"/>
        <w:spacing w:after="0" w:line="244" w:lineRule="auto"/>
        <w:tabs>
          <w:tab w:leader="none" w:pos="94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Default </w:t>
      </w:r>
      <w:r>
        <w:rPr>
          <w:rFonts w:ascii="Times New Roman" w:cs="Times New Roman" w:eastAsia="Times New Roman" w:hAnsi="Times New Roman"/>
          <w:sz w:val="22"/>
          <w:szCs w:val="22"/>
          <w:color w:val="auto"/>
        </w:rPr>
        <w:t>— if no Default or Event of Default then exists, at the expense of such holder and upon reasonable prior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notice to the Company, to visit the principal executive office of the Company, to discuss the affairs, finances and accounts of the Company and its Subsidiaries with the Company’s officers, and (with the consent of the Company, which consent will not be unreasonably withheld) to visit the other offices and properties of the Company and each Subsidiary, all at such reasonable times and as often as may be reasonably requested in writing; and</w:t>
      </w:r>
    </w:p>
    <w:p>
      <w:pPr>
        <w:spacing w:after="0" w:line="212" w:lineRule="exact"/>
        <w:rPr>
          <w:rFonts w:ascii="Times New Roman" w:cs="Times New Roman" w:eastAsia="Times New Roman" w:hAnsi="Times New Roman"/>
          <w:sz w:val="22"/>
          <w:szCs w:val="22"/>
          <w:color w:val="auto"/>
        </w:rPr>
      </w:pPr>
    </w:p>
    <w:p>
      <w:pPr>
        <w:jc w:val="both"/>
        <w:ind w:firstLine="656"/>
        <w:spacing w:after="0" w:line="246" w:lineRule="auto"/>
        <w:tabs>
          <w:tab w:leader="none" w:pos="95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Default </w:t>
      </w:r>
      <w:r>
        <w:rPr>
          <w:rFonts w:ascii="Times New Roman" w:cs="Times New Roman" w:eastAsia="Times New Roman" w:hAnsi="Times New Roman"/>
          <w:sz w:val="22"/>
          <w:szCs w:val="22"/>
          <w:color w:val="auto"/>
        </w:rPr>
        <w:t>— if a Default or Event of Default then exists, at the expense of the Company to visit and inspect any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shall receive written notice of such meeting and representatives of the Company shall be entitled to be present at any such meeting)), all at such times and as often as may be reasonably requested in writing.</w:t>
      </w:r>
    </w:p>
    <w:p>
      <w:pPr>
        <w:spacing w:after="0" w:line="19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b w:val="1"/>
          <w:bCs w:val="1"/>
          <w:color w:val="auto"/>
        </w:rPr>
        <w:t xml:space="preserve">Section 7.4. Electronic Delivery. </w:t>
      </w:r>
      <w:r>
        <w:rPr>
          <w:rFonts w:ascii="Times New Roman" w:cs="Times New Roman" w:eastAsia="Times New Roman" w:hAnsi="Times New Roman"/>
          <w:sz w:val="21"/>
          <w:szCs w:val="21"/>
          <w:color w:val="auto"/>
        </w:rPr>
        <w:t>Financial statements, opinions of independent certified public accountants,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information and Officer’s Certificates that are required to be delivered by the Company pursuant to Sections 7.1(a), (b) or (c) and Section 7.2 shall (in addition to the delivery methods specified in the provisos to Sections 7.1(a) and (b), in the case of such clauses) be deemed to have been delivered if the Company satisfies any of the following requirements with respect thereto:</w:t>
      </w:r>
    </w:p>
    <w:p>
      <w:pPr>
        <w:spacing w:after="0" w:line="193" w:lineRule="exact"/>
        <w:rPr>
          <w:sz w:val="20"/>
          <w:szCs w:val="20"/>
          <w:color w:val="auto"/>
        </w:rPr>
      </w:pPr>
    </w:p>
    <w:p>
      <w:pPr>
        <w:jc w:val="both"/>
        <w:ind w:firstLine="1304"/>
        <w:spacing w:after="0" w:line="260" w:lineRule="exact"/>
        <w:tabs>
          <w:tab w:leader="none" w:pos="1603"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financial statements satisfying the requirements of Section 7.1(a) or (b) and related Officer’s Certificate satisfying the requirements of Section 7.2 and any other information required under Section 7.1(c) are delivered to each holder of a Note by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at the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address set forth in such holder’s Purchaser Schedule or as communicated from time to time in a separate writing delivered to the Company;</w:t>
      </w:r>
    </w:p>
    <w:p>
      <w:pPr>
        <w:spacing w:after="0" w:line="218" w:lineRule="exact"/>
        <w:rPr>
          <w:rFonts w:ascii="Times New Roman" w:cs="Times New Roman" w:eastAsia="Times New Roman" w:hAnsi="Times New Roman"/>
          <w:sz w:val="22"/>
          <w:szCs w:val="22"/>
          <w:color w:val="auto"/>
        </w:rPr>
      </w:pPr>
    </w:p>
    <w:p>
      <w:pPr>
        <w:jc w:val="both"/>
        <w:ind w:firstLine="656"/>
        <w:spacing w:after="0" w:line="259" w:lineRule="exact"/>
        <w:tabs>
          <w:tab w:leader="none" w:pos="967"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the Officer’s Certificate satisfying the requirements of Section 7.2, the Company shall have (i) made such Officer’s Certificate available on its home page on the internet, which is located at http://www.toro.com as of the date of this Agreement, (ii) delivered such Officer’s Certificate to each holder of a Note by 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mail at the 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mail address set forth in such holder’s Purchaser Schedule or as communicated from time to time in a separate writing delivered to the Company, or (iii) posted such Officer’s Certificate on Intralinks or on any other similar website to which each holder of Notes has free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369" w:right="339" w:bottom="1440" w:gutter="0" w:footer="0" w:header="0"/>
        </w:sectPr>
      </w:pPr>
    </w:p>
    <w:bookmarkStart w:id="26" w:name="page27"/>
    <w:bookmarkEnd w:id="26"/>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656"/>
        <w:spacing w:after="0" w:line="248" w:lineRule="auto"/>
        <w:tabs>
          <w:tab w:leader="none" w:pos="99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financial statements satisfying the requirements of Section 7.1(a) or Section 7.1(b) and related Officer’s Certificate(s) satisfying the requirements of Section 7.2 and any other information required under Section 7.1(c) are timely emailed to each holder of Notes posted by or on behalf of the Company on Intralinks or on any other similar website to which each holder of Notes has free access; or</w:t>
      </w:r>
    </w:p>
    <w:p>
      <w:pPr>
        <w:spacing w:after="0" w:line="209" w:lineRule="exact"/>
        <w:rPr>
          <w:rFonts w:ascii="Times New Roman" w:cs="Times New Roman" w:eastAsia="Times New Roman" w:hAnsi="Times New Roman"/>
          <w:sz w:val="22"/>
          <w:szCs w:val="22"/>
          <w:color w:val="auto"/>
        </w:rPr>
      </w:pPr>
    </w:p>
    <w:p>
      <w:pPr>
        <w:jc w:val="both"/>
        <w:ind w:firstLine="656"/>
        <w:spacing w:after="0" w:line="250" w:lineRule="auto"/>
        <w:tabs>
          <w:tab w:leader="none" w:pos="95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timely filed any of the items referred to in Section 7.1(c) with the SEC on EDGAR Next or shall have emailed such items to each holder of Notes or made such items available on its home page on the internet or on Intralinks or on any other similar website to which each holder of Notes has free access;</w:t>
      </w:r>
    </w:p>
    <w:p>
      <w:pPr>
        <w:spacing w:after="0" w:line="204" w:lineRule="exact"/>
        <w:rPr>
          <w:sz w:val="20"/>
          <w:szCs w:val="20"/>
          <w:color w:val="auto"/>
        </w:rPr>
      </w:pPr>
    </w:p>
    <w:p>
      <w:pPr>
        <w:jc w:val="both"/>
        <w:spacing w:after="0" w:line="257" w:lineRule="exact"/>
        <w:rPr>
          <w:sz w:val="20"/>
          <w:szCs w:val="20"/>
          <w:color w:val="auto"/>
        </w:rPr>
      </w:pPr>
      <w:r>
        <w:rPr>
          <w:rFonts w:ascii="Times New Roman" w:cs="Times New Roman" w:eastAsia="Times New Roman" w:hAnsi="Times New Roman"/>
          <w:sz w:val="22"/>
          <w:szCs w:val="22"/>
          <w:i w:val="1"/>
          <w:iCs w:val="1"/>
          <w:color w:val="auto"/>
        </w:rPr>
        <w:t xml:space="preserve">provided however, </w:t>
      </w:r>
      <w:r>
        <w:rPr>
          <w:rFonts w:ascii="Times New Roman" w:cs="Times New Roman" w:eastAsia="Times New Roman" w:hAnsi="Times New Roman"/>
          <w:sz w:val="22"/>
          <w:szCs w:val="22"/>
          <w:color w:val="auto"/>
        </w:rPr>
        <w:t>that in no case shall access to such financial statements, other information and Officer’s Certificates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conditioned upon any waiver or other agreement or consent (other than confidentiality provisions consistent with Section 20 of this Agreement);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except in the case of any delivery made by filing with the SEC on EDGAR Next or by email to the holders of the Notes, the Company shall have given each holder of a Note prior or concurrent written notice, which may be by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mail or in accordance with Section 18, of such posting or filing in connection with each delivery,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upon request of any holder to receive paper copies of such forms, financial statements, other information and Officer’s Certificates or to receive them by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the Company will promptly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them or deliver such paper copies, as the case may be, to such holder.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8. Payment and Prepayment of the Notes.</w:t>
      </w:r>
    </w:p>
    <w:p>
      <w:pPr>
        <w:spacing w:after="0" w:line="233"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8.1. Maturity. </w:t>
      </w:r>
      <w:r>
        <w:rPr>
          <w:rFonts w:ascii="Times New Roman" w:cs="Times New Roman" w:eastAsia="Times New Roman" w:hAnsi="Times New Roman"/>
          <w:sz w:val="22"/>
          <w:szCs w:val="22"/>
          <w:color w:val="auto"/>
        </w:rPr>
        <w:t>(a) As provided therein, the entire unpaid principal balance of each Note shall be due and payable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due September 30, 2032.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369" w:right="339" w:bottom="1440" w:gutter="0" w:footer="0" w:header="0"/>
        </w:sectPr>
      </w:pPr>
    </w:p>
    <w:bookmarkStart w:id="27" w:name="page28"/>
    <w:bookmarkEnd w:id="27"/>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firstLine="648"/>
        <w:spacing w:after="0" w:line="258" w:lineRule="exact"/>
        <w:rPr>
          <w:sz w:val="20"/>
          <w:szCs w:val="20"/>
          <w:color w:val="auto"/>
        </w:rPr>
      </w:pPr>
      <w:r>
        <w:rPr>
          <w:rFonts w:ascii="Times New Roman" w:cs="Times New Roman" w:eastAsia="Times New Roman" w:hAnsi="Times New Roman"/>
          <w:sz w:val="22"/>
          <w:szCs w:val="22"/>
          <w:b w:val="1"/>
          <w:bCs w:val="1"/>
          <w:color w:val="auto"/>
        </w:rPr>
        <w:t>Section 8.2. Optional Prepayments with Make</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 xml:space="preserve"> Whole Amount. </w:t>
      </w:r>
      <w:r>
        <w:rPr>
          <w:rFonts w:ascii="Times New Roman" w:cs="Times New Roman" w:eastAsia="Times New Roman" w:hAnsi="Times New Roman"/>
          <w:sz w:val="22"/>
          <w:szCs w:val="22"/>
          <w:color w:val="auto"/>
        </w:rPr>
        <w:t>(a) The Company may, at its option, upon notice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below, prepay at any time all, or from time to time any part of, the Notes, in an amount not less than 10% of the aggregate principal amount of the Notes then outstanding in the case of a partial prepayment, at 100% of the principal amount so prepaid, and the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determined for the prepayment date with respect to such principal amount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 will give each holder of the Notes written notice of each optional prepayment under this Section 8.2 not less than 5 Business Days and not more than 60 days prior to the date fixed for such prepayment unless the Company and the Required Holders agree to another time period pursuant to Section 17. Each such notice shall specify such date (which shall be a Business Day), the aggregate principal amount of the Notes to be prepaid on such date, the principal amount of each Note held by such holder to be prepaid (determined in accordance with Section 8.3), and the interest to be paid on the prepayment date with respect to such principal amount being prepaid, and shall be accompanied by a certificate of a Senior Financial Officer as to the estimated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due in connection with such prepayment (calculated as if the date of such notice were the date of the prepayment), setting forth the details of such computation. Two Business Days prior to such prepayment, the Company shall deliver to each holder of Notes a certificate of a Senior Financial Officer specifying the calculation of such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as of the specified prepayment date.</w:t>
      </w:r>
    </w:p>
    <w:p>
      <w:pPr>
        <w:spacing w:after="0" w:line="179" w:lineRule="exact"/>
        <w:rPr>
          <w:sz w:val="20"/>
          <w:szCs w:val="20"/>
          <w:color w:val="auto"/>
        </w:rPr>
      </w:pPr>
    </w:p>
    <w:p>
      <w:pPr>
        <w:jc w:val="both"/>
        <w:ind w:firstLine="8"/>
        <w:spacing w:after="0" w:line="250" w:lineRule="exact"/>
        <w:tabs>
          <w:tab w:leader="none" w:pos="30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Optional Prepayment Without Make</w:t>
      </w:r>
      <w:r>
        <w:rPr>
          <w:rFonts w:ascii="MS PGothic" w:cs="MS PGothic" w:eastAsia="MS PGothic" w:hAnsi="MS PGothic"/>
          <w:sz w:val="21"/>
          <w:szCs w:val="21"/>
          <w:i w:val="1"/>
          <w:iCs w:val="1"/>
          <w:color w:val="auto"/>
        </w:rPr>
        <w:t>‑</w:t>
      </w:r>
      <w:r>
        <w:rPr>
          <w:rFonts w:ascii="Times New Roman" w:cs="Times New Roman" w:eastAsia="Times New Roman" w:hAnsi="Times New Roman"/>
          <w:sz w:val="21"/>
          <w:szCs w:val="21"/>
          <w:i w:val="1"/>
          <w:iCs w:val="1"/>
          <w:color w:val="auto"/>
        </w:rPr>
        <w:t xml:space="preserve">Whole Amount of the Notes. </w:t>
      </w:r>
      <w:r>
        <w:rPr>
          <w:rFonts w:ascii="Times New Roman" w:cs="Times New Roman" w:eastAsia="Times New Roman" w:hAnsi="Times New Roman"/>
          <w:sz w:val="21"/>
          <w:szCs w:val="21"/>
          <w:color w:val="auto"/>
        </w:rPr>
        <w:t>At any time on or after June 30, 2032 (the period from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date to the stated maturity of the Notes being referred to as the </w:t>
      </w:r>
      <w:r>
        <w:rPr>
          <w:rFonts w:ascii="Times New Roman" w:cs="Times New Roman" w:eastAsia="Times New Roman" w:hAnsi="Times New Roman"/>
          <w:sz w:val="21"/>
          <w:szCs w:val="21"/>
          <w:b w:val="1"/>
          <w:bCs w:val="1"/>
          <w:color w:val="auto"/>
        </w:rPr>
        <w:t>“90-Day Period”</w:t>
      </w:r>
      <w:r>
        <w:rPr>
          <w:rFonts w:ascii="Times New Roman" w:cs="Times New Roman" w:eastAsia="Times New Roman" w:hAnsi="Times New Roman"/>
          <w:sz w:val="21"/>
          <w:szCs w:val="21"/>
          <w:color w:val="auto"/>
        </w:rPr>
        <w:t>), the Company may, at its option, upon notice as provided below, prepay all of the Notes at 100% of the principal amount so prepaid without the payment of any Make-Whole Amount. The Company will give each holder of the Notes written notice of each optional prepayment under this Section 8.2(b) not less than 20 days and not more than 60 days prior to the prepayment date specified in such notice. The Company may provide in such notice that repayment of the Notes and the performance of the Company’s obligations with respect to such prepayment may be performed by a paying agent or any other Person acting in a similar capacity. Each such notice shall specify such date (which shall be a Business Day during the 90-Day Period), the aggregate principal amount of the Notes to be prepaid on such date, the principal amount of each Note held by such holder to be prepaid (determined in accordance with Section 8.3), and the interest to be paid on the prepayment date with respect to such principal amount being prepaid.</w:t>
      </w:r>
    </w:p>
    <w:p>
      <w:pPr>
        <w:spacing w:after="0" w:line="21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Any notice of prepayment pursuant to Section 8.2(b) delivered in connection with a refinancing, the proceeds of which are to be used to make such prepayment, may be made, if expressly so stated in such notice, to be contingent upon the consummation of such refinancing and may be revoked by the Company in the event such financing is not or will not be consummated;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such revocation is in writing delivered to the holders of the Notes prior to the scheduled date of prepayment.</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b w:val="1"/>
          <w:bCs w:val="1"/>
          <w:color w:val="auto"/>
        </w:rPr>
        <w:t xml:space="preserve">Section 8.3. Allocation of Partial Prepayments. </w:t>
      </w:r>
      <w:r>
        <w:rPr>
          <w:rFonts w:ascii="Times New Roman" w:cs="Times New Roman" w:eastAsia="Times New Roman" w:hAnsi="Times New Roman"/>
          <w:sz w:val="21"/>
          <w:szCs w:val="21"/>
          <w:color w:val="auto"/>
        </w:rPr>
        <w:t>In the case of each partial prepayment of the Notes pursuant to the provisions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Section 8.2, the principal amount of the Notes to be prepaid shall be allocated among all of the Notes at the time outstanding in proportion, as nearly as practicable, to the respective unpaid principal amounts thereof not theretofore called for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369" w:right="339" w:bottom="1440" w:gutter="0" w:footer="0" w:header="0"/>
        </w:sectPr>
      </w:pPr>
    </w:p>
    <w:bookmarkStart w:id="28" w:name="page29"/>
    <w:bookmarkEnd w:id="28"/>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57" w:lineRule="exact"/>
        <w:rPr>
          <w:sz w:val="20"/>
          <w:szCs w:val="20"/>
          <w:color w:val="auto"/>
        </w:rPr>
      </w:pPr>
      <w:r>
        <w:rPr>
          <w:rFonts w:ascii="Times New Roman" w:cs="Times New Roman" w:eastAsia="Times New Roman" w:hAnsi="Times New Roman"/>
          <w:sz w:val="22"/>
          <w:szCs w:val="22"/>
          <w:b w:val="1"/>
          <w:bCs w:val="1"/>
          <w:color w:val="auto"/>
        </w:rPr>
        <w:t xml:space="preserve">Section 8.4. Maturity; Surrender, Etc. </w:t>
      </w:r>
      <w:r>
        <w:rPr>
          <w:rFonts w:ascii="Times New Roman" w:cs="Times New Roman" w:eastAsia="Times New Roman" w:hAnsi="Times New Roman"/>
          <w:sz w:val="22"/>
          <w:szCs w:val="22"/>
          <w:color w:val="auto"/>
        </w:rPr>
        <w:t>In the case of each optional prepayment of Notes pursuant to this Section 8,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principal amount of each Note to be prepaid shall mature and become due and payable on the date fixed for such prepayment, together with interest on such principal amount accrued to such date and the applicable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if any. From and after such date, unless the Company shall fail to pay such principal amount when so due and payable, together with the interest and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if any, as aforesaid, interest on such principal amount shall cease to accrue. Any Note paid or prepaid in full shall be surrendered to the Company and cancelled and shall not be reissued, and no Note shall be issued in lieu of any prepaid principal amount of any Note.</w:t>
      </w:r>
    </w:p>
    <w:p>
      <w:pPr>
        <w:spacing w:after="0" w:line="21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Section 8.5. Purchase of Notes. </w:t>
      </w:r>
      <w:r>
        <w:rPr>
          <w:rFonts w:ascii="Times New Roman" w:cs="Times New Roman" w:eastAsia="Times New Roman" w:hAnsi="Times New Roman"/>
          <w:sz w:val="22"/>
          <w:szCs w:val="22"/>
          <w:color w:val="auto"/>
        </w:rPr>
        <w:t>The Company will not and will not permit any Affiliate to purchase, redeem, prepay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acquire, directly or indirectly, any of the outstanding Notes except (a) upon the payment or prepayment of the Notes in accordance with this Agreement and the Notes or (b) pursuant to an offer to purchase made by the Company, any Subsidiary or an Affiliate pro rata to the holders of all Notes at the time outstanding upon the same terms and conditions. Any such offer shall provide each holder with sufficient information to enable it to make an informed decision with respect to such offer, and shall remain open for at least 10 Business Days. If the holders of more than 35% of the principal amount of the Notes then outstanding accept such offer, the Company shall promptly notify the remaining holders of the Notes of such fact and the expiration date for the acceptance by holders of Notes of such offer shall be extended by the number of days necessary to give each such remaining holder at least 5 Business Days from its receipt of such notice to accept such offer. The Company will promptly cancel all Notes acquired by it, any Subsidiary or any Affiliate pursuant to any payment, prepayment or purchase of Notes pursuant to this Agreement and no Notes may be issued in substitution or exchange for any such Notes.</w:t>
      </w:r>
    </w:p>
    <w:p>
      <w:pPr>
        <w:spacing w:after="0" w:line="188" w:lineRule="exact"/>
        <w:rPr>
          <w:sz w:val="20"/>
          <w:szCs w:val="20"/>
          <w:color w:val="auto"/>
        </w:rPr>
      </w:pPr>
    </w:p>
    <w:p>
      <w:pPr>
        <w:ind w:left="660"/>
        <w:spacing w:after="0" w:line="253" w:lineRule="exact"/>
        <w:rPr>
          <w:sz w:val="20"/>
          <w:szCs w:val="20"/>
          <w:color w:val="auto"/>
        </w:rPr>
      </w:pPr>
      <w:r>
        <w:rPr>
          <w:rFonts w:ascii="Times New Roman" w:cs="Times New Roman" w:eastAsia="Times New Roman" w:hAnsi="Times New Roman"/>
          <w:sz w:val="22"/>
          <w:szCs w:val="22"/>
          <w:b w:val="1"/>
          <w:bCs w:val="1"/>
          <w:color w:val="auto"/>
        </w:rPr>
        <w:t>Section 8.6. Make</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Whole Amount.</w:t>
      </w:r>
    </w:p>
    <w:p>
      <w:pPr>
        <w:spacing w:after="0" w:line="233" w:lineRule="exact"/>
        <w:rPr>
          <w:sz w:val="20"/>
          <w:szCs w:val="20"/>
          <w:color w:val="auto"/>
        </w:rPr>
      </w:pPr>
    </w:p>
    <w:p>
      <w:pPr>
        <w:jc w:val="both"/>
        <w:ind w:firstLine="648"/>
        <w:spacing w:after="0" w:line="280" w:lineRule="exact"/>
        <w:rPr>
          <w:sz w:val="20"/>
          <w:szCs w:val="20"/>
          <w:color w:val="auto"/>
        </w:rPr>
      </w:pPr>
      <w:r>
        <w:rPr>
          <w:rFonts w:ascii="Times New Roman" w:cs="Times New Roman" w:eastAsia="Times New Roman" w:hAnsi="Times New Roman"/>
          <w:sz w:val="22"/>
          <w:szCs w:val="22"/>
          <w:color w:val="auto"/>
        </w:rPr>
        <w:t xml:space="preserve">The term </w:t>
      </w:r>
      <w:r>
        <w:rPr>
          <w:rFonts w:ascii="Times New Roman" w:cs="Times New Roman" w:eastAsia="Times New Roman" w:hAnsi="Times New Roman"/>
          <w:sz w:val="22"/>
          <w:szCs w:val="22"/>
          <w:b w:val="1"/>
          <w:bCs w:val="1"/>
          <w:color w:val="auto"/>
        </w:rPr>
        <w:t>“Make</w:t>
      </w:r>
      <w:r>
        <w:rPr>
          <w:rFonts w:ascii="MS PGothic" w:cs="MS PGothic" w:eastAsia="MS PGothic" w:hAnsi="MS PGothic"/>
          <w:sz w:val="22"/>
          <w:szCs w:val="22"/>
          <w:color w:val="auto"/>
        </w:rPr>
        <w:t>‑</w:t>
      </w:r>
      <w:r>
        <w:rPr>
          <w:rFonts w:ascii="Times New Roman" w:cs="Times New Roman" w:eastAsia="Times New Roman" w:hAnsi="Times New Roman"/>
          <w:sz w:val="22"/>
          <w:szCs w:val="22"/>
          <w:b w:val="1"/>
          <w:bCs w:val="1"/>
          <w:color w:val="auto"/>
        </w:rPr>
        <w:t>Whole Amount”</w:t>
      </w:r>
      <w:r>
        <w:rPr>
          <w:rFonts w:ascii="Times New Roman" w:cs="Times New Roman" w:eastAsia="Times New Roman" w:hAnsi="Times New Roman"/>
          <w:sz w:val="22"/>
          <w:szCs w:val="22"/>
          <w:color w:val="auto"/>
        </w:rPr>
        <w:t xml:space="preserve"> means, with respect to any Note, an amount equal to the excess, if any, of the Discounted Value of the Remaining Scheduled Payments with respect to the Called Principal of such Note over the amount of such Called Principal,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Whole Amount may in no event be less than zero. For the purposes of determining the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the following terms have the following meanings:</w:t>
      </w:r>
    </w:p>
    <w:p>
      <w:pPr>
        <w:spacing w:after="0" w:line="18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“Called Principal” </w:t>
      </w:r>
      <w:r>
        <w:rPr>
          <w:rFonts w:ascii="Times New Roman" w:cs="Times New Roman" w:eastAsia="Times New Roman" w:hAnsi="Times New Roman"/>
          <w:sz w:val="22"/>
          <w:szCs w:val="22"/>
          <w:color w:val="auto"/>
        </w:rPr>
        <w:t>means, with respect to any Note, the principal of such Note that is to be prepaid pursuant to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8.2 or has become or is declared to be immediately due and payable pursuant to Section 12.1, as the context requires.</w:t>
      </w:r>
    </w:p>
    <w:p>
      <w:pPr>
        <w:spacing w:after="0" w:line="16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“Discounted Value” </w:t>
      </w:r>
      <w:r>
        <w:rPr>
          <w:rFonts w:ascii="Times New Roman" w:cs="Times New Roman" w:eastAsia="Times New Roman" w:hAnsi="Times New Roman"/>
          <w:sz w:val="22"/>
          <w:szCs w:val="22"/>
          <w:color w:val="auto"/>
        </w:rPr>
        <w:t>means, with respect to the Called Principal of any Note, the amount obtained by discounting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Notes is payable) equal to the Reinvestment Yield with respect to such Called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369" w:right="339" w:bottom="1440" w:gutter="0" w:footer="0" w:header="0"/>
        </w:sectPr>
      </w:pPr>
    </w:p>
    <w:bookmarkStart w:id="29" w:name="page30"/>
    <w:bookmarkEnd w:id="29"/>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648"/>
        <w:spacing w:after="0" w:line="256" w:lineRule="exact"/>
        <w:rPr>
          <w:sz w:val="20"/>
          <w:szCs w:val="20"/>
          <w:color w:val="auto"/>
        </w:rPr>
      </w:pPr>
      <w:r>
        <w:rPr>
          <w:rFonts w:ascii="Times New Roman" w:cs="Times New Roman" w:eastAsia="Times New Roman" w:hAnsi="Times New Roman"/>
          <w:sz w:val="22"/>
          <w:szCs w:val="22"/>
          <w:b w:val="1"/>
          <w:bCs w:val="1"/>
          <w:color w:val="auto"/>
        </w:rPr>
        <w:t xml:space="preserve">“Reinvestment Yield” </w:t>
      </w:r>
      <w:r>
        <w:rPr>
          <w:rFonts w:ascii="Times New Roman" w:cs="Times New Roman" w:eastAsia="Times New Roman" w:hAnsi="Times New Roman"/>
          <w:sz w:val="22"/>
          <w:szCs w:val="22"/>
          <w:color w:val="auto"/>
        </w:rPr>
        <w:t>means, with respect to the Called Principal of any Note, the sum of (a) 0.50% plus (b) the yield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the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run U.S. Treasury securities </w:t>
      </w:r>
      <w:r>
        <w:rPr>
          <w:rFonts w:ascii="Times New Roman" w:cs="Times New Roman" w:eastAsia="Times New Roman" w:hAnsi="Times New Roman"/>
          <w:sz w:val="22"/>
          <w:szCs w:val="22"/>
          <w:b w:val="1"/>
          <w:bCs w:val="1"/>
          <w:color w:val="auto"/>
        </w:rPr>
        <w:t>(“Reported”)</w:t>
      </w:r>
      <w:r>
        <w:rPr>
          <w:rFonts w:ascii="Times New Roman" w:cs="Times New Roman" w:eastAsia="Times New Roman" w:hAnsi="Times New Roman"/>
          <w:sz w:val="22"/>
          <w:szCs w:val="22"/>
          <w:color w:val="auto"/>
        </w:rPr>
        <w:t xml:space="preserve"> having a maturity equal to the Remaining Average Life of such Called Principal as of such Settlement Date. If there are no such U.S. Treasury securities Reported having a maturity equal to such Remaining Average Life, then such implied yield to maturity will be determined by (i) converting U.S. Treasury bill quotations to bond equivalent yields in accordance with accepted financial practice and (ii) interpolating linearly between the “Ask Yields” Reported for the applicable most recently issued actively traded 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the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run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Note.</w:t>
      </w:r>
    </w:p>
    <w:p>
      <w:pPr>
        <w:spacing w:after="0" w:line="22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2"/>
          <w:szCs w:val="22"/>
          <w:color w:val="auto"/>
        </w:rPr>
        <w:t xml:space="preserve">If such yields are not Reported or the yields Reported as of such time are not ascertainable (including by way of interpolation), then </w:t>
      </w:r>
      <w:r>
        <w:rPr>
          <w:rFonts w:ascii="Times New Roman" w:cs="Times New Roman" w:eastAsia="Times New Roman" w:hAnsi="Times New Roman"/>
          <w:sz w:val="22"/>
          <w:szCs w:val="22"/>
          <w:b w:val="1"/>
          <w:bCs w:val="1"/>
          <w:color w:val="auto"/>
        </w:rPr>
        <w:t>“Reinvestment Yield”</w:t>
      </w:r>
      <w:r>
        <w:rPr>
          <w:rFonts w:ascii="Times New Roman" w:cs="Times New Roman" w:eastAsia="Times New Roman" w:hAnsi="Times New Roman"/>
          <w:sz w:val="22"/>
          <w:szCs w:val="22"/>
          <w:color w:val="auto"/>
        </w:rPr>
        <w:t xml:space="preserve"> means, with respect to the Called Principal of any Note, the sum of (x) 0.50% plus (y)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Note.</w:t>
      </w:r>
    </w:p>
    <w:p>
      <w:pPr>
        <w:spacing w:after="0" w:line="214" w:lineRule="exact"/>
        <w:rPr>
          <w:sz w:val="20"/>
          <w:szCs w:val="20"/>
          <w:color w:val="auto"/>
        </w:rPr>
      </w:pPr>
    </w:p>
    <w:p>
      <w:pPr>
        <w:jc w:val="both"/>
        <w:ind w:firstLine="648"/>
        <w:spacing w:after="0" w:line="260" w:lineRule="exact"/>
        <w:rPr>
          <w:sz w:val="20"/>
          <w:szCs w:val="20"/>
          <w:color w:val="auto"/>
        </w:rPr>
      </w:pPr>
      <w:r>
        <w:rPr>
          <w:rFonts w:ascii="Times New Roman" w:cs="Times New Roman" w:eastAsia="Times New Roman" w:hAnsi="Times New Roman"/>
          <w:sz w:val="22"/>
          <w:szCs w:val="22"/>
          <w:b w:val="1"/>
          <w:bCs w:val="1"/>
          <w:color w:val="auto"/>
        </w:rPr>
        <w:t xml:space="preserve">“Remaining Average Life” </w:t>
      </w:r>
      <w:r>
        <w:rPr>
          <w:rFonts w:ascii="Times New Roman" w:cs="Times New Roman" w:eastAsia="Times New Roman" w:hAnsi="Times New Roman"/>
          <w:sz w:val="22"/>
          <w:szCs w:val="22"/>
          <w:color w:val="auto"/>
        </w:rPr>
        <w:t>means, with respect to any Called Principal, the number of years obtained by dividing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Called Principal into (ii) the sum of the products obtained by multiplying (a) the principal component of each Remaining Scheduled Payment with respect to such Called Principal by (b) the number of years, computed on the basis of a 360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day year comprised of twelve 30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day months and calculated to two decimal places, that will elapse between the Settlement Date with respect to such Called Principal and the scheduled due date of such Remaining Scheduled Payment.</w:t>
      </w:r>
    </w:p>
    <w:p>
      <w:pPr>
        <w:spacing w:after="0" w:line="20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“Remaining Scheduled Payments” </w:t>
      </w:r>
      <w:r>
        <w:rPr>
          <w:rFonts w:ascii="Times New Roman" w:cs="Times New Roman" w:eastAsia="Times New Roman" w:hAnsi="Times New Roman"/>
          <w:sz w:val="22"/>
          <w:szCs w:val="22"/>
          <w:color w:val="auto"/>
        </w:rPr>
        <w:t>means, with respect to the Called Principal of any Note, all payments of such Called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Principal and interest thereon that would be due after the Settlement Date with respect to such Called Principal if no payment of such Called Principal were made prior to its scheduled due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Settlement Date is not a date on which interest payments are due to be made under the Notes, then the amount of the next succeeding scheduled interest payment will be reduced by the amount of interest accrued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369" w:right="339" w:bottom="1440" w:gutter="0" w:footer="0" w:header="0"/>
        </w:sectPr>
      </w:pPr>
    </w:p>
    <w:bookmarkStart w:id="30" w:name="page31"/>
    <w:bookmarkEnd w:id="30"/>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Settlement Date and required to be paid on such Settlement Date pursuant to Section 8.2 or Section 12.1.</w:t>
      </w:r>
    </w:p>
    <w:p>
      <w:pPr>
        <w:spacing w:after="0" w:line="24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“Settlement Date” </w:t>
      </w:r>
      <w:r>
        <w:rPr>
          <w:rFonts w:ascii="Times New Roman" w:cs="Times New Roman" w:eastAsia="Times New Roman" w:hAnsi="Times New Roman"/>
          <w:sz w:val="22"/>
          <w:szCs w:val="22"/>
          <w:color w:val="auto"/>
        </w:rPr>
        <w:t>means, with respect to the Called Principal of any Note, the date on which such Called Principal is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prepaid pursuant to Section 8.2 or has become or is declared to be immediately due and payable pursuant to Section 12.1, as the context requires.</w:t>
      </w:r>
    </w:p>
    <w:p>
      <w:pPr>
        <w:spacing w:after="0" w:line="20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Section 8.7. Change of Control</w:t>
      </w:r>
      <w:r>
        <w:rPr>
          <w:rFonts w:ascii="Times New Roman" w:cs="Times New Roman" w:eastAsia="Times New Roman" w:hAnsi="Times New Roman"/>
          <w:sz w:val="22"/>
          <w:szCs w:val="22"/>
          <w:color w:val="auto"/>
        </w:rPr>
        <w: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Notice of Change of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will, within ten (10) Business Days after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Responsible Officer has knowledge of the occurrence of any Change of Control, give written notice of such Change of Control to each holder of Notes. In the case that a Change of Control has occurred, such notice shall contain and constitute an offer to prepay Notes as described in subparagraph (b) of this Section 8.7 and shall be accompanied by the certificate described in subparagraph (e) of this Section 8.7.</w:t>
      </w:r>
    </w:p>
    <w:p>
      <w:pPr>
        <w:spacing w:after="0" w:line="191" w:lineRule="exact"/>
        <w:rPr>
          <w:sz w:val="20"/>
          <w:szCs w:val="20"/>
          <w:color w:val="auto"/>
        </w:rPr>
      </w:pPr>
    </w:p>
    <w:p>
      <w:pPr>
        <w:jc w:val="both"/>
        <w:ind w:firstLine="8"/>
        <w:spacing w:after="0" w:line="247" w:lineRule="auto"/>
        <w:tabs>
          <w:tab w:leader="none" w:pos="31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Offer to Prepay Notes</w:t>
      </w:r>
      <w:r>
        <w:rPr>
          <w:rFonts w:ascii="Times New Roman" w:cs="Times New Roman" w:eastAsia="Times New Roman" w:hAnsi="Times New Roman"/>
          <w:sz w:val="22"/>
          <w:szCs w:val="22"/>
          <w:color w:val="auto"/>
        </w:rPr>
        <w:t>. The offer to prepay Notes contemplated by subparagraph (a) of this Section 8.7 shall be an offer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prepay, in accordance with and subject to this Section 8.7, all, but not less than all, the Notes held by each holder (in this case only, “holder” in respect of any Note registered in the name of a nominee for a disclosed beneficial owner shall mean such beneficial owner) on a date specified in such offer (the “</w:t>
      </w:r>
      <w:r>
        <w:rPr>
          <w:rFonts w:ascii="Times New Roman" w:cs="Times New Roman" w:eastAsia="Times New Roman" w:hAnsi="Times New Roman"/>
          <w:sz w:val="22"/>
          <w:szCs w:val="22"/>
          <w:b w:val="1"/>
          <w:bCs w:val="1"/>
          <w:color w:val="auto"/>
        </w:rPr>
        <w:t>Proposed Prepayment Date</w:t>
      </w:r>
      <w:r>
        <w:rPr>
          <w:rFonts w:ascii="Times New Roman" w:cs="Times New Roman" w:eastAsia="Times New Roman" w:hAnsi="Times New Roman"/>
          <w:sz w:val="22"/>
          <w:szCs w:val="22"/>
          <w:color w:val="auto"/>
        </w:rPr>
        <w:t>”) that is not less than 10 days and not more than 60 days after the date of such offer (if the Proposed Prepayment Date shall not be specified in such offer, the Proposed Prepayment Date shall be the 20th day after the date of such offer).</w:t>
      </w:r>
    </w:p>
    <w:p>
      <w:pPr>
        <w:spacing w:after="0" w:line="206" w:lineRule="exact"/>
        <w:rPr>
          <w:rFonts w:ascii="Times New Roman" w:cs="Times New Roman" w:eastAsia="Times New Roman" w:hAnsi="Times New Roman"/>
          <w:sz w:val="22"/>
          <w:szCs w:val="22"/>
          <w:color w:val="auto"/>
        </w:rPr>
      </w:pPr>
    </w:p>
    <w:p>
      <w:pPr>
        <w:jc w:val="both"/>
        <w:ind w:firstLine="8"/>
        <w:spacing w:after="0" w:line="249" w:lineRule="auto"/>
        <w:tabs>
          <w:tab w:leader="none" w:pos="29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Acceptance; Rejection</w:t>
      </w:r>
      <w:r>
        <w:rPr>
          <w:rFonts w:ascii="Times New Roman" w:cs="Times New Roman" w:eastAsia="Times New Roman" w:hAnsi="Times New Roman"/>
          <w:sz w:val="22"/>
          <w:szCs w:val="22"/>
          <w:color w:val="auto"/>
        </w:rPr>
        <w:t>. A holder of Notes may accept the offer to prepay made pursuant to this Section 8.7 by causing a notice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such acceptance or rejection to be delivered to the Company at least five (5) Business Days prior to the Proposed Prepayment Date. A failure by a holder of Notes to respond to an offer to prepay made pursuant to this Section 8.7 shall be deemed to constitute a rejection of such offer by such holder.</w:t>
      </w:r>
    </w:p>
    <w:p>
      <w:pPr>
        <w:spacing w:after="0" w:line="205" w:lineRule="exact"/>
        <w:rPr>
          <w:rFonts w:ascii="Times New Roman" w:cs="Times New Roman" w:eastAsia="Times New Roman" w:hAnsi="Times New Roman"/>
          <w:sz w:val="22"/>
          <w:szCs w:val="22"/>
          <w:color w:val="auto"/>
        </w:rPr>
      </w:pPr>
    </w:p>
    <w:p>
      <w:pPr>
        <w:jc w:val="both"/>
        <w:ind w:firstLine="8"/>
        <w:spacing w:after="0" w:line="249" w:lineRule="auto"/>
        <w:tabs>
          <w:tab w:leader="none" w:pos="30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Prepayment. </w:t>
      </w:r>
      <w:r>
        <w:rPr>
          <w:rFonts w:ascii="Times New Roman" w:cs="Times New Roman" w:eastAsia="Times New Roman" w:hAnsi="Times New Roman"/>
          <w:sz w:val="22"/>
          <w:szCs w:val="22"/>
          <w:color w:val="auto"/>
        </w:rPr>
        <w:t>Prepayment of the Notes to be prepaid pursuant to this Section 8.7 shall be at 100% of the principal amount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Notes at par (without any make-whole, premium penalty, or Make-Whole Amount whatsoever or however described), together with interest on such Notes accrued to the date of prepayment. The prepayment shall be made on the Proposed Prepayment Date.</w:t>
      </w:r>
    </w:p>
    <w:p>
      <w:pPr>
        <w:spacing w:after="0" w:line="205" w:lineRule="exact"/>
        <w:rPr>
          <w:rFonts w:ascii="Times New Roman" w:cs="Times New Roman" w:eastAsia="Times New Roman" w:hAnsi="Times New Roman"/>
          <w:sz w:val="22"/>
          <w:szCs w:val="22"/>
          <w:color w:val="auto"/>
        </w:rPr>
      </w:pPr>
    </w:p>
    <w:p>
      <w:pPr>
        <w:jc w:val="both"/>
        <w:ind w:firstLine="8"/>
        <w:spacing w:after="0" w:line="259" w:lineRule="auto"/>
        <w:tabs>
          <w:tab w:leader="none" w:pos="321"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Officer’s Certificate</w:t>
      </w:r>
      <w:r>
        <w:rPr>
          <w:rFonts w:ascii="Times New Roman" w:cs="Times New Roman" w:eastAsia="Times New Roman" w:hAnsi="Times New Roman"/>
          <w:sz w:val="21"/>
          <w:szCs w:val="21"/>
          <w:color w:val="auto"/>
        </w:rPr>
        <w:t>. Each offer to prepay the Notes pursuant to this Section 8.7 shall be accompanied by a certificate,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executed by a Senior Financial Officer of the Company and dated the date of such offer, specifying: (i) the Proposed Prepayment Date; (ii) that such offer is made pursuant to this Section 8.7; (iii) the principal amount of each Note offered to be prepaid; (iv) the interest that would be due on each Note offered to be prepaid, accrued to the Proposed Prepayment Date; (v) that the conditions of this Section 8.7 have been fulfilled; and (vi) in reasonable detail, the nature and date of the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369" w:right="339" w:bottom="1440" w:gutter="0" w:footer="0" w:header="0"/>
        </w:sectPr>
      </w:pPr>
    </w:p>
    <w:bookmarkStart w:id="31" w:name="page32"/>
    <w:bookmarkEnd w:id="31"/>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firstLine="648"/>
        <w:spacing w:after="0" w:line="263" w:lineRule="exact"/>
        <w:rPr>
          <w:sz w:val="20"/>
          <w:szCs w:val="20"/>
          <w:color w:val="auto"/>
        </w:rPr>
      </w:pPr>
      <w:r>
        <w:rPr>
          <w:rFonts w:ascii="Times New Roman" w:cs="Times New Roman" w:eastAsia="Times New Roman" w:hAnsi="Times New Roman"/>
          <w:sz w:val="22"/>
          <w:szCs w:val="22"/>
          <w:b w:val="1"/>
          <w:bCs w:val="1"/>
          <w:color w:val="auto"/>
        </w:rPr>
        <w:t>Section 8.8. Payments Due on Non</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 xml:space="preserve">Business Days. </w:t>
      </w:r>
      <w:r>
        <w:rPr>
          <w:rFonts w:ascii="Times New Roman" w:cs="Times New Roman" w:eastAsia="Times New Roman" w:hAnsi="Times New Roman"/>
          <w:sz w:val="22"/>
          <w:szCs w:val="22"/>
          <w:color w:val="auto"/>
        </w:rPr>
        <w:t>Anything in this Agreement or the Notes to the contrary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(x) except as set forth in clause (y), any payment of interest on any Note that is due on a date that is not a Business Day shall be made on the next succeeding Business Day without including the additional days elapsed in the computation of the interest payable on such next succeeding Business Day; and (y) any payment of principal of or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on any Note (including principal due on the Maturity Date of such Note) that is due on a date that is not a Business Day shall be made on the next succeeding Business Day and shall include the additional days elapsed in the computation of interest payable on such next succeeding Business Day.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9. Affirmative Covenants.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Company covenants that so long as any of the Notes are outstanding:</w:t>
      </w:r>
    </w:p>
    <w:p>
      <w:pPr>
        <w:spacing w:after="0" w:line="243" w:lineRule="exact"/>
        <w:rPr>
          <w:sz w:val="20"/>
          <w:szCs w:val="20"/>
          <w:color w:val="auto"/>
        </w:rPr>
      </w:pPr>
    </w:p>
    <w:p>
      <w:pPr>
        <w:jc w:val="both"/>
        <w:ind w:firstLine="648"/>
        <w:spacing w:after="0" w:line="257" w:lineRule="exact"/>
        <w:rPr>
          <w:sz w:val="20"/>
          <w:szCs w:val="20"/>
          <w:color w:val="auto"/>
        </w:rPr>
      </w:pPr>
      <w:r>
        <w:rPr>
          <w:rFonts w:ascii="Times New Roman" w:cs="Times New Roman" w:eastAsia="Times New Roman" w:hAnsi="Times New Roman"/>
          <w:sz w:val="22"/>
          <w:szCs w:val="22"/>
          <w:b w:val="1"/>
          <w:bCs w:val="1"/>
          <w:color w:val="auto"/>
        </w:rPr>
        <w:t xml:space="preserve">Section 9.1. Compliance with Laws. </w:t>
      </w:r>
      <w:r>
        <w:rPr>
          <w:rFonts w:ascii="Times New Roman" w:cs="Times New Roman" w:eastAsia="Times New Roman" w:hAnsi="Times New Roman"/>
          <w:sz w:val="22"/>
          <w:szCs w:val="22"/>
          <w:color w:val="auto"/>
        </w:rPr>
        <w:t>Without limiting Section 10.5, the Company will, and will cause each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Subsidiaries to, comply with all laws, ordinances or governmental rules or regulations to which each of them is subject (including ERISA, Environmental Laws, the USA PATRIOT Act and the other laws and regulations that are referred to in Section 5.16)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spacing w:after="0" w:line="219" w:lineRule="exact"/>
        <w:rPr>
          <w:sz w:val="20"/>
          <w:szCs w:val="20"/>
          <w:color w:val="auto"/>
        </w:rPr>
      </w:pPr>
    </w:p>
    <w:p>
      <w:pPr>
        <w:jc w:val="both"/>
        <w:ind w:firstLine="283"/>
        <w:spacing w:after="0" w:line="260" w:lineRule="exact"/>
        <w:rPr>
          <w:sz w:val="20"/>
          <w:szCs w:val="20"/>
          <w:color w:val="auto"/>
        </w:rPr>
      </w:pPr>
      <w:r>
        <w:rPr>
          <w:rFonts w:ascii="Times New Roman" w:cs="Times New Roman" w:eastAsia="Times New Roman" w:hAnsi="Times New Roman"/>
          <w:sz w:val="22"/>
          <w:szCs w:val="22"/>
          <w:b w:val="1"/>
          <w:bCs w:val="1"/>
          <w:color w:val="auto"/>
        </w:rPr>
        <w:t xml:space="preserve">Section 9.2. Insurance. </w:t>
      </w:r>
      <w:r>
        <w:rPr>
          <w:rFonts w:ascii="Times New Roman" w:cs="Times New Roman" w:eastAsia="Times New Roman" w:hAnsi="Times New Roman"/>
          <w:sz w:val="22"/>
          <w:szCs w:val="22"/>
          <w:color w:val="auto"/>
        </w:rPr>
        <w:t>The Company will, and will cause each of its Subsidiaries to, maintain, with financially sound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reputable insurers, insurance with respect to their respective properties and businesses against such casualties and contingencies, of such types, on such terms and in such amounts (including deductibles,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insurance and self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insurance, if adequate reserves are maintained with respect thereto) as is customary in the case of entities of established reputations engaged in the same or a similar business and similarly situated.</w:t>
      </w:r>
    </w:p>
    <w:p>
      <w:pPr>
        <w:spacing w:after="0" w:line="202" w:lineRule="exact"/>
        <w:rPr>
          <w:sz w:val="20"/>
          <w:szCs w:val="20"/>
          <w:color w:val="auto"/>
        </w:rPr>
      </w:pPr>
    </w:p>
    <w:p>
      <w:pPr>
        <w:jc w:val="both"/>
        <w:ind w:firstLine="22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9.3. Maintenance of Properties. </w:t>
      </w:r>
      <w:r>
        <w:rPr>
          <w:rFonts w:ascii="Times New Roman" w:cs="Times New Roman" w:eastAsia="Times New Roman" w:hAnsi="Times New Roman"/>
          <w:sz w:val="22"/>
          <w:szCs w:val="22"/>
          <w:color w:val="auto"/>
        </w:rPr>
        <w:t>The Company will, and will cause each of its Subsidiaries to, maintain and keep,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cause to be maintained and kept, their respective properties in good repair, working order and condition (other than ordinary wear and tear) to the extent necessary, so that the business carried on in connection therewith may be properly conducted at all times,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this Section 9.3 shall not prevent the Company or any Subsidiary from discontinuing the operation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maintenance of any of its properties if such discontinuance is desirable in the conduct of its business and the Company has concluded that such discontinuance could not, individually or in the aggregate, reasonably be expected to have a Material Adverse Effect.</w:t>
      </w:r>
    </w:p>
    <w:p>
      <w:pPr>
        <w:spacing w:after="0" w:line="196"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9.4. Payment of Taxes and Claims. </w:t>
      </w:r>
      <w:r>
        <w:rPr>
          <w:rFonts w:ascii="Times New Roman" w:cs="Times New Roman" w:eastAsia="Times New Roman" w:hAnsi="Times New Roman"/>
          <w:sz w:val="22"/>
          <w:szCs w:val="22"/>
          <w:color w:val="auto"/>
        </w:rPr>
        <w:t>The Company will, and will cause each of its Subsidiaries to, file all tax returns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be filed in any jurisdiction and to pay and discharge all taxes shown to be due and payable on such returns and all other taxes, assessments,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369" w:right="339" w:bottom="1440" w:gutter="0" w:footer="0" w:header="0"/>
        </w:sectPr>
      </w:pPr>
    </w:p>
    <w:bookmarkStart w:id="32" w:name="page33"/>
    <w:bookmarkEnd w:id="32"/>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 xml:space="preserve">governmental charges, or levies imposed on them or any of their properties, assets, income or franchises, to the extent the same have become due and payable and before they have become delinquent and all claims for which sums have become due and payable that have or might become a Lien on properties or assets of the Company or any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neither the Company nor any Subsidiary need pay any such tax, assessment, charge, levy or claim if (i) the amount, applicability or validity thereof is contested by the Company or such Subsidiary on a timely basis in good faith and in appropriate proceedings, and the Company or a Subsidiary has established adequate reserves therefor in accordance with GAAP on the books of the Company or such Subsidiary or (ii) the nonpayment of all such taxes, assessments, charges, levies and claims could not, individually or in the aggregate, reasonably be expected to have a Material Adverse Effect.</w:t>
      </w:r>
    </w:p>
    <w:p>
      <w:pPr>
        <w:spacing w:after="0" w:line="215" w:lineRule="exact"/>
        <w:rPr>
          <w:sz w:val="20"/>
          <w:szCs w:val="20"/>
          <w:color w:val="auto"/>
        </w:rPr>
      </w:pPr>
    </w:p>
    <w:p>
      <w:pPr>
        <w:jc w:val="both"/>
        <w:ind w:firstLine="648"/>
        <w:spacing w:after="0" w:line="257" w:lineRule="exact"/>
        <w:rPr>
          <w:sz w:val="20"/>
          <w:szCs w:val="20"/>
          <w:color w:val="auto"/>
        </w:rPr>
      </w:pPr>
      <w:r>
        <w:rPr>
          <w:rFonts w:ascii="Times New Roman" w:cs="Times New Roman" w:eastAsia="Times New Roman" w:hAnsi="Times New Roman"/>
          <w:sz w:val="22"/>
          <w:szCs w:val="22"/>
          <w:b w:val="1"/>
          <w:bCs w:val="1"/>
          <w:color w:val="auto"/>
        </w:rPr>
        <w:t xml:space="preserve">Section 9.5. Corporate Existence, Etc. </w:t>
      </w:r>
      <w:r>
        <w:rPr>
          <w:rFonts w:ascii="Times New Roman" w:cs="Times New Roman" w:eastAsia="Times New Roman" w:hAnsi="Times New Roman"/>
          <w:sz w:val="22"/>
          <w:szCs w:val="22"/>
          <w:color w:val="auto"/>
        </w:rPr>
        <w:t>Subject to Section 10.2, the Company will at all times preserve and keep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corporate existence in full force and effect. Subject to Sections 10.2 and 10.3, the Company will at all times preserve and keep in full force and effect the corporate existence of each of its Subsidiaries (unless merged into the Company or a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and all rights and franchises of the Company and its Subsidiaries unless, in the good faith judgment of the Company, the termination of or failure to preserve and keep in full force and effect such corporate existence, right or franchise could not, individually or in the aggregate, have a Material Adverse Effect.</w:t>
      </w:r>
    </w:p>
    <w:p>
      <w:pPr>
        <w:spacing w:after="0" w:line="21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Section 9.6. Books and Records. </w:t>
      </w:r>
      <w:r>
        <w:rPr>
          <w:rFonts w:ascii="Times New Roman" w:cs="Times New Roman" w:eastAsia="Times New Roman" w:hAnsi="Times New Roman"/>
          <w:sz w:val="22"/>
          <w:szCs w:val="22"/>
          <w:color w:val="auto"/>
        </w:rPr>
        <w:t>The Company will, and will cause each of its Subsidiaries to, maintain proper books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record and account in conformity with GAAP and all applicable requirements of any Governmental Authority having legal or regulatory jurisdiction over the Company or such Subsidiary, as the case may be. The Company will, and will cause each of its Subsidiaries to, keep books, records and accounts which, in reasonable detail, accurately reflect all transactions and dispositions of assets. The Company and its Subsidiaries have devised a system of internal accounting controls sufficient to provide reasonable assurances that their respective books, records, and accounts accurately reflect all transactions and dispositions of assets and the Company will, and will cause each of its Subsidiaries to, continue to maintain such system.</w:t>
      </w:r>
    </w:p>
    <w:p>
      <w:pPr>
        <w:spacing w:after="0" w:line="211" w:lineRule="exact"/>
        <w:rPr>
          <w:sz w:val="20"/>
          <w:szCs w:val="20"/>
          <w:color w:val="auto"/>
        </w:rPr>
      </w:pPr>
    </w:p>
    <w:p>
      <w:pPr>
        <w:jc w:val="both"/>
        <w:ind w:firstLine="648"/>
        <w:spacing w:after="0" w:line="266" w:lineRule="exact"/>
        <w:rPr>
          <w:sz w:val="20"/>
          <w:szCs w:val="20"/>
          <w:color w:val="auto"/>
        </w:rPr>
      </w:pPr>
      <w:r>
        <w:rPr>
          <w:rFonts w:ascii="Times New Roman" w:cs="Times New Roman" w:eastAsia="Times New Roman" w:hAnsi="Times New Roman"/>
          <w:sz w:val="22"/>
          <w:szCs w:val="22"/>
          <w:b w:val="1"/>
          <w:bCs w:val="1"/>
          <w:color w:val="auto"/>
        </w:rPr>
        <w:t xml:space="preserve">Section 9.7. Subsidiary Guarantors. </w:t>
      </w:r>
      <w:r>
        <w:rPr>
          <w:rFonts w:ascii="Times New Roman" w:cs="Times New Roman" w:eastAsia="Times New Roman" w:hAnsi="Times New Roman"/>
          <w:sz w:val="22"/>
          <w:szCs w:val="22"/>
          <w:color w:val="auto"/>
        </w:rPr>
        <w:t>(a) The Company will cause each of its Subsidiaries that guarantees or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becomes liable at any time, whether as a borrower or an additional or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borrower or otherwise, for or in respect of any Indebtedness under any Material Credit Facility to concurrently therewith:</w:t>
      </w:r>
    </w:p>
    <w:p>
      <w:pPr>
        <w:spacing w:after="0" w:line="206" w:lineRule="exact"/>
        <w:rPr>
          <w:sz w:val="20"/>
          <w:szCs w:val="20"/>
          <w:color w:val="auto"/>
        </w:rPr>
      </w:pPr>
    </w:p>
    <w:p>
      <w:pPr>
        <w:jc w:val="both"/>
        <w:ind w:firstLine="656"/>
        <w:spacing w:after="0" w:line="259" w:lineRule="exact"/>
        <w:tabs>
          <w:tab w:leader="none" w:pos="90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 agreement in form and substance satisfactory to the Required Holders providing for the guaranty by such Subsidiary, on a joint and several basis with all other such Subsidiaries, of (x) the prompt payment in full when due of all amounts payable by the Company pursuant to the Notes (whether for principal, interest,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Whole Amount or otherwise) and this Agreement, including all indemnities, fees and expenses payable by the Company thereunder and (y) the prompt, full and faithful performance, observance and discharge by the Company of each and every covenant, agreement, undertaking and provision required pursuant to the Notes or this Agreement to be performed, observed or discharged by it (a </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Guaranty”</w:t>
      </w:r>
      <w:r>
        <w:rPr>
          <w:rFonts w:ascii="Times New Roman" w:cs="Times New Roman" w:eastAsia="Times New Roman" w:hAnsi="Times New Roman"/>
          <w:sz w:val="22"/>
          <w:szCs w:val="22"/>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369" w:right="339" w:bottom="1440" w:gutter="0" w:footer="0" w:header="0"/>
        </w:sectPr>
      </w:pPr>
    </w:p>
    <w:bookmarkStart w:id="33" w:name="page34"/>
    <w:bookmarkEnd w:id="33"/>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the following to each holder of a Note:</w:t>
      </w:r>
    </w:p>
    <w:p>
      <w:pPr>
        <w:spacing w:after="0" w:line="246" w:lineRule="exact"/>
        <w:rPr>
          <w:rFonts w:ascii="Times New Roman" w:cs="Times New Roman" w:eastAsia="Times New Roman" w:hAnsi="Times New Roman"/>
          <w:sz w:val="22"/>
          <w:szCs w:val="22"/>
          <w:color w:val="auto"/>
        </w:rPr>
      </w:pPr>
    </w:p>
    <w:p>
      <w:pPr>
        <w:ind w:left="1660" w:hanging="356"/>
        <w:spacing w:after="0"/>
        <w:tabs>
          <w:tab w:leader="none" w:pos="166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counterpart of such Subsidiary Guaranty;</w:t>
      </w:r>
    </w:p>
    <w:p>
      <w:pPr>
        <w:spacing w:after="0" w:line="23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665"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signed by an authorized responsible officer of such Subsidiary containing representations and warranties on behalf of such Subsidiary to the same effect,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as those contained in Sections 5.1, 5.2, 5.6, 5.7 and 5.19 of this Agreement (but with respect to such Subsidiary and such Subsidiary Guaranty rather than the Company);</w:t>
      </w:r>
    </w:p>
    <w:p>
      <w:pPr>
        <w:spacing w:after="0" w:line="199" w:lineRule="exact"/>
        <w:rPr>
          <w:rFonts w:ascii="Times New Roman" w:cs="Times New Roman" w:eastAsia="Times New Roman" w:hAnsi="Times New Roman"/>
          <w:sz w:val="22"/>
          <w:szCs w:val="22"/>
          <w:color w:val="auto"/>
        </w:rPr>
      </w:pPr>
    </w:p>
    <w:p>
      <w:pPr>
        <w:jc w:val="both"/>
        <w:ind w:firstLine="1304"/>
        <w:spacing w:after="0" w:line="248" w:lineRule="auto"/>
        <w:tabs>
          <w:tab w:leader="none" w:pos="1665"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documents as may be reasonably requested by the Required Holders to evidence the due organization, continuing existence and, where applicable, good standing of such Subsidiary and the due authorization by all requisite action on the part of such Subsidiary of the execution and delivery of such Subsidiary Guaranty and the performance by such Subsidiary of its obligations thereunder; and</w:t>
      </w:r>
    </w:p>
    <w:p>
      <w:pPr>
        <w:spacing w:after="0" w:line="196" w:lineRule="exact"/>
        <w:rPr>
          <w:rFonts w:ascii="Times New Roman" w:cs="Times New Roman" w:eastAsia="Times New Roman" w:hAnsi="Times New Roman"/>
          <w:sz w:val="22"/>
          <w:szCs w:val="22"/>
          <w:color w:val="auto"/>
        </w:rPr>
      </w:pPr>
    </w:p>
    <w:p>
      <w:pPr>
        <w:ind w:firstLine="1304"/>
        <w:spacing w:after="0" w:line="271" w:lineRule="auto"/>
        <w:tabs>
          <w:tab w:leader="none" w:pos="1663"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opinion of counsel reasonably satisfactory to the Required Holders covering such matters relating to such Subsidiary and such Subsidiary Guaranty as the Required Holders may reasonably request,</w:t>
      </w:r>
    </w:p>
    <w:p>
      <w:pPr>
        <w:spacing w:after="0" w:line="181"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notwithstanding anything contained in this Section 9.7(a) to the contrary, the Company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under no obligation to (but may in its sole discretion) require any Foreign Subsidiary to become a Subsidiary Guarantor in respect of this Agreement and the Notes to the extent such Foreign Subsidiary’s obligations under all Material Credit Facilities consist solely of direct borrowings solely to such Foreign Subsidiary or one or more other Foreign Subsidiaries as co-obligors (a </w:t>
      </w:r>
      <w:r>
        <w:rPr>
          <w:rFonts w:ascii="Times New Roman" w:cs="Times New Roman" w:eastAsia="Times New Roman" w:hAnsi="Times New Roman"/>
          <w:sz w:val="22"/>
          <w:szCs w:val="22"/>
          <w:b w:val="1"/>
          <w:bCs w:val="1"/>
          <w:color w:val="auto"/>
        </w:rPr>
        <w:t>“Foreign Borrowing”</w:t>
      </w:r>
      <w:r>
        <w:rPr>
          <w:rFonts w:ascii="Times New Roman" w:cs="Times New Roman" w:eastAsia="Times New Roman" w:hAnsi="Times New Roman"/>
          <w:sz w:val="22"/>
          <w:szCs w:val="22"/>
          <w:color w:val="auto"/>
        </w:rPr>
        <w:t>) or guaranties of a Foreign Borrowing by one or more other Foreign Subsidiaries (a</w:t>
      </w:r>
      <w:r>
        <w:rPr>
          <w:rFonts w:ascii="Times New Roman" w:cs="Times New Roman" w:eastAsia="Times New Roman" w:hAnsi="Times New Roman"/>
          <w:sz w:val="22"/>
          <w:szCs w:val="22"/>
          <w:b w:val="1"/>
          <w:bCs w:val="1"/>
          <w:color w:val="auto"/>
        </w:rPr>
        <w:t xml:space="preserve"> “Foreign Guarantee”</w:t>
      </w:r>
      <w:r>
        <w:rPr>
          <w:rFonts w:ascii="Times New Roman" w:cs="Times New Roman" w:eastAsia="Times New Roman" w:hAnsi="Times New Roman"/>
          <w:sz w:val="22"/>
          <w:szCs w:val="22"/>
          <w:color w:val="auto"/>
        </w:rPr>
        <w:t>) and, in each case, such incidental obligations as are customary for borrowings of the type provided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facilities. For all purposes of this Agreement, all Foreign Borrowings and Foreign Guarantees (without duplication of the amounts guaranteed) shall constitute Priority Indebtedness.</w:t>
      </w:r>
    </w:p>
    <w:p>
      <w:pPr>
        <w:spacing w:after="0" w:line="214" w:lineRule="exact"/>
        <w:rPr>
          <w:sz w:val="20"/>
          <w:szCs w:val="20"/>
          <w:color w:val="auto"/>
        </w:rPr>
      </w:pPr>
    </w:p>
    <w:p>
      <w:pPr>
        <w:jc w:val="both"/>
        <w:ind w:firstLine="8"/>
        <w:spacing w:after="0" w:line="242" w:lineRule="auto"/>
        <w:tabs>
          <w:tab w:leader="none" w:pos="30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election of the Company and by written notice to each holder of Notes, any Subsidiary Guarantor that has provided a Subsidiary Guaranty under subparagraph (a) of this Section 9.7 may be discharged from all of its obligations and liabilities under its Subsidiary Guaranty and shall be automatically released from its obligations thereunder without the need for the execution or delivery of any other document by the holders,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if such Subsidiary Guarantor is a guarantor or is otherwise liable for or in respect of any Material Credit Facility, then such Subsidiary Guarantor has been released and discharged (or will be released and discharged concurrently with the release of such Subsidiary Guarantor under its Subsidiary Guaranty) under such Material Credit Facility, (ii) at the time of, and after giving effect to, such release and discharge, no Default or Event of Default shall be existing, (iii) no amount is then due and payable under such Subsidiary Guaranty, (iv) if in connection with such Subsidiary Guarantor being released and discharged under any Material Credit Facility, any fee or other form of consideration is given to any holder of Indebtedness under such Material Credit Facility for such release, the holders of the Notes shall receive equivalent consideration substantially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369" w:right="339" w:bottom="1440" w:gutter="0" w:footer="0" w:header="0"/>
        </w:sectPr>
      </w:pPr>
    </w:p>
    <w:bookmarkStart w:id="34" w:name="page35"/>
    <w:bookmarkEnd w:id="34"/>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2"/>
          <w:szCs w:val="22"/>
          <w:color w:val="auto"/>
        </w:rPr>
        <w:t>concurrently therewith and (v) each holder shall have received a certificate of a Responsible Officer certifying as to the matters set forth in clauses (i) through (iv). In the event of any such release, for purposes of Section 10.8, all Indebtedness of such Subsidiary shall be deemed to have been incurred concurrently with such release.</w:t>
      </w:r>
    </w:p>
    <w:p>
      <w:pPr>
        <w:spacing w:after="0" w:line="20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9.8. Priority of Obligations. </w:t>
      </w:r>
      <w:r>
        <w:rPr>
          <w:rFonts w:ascii="Times New Roman" w:cs="Times New Roman" w:eastAsia="Times New Roman" w:hAnsi="Times New Roman"/>
          <w:sz w:val="22"/>
          <w:szCs w:val="22"/>
          <w:color w:val="auto"/>
        </w:rPr>
        <w:t>The Company will ensure that its payment obligations under this Agreement and the Notes,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the payment obligations of any Subsidiary Guarantor under its Subsidiary Guaranty, if any, will at all times rank at least </w:t>
      </w:r>
      <w:r>
        <w:rPr>
          <w:rFonts w:ascii="Times New Roman" w:cs="Times New Roman" w:eastAsia="Times New Roman" w:hAnsi="Times New Roman"/>
          <w:sz w:val="22"/>
          <w:szCs w:val="22"/>
          <w:i w:val="1"/>
          <w:iCs w:val="1"/>
          <w:color w:val="auto"/>
        </w:rPr>
        <w:t>pari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passu</w:t>
      </w:r>
      <w:r>
        <w:rPr>
          <w:rFonts w:ascii="Times New Roman" w:cs="Times New Roman" w:eastAsia="Times New Roman" w:hAnsi="Times New Roman"/>
          <w:sz w:val="22"/>
          <w:szCs w:val="22"/>
          <w:color w:val="auto"/>
        </w:rPr>
        <w:t>, without preference or priority, with all other unsecured and unsubordinated Indebtedness of the Company and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Subsidiary Guarantor, as applicable.</w:t>
      </w:r>
    </w:p>
    <w:p>
      <w:pPr>
        <w:spacing w:after="0" w:line="210" w:lineRule="exact"/>
        <w:rPr>
          <w:sz w:val="20"/>
          <w:szCs w:val="20"/>
          <w:color w:val="auto"/>
        </w:rPr>
      </w:pPr>
    </w:p>
    <w:p>
      <w:pPr>
        <w:jc w:val="both"/>
        <w:ind w:right="100"/>
        <w:spacing w:after="0" w:line="242" w:lineRule="auto"/>
        <w:rPr>
          <w:sz w:val="20"/>
          <w:szCs w:val="20"/>
          <w:color w:val="auto"/>
        </w:rPr>
      </w:pPr>
      <w:r>
        <w:rPr>
          <w:rFonts w:ascii="Times New Roman" w:cs="Times New Roman" w:eastAsia="Times New Roman" w:hAnsi="Times New Roman"/>
          <w:sz w:val="22"/>
          <w:szCs w:val="22"/>
          <w:color w:val="auto"/>
        </w:rPr>
        <w:t>Notwithstanding the terms of Section 11, it will not be a Default or an Event of Default if the Company fails to comply with any provision of Section 9 on or after the date of this Agreement and prior to the Closing, but if such a failure occurs, then any of the Purchasers may elect not to purchase such Notes on the date of the Closing that is specified in Section 3.</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Notwithstanding the terms of Section 11, it will not be a Default or an Event of Default if the Company fails to comply with any provision of Section 9 on or after the date of this Agreement and prior to the Closing, but if such a failure occurs, then any of the Purchasers may elect not to purchase such Notes on the date of the Closing that is specified in Section 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10. Negative Covenants.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covenants that so long as any of the Notes are outstanding:</w:t>
      </w:r>
    </w:p>
    <w:p>
      <w:pPr>
        <w:spacing w:after="0" w:line="229" w:lineRule="exact"/>
        <w:rPr>
          <w:sz w:val="20"/>
          <w:szCs w:val="20"/>
          <w:color w:val="auto"/>
        </w:rPr>
      </w:pPr>
    </w:p>
    <w:p>
      <w:pPr>
        <w:jc w:val="both"/>
        <w:ind w:firstLine="648"/>
        <w:spacing w:after="0" w:line="257" w:lineRule="exact"/>
        <w:rPr>
          <w:sz w:val="20"/>
          <w:szCs w:val="20"/>
          <w:color w:val="auto"/>
        </w:rPr>
      </w:pPr>
      <w:r>
        <w:rPr>
          <w:rFonts w:ascii="Times New Roman" w:cs="Times New Roman" w:eastAsia="Times New Roman" w:hAnsi="Times New Roman"/>
          <w:sz w:val="22"/>
          <w:szCs w:val="22"/>
          <w:b w:val="1"/>
          <w:bCs w:val="1"/>
          <w:color w:val="auto"/>
        </w:rPr>
        <w:t xml:space="preserve">Section 10.1. Transactions with Affiliates. </w:t>
      </w:r>
      <w:r>
        <w:rPr>
          <w:rFonts w:ascii="Times New Roman" w:cs="Times New Roman" w:eastAsia="Times New Roman" w:hAnsi="Times New Roman"/>
          <w:sz w:val="22"/>
          <w:szCs w:val="22"/>
          <w:color w:val="auto"/>
        </w:rPr>
        <w:t>The Company will not, and will not permit any Subsidiary to, enter into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or indirectly any Material transaction or Material group of related transactions (including the purchase, lease, sale or exchange of properties of any kind or the rendering of any service) with any Affiliate (other than (i) the Company or another Subsidiary, (ii) any of the officers, directors or employees of the Company or any such Subsidiary, or (iii) any joint venture of the Company or any Subsidiary), except (a) in the ordinary course and pursuant to the reasonable requirements of the Company’s or such Subsidiary’s business and upon fair and reasonable terms no less favorable to the Company or such Subsidiary than would be obtainable in a comparable arm’s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length transaction with a Person not an Affiliate or (b) to the extent permitted in Section 10.10.</w:t>
      </w:r>
    </w:p>
    <w:p>
      <w:pPr>
        <w:spacing w:after="0" w:line="2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10.2. Merger, Consolidation, Etc. </w:t>
      </w:r>
      <w:r>
        <w:rPr>
          <w:rFonts w:ascii="Times New Roman" w:cs="Times New Roman" w:eastAsia="Times New Roman" w:hAnsi="Times New Roman"/>
          <w:sz w:val="22"/>
          <w:szCs w:val="22"/>
          <w:color w:val="auto"/>
        </w:rPr>
        <w:t>The Company will not, and will not permit any Subsidiary Guarantor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consolidate with or merge with any other Person or convey, transfer or lease all or substantially all of its assets in a single transaction or series of transactions to any Person unless:</w:t>
      </w:r>
    </w:p>
    <w:p>
      <w:pPr>
        <w:spacing w:after="0" w:line="206" w:lineRule="exact"/>
        <w:rPr>
          <w:sz w:val="20"/>
          <w:szCs w:val="20"/>
          <w:color w:val="auto"/>
        </w:rPr>
      </w:pPr>
    </w:p>
    <w:p>
      <w:pPr>
        <w:jc w:val="both"/>
        <w:ind w:firstLine="656"/>
        <w:spacing w:after="0" w:line="247" w:lineRule="auto"/>
        <w:tabs>
          <w:tab w:leader="none" w:pos="94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such transaction involving the Company, the successor formed by such consolidation or the survivor of such merger or the Person that acquires by conveyance, transfer or lease all or substantially all of the assets of the Company as an entirety, as the case may be, shall be a solvent corporation or limited liability company organized and existing under the laws of the United States or any state thereof (including the District of Columbia), and, if the Company is not such corporation or limited liability company, (i)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369" w:right="339" w:bottom="1440" w:gutter="0" w:footer="0" w:header="0"/>
        </w:sectPr>
      </w:pPr>
    </w:p>
    <w:bookmarkStart w:id="35" w:name="page36"/>
    <w:bookmarkEnd w:id="35"/>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corporation or limited liability company shall have executed and delivered to each holder of any Notes its assumption of the due and punctual performance and observance of each covenant and condition of this Agreement and the Notes and (ii) such corporation or limited liability company shall have caused to be delivered to each holder of any Notes an opinion of nationally recognized independent counsel, or other independent counsel reasonably satisfactory to the Required Holders, to the effect that all agreements or instruments effecting such assumption are enforceable in accordance with their terms and comply with the terms hereof;</w:t>
      </w:r>
    </w:p>
    <w:p>
      <w:pPr>
        <w:spacing w:after="0" w:line="199" w:lineRule="exact"/>
        <w:rPr>
          <w:sz w:val="20"/>
          <w:szCs w:val="20"/>
          <w:color w:val="auto"/>
        </w:rPr>
      </w:pPr>
    </w:p>
    <w:p>
      <w:pPr>
        <w:jc w:val="both"/>
        <w:ind w:firstLine="656"/>
        <w:spacing w:after="0" w:line="242" w:lineRule="auto"/>
        <w:tabs>
          <w:tab w:leader="none" w:pos="967"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such transaction involving a Subsidiary Guarantor, the successor formed by such consolidation or the survivor of such merger or the Person that acquires by conveyance, transfer or lease all or substantially all of the assets of such Subsidiary Guarantor as an entirety, as the case may be, shall be (1) the Company, such Subsidiary Guarantor or another Subsidiary Guarantor; (2) a solvent corporation or limited liability company (other than the Company or another Subsidiary Guarantor) that is organized and existing under the laws of the United States or any state thereof (including the District of Columbia) and, if such Subsidiary Guarantor is not such corporation or limited liability company, (A) such corporation or limited liability company shall have executed and delivered to each holder of Notes its assumption of the due and punctual performance and observance of each covenant and condition of the Subsidiary Guaranty of such Subsidiary Guarantor and (B) the Company shall have caused to be delivered to each holder of Notes an opinion of nationally recognized independent counsel, or other independent counsel reasonably satisfactory to the Required Holders, to the effect that all agreements or instruments effecting such assumption are enforceable in accordance with their terms and comply with the terms hereof; or (3) any other Person so long as the transaction is treated as a disposition of all of the assets of such Subsidiary Guarantor for purposes of Section 10.3 and, based on such characterization, would be permitted pursuant to Section 10.3;</w:t>
      </w:r>
    </w:p>
    <w:p>
      <w:pPr>
        <w:spacing w:after="0" w:line="220" w:lineRule="exact"/>
        <w:rPr>
          <w:rFonts w:ascii="Times New Roman" w:cs="Times New Roman" w:eastAsia="Times New Roman" w:hAnsi="Times New Roman"/>
          <w:sz w:val="22"/>
          <w:szCs w:val="22"/>
          <w:color w:val="auto"/>
        </w:rPr>
      </w:pPr>
    </w:p>
    <w:p>
      <w:pPr>
        <w:jc w:val="both"/>
        <w:ind w:firstLine="656"/>
        <w:spacing w:after="0" w:line="250" w:lineRule="auto"/>
        <w:tabs>
          <w:tab w:leader="none" w:pos="96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Subsidiary Guarantor under any Subsidiary Guaranty that is outstanding at the time such transaction or each transaction in such a series of transactions occurs reaffirms its obligations under such Subsidiary Guaranty in writing at such time pursuant to documentation that is reasonably acceptable to the Required Holders; and</w:t>
      </w:r>
    </w:p>
    <w:p>
      <w:pPr>
        <w:spacing w:after="0" w:line="208" w:lineRule="exact"/>
        <w:rPr>
          <w:rFonts w:ascii="Times New Roman" w:cs="Times New Roman" w:eastAsia="Times New Roman" w:hAnsi="Times New Roman"/>
          <w:sz w:val="22"/>
          <w:szCs w:val="22"/>
          <w:color w:val="auto"/>
        </w:rPr>
      </w:pPr>
    </w:p>
    <w:p>
      <w:pPr>
        <w:ind w:firstLine="656"/>
        <w:spacing w:after="0" w:line="271" w:lineRule="auto"/>
        <w:tabs>
          <w:tab w:leader="none" w:pos="967"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before and immediately after giving effect to such transaction or each transaction in any such series of transactions, no Default or Event of Default shall have occurred and be continuing.</w:t>
      </w:r>
    </w:p>
    <w:p>
      <w:pPr>
        <w:spacing w:after="0" w:line="17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No such conveyance, transfer or lease of substantially all of the assets of the Company or any Subsidiary Guarantor shall have the effect of releasing the Company or such Subsidiary Guarantor, as the case may be, or any successor corporation or limited liability company that shall theretofore have become such in the manner prescribed in this Section 10.2, from its liability under</w:t>
      </w:r>
    </w:p>
    <w:p>
      <w:pPr>
        <w:spacing w:after="0" w:line="2" w:lineRule="exact"/>
        <w:rPr>
          <w:sz w:val="20"/>
          <w:szCs w:val="20"/>
          <w:color w:val="auto"/>
        </w:rPr>
      </w:pPr>
    </w:p>
    <w:p>
      <w:pPr>
        <w:jc w:val="both"/>
        <w:ind w:firstLine="8"/>
        <w:spacing w:after="0" w:line="245" w:lineRule="auto"/>
        <w:tabs>
          <w:tab w:leader="none" w:pos="33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or the Notes (in the case of the Company) or (y) the Subsidiary Guaranty (in the case of any Subsidiary Guarantor), unless, in the case of the conveyance, transfer or lease of substantially all of the assets of a Subsidiary Guarantor, such Subsidiary Guarantor is released from its Subsidiary Guaranty in accordance with Section 9.7(b) in connection with or immediately following such conveyance, transfer or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369" w:right="339" w:bottom="1440" w:gutter="0" w:footer="0" w:header="0"/>
        </w:sectPr>
      </w:pPr>
    </w:p>
    <w:bookmarkStart w:id="36" w:name="page37"/>
    <w:bookmarkEnd w:id="36"/>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Section 10.3. Sale of Assets, Etc. </w:t>
      </w:r>
      <w:r>
        <w:rPr>
          <w:rFonts w:ascii="Times New Roman" w:cs="Times New Roman" w:eastAsia="Times New Roman" w:hAnsi="Times New Roman"/>
          <w:sz w:val="22"/>
          <w:szCs w:val="22"/>
          <w:color w:val="auto"/>
        </w:rPr>
        <w:t>The Company will not, and will not permit any Subsidiary to, sell, lease or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dispose of any substantial part (as defined below) of the assets of the Company and its Subsidiaries;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Company or any Subsidiary may sell, lease or otherwise dispose of assets constituting a substantial part of the assets of the Company and its Subsidiaries if such assets are sold in an arm’s length transaction and, at such time and after giving effect thereto, no Default or Event of Default shall have occurred and be continuing and an amount equal to the net cash proceeds received from such sale, lease or other disposition (but only with respect to that portion of such assets that exceeds the definition of “substantial part” set forth below) shall be used within 365 days of such sale,</w:t>
      </w:r>
    </w:p>
    <w:p>
      <w:pPr>
        <w:spacing w:after="0" w:line="215" w:lineRule="exact"/>
        <w:rPr>
          <w:sz w:val="20"/>
          <w:szCs w:val="20"/>
          <w:color w:val="auto"/>
        </w:rPr>
      </w:pPr>
    </w:p>
    <w:p>
      <w:pPr>
        <w:jc w:val="both"/>
        <w:ind w:firstLine="656"/>
        <w:spacing w:after="0" w:line="250" w:lineRule="auto"/>
        <w:tabs>
          <w:tab w:leader="none" w:pos="95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acquire productive assets used or useful in carrying on the business of the Company and its Subsidiaries and having a value at least equal to the portion of the value of such assets sold, leased or otherwise disposed of in excess of the definition of “substantial part” set forth below; and/or</w:t>
      </w:r>
    </w:p>
    <w:p>
      <w:pPr>
        <w:spacing w:after="0" w:line="204" w:lineRule="exact"/>
        <w:rPr>
          <w:rFonts w:ascii="Times New Roman" w:cs="Times New Roman" w:eastAsia="Times New Roman" w:hAnsi="Times New Roman"/>
          <w:sz w:val="22"/>
          <w:szCs w:val="22"/>
          <w:color w:val="auto"/>
        </w:rPr>
      </w:pPr>
    </w:p>
    <w:p>
      <w:pPr>
        <w:jc w:val="both"/>
        <w:ind w:firstLine="656"/>
        <w:spacing w:after="0" w:line="242" w:lineRule="auto"/>
        <w:tabs>
          <w:tab w:leader="none" w:pos="96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prepay or retire Senior Indebtedness of the Company and/or its Subsidiaries,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the Company shall offer to prepay each outstanding Note in a principal amount which equals the Ratable Portion for such Note, and (ii) any such prepayment of the Notes shall be made at par, together with accrued interest thereon to the date of such prepayment, but without the payment of the Make-Whole Amount or any other premium. Any offer of prepayment of the Notes pursuant to this Section 10.3 shall be given to each holder of the Notes by written notice that shall be delivered not less than ten (10) days and not more than sixty (60) days prior to the proposed prepayment date. Each such notice shall state that it is given pursuant to this Section and that the offer set forth in such notice must be accepted by such holder in writing and shall also set forth (i) the prepayment date, (ii) a description of the circumstances which give rise to the proposed prepayment and (iii) a calculation of the Ratable Portion for such holder’s Notes. Each holder of the Notes which desires to have its Notes prepaid shall notify the Company in writing delivered not less than five (5) Business Days prior to the proposed prepayment date of its acceptance of such offer of prepayment. If a Holder does not accept an offer to prepay as set forth in this Section 10.3, the Company shall be permitted to retain the Ratable Portion of the net proceeds allocable to the Notes of such Holder without any further requirements for reinvestment or prepayment as set forth in this Section 10.3.</w:t>
      </w:r>
    </w:p>
    <w:p>
      <w:pPr>
        <w:spacing w:after="0" w:line="22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2"/>
          <w:szCs w:val="22"/>
          <w:color w:val="auto"/>
        </w:rPr>
        <w:t xml:space="preserve">As used in this Section 10.3, a sale, lease or other disposition of assets shall be deemed to be a </w:t>
      </w:r>
      <w:r>
        <w:rPr>
          <w:rFonts w:ascii="Times New Roman" w:cs="Times New Roman" w:eastAsia="Times New Roman" w:hAnsi="Times New Roman"/>
          <w:sz w:val="22"/>
          <w:szCs w:val="22"/>
          <w:i w:val="1"/>
          <w:iCs w:val="1"/>
          <w:color w:val="auto"/>
        </w:rPr>
        <w:t>“substantial part”</w:t>
      </w:r>
      <w:r>
        <w:rPr>
          <w:rFonts w:ascii="Times New Roman" w:cs="Times New Roman" w:eastAsia="Times New Roman" w:hAnsi="Times New Roman"/>
          <w:sz w:val="22"/>
          <w:szCs w:val="22"/>
          <w:color w:val="auto"/>
        </w:rPr>
        <w:t xml:space="preserve"> of the assets of the Company and its Subsidiaries if the book value of such assets, when added to the book value of all other assets sold, leased or otherwise disposed of by the Company and its Subsidiaries during the period of 12 consecutive months ending on the date of such sale, lease or other disposition, exceeds 10% of the book value of Consolidated Total Assets, determined as of the end of the most recent fiscal quarter for which financial statements have been delivered in accordance with Section 7.1(a) hereof immediately preceding such sale, lease or other disposition;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there shall be excluded from any determination of a “substantial part” (i) any sale, lease or disposition of assets in the ordinary course of business of the Company and its Subsidiaries, (ii) any transfer of assets from the Company to any Subsidiary or from any Subsidiary to the Company or a Subsidiary, (iii) any sale or transfer of property acquired by the Company or any Subsidiary after the date of this Agreement to any Person within 365 days following the acquisition or construction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369" w:right="339" w:bottom="1440" w:gutter="0" w:footer="0" w:header="0"/>
        </w:sectPr>
      </w:pPr>
    </w:p>
    <w:bookmarkStart w:id="37" w:name="page38"/>
    <w:bookmarkEnd w:id="37"/>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property by the Company or any Subsidiary if the Company or a Subsidiary shall concurrently with such sale or transfer, lease such property, as lessee, (iv) any transfer of Receivables by any Originator pursuant to the Receivables Purchase Facility or other disposition of Receivables by the Company or any Subsidiary (excluding any dispositions in connection with any Floor Plan Financing Arrangement excluded in (v) below), provided that the outstanding unpaid amount of all such Receivables so sold in the aggregate shall not at any time exceed $200,000,000, (v) any dispositions of Receivables of the Company or its Subsidiaries to Red Iron or any Floor Plan Financing Arrangement, (vi) any dispositions of interests in Red Iron, and (vii) dispositions of cash or cash equivalents in connection with Restricted Payments, acquisitions or investments not otherwise prohibited by this Agreement.</w:t>
      </w:r>
    </w:p>
    <w:p>
      <w:pPr>
        <w:spacing w:after="0" w:line="21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10.4. Line of Business. </w:t>
      </w:r>
      <w:r>
        <w:rPr>
          <w:rFonts w:ascii="Times New Roman" w:cs="Times New Roman" w:eastAsia="Times New Roman" w:hAnsi="Times New Roman"/>
          <w:sz w:val="22"/>
          <w:szCs w:val="22"/>
          <w:color w:val="auto"/>
        </w:rPr>
        <w:t>The Company will not and will not permit any Subsidiary to engage in any business if,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result, the general nature of the business in which the Company and its Subsidiaries, taken as a whole, would then be engaged would be substantially changed from the general nature of the business in which the Company and its Subsidiaries, taken as a whole, are engaged on the date of this Agreement as described in the Disclosure Documents.</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Section 10.5. Economic Sanctions, Etc. </w:t>
      </w:r>
      <w:r>
        <w:rPr>
          <w:rFonts w:ascii="Times New Roman" w:cs="Times New Roman" w:eastAsia="Times New Roman" w:hAnsi="Times New Roman"/>
          <w:sz w:val="22"/>
          <w:szCs w:val="22"/>
          <w:color w:val="auto"/>
        </w:rPr>
        <w:t>The Company will not, and will not permit any Controlled Entity to (a) become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by virtue of being owned or controlled by a Blocked Person), own or control a Blocked Person or (b) directly or indirectly have any investment in or engage in any dealing or transaction (including any investment, dealing or transaction involving the proceeds of the Notes) with any Person if such investment, dealing or transaction (i) would cause any holder or any affiliate of such holder to be in violation of, or subject to sanctions under, any law or regulation applicable to such holder, or (ii) is prohibited by or subject to sanctions under any U.S. Economic Sanctions Laws.</w:t>
      </w:r>
    </w:p>
    <w:p>
      <w:pPr>
        <w:spacing w:after="0" w:line="225" w:lineRule="exact"/>
        <w:rPr>
          <w:sz w:val="20"/>
          <w:szCs w:val="20"/>
          <w:color w:val="auto"/>
        </w:rPr>
      </w:pPr>
    </w:p>
    <w:p>
      <w:pPr>
        <w:jc w:val="both"/>
        <w:ind w:right="42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10.6. Liens. </w:t>
      </w:r>
      <w:r>
        <w:rPr>
          <w:rFonts w:ascii="Times New Roman" w:cs="Times New Roman" w:eastAsia="Times New Roman" w:hAnsi="Times New Roman"/>
          <w:sz w:val="22"/>
          <w:szCs w:val="22"/>
          <w:color w:val="auto"/>
        </w:rPr>
        <w:t>The Company will not and will not permit any Subsidiary to, directly or indirectly, make, create,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incur, assume or suffer to exist any Lien upon or with respect to any part of their respective property, whether now owned or hereafter acquired, other than the following (“</w:t>
      </w:r>
      <w:r>
        <w:rPr>
          <w:rFonts w:ascii="Times New Roman" w:cs="Times New Roman" w:eastAsia="Times New Roman" w:hAnsi="Times New Roman"/>
          <w:sz w:val="22"/>
          <w:szCs w:val="22"/>
          <w:b w:val="1"/>
          <w:bCs w:val="1"/>
          <w:color w:val="auto"/>
        </w:rPr>
        <w:t>Permitted Liens</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ind w:firstLine="8"/>
        <w:spacing w:after="0" w:line="258" w:lineRule="auto"/>
        <w:tabs>
          <w:tab w:leader="none" w:pos="32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existing on property of the Company or any Subsidiary on the date of Closing and set forth in Schedule 10.6 securing Indebtedness outstanding on such date;</w:t>
      </w:r>
    </w:p>
    <w:p>
      <w:pPr>
        <w:spacing w:after="0" w:line="198" w:lineRule="exact"/>
        <w:rPr>
          <w:rFonts w:ascii="Times New Roman" w:cs="Times New Roman" w:eastAsia="Times New Roman" w:hAnsi="Times New Roman"/>
          <w:sz w:val="22"/>
          <w:szCs w:val="22"/>
          <w:color w:val="auto"/>
        </w:rPr>
      </w:pPr>
    </w:p>
    <w:p>
      <w:pPr>
        <w:ind w:firstLine="656"/>
        <w:spacing w:after="0" w:line="271" w:lineRule="auto"/>
        <w:tabs>
          <w:tab w:leader="none" w:pos="954"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for taxes, fees, assessments or other governmental charges which are not delinquent or remain payable without penalty,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notice of lien has been filed or recorded under the Code;</w:t>
      </w:r>
    </w:p>
    <w:p>
      <w:pPr>
        <w:spacing w:after="0" w:line="171" w:lineRule="exact"/>
        <w:rPr>
          <w:rFonts w:ascii="Times New Roman" w:cs="Times New Roman" w:eastAsia="Times New Roman" w:hAnsi="Times New Roman"/>
          <w:sz w:val="22"/>
          <w:szCs w:val="22"/>
          <w:color w:val="auto"/>
        </w:rPr>
      </w:pPr>
    </w:p>
    <w:p>
      <w:pPr>
        <w:jc w:val="both"/>
        <w:ind w:firstLine="656"/>
        <w:spacing w:after="0" w:line="252" w:lineRule="auto"/>
        <w:tabs>
          <w:tab w:leader="none" w:pos="969"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carriers’, warehousemen’s, mechanics’, landlords’, materialmen’s, repairmen’s or other similar Liens arising in the ordinary course of business which are not delinquent or remain payable without penalty or which are being contested in good faith and by appropriate proceedings, which proceedings have the effect of preventing the forfeiture or sale of the property subject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369" w:right="339" w:bottom="1440" w:gutter="0" w:footer="0" w:header="0"/>
        </w:sectPr>
      </w:pPr>
    </w:p>
    <w:bookmarkStart w:id="38" w:name="page39"/>
    <w:bookmarkEnd w:id="38"/>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656"/>
        <w:spacing w:after="0" w:line="271" w:lineRule="auto"/>
        <w:tabs>
          <w:tab w:leader="none" w:pos="967"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(other than any Lien imposed by ERISA) consisting of pledges or deposits required in the ordinary course of business in connection with workers’ compensation, unemployment insurance and other social security legislation;</w:t>
      </w:r>
    </w:p>
    <w:p>
      <w:pPr>
        <w:spacing w:after="0" w:line="123" w:lineRule="exact"/>
        <w:rPr>
          <w:rFonts w:ascii="Times New Roman" w:cs="Times New Roman" w:eastAsia="Times New Roman" w:hAnsi="Times New Roman"/>
          <w:sz w:val="22"/>
          <w:szCs w:val="22"/>
          <w:color w:val="auto"/>
        </w:rPr>
      </w:pPr>
    </w:p>
    <w:p>
      <w:pPr>
        <w:jc w:val="both"/>
        <w:ind w:firstLine="656"/>
        <w:spacing w:after="0" w:line="291" w:lineRule="exact"/>
        <w:tabs>
          <w:tab w:leader="none" w:pos="942"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the property of the Company or any of its Subsidiaries securing (i)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delinquent performance of bids, trade contracts (other than for borrowed money), leases, statutory obligations, (ii) contingent obligations on surety and appeal bonds, and (iii) other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delinquent obligations of a like nature; in each case, incurred in the ordinary course of business;</w:t>
      </w:r>
    </w:p>
    <w:p>
      <w:pPr>
        <w:spacing w:after="0" w:line="139" w:lineRule="exact"/>
        <w:rPr>
          <w:rFonts w:ascii="Times New Roman" w:cs="Times New Roman" w:eastAsia="Times New Roman" w:hAnsi="Times New Roman"/>
          <w:sz w:val="22"/>
          <w:szCs w:val="22"/>
          <w:color w:val="auto"/>
        </w:rPr>
      </w:pPr>
    </w:p>
    <w:p>
      <w:pPr>
        <w:jc w:val="both"/>
        <w:ind w:firstLine="656"/>
        <w:spacing w:after="0" w:line="277" w:lineRule="exact"/>
        <w:tabs>
          <w:tab w:leader="none" w:pos="945"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rights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way, restrictions and other similar encumbrances incurred in the ordinary course of business which, in the aggregate, are not substantial in amount, and which do not in any case materially detract from the value of the property subject thereto or interfere with the ordinary conduct of the businesses of the Company and its Subsidiaries;</w:t>
      </w:r>
    </w:p>
    <w:p>
      <w:pPr>
        <w:spacing w:after="0" w:line="218"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property of a Person subject to an Acquisition existing at the time of such Acquisition;</w:t>
      </w:r>
    </w:p>
    <w:p>
      <w:pPr>
        <w:spacing w:after="0" w:line="233" w:lineRule="exact"/>
        <w:rPr>
          <w:rFonts w:ascii="Times New Roman" w:cs="Times New Roman" w:eastAsia="Times New Roman" w:hAnsi="Times New Roman"/>
          <w:sz w:val="22"/>
          <w:szCs w:val="22"/>
          <w:color w:val="auto"/>
        </w:rPr>
      </w:pPr>
    </w:p>
    <w:p>
      <w:pPr>
        <w:jc w:val="both"/>
        <w:ind w:firstLine="656"/>
        <w:spacing w:after="0" w:line="263" w:lineRule="exact"/>
        <w:tabs>
          <w:tab w:leader="none" w:pos="981"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Liens on Receivables, lease receivables and other obligations owing to any of the Company or any domestic Wholly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Owned Subsidiary to the extent such Receivables, lease receivables and other obligations have been sold under a Receivables Purchase Facility provided that the outstanding unpaid amount of all such Receivables so sold in the aggregate shall not at any time exceed $200,000,000, and (ii) Liens on Receivables in connection with any Floor Plan Financing Arrangement;</w:t>
      </w:r>
    </w:p>
    <w:p>
      <w:pPr>
        <w:spacing w:after="0" w:line="157" w:lineRule="exact"/>
        <w:rPr>
          <w:rFonts w:ascii="Times New Roman" w:cs="Times New Roman" w:eastAsia="Times New Roman" w:hAnsi="Times New Roman"/>
          <w:sz w:val="21"/>
          <w:szCs w:val="21"/>
          <w:color w:val="auto"/>
        </w:rPr>
      </w:pPr>
    </w:p>
    <w:p>
      <w:pPr>
        <w:jc w:val="both"/>
        <w:ind w:firstLine="656"/>
        <w:spacing w:after="0" w:line="292" w:lineRule="exact"/>
        <w:tabs>
          <w:tab w:leader="none" w:pos="906"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arising solely by virtue of any statutory or common law provision relating to banker’s liens, rights of set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off or similar rights and remedies as to deposit accounts or other funds maintained with a creditor depository institution;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w:t>
      </w:r>
    </w:p>
    <w:p>
      <w:pPr>
        <w:spacing w:after="0" w:line="1" w:lineRule="exact"/>
        <w:rPr>
          <w:rFonts w:ascii="Times New Roman" w:cs="Times New Roman" w:eastAsia="Times New Roman" w:hAnsi="Times New Roman"/>
          <w:sz w:val="21"/>
          <w:szCs w:val="21"/>
          <w:color w:val="auto"/>
        </w:rPr>
      </w:pPr>
    </w:p>
    <w:p>
      <w:pPr>
        <w:jc w:val="both"/>
        <w:ind w:firstLine="8"/>
        <w:spacing w:after="0" w:line="239" w:lineRule="auto"/>
        <w:tabs>
          <w:tab w:leader="none" w:pos="2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deposit account is not a dedicated cash collateral account and is not subject to restrictions against access by the Company in excess of those set forth by regulations promulgated by the FRB, and (ii) such deposit account is not intended by the Company or any Subsidiary to provide collateral to the depository institution; and</w:t>
      </w:r>
    </w:p>
    <w:p>
      <w:pPr>
        <w:spacing w:after="0" w:line="219" w:lineRule="exact"/>
        <w:rPr>
          <w:rFonts w:ascii="Times New Roman" w:cs="Times New Roman" w:eastAsia="Times New Roman" w:hAnsi="Times New Roman"/>
          <w:sz w:val="22"/>
          <w:szCs w:val="22"/>
          <w:color w:val="auto"/>
        </w:rPr>
      </w:pPr>
    </w:p>
    <w:p>
      <w:pPr>
        <w:jc w:val="both"/>
        <w:ind w:firstLine="656"/>
        <w:spacing w:after="0" w:line="243" w:lineRule="auto"/>
        <w:tabs>
          <w:tab w:leader="none" w:pos="919"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Liens securing Indebtedness of the Company or any Subsidiary not otherwise permitted by clauses (a) through (i), provided that such Indebtedness shall at all times be permitted by Sections 10.7 and 10.8, provided, further, that notwithstanding the foregoing, the Company shall not, and shall not permit any of its Subsidiaries to, secure pursuant to this Section 10.6(j) any Indebtedness outstanding under or pursuant to any Material Credit Facility unless and until the Notes (and any guaranty delivered in connection therewith) shall concurrently be secured equally and ratably with such Indebtedness pursuant to documentation reasonably acceptable to the Required Holders in substance and in form, including an intercreditor agreement and opinions of counsel to the Company and/or any such Subsidiary, as the case may be, from counsel that is reasonably acceptable to the Required Holders.</w:t>
      </w:r>
    </w:p>
    <w:p>
      <w:pPr>
        <w:spacing w:after="0" w:line="215" w:lineRule="exact"/>
        <w:rPr>
          <w:sz w:val="20"/>
          <w:szCs w:val="20"/>
          <w:color w:val="auto"/>
        </w:rPr>
      </w:pPr>
    </w:p>
    <w:p>
      <w:pPr>
        <w:ind w:firstLine="283"/>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10.7. Maximum Leverage Ratio. </w:t>
      </w:r>
      <w:r>
        <w:rPr>
          <w:rFonts w:ascii="Times New Roman" w:cs="Times New Roman" w:eastAsia="Times New Roman" w:hAnsi="Times New Roman"/>
          <w:sz w:val="22"/>
          <w:szCs w:val="22"/>
          <w:color w:val="auto"/>
        </w:rPr>
        <w:t>(a) The Company (on a consolidated basis) shall not, as of the end of any fiscal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quarter, permit its Leverage Ratio for the period of four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369" w:right="339" w:bottom="1440" w:gutter="0" w:footer="0" w:header="0"/>
        </w:sectPr>
      </w:pPr>
    </w:p>
    <w:bookmarkStart w:id="39" w:name="page40"/>
    <w:bookmarkEnd w:id="39"/>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 xml:space="preserve">fiscal quarters ending on such date to be more than 3.50 to 1.00;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after the occurrence of any Acquisition (or series of related transactions for the purpose of or resulting in such Acquisition) with aggregate consideration in excess of $75,000,000, at the option of the Company, for each of the four consecutive fiscal quarters ending after such option exercise (a </w:t>
      </w:r>
      <w:r>
        <w:rPr>
          <w:rFonts w:ascii="Times New Roman" w:cs="Times New Roman" w:eastAsia="Times New Roman" w:hAnsi="Times New Roman"/>
          <w:sz w:val="22"/>
          <w:szCs w:val="22"/>
          <w:b w:val="1"/>
          <w:bCs w:val="1"/>
          <w:color w:val="auto"/>
        </w:rPr>
        <w:t>“Covenant Holiday”</w:t>
      </w:r>
      <w:r>
        <w:rPr>
          <w:rFonts w:ascii="Times New Roman" w:cs="Times New Roman" w:eastAsia="Times New Roman" w:hAnsi="Times New Roman"/>
          <w:sz w:val="22"/>
          <w:szCs w:val="22"/>
          <w:color w:val="auto"/>
        </w:rPr>
        <w:t>), the Leverage Ratio as of the last day of such fiscal quarter shall not exceed 4.00 to 1.00 and, in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event, the Company shall be obligated to pay the Incremental Leverage Fee provided for in Section 10.7(b);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the Company may opt to use a maximum of three Covenant Holidays during the term of this Agreement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Leverage Ratio may not exceed 3.50 to 1.00 for at least one fiscal quarter in between each Covenant Holiday.</w:t>
      </w:r>
    </w:p>
    <w:p>
      <w:pPr>
        <w:spacing w:after="0" w:line="4" w:lineRule="exact"/>
        <w:rPr>
          <w:sz w:val="20"/>
          <w:szCs w:val="20"/>
          <w:color w:val="auto"/>
        </w:rPr>
      </w:pPr>
    </w:p>
    <w:p>
      <w:pPr>
        <w:jc w:val="both"/>
        <w:ind w:firstLine="656"/>
        <w:spacing w:after="0" w:line="241" w:lineRule="auto"/>
        <w:tabs>
          <w:tab w:leader="none" w:pos="967"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Leverage Ratio exceeds 3.50 to 1.00 as permitted by Section 10.7(a), as evidenced by an Officer’s Certificate delivered pursuant to Section 7.2(a), an incremental leverage fee shall be due on the Notes in an aggregate amount equal to 0.50% of the aggregate outstanding principal amount of the Notes per annum, which shall be due and payable on the Notes as and to the extent provided in Section 10.7(c) below (the </w:t>
      </w:r>
      <w:r>
        <w:rPr>
          <w:rFonts w:ascii="Times New Roman" w:cs="Times New Roman" w:eastAsia="Times New Roman" w:hAnsi="Times New Roman"/>
          <w:sz w:val="22"/>
          <w:szCs w:val="22"/>
          <w:b w:val="1"/>
          <w:bCs w:val="1"/>
          <w:color w:val="auto"/>
        </w:rPr>
        <w:t>“Incremental Leverage Fee”</w:t>
      </w:r>
      <w:r>
        <w:rPr>
          <w:rFonts w:ascii="Times New Roman" w:cs="Times New Roman" w:eastAsia="Times New Roman" w:hAnsi="Times New Roman"/>
          <w:sz w:val="22"/>
          <w:szCs w:val="22"/>
          <w:color w:val="auto"/>
        </w:rPr>
        <w:t>). Such Incremental Leverage Fee shall begin to accrue on the first day of the fiscal quarter following the fiscal quarter in respect of which such Officer’s Certificate was delivered, and shall continue to accrue until the Company has provided an Officer’s Certificate pursuant to Section 7.2(a) demonstrating that, as of the last day of the fiscal quarter in respect of which such Officer’s Certificate is delivered, the Leverage Ratio is not more than 3.50 to 1.00. In the event such Officer’s Certificate evidencing that the Leverage Ratio is not more than 3.50 to 1.00 is delivered, the Incremental Leverage Fee shall cease to accrue on and as of the last day of the fiscal quarter in respect of which such Officer’s Certificate is delivered.</w:t>
      </w:r>
    </w:p>
    <w:p>
      <w:pPr>
        <w:spacing w:after="0" w:line="203" w:lineRule="exact"/>
        <w:rPr>
          <w:rFonts w:ascii="Times New Roman" w:cs="Times New Roman" w:eastAsia="Times New Roman" w:hAnsi="Times New Roman"/>
          <w:sz w:val="22"/>
          <w:szCs w:val="22"/>
          <w:color w:val="auto"/>
        </w:rPr>
      </w:pPr>
    </w:p>
    <w:p>
      <w:pPr>
        <w:jc w:val="both"/>
        <w:ind w:firstLine="8"/>
        <w:spacing w:after="0" w:line="256" w:lineRule="auto"/>
        <w:tabs>
          <w:tab w:leader="none" w:pos="294"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10 Business Days of the delivery of an Officer’s Certificate pursuant to Section 7.2(a) for any fiscal quarter in which the Incremental Leverage Fee accrued, the Company shall pay to each holder of a Note the amount attributable to the Incremental Leverage Fee (the </w:t>
      </w:r>
      <w:r>
        <w:rPr>
          <w:rFonts w:ascii="Times New Roman" w:cs="Times New Roman" w:eastAsia="Times New Roman" w:hAnsi="Times New Roman"/>
          <w:sz w:val="21"/>
          <w:szCs w:val="21"/>
          <w:b w:val="1"/>
          <w:bCs w:val="1"/>
          <w:color w:val="auto"/>
        </w:rPr>
        <w:t>“Incremental Leverage Fee Payment”</w:t>
      </w:r>
      <w:r>
        <w:rPr>
          <w:rFonts w:ascii="Times New Roman" w:cs="Times New Roman" w:eastAsia="Times New Roman" w:hAnsi="Times New Roman"/>
          <w:sz w:val="21"/>
          <w:szCs w:val="21"/>
          <w:color w:val="auto"/>
        </w:rPr>
        <w:t>) which shall be the product of (i) the aggregate outstanding principal amount of Notes held by such holder (or its predecessor(s) in interest, to the extent of the aggregate outstanding principal amount of Notes transferred by such predecessor(s) in interest to such holder) as of the first day that the Incremental Leverage Fee begins to accrue with respect to the period covered by such Officer’s Certificate, (ii) 0.50% (to reflect the Incremental Leverage Fee) and</w:t>
      </w:r>
    </w:p>
    <w:p>
      <w:pPr>
        <w:spacing w:after="0" w:line="4" w:lineRule="exact"/>
        <w:rPr>
          <w:rFonts w:ascii="Times New Roman" w:cs="Times New Roman" w:eastAsia="Times New Roman" w:hAnsi="Times New Roman"/>
          <w:sz w:val="21"/>
          <w:szCs w:val="21"/>
          <w:color w:val="auto"/>
        </w:rPr>
      </w:pPr>
    </w:p>
    <w:p>
      <w:pPr>
        <w:jc w:val="both"/>
        <w:ind w:firstLine="8"/>
        <w:spacing w:after="0"/>
        <w:tabs>
          <w:tab w:leader="none" w:pos="397"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0.25% (to reflect that the Incremental Leverage Fee is payable quarterly). The Incremental Leverage Fee Payment, if any, shall be paid by wire transfer of immediately available funds to each holder of the Notes in accordance with the terms of this Agreement. The Company, the Purchasers and each holder agree that, for purposes of the Code, the Incremental Leverage Fee Payment constitutes additional interest.</w:t>
      </w:r>
    </w:p>
    <w:p>
      <w:pPr>
        <w:spacing w:after="0" w:line="206"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avoidance of doubt, no Incremental Leverage Fee will be used in calculating any Make-Whole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369" w:right="339" w:bottom="1440" w:gutter="0" w:footer="0" w:header="0"/>
        </w:sectPr>
      </w:pPr>
    </w:p>
    <w:bookmarkStart w:id="40" w:name="page41"/>
    <w:bookmarkEnd w:id="40"/>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10.8. Priority Indebtedness. </w:t>
      </w:r>
      <w:r>
        <w:rPr>
          <w:rFonts w:ascii="Times New Roman" w:cs="Times New Roman" w:eastAsia="Times New Roman" w:hAnsi="Times New Roman"/>
          <w:sz w:val="22"/>
          <w:szCs w:val="22"/>
          <w:color w:val="auto"/>
        </w:rPr>
        <w:t>The Company will not permit Priority Indebtedness at any time to exceed 20%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Consolidated Total Assets (Consolidated Total Assets to be determined as of the end of the most recently ended fiscal quarter).</w:t>
      </w:r>
    </w:p>
    <w:p>
      <w:pPr>
        <w:spacing w:after="0" w:line="176" w:lineRule="exact"/>
        <w:rPr>
          <w:sz w:val="20"/>
          <w:szCs w:val="20"/>
          <w:color w:val="auto"/>
        </w:rPr>
      </w:pPr>
    </w:p>
    <w:p>
      <w:pPr>
        <w:ind w:right="80" w:firstLine="648"/>
        <w:spacing w:after="0" w:line="283" w:lineRule="auto"/>
        <w:rPr>
          <w:sz w:val="20"/>
          <w:szCs w:val="20"/>
          <w:color w:val="auto"/>
        </w:rPr>
      </w:pPr>
      <w:r>
        <w:rPr>
          <w:rFonts w:ascii="Times New Roman" w:cs="Times New Roman" w:eastAsia="Times New Roman" w:hAnsi="Times New Roman"/>
          <w:sz w:val="21"/>
          <w:szCs w:val="21"/>
          <w:b w:val="1"/>
          <w:bCs w:val="1"/>
          <w:color w:val="auto"/>
        </w:rPr>
        <w:t xml:space="preserve">Section 10.9 Red Iron. </w:t>
      </w:r>
      <w:r>
        <w:rPr>
          <w:rFonts w:ascii="Times New Roman" w:cs="Times New Roman" w:eastAsia="Times New Roman" w:hAnsi="Times New Roman"/>
          <w:sz w:val="21"/>
          <w:szCs w:val="21"/>
          <w:color w:val="auto"/>
        </w:rPr>
        <w:t>The Company shall not, and shall not permit any Subsidiary to, agree to permit Red Iron to retain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defer payment of undisputed amounts due by Red Iron to the Company or any Subsidiary (other than as an offset in payment of amounts due by the Company or such Subsidiaries to Red Iron) in an aggregate amount at any time in excess of $35,000,000.</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Section 10.10. Restricted Payments. </w:t>
      </w:r>
      <w:r>
        <w:rPr>
          <w:rFonts w:ascii="Times New Roman" w:cs="Times New Roman" w:eastAsia="Times New Roman" w:hAnsi="Times New Roman"/>
          <w:sz w:val="22"/>
          <w:szCs w:val="22"/>
          <w:color w:val="auto"/>
        </w:rPr>
        <w:t>The Company shall not, nor shall it suffer or permit any Material Subsidiary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declare or make any dividend payment or other distribution of assets, properties, cash, rights, obligations or securities on account of any shares of any class of its capital stock, or purchase, redeem or otherwise acquire for value any shares of its capital stock or any warrants, rights or options to acquire such shares, now or hereafter outstanding (each of the foregoing a </w:t>
      </w:r>
      <w:r>
        <w:rPr>
          <w:rFonts w:ascii="Times New Roman" w:cs="Times New Roman" w:eastAsia="Times New Roman" w:hAnsi="Times New Roman"/>
          <w:sz w:val="22"/>
          <w:szCs w:val="22"/>
          <w:b w:val="1"/>
          <w:bCs w:val="1"/>
          <w:color w:val="auto"/>
        </w:rPr>
        <w:t>“Restricted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except that:</w:t>
      </w:r>
    </w:p>
    <w:p>
      <w:pPr>
        <w:spacing w:after="0" w:line="143" w:lineRule="exact"/>
        <w:rPr>
          <w:sz w:val="20"/>
          <w:szCs w:val="20"/>
          <w:color w:val="auto"/>
        </w:rPr>
      </w:pPr>
    </w:p>
    <w:p>
      <w:pPr>
        <w:ind w:right="120" w:firstLine="278"/>
        <w:spacing w:after="0" w:line="287" w:lineRule="exact"/>
        <w:tabs>
          <w:tab w:leader="none" w:pos="56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any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may declare and make dividend payments or other distributions payable solely in its common stock;</w:t>
      </w:r>
    </w:p>
    <w:p>
      <w:pPr>
        <w:spacing w:after="0" w:line="169" w:lineRule="exact"/>
        <w:rPr>
          <w:rFonts w:ascii="Times New Roman" w:cs="Times New Roman" w:eastAsia="Times New Roman" w:hAnsi="Times New Roman"/>
          <w:sz w:val="22"/>
          <w:szCs w:val="22"/>
          <w:color w:val="auto"/>
        </w:rPr>
      </w:pPr>
    </w:p>
    <w:p>
      <w:pPr>
        <w:jc w:val="both"/>
        <w:ind w:firstLine="656"/>
        <w:spacing w:after="0" w:line="277" w:lineRule="exact"/>
        <w:tabs>
          <w:tab w:leader="none" w:pos="967"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any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may purchase, redeem or otherwise acquire shares of its common stock or warrants or options to acquire any such shares with the proceeds received from the substantially concurrent issue of new shares of its common stock;</w:t>
      </w:r>
    </w:p>
    <w:p>
      <w:pPr>
        <w:spacing w:after="0" w:line="218" w:lineRule="exact"/>
        <w:rPr>
          <w:rFonts w:ascii="Times New Roman" w:cs="Times New Roman" w:eastAsia="Times New Roman" w:hAnsi="Times New Roman"/>
          <w:sz w:val="22"/>
          <w:szCs w:val="22"/>
          <w:color w:val="auto"/>
        </w:rPr>
      </w:pPr>
    </w:p>
    <w:p>
      <w:pPr>
        <w:jc w:val="both"/>
        <w:ind w:firstLine="656"/>
        <w:spacing w:after="0" w:line="247" w:lineRule="auto"/>
        <w:tabs>
          <w:tab w:leader="none" w:pos="94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(both before and after giving pro forma effect to such Restricted Payment) the Leverage Ratio for such period is less than or equal to the maximum permitted Leverage Ratio then in effect pursuant to Section 10.7, the Company may declare and pay cash dividends to its stockholders and purchase, redeem or otherwise acquire shares of its capital stock or warrants, rights or options to acquire any such shares for cash without restriction;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immediately after giving effect to any such proposed action, no Default or Event of Default would exist; and</w:t>
      </w:r>
    </w:p>
    <w:p>
      <w:pPr>
        <w:spacing w:after="0" w:line="196" w:lineRule="exact"/>
        <w:rPr>
          <w:rFonts w:ascii="Times New Roman" w:cs="Times New Roman" w:eastAsia="Times New Roman" w:hAnsi="Times New Roman"/>
          <w:sz w:val="22"/>
          <w:szCs w:val="22"/>
          <w:color w:val="auto"/>
        </w:rPr>
      </w:pPr>
    </w:p>
    <w:p>
      <w:pPr>
        <w:ind w:firstLine="656"/>
        <w:spacing w:after="0" w:line="285" w:lineRule="exact"/>
        <w:tabs>
          <w:tab w:leader="none" w:pos="1021"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Guarantor may declare and pay dividends to the Company or its parent company and any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may declare and pay dividends to its parent company.</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Notwithstanding the terms of Section 11, it will not be a Default or an Event of Default if the Company fails to comply with any provision of Section 10 on or after the date of this Agreement and prior to the Closing, but if such a failure occurs, then any of the Purchasers may elect not to purchase such Notes on the date of the Closing that is specified in Section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369" w:right="339" w:bottom="1440" w:gutter="0" w:footer="0" w:header="0"/>
        </w:sectPr>
      </w:pPr>
    </w:p>
    <w:bookmarkStart w:id="41" w:name="page42"/>
    <w:bookmarkEnd w:id="41"/>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Section 10.11. Most Favored Lender Status. </w:t>
      </w:r>
      <w:r>
        <w:rPr>
          <w:rFonts w:ascii="Times New Roman" w:cs="Times New Roman" w:eastAsia="Times New Roman" w:hAnsi="Times New Roman"/>
          <w:sz w:val="22"/>
          <w:szCs w:val="22"/>
          <w:color w:val="auto"/>
        </w:rPr>
        <w:t>(a) If at any time a Material Credit Facility contains an interest coverage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fixed charged covenant (regardless of whether such provision is labeled or otherwise characterized as a covenant, a definition or a default) by the Company that is more favorable to the lenders under such Material Credit Facility than the covenants, definitions and/or defaults contained in this Agreement (any such provision (including any necessary definition), a </w:t>
      </w:r>
      <w:r>
        <w:rPr>
          <w:rFonts w:ascii="Times New Roman" w:cs="Times New Roman" w:eastAsia="Times New Roman" w:hAnsi="Times New Roman"/>
          <w:sz w:val="22"/>
          <w:szCs w:val="22"/>
          <w:b w:val="1"/>
          <w:bCs w:val="1"/>
          <w:color w:val="auto"/>
        </w:rPr>
        <w:t>“More Favorable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Covenant”</w:t>
      </w:r>
      <w:r>
        <w:rPr>
          <w:rFonts w:ascii="Times New Roman" w:cs="Times New Roman" w:eastAsia="Times New Roman" w:hAnsi="Times New Roman"/>
          <w:sz w:val="22"/>
          <w:szCs w:val="22"/>
          <w:color w:val="auto"/>
        </w:rPr>
        <w:t>), then the Company shall provide a Most Favored Lender Notice in respect of such More Favorable Covenant. Unless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waived in writing by the Required Holders within 15 days after each holder’s receipt of such notice, such More Favorable Covenant shall be deemed automatically incorporated by reference into Section 10 of this Agreement, mutatis mutandis, as if set forth in full herein, effective as of the date when such More Favorable Covenant shall have become effective under such Material Credit Facility.</w:t>
      </w:r>
    </w:p>
    <w:p>
      <w:pPr>
        <w:spacing w:after="0" w:line="197" w:lineRule="exact"/>
        <w:rPr>
          <w:sz w:val="20"/>
          <w:szCs w:val="20"/>
          <w:color w:val="auto"/>
        </w:rPr>
      </w:pPr>
    </w:p>
    <w:p>
      <w:pPr>
        <w:jc w:val="both"/>
        <w:ind w:firstLine="8"/>
        <w:spacing w:after="0" w:line="254" w:lineRule="auto"/>
        <w:tabs>
          <w:tab w:leader="none" w:pos="306"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More Favorable Covenant incorporated into this Agreement (herein referred to as an “Incorporated Covenant”) pursuant to this Section 10.11 (i) shall be deemed automatically amended herein to reflect any subsequent amendments made to such More Favorable Covenant under the applicable Material Credit Facility;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 Default or an Event of Default then exists and the amendment of such More Favorable Covenant would make such covenant less restrictive on the Company, such Incorporated Covenant shall only be deemed automatically amended at such time, if it should occur, when such Default or Event of Default no longer exists and (ii) shall be deemed automatically deleted from this Agreement at such time as such More Favorable Covenant is deleted or otherwise removed from the applicable Material Credit Facility or such applicable Material Credit Facility ceases to be a Material Credit Facility or shall be terminated;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 Default or an Event of Default then exists, such Incorporated Covenant shall only be deemed automatically deleted from this Agreement at such time, if it should occur, when such Default or Event of Default no longer exists; </w:t>
      </w:r>
      <w:r>
        <w:rPr>
          <w:rFonts w:ascii="Times New Roman" w:cs="Times New Roman" w:eastAsia="Times New Roman" w:hAnsi="Times New Roman"/>
          <w:sz w:val="21"/>
          <w:szCs w:val="21"/>
          <w:i w:val="1"/>
          <w:iCs w:val="1"/>
          <w:color w:val="auto"/>
        </w:rPr>
        <w:t>provided further, however</w:t>
      </w:r>
      <w:r>
        <w:rPr>
          <w:rFonts w:ascii="Times New Roman" w:cs="Times New Roman" w:eastAsia="Times New Roman" w:hAnsi="Times New Roman"/>
          <w:sz w:val="21"/>
          <w:szCs w:val="21"/>
          <w:color w:val="auto"/>
        </w:rPr>
        <w:t xml:space="preserve">, that if any fee or other consideration shall be given to the lenders under such Material Credit Facility for such amendment or deletion, the equivalent of such fee or other consideration shall be given,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to the holders of the Notes. Notwithstanding the foregoing, the covenants or defaults (and related definitions as used therein) contained in this Agreement as in effect on the date of this Agreement (and as amended other than by operation of Section 10.11(a)) shall not be loosened or relaxed by operation of the terms of this Section 10.11(b) and only such other Incorporated Covenants shall be so loosened or relaxed pursuant to the terms hereof.</w:t>
      </w:r>
    </w:p>
    <w:p>
      <w:pPr>
        <w:spacing w:after="0" w:line="185" w:lineRule="exact"/>
        <w:rPr>
          <w:rFonts w:ascii="Times New Roman" w:cs="Times New Roman" w:eastAsia="Times New Roman" w:hAnsi="Times New Roman"/>
          <w:sz w:val="21"/>
          <w:szCs w:val="21"/>
          <w:color w:val="auto"/>
        </w:rPr>
      </w:pPr>
    </w:p>
    <w:p>
      <w:pPr>
        <w:ind w:firstLine="8"/>
        <w:spacing w:after="0" w:line="242" w:lineRule="auto"/>
        <w:tabs>
          <w:tab w:leader="none" w:pos="29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“Most Favored Lender Notice” </w:t>
      </w:r>
      <w:r>
        <w:rPr>
          <w:rFonts w:ascii="Times New Roman" w:cs="Times New Roman" w:eastAsia="Times New Roman" w:hAnsi="Times New Roman"/>
          <w:sz w:val="22"/>
          <w:szCs w:val="22"/>
          <w:color w:val="auto"/>
        </w:rPr>
        <w:t>means, in respect of any More Favorable Covenant, a written notice to each of the holders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Notes delivered promptly, and in any event within twenty (20) Business Days after the inclusion of such More Favorable Covenant in any Material Credit Facility (including by way of amendment or other modification of any existing provision thereof) from a Responsible Officer referring to the provisions of this Section 10.11 and setting forth a reasonably detailed description of such More Favorable Covenant (including any defined terms used therein) and related explanatory calculations, as applicable.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11. Events of Default.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An </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xml:space="preserve"> shall exist if any of the following conditions or events shall occur and be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369" w:right="339" w:bottom="1440" w:gutter="0" w:footer="0" w:header="0"/>
        </w:sectPr>
      </w:pPr>
    </w:p>
    <w:bookmarkStart w:id="42" w:name="page43"/>
    <w:bookmarkEnd w:id="42"/>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firstLine="656"/>
        <w:spacing w:after="0" w:line="294" w:lineRule="exact"/>
        <w:tabs>
          <w:tab w:leader="none" w:pos="955"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defaults in the payment of any principal or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if any, on any Note when the same becomes due and payable, whether at maturity or at a date fixed for prepayment or by declaration or otherwise; or</w:t>
      </w:r>
    </w:p>
    <w:p>
      <w:pPr>
        <w:spacing w:after="0" w:line="204" w:lineRule="exact"/>
        <w:rPr>
          <w:rFonts w:ascii="Times New Roman" w:cs="Times New Roman" w:eastAsia="Times New Roman" w:hAnsi="Times New Roman"/>
          <w:sz w:val="22"/>
          <w:szCs w:val="22"/>
          <w:color w:val="auto"/>
        </w:rPr>
      </w:pPr>
    </w:p>
    <w:p>
      <w:pPr>
        <w:ind w:firstLine="656"/>
        <w:spacing w:after="0" w:line="271" w:lineRule="auto"/>
        <w:tabs>
          <w:tab w:leader="none" w:pos="967"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defaults in the payment of any interest on any Note for more than five Business Days after the same becomes due and payable; or</w:t>
      </w:r>
    </w:p>
    <w:p>
      <w:pPr>
        <w:spacing w:after="0" w:line="184"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defaults in the performance of or compliance with any term contained in Section 7.1(d) or Section 10; or</w:t>
      </w:r>
    </w:p>
    <w:p>
      <w:pPr>
        <w:spacing w:after="0" w:line="258" w:lineRule="exact"/>
        <w:rPr>
          <w:rFonts w:ascii="Times New Roman" w:cs="Times New Roman" w:eastAsia="Times New Roman" w:hAnsi="Times New Roman"/>
          <w:sz w:val="21"/>
          <w:szCs w:val="21"/>
          <w:color w:val="auto"/>
        </w:rPr>
      </w:pPr>
    </w:p>
    <w:p>
      <w:pPr>
        <w:jc w:val="both"/>
        <w:ind w:firstLine="656"/>
        <w:spacing w:after="0" w:line="243" w:lineRule="auto"/>
        <w:tabs>
          <w:tab w:leader="none" w:pos="98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or any Subsidiary Guarantor defaults in the performance of or compliance with any term contained herein (other than those referred to in Sections 11(a), (b) and (c)) or in any Subsidiary Guaranty and such default is not remedied within 30 days after the earlier of (i) a Responsible Officer obtaining actual knowledge of such default and (ii) the Company receiving written notice of such default from any holder of a Note (any such written notice to be identified as a “notice of default” and to refer specifically to this Section 11(d));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Company is diligently and in good faith attempting to cure such default, such default is curable and such default will not possibly result in a Material Adverse Effect, then the Company may have additional time to cure such default as specified in writing by the Required Holders provided that such additional time shall not exceed 60 days; or</w:t>
      </w:r>
    </w:p>
    <w:p>
      <w:pPr>
        <w:spacing w:after="0" w:line="205" w:lineRule="exact"/>
        <w:rPr>
          <w:rFonts w:ascii="Times New Roman" w:cs="Times New Roman" w:eastAsia="Times New Roman" w:hAnsi="Times New Roman"/>
          <w:sz w:val="22"/>
          <w:szCs w:val="22"/>
          <w:color w:val="auto"/>
        </w:rPr>
      </w:pPr>
    </w:p>
    <w:p>
      <w:pPr>
        <w:jc w:val="both"/>
        <w:ind w:firstLine="656"/>
        <w:spacing w:after="0" w:line="246" w:lineRule="auto"/>
        <w:tabs>
          <w:tab w:leader="none" w:pos="94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representation or warranty made in writing by or on behalf of the Company or by any officer of the Company in this Agreement or any writing furnished in connection with the transactions contemplated hereby proves to have been false or incorrect in any material respect on the date as of which made, or (ii) any representation or warranty made in writing by or on behalf of any Subsidiary Guarantor or by any officer of such Subsidiary Guarantor in any Subsidiary Guaranty or any writing furnished in connection with such Subsidiary Guaranty proves to have been false or incorrect in any material respect on the date as of which made; or</w:t>
      </w:r>
    </w:p>
    <w:p>
      <w:pPr>
        <w:spacing w:after="0" w:line="212" w:lineRule="exact"/>
        <w:rPr>
          <w:rFonts w:ascii="Times New Roman" w:cs="Times New Roman" w:eastAsia="Times New Roman" w:hAnsi="Times New Roman"/>
          <w:sz w:val="22"/>
          <w:szCs w:val="22"/>
          <w:color w:val="auto"/>
        </w:rPr>
      </w:pPr>
    </w:p>
    <w:p>
      <w:pPr>
        <w:jc w:val="both"/>
        <w:ind w:firstLine="656"/>
        <w:spacing w:after="0" w:line="255" w:lineRule="exact"/>
        <w:tabs>
          <w:tab w:leader="none" w:pos="918"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Company or any Material Subsidiary is in default (as principal or as guarantor or other surety) in the payment of any principal of or premium or make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whole amount or interest on any Indebtedness that is outstanding in an aggregate principal amount of at least $100,000,000 (or its equivalent in the relevant currency of payment) beyond any period of grace provided with respect thereto, or (ii) the Company or any Material Subsidiary is in default in the performance of or compliance with any term of any evidence of any Indebtedness in an aggregate outstanding principal amount of at least $100,000,000 (or its equivalent in the relevant currency of payment) or of any mortgage, indenture or other agreement relating thereto or any other condition exists, and as a consequence of such default or condition such Indebtedness has become, or has been declared (or one or more Persons are entitled to declare such Indebtedness to be), due and payable before its stated maturity or before its regularly scheduled dates of payment, or (iii) as a consequence of the occurrence or continuation of any event or condition (other than the passage of time or the right of the holder of Indebtedness to convert such Indebtedness into equity interests), and excluding any event or condition resulting from (a) delivering a notice of voluntary redemption or voluntary prepayment, (b) any asset sale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369" w:right="339" w:bottom="1440" w:gutter="0" w:footer="0" w:header="0"/>
        </w:sectPr>
      </w:pPr>
    </w:p>
    <w:bookmarkStart w:id="43" w:name="page44"/>
    <w:bookmarkEnd w:id="43"/>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requires the Company to offer to prepay a Ratable Portion of the Notes in accordance with Section 10.3, (c) any change of control that also requires the Company to offer to prepay the Notes in accordance with Section 8.7, (d) any prepayment required by any bridge facility in the event of, or as the result of, the consummation of a refinancing (including refinancing with equity) of such bridge facility in connection with an acquisition of long-term assets and any related assets or (e) any similar covenant, term or provision (other than a provision requiring prepayment of debt incurred in violation of any covenant), (x) the Company or any Material Subsidiary has become obligated to purchase or repay Indebtedness before its regular maturity or before its regularly scheduled dates of payment in an aggregate outstanding principal amount of at least $100,000,000 (or its equivalent in the relevant currency of payment), or (y) one or more Persons have the right to require the Company or any Material Subsidiary so to purchase or repay such Indebtedness; or</w:t>
      </w:r>
    </w:p>
    <w:p>
      <w:pPr>
        <w:spacing w:after="0" w:line="206" w:lineRule="exact"/>
        <w:rPr>
          <w:sz w:val="20"/>
          <w:szCs w:val="20"/>
          <w:color w:val="auto"/>
        </w:rPr>
      </w:pPr>
    </w:p>
    <w:p>
      <w:pPr>
        <w:jc w:val="both"/>
        <w:ind w:firstLine="656"/>
        <w:spacing w:after="0" w:line="255" w:lineRule="exact"/>
        <w:tabs>
          <w:tab w:leader="none" w:pos="95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there occurs any termination, liquidation, unwind or similar event or circumstance under any Receivables Purchase Facility other than a voluntary termination by the Company or a scheduled termination, as a result of which any purchaser of receivables thereunder has ceased purchasing such Receivables and such purchaser may apply all collections on previously purchased Receivables thereunder to the payment of such purchaser’s interest in such previously purchased Receivables (any such event or circumstance referred to as a “Receivables Purchase Facility Termination”) other than any such Receivables Purchase Facility Termination that arises solely as a result of (x) a down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grading of the credit rating of any bank or financial institution not affiliated with the Company that provides liquidity, credit or other support in connection with such facility; or (y) breach of a covenant contained in any Receivables Purchase Facility and this Agreement if the Required Holders have previously waived compliance with such covenant under the terms of this Agreement with respect to the particular instance of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compliance giving rise to the breach of such covenant under such Receivables Purchase Facility, it being acknowledged by the Company that no waiver by the Required Holders of compliance with the provisions of this Agreement in any particular instance shall constitute a waiver under either this Agreement or any Receivables Purchase Facility of any future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compliance with such provision and (ii) within 60 days after the effective date of such Receivables Purchase Facility Termination, additional financing and/or capitalization of the Company in replacement of such Receivables Purchase Facility, in an amount substantially similar to the amount of the Receivables Purchase Facility and upon such terms as are acceptable to the Required Holders, shall not be completed and funding thereunder shall not be available to the Company; or</w:t>
      </w:r>
    </w:p>
    <w:p>
      <w:pPr>
        <w:spacing w:after="0" w:line="228" w:lineRule="exact"/>
        <w:rPr>
          <w:rFonts w:ascii="Times New Roman" w:cs="Times New Roman" w:eastAsia="Times New Roman" w:hAnsi="Times New Roman"/>
          <w:sz w:val="22"/>
          <w:szCs w:val="22"/>
          <w:color w:val="auto"/>
        </w:rPr>
      </w:pPr>
    </w:p>
    <w:p>
      <w:pPr>
        <w:jc w:val="both"/>
        <w:ind w:firstLine="656"/>
        <w:spacing w:after="0" w:line="243" w:lineRule="auto"/>
        <w:tabs>
          <w:tab w:leader="none" w:pos="95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Material Subsidiary (i) is generally not paying, or admits in writing its inability to pay, its debts as they become due, (ii)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369" w:right="339" w:bottom="1440" w:gutter="0" w:footer="0" w:header="0"/>
        </w:sectPr>
      </w:pPr>
    </w:p>
    <w:bookmarkStart w:id="44" w:name="page45"/>
    <w:bookmarkEnd w:id="44"/>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656"/>
        <w:spacing w:after="0" w:line="257" w:lineRule="exact"/>
        <w:tabs>
          <w:tab w:leader="none" w:pos="90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court or other Governmental Authority of competent jurisdiction enters an order appointing, without consent by the Company or any of its Material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 or liquidation of the Company or any of its Material Subsidiaries, or any such petition shall be filed against the Company or any of its Material Subsidiaries and such petition shall not be dismissed within 60 days; or</w:t>
      </w:r>
    </w:p>
    <w:p>
      <w:pPr>
        <w:spacing w:after="0" w:line="218" w:lineRule="exact"/>
        <w:rPr>
          <w:rFonts w:ascii="Times New Roman" w:cs="Times New Roman" w:eastAsia="Times New Roman" w:hAnsi="Times New Roman"/>
          <w:sz w:val="22"/>
          <w:szCs w:val="22"/>
          <w:color w:val="auto"/>
        </w:rPr>
      </w:pPr>
    </w:p>
    <w:p>
      <w:pPr>
        <w:jc w:val="both"/>
        <w:ind w:firstLine="656"/>
        <w:spacing w:after="0" w:line="248" w:lineRule="auto"/>
        <w:tabs>
          <w:tab w:leader="none" w:pos="90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event occurs with respect to the Company or any Material Subsidiary which under the laws of any jurisdiction is analogous to any of the events described in Section 11(h) or Section 11(i),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applicable grace period, if any, which shall apply shall be the one applicable to the relevant proceeding which most closely corresponds to the proceeding described in Section 11(h) or Section 11(i); or</w:t>
      </w:r>
    </w:p>
    <w:p>
      <w:pPr>
        <w:spacing w:after="0" w:line="209" w:lineRule="exact"/>
        <w:rPr>
          <w:rFonts w:ascii="Times New Roman" w:cs="Times New Roman" w:eastAsia="Times New Roman" w:hAnsi="Times New Roman"/>
          <w:sz w:val="22"/>
          <w:szCs w:val="22"/>
          <w:color w:val="auto"/>
        </w:rPr>
      </w:pPr>
    </w:p>
    <w:p>
      <w:pPr>
        <w:jc w:val="both"/>
        <w:ind w:firstLine="656"/>
        <w:spacing w:after="0" w:line="248" w:lineRule="auto"/>
        <w:tabs>
          <w:tab w:leader="none" w:pos="98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final judgments or orders for the payment of money aggregating in excess of $100,000,000 (or its equivalent in the relevant currency of payment), including any such final order enforcing a binding arbitration decision, are rendered against one or more of the Company and its Subsidiaries and which judgments are not, within 60 days after entry thereof, bonded, discharged or stayed pending appeal, or are not discharged within 60 days after the expiration of such stay; or</w:t>
      </w:r>
    </w:p>
    <w:p>
      <w:pPr>
        <w:spacing w:after="0" w:line="209" w:lineRule="exact"/>
        <w:rPr>
          <w:rFonts w:ascii="Times New Roman" w:cs="Times New Roman" w:eastAsia="Times New Roman" w:hAnsi="Times New Roman"/>
          <w:sz w:val="22"/>
          <w:szCs w:val="22"/>
          <w:color w:val="auto"/>
        </w:rPr>
      </w:pPr>
    </w:p>
    <w:p>
      <w:pPr>
        <w:ind w:left="920" w:hanging="264"/>
        <w:spacing w:after="0"/>
        <w:tabs>
          <w:tab w:leader="none" w:pos="92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any Plan shall fail to satisfy the minimum funding standards of ERISA or the Code for any plan year or part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thereof or a waiver of such standards or extension of any amortization period is sought or granted under section 412 of the Code,</w:t>
      </w:r>
    </w:p>
    <w:p>
      <w:pPr>
        <w:spacing w:after="0" w:line="2" w:lineRule="exact"/>
        <w:rPr>
          <w:sz w:val="20"/>
          <w:szCs w:val="20"/>
          <w:color w:val="auto"/>
        </w:rPr>
      </w:pPr>
    </w:p>
    <w:p>
      <w:pPr>
        <w:jc w:val="both"/>
        <w:ind w:firstLine="8"/>
        <w:spacing w:after="0" w:line="253" w:lineRule="exact"/>
        <w:tabs>
          <w:tab w:leader="none" w:pos="33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notice of intent to terminate any Plan shall have been or is reasonably expected to be filed with the PBGC or the PBGC shall have instituted proceedings under ERISA section 4042 to terminate or appoint a trustee to administer any Plan or the PBGC shall have notified the Company or any ERISA Affiliate that a Plan may become a subject of any such proceedings, (iii) there is any “amount of unfunded benefit liabilities” (within the meaning of section 4001(a)(18) of ERISA) under one or more Plans, determined in accordance with Title IV of ERISA, (iv) the aggregate present value of accrued benefit liabilities under all funded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Plans exceeds the aggregate current value of the assets of such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Plans allocable to such liabilities, (v) the Company or any ERISA Affiliate shall have incurred or is reasonably expected to incur any liability pursuant to Title I or IV of ERISA or the penalty or excise tax provisions of the Code relating to employee benefit plans, (vi) the Company or any ERISA Affiliate withdraws from any Multiemployer Plan, (vii) the Company or any Subsidiary establishes or amends any employee welfare benefit plan that provides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employment welfare benefits in a manner that would increase the liability of the Company or any Subsidiary thereunder, (viii) the Company or any Subsidiary fails to administer or maintain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Plan in compliance with the requirements of any and all applicable laws, statutes, rules, regulations or court orders or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Plan is involuntarily terminated or wound up, or (ix) the Company or any Subsidiary becomes subject to the imposition of a financial penalty (which for this purpose shall mean any tax, penalty or other liability, whether by way of indemnity or otherwise) with respect to one or more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Plans; and any such event or events described in clauses (i) through (ix) above, either individually or together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369" w:right="339" w:bottom="1440" w:gutter="0" w:footer="0" w:header="0"/>
        </w:sectPr>
      </w:pPr>
    </w:p>
    <w:bookmarkStart w:id="45" w:name="page46"/>
    <w:bookmarkEnd w:id="45"/>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any other such event or events, could reasonably be expected to have a Material Adverse Effect. As used in this Section 11(l), the terms </w:t>
      </w:r>
      <w:r>
        <w:rPr>
          <w:rFonts w:ascii="Times New Roman" w:cs="Times New Roman" w:eastAsia="Times New Roman" w:hAnsi="Times New Roman"/>
          <w:sz w:val="22"/>
          <w:szCs w:val="22"/>
          <w:b w:val="1"/>
          <w:bCs w:val="1"/>
          <w:color w:val="auto"/>
        </w:rPr>
        <w:t>“employee benefit plan”</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“employee welfare benefit plan”</w:t>
      </w:r>
      <w:r>
        <w:rPr>
          <w:rFonts w:ascii="Times New Roman" w:cs="Times New Roman" w:eastAsia="Times New Roman" w:hAnsi="Times New Roman"/>
          <w:sz w:val="22"/>
          <w:szCs w:val="22"/>
          <w:color w:val="auto"/>
        </w:rPr>
        <w:t xml:space="preserve"> shall have the respective meanings assigned to such terms in section 3 of ERISA; or</w:t>
      </w:r>
    </w:p>
    <w:p>
      <w:pPr>
        <w:spacing w:after="0" w:line="208" w:lineRule="exact"/>
        <w:rPr>
          <w:sz w:val="20"/>
          <w:szCs w:val="20"/>
          <w:color w:val="auto"/>
        </w:rPr>
      </w:pPr>
    </w:p>
    <w:p>
      <w:pPr>
        <w:jc w:val="both"/>
        <w:ind w:firstLine="656"/>
        <w:spacing w:after="0" w:line="248" w:lineRule="auto"/>
        <w:tabs>
          <w:tab w:leader="none" w:pos="101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Guaranty shall cease to be in full force and effect, any Subsidiary Guarantor or any Person acting on behalf of any Subsidiary Guarantor shall contest in any manner the validity, binding nature or enforceability of any Subsidiary Guaranty, or the obligations of any Subsidiary Guarantor under any Subsidiary Guaranty are not or cease to be legal, valid, binding and enforceable in accordance with the terms of such Subsidiary Guaranty.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12. Remedies on Default, Etc.</w:t>
      </w:r>
    </w:p>
    <w:p>
      <w:pPr>
        <w:spacing w:after="0" w:line="32"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12.1. Acceleration. </w:t>
      </w:r>
      <w:r>
        <w:rPr>
          <w:rFonts w:ascii="Times New Roman" w:cs="Times New Roman" w:eastAsia="Times New Roman" w:hAnsi="Times New Roman"/>
          <w:sz w:val="22"/>
          <w:szCs w:val="22"/>
          <w:color w:val="auto"/>
        </w:rPr>
        <w:t>(a) If an Event of Default with respect to the Company described in Section 11(h), (i) or (j)</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than an Event of Default described in clause (i) of Section 11(h) or described in clause (vi) of Section 11(h) by virtue of the fact that such clause encompasses clause (i) of Section 11(h)) has occurred, all the Notes then outstanding shall automatically become immediately due and payable.</w:t>
      </w:r>
    </w:p>
    <w:p>
      <w:pPr>
        <w:spacing w:after="0" w:line="195" w:lineRule="exact"/>
        <w:rPr>
          <w:sz w:val="20"/>
          <w:szCs w:val="20"/>
          <w:color w:val="auto"/>
        </w:rPr>
      </w:pPr>
    </w:p>
    <w:p>
      <w:pPr>
        <w:ind w:right="260" w:firstLine="8"/>
        <w:spacing w:after="0" w:line="258" w:lineRule="auto"/>
        <w:tabs>
          <w:tab w:leader="none" w:pos="30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other Event of Default has occurred and is continuing, the Required Holders may at any time at its or their option, by notice or notices to the Company, declare all the Notes then outstanding to be immediately due and payable.</w:t>
      </w:r>
    </w:p>
    <w:p>
      <w:pPr>
        <w:spacing w:after="0" w:line="198" w:lineRule="exact"/>
        <w:rPr>
          <w:rFonts w:ascii="Times New Roman" w:cs="Times New Roman" w:eastAsia="Times New Roman" w:hAnsi="Times New Roman"/>
          <w:sz w:val="22"/>
          <w:szCs w:val="22"/>
          <w:color w:val="auto"/>
        </w:rPr>
      </w:pPr>
    </w:p>
    <w:p>
      <w:pPr>
        <w:jc w:val="both"/>
        <w:ind w:firstLine="8"/>
        <w:spacing w:after="0" w:line="250" w:lineRule="auto"/>
        <w:tabs>
          <w:tab w:leader="none" w:pos="29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Event of Default described in Section 11(a) or (b) has occurred and is continuing, any holder or holders of Notes at the time outstanding affected by such Event of Default may at any time, at its or their option, by notice or notices to the Company, declare all the Notes held by it or them to be immediately due and payable.</w:t>
      </w:r>
    </w:p>
    <w:p>
      <w:pPr>
        <w:spacing w:after="0" w:line="208" w:lineRule="exact"/>
        <w:rPr>
          <w:sz w:val="20"/>
          <w:szCs w:val="20"/>
          <w:color w:val="auto"/>
        </w:rPr>
      </w:pPr>
    </w:p>
    <w:p>
      <w:pPr>
        <w:jc w:val="both"/>
        <w:ind w:firstLine="648"/>
        <w:spacing w:after="0" w:line="257" w:lineRule="exact"/>
        <w:rPr>
          <w:sz w:val="20"/>
          <w:szCs w:val="20"/>
          <w:color w:val="auto"/>
        </w:rPr>
      </w:pPr>
      <w:r>
        <w:rPr>
          <w:rFonts w:ascii="Times New Roman" w:cs="Times New Roman" w:eastAsia="Times New Roman" w:hAnsi="Times New Roman"/>
          <w:sz w:val="22"/>
          <w:szCs w:val="22"/>
          <w:color w:val="auto"/>
        </w:rPr>
        <w:t>Upon any Notes becoming due and payable under this Section 12.1, whether automatically or by declaration, such Notes will forthwith mature and the entire unpaid principal amount of such Notes, plus (x) all accrued and unpaid interest thereon (including interest accrued thereon at the Default Rate) and (y) the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Whole Amount determined in respect of such principal amount, shall all be immediately due and payable, in each and every case without presentment, demand, protest or further notice, all of which are hereby waived. The Company acknowledges, and the parties hereto agree, that each holder of a Note has the right to maintain its investment in the Notes free from repayment by the Company (except as herein specifically provided for) and that the provision for payment of a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by the Company in the event that the Notes are prepaid or are accelerated as a result of an Event of Default, is intended to provide compensation for the deprivation of such right under such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369" w:right="339" w:bottom="1440" w:gutter="0" w:footer="0" w:header="0"/>
        </w:sectPr>
      </w:pPr>
    </w:p>
    <w:bookmarkStart w:id="46" w:name="page47"/>
    <w:bookmarkEnd w:id="46"/>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12.2. Other Remedies. </w:t>
      </w:r>
      <w:r>
        <w:rPr>
          <w:rFonts w:ascii="Times New Roman" w:cs="Times New Roman" w:eastAsia="Times New Roman" w:hAnsi="Times New Roman"/>
          <w:sz w:val="22"/>
          <w:szCs w:val="22"/>
          <w:color w:val="auto"/>
        </w:rPr>
        <w:t>If any Default or Event of Default has occurred and is continuing, and irrespective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whether any Notes have become or have been declared immediately due and payable under Section 12.1, the holder of any Note at the time outstanding may proceed to protect and enforce the rights of such holder by an action at law, suit in equity or other appropriate proceeding, whether for the specific performance of any agreement contained herein or in any Note or Subsidiary Guaranty, or for an injunction against a violation of any of the terms hereof or thereof, or in aid of the exercise of any power granted hereby or thereby or by law or otherwise.</w:t>
      </w:r>
    </w:p>
    <w:p>
      <w:pPr>
        <w:spacing w:after="0" w:line="20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b w:val="1"/>
          <w:bCs w:val="1"/>
          <w:color w:val="auto"/>
        </w:rPr>
        <w:t xml:space="preserve">Section 12.3. Rescission. </w:t>
      </w:r>
      <w:r>
        <w:rPr>
          <w:rFonts w:ascii="Times New Roman" w:cs="Times New Roman" w:eastAsia="Times New Roman" w:hAnsi="Times New Roman"/>
          <w:sz w:val="21"/>
          <w:szCs w:val="21"/>
          <w:color w:val="auto"/>
        </w:rPr>
        <w:t>At any time after any Notes have been declared due and payable pursuant to Section 12.1(b)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 the Required Holders, by written notice to the Company, may rescind and annul any such declaration and its consequences if</w:t>
      </w:r>
    </w:p>
    <w:p>
      <w:pPr>
        <w:spacing w:after="0" w:line="2" w:lineRule="exact"/>
        <w:rPr>
          <w:sz w:val="20"/>
          <w:szCs w:val="20"/>
          <w:color w:val="auto"/>
        </w:rPr>
      </w:pPr>
    </w:p>
    <w:p>
      <w:pPr>
        <w:jc w:val="both"/>
        <w:ind w:firstLine="8"/>
        <w:spacing w:after="0" w:line="260" w:lineRule="exact"/>
        <w:tabs>
          <w:tab w:leader="none" w:pos="30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paid all overdue interest on the Notes, all principal of and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if any, on any Notes that are due and payable and are unpaid other than by reason of such declaration, and all interest on such overdue principal and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if any, and (to the extent permitted by applicable law) any overdue interest in respect of the Notes, at the Default Rate, (b) neither the Company nor any other Person shall have paid any amounts which have become due solely by reason of such declaration, (c) all Events of Default and Defaults, other than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payment of amounts that have become due solely by reason of such declaration, have been cured or have been waived pursuant to Section 17, and (d) no judgment or decree has been entered for the payment of any monies due pursuant hereto or to the Notes. No rescission and annulment under this Section 12.3 will extend to or affect any subsequent Event of Default or Default or impair any right consequent thereon.</w:t>
      </w:r>
    </w:p>
    <w:p>
      <w:pPr>
        <w:spacing w:after="0" w:line="21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12.4. No Waivers or Election of Remedies, Expenses, Etc. </w:t>
      </w:r>
      <w:r>
        <w:rPr>
          <w:rFonts w:ascii="Times New Roman" w:cs="Times New Roman" w:eastAsia="Times New Roman" w:hAnsi="Times New Roman"/>
          <w:sz w:val="22"/>
          <w:szCs w:val="22"/>
          <w:color w:val="auto"/>
        </w:rPr>
        <w:t>No course of dealing and no delay on the part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holder of any Note in exercising any right, power or remedy shall operate as a waiver thereof or otherwise prejudice such holder’s rights, powers or remedies. No right, power or remedy conferred by this Agreement, any Subsidiary Guaranty or any Note upon any holder thereof shall be exclusive of any other right, power or remedy referred to herein or therein or now or hereafter available at law, in equity, by statute or otherwise. Without limiting the obligations of the Company under Section 15, the Company will pay to the holder of each Note on demand such further amount as shall be sufficient to cover all reasonable and documented costs and expenses of such holder incurred in any enforcement or collection under this Section 12, including reasonable and documented attorneys’ fees, expenses and disbursements.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13. Registration; Exchange; Substitution of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369" w:right="339" w:bottom="1440" w:gutter="0" w:footer="0" w:header="0"/>
        </w:sectPr>
      </w:pPr>
    </w:p>
    <w:bookmarkStart w:id="47" w:name="page48"/>
    <w:bookmarkEnd w:id="47"/>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13.1. Registration of Notes. </w:t>
      </w:r>
      <w:r>
        <w:rPr>
          <w:rFonts w:ascii="Times New Roman" w:cs="Times New Roman" w:eastAsia="Times New Roman" w:hAnsi="Times New Roman"/>
          <w:sz w:val="22"/>
          <w:szCs w:val="22"/>
          <w:color w:val="auto"/>
        </w:rPr>
        <w:t>The Company shall keep at its principal executive office a register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 and registration of transfers of Notes. The name and address of each holder of one or more Notes, each transfer thereof and the name and address of each transferee of one or more Notes shall be registered in such register. If any holder of one or more Notes is a nominee, then (a) the name and address of the beneficial owner of such Note or Notes shall also be registered in such register as an owner and holder thereof and (b) at any such beneficial owner’s option, either such beneficial owner or its nominee may execute any amendment, waiver or consent pursuant to this Agreement. Prior to due presentment for registration of transfer, the Person in whose name any Note shall be registered shall be deemed and treated as the owner and holder thereof for all purposes hereof, and the Company shall not be affected by any notice or knowledge to the contrary. The Company shall give to any holder of a Note that is an Institutional Investor promptly upon request therefor, a complete and correct copy of the names and addresses of all registered holders of Notes.</w:t>
      </w:r>
    </w:p>
    <w:p>
      <w:pPr>
        <w:spacing w:after="0" w:line="21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13.2. Transfer and Exchange of Notes. </w:t>
      </w:r>
      <w:r>
        <w:rPr>
          <w:rFonts w:ascii="Times New Roman" w:cs="Times New Roman" w:eastAsia="Times New Roman" w:hAnsi="Times New Roman"/>
          <w:sz w:val="22"/>
          <w:szCs w:val="22"/>
          <w:color w:val="auto"/>
        </w:rPr>
        <w:t>Upon surrender of any Note to the Company at the address and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attention of the designated officer (all as specified in Section 18(iii)), for registration of transfer or exchange (and in the case of a surrender for registration of transfer accompanied by a written instrument of transfer duly executed by the registered holder of such Note or such holder’s attorney duly authorized in writing and accompanied by the relevant name, address and other information for notices of each transferee of such Note or part thereof), within 10 Business Days thereafter, the Company shall execute and deliver, at the Company’s expense (except as provided below), one or more new Notes (as requested by the holder thereof) in exchange therefor, in an aggregate principal amount equal to the unpaid principal amount of the surrendered Note. Each such new Note shall be payable to such Person as such holder may request and shall be substantially in the form of Schedule 1(a) and Schedule 1(b), respectively. Each such new Note shall be dated and bear interest from the date to which interest shall have been paid on the surrendered Note or dated the date of the surrendered Note if no interest shall have been paid thereon. The Company may require payment of a sum sufficient to cover any stamp tax or governmental charge imposed in respect of any such transfer of Notes. Notes shall not be transferred in denominations of less than </w:t>
      </w:r>
      <w:r>
        <w:rPr>
          <w:rFonts w:ascii="Times New Roman" w:cs="Times New Roman" w:eastAsia="Times New Roman" w:hAnsi="Times New Roman"/>
          <w:sz w:val="22"/>
          <w:szCs w:val="22"/>
          <w:b w:val="1"/>
          <w:bCs w:val="1"/>
          <w:color w:val="auto"/>
        </w:rPr>
        <w:t>$100,000</w:t>
      </w:r>
      <w:r>
        <w:rPr>
          <w:rFonts w:ascii="Times New Roman" w:cs="Times New Roman" w:eastAsia="Times New Roman" w:hAnsi="Times New Roman"/>
          <w:sz w:val="22"/>
          <w:szCs w:val="22"/>
          <w:color w:val="auto"/>
        </w:rPr>
        <w:t xml:space="preserve">, provided that if necessary to enable the registration of transfer by a holder of its entire holding of Notes, one Note may be in a denomination of less than </w:t>
      </w:r>
      <w:r>
        <w:rPr>
          <w:rFonts w:ascii="Times New Roman" w:cs="Times New Roman" w:eastAsia="Times New Roman" w:hAnsi="Times New Roman"/>
          <w:sz w:val="22"/>
          <w:szCs w:val="22"/>
          <w:b w:val="1"/>
          <w:bCs w:val="1"/>
          <w:color w:val="auto"/>
        </w:rPr>
        <w:t>$100,000</w:t>
      </w:r>
      <w:r>
        <w:rPr>
          <w:rFonts w:ascii="Times New Roman" w:cs="Times New Roman" w:eastAsia="Times New Roman" w:hAnsi="Times New Roman"/>
          <w:sz w:val="22"/>
          <w:szCs w:val="22"/>
          <w:color w:val="auto"/>
        </w:rPr>
        <w:t>. Any transferee, by its acceptance of a Note registered in its name (or the name of its nominee), shall be deemed to have made the representation set forth in Section 6.2. Notwithstanding any of the foregoing, no Purchaser or holder of a Note may transfer such Note to a Competitor without the prior written consent of the Company.</w:t>
      </w:r>
    </w:p>
    <w:p>
      <w:pPr>
        <w:spacing w:after="0" w:line="2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Section 13.3. Replacement of Notes. </w:t>
      </w:r>
      <w:r>
        <w:rPr>
          <w:rFonts w:ascii="Times New Roman" w:cs="Times New Roman" w:eastAsia="Times New Roman" w:hAnsi="Times New Roman"/>
          <w:sz w:val="22"/>
          <w:szCs w:val="22"/>
          <w:color w:val="auto"/>
        </w:rPr>
        <w:t>Upon receipt by the Company at the address and to the attention of the designated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(all as specified in Section 18(iii)) of evidence reasonably satisfactory to it of the ownership of and the loss, theft, destruction or mutilation of any Note (which evidence shall be, in the case of an Institutional Investor, notice from such Institutional Investor of such ownership and such loss, theft, destruction or mutilation), and</w:t>
      </w:r>
    </w:p>
    <w:p>
      <w:pPr>
        <w:spacing w:after="0" w:line="206" w:lineRule="exact"/>
        <w:rPr>
          <w:sz w:val="20"/>
          <w:szCs w:val="20"/>
          <w:color w:val="auto"/>
        </w:rPr>
      </w:pPr>
    </w:p>
    <w:p>
      <w:pPr>
        <w:jc w:val="both"/>
        <w:ind w:firstLine="656"/>
        <w:spacing w:after="0" w:line="250" w:lineRule="auto"/>
        <w:tabs>
          <w:tab w:leader="none" w:pos="95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loss, theft or destruction, of indemnity reasonably satisfactory to it (provided that if the holder of such Note is, or is a nominee for, an original Purchaser or another holder of a Note with a minimum net worth of at least $50,000,000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369" w:right="339" w:bottom="1440" w:gutter="0" w:footer="0" w:header="0"/>
        </w:sectPr>
      </w:pPr>
    </w:p>
    <w:bookmarkStart w:id="48" w:name="page49"/>
    <w:bookmarkEnd w:id="48"/>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Qualified Institutional Buyer, such Person’s own unsecured agreement of indemnity shall be deemed to be satisfactory), or</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 in the case of mutilation, upon surrender and cancellation thereof,</w:t>
      </w:r>
    </w:p>
    <w:p>
      <w:pPr>
        <w:spacing w:after="0" w:line="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within 10 Business Days thereafter, the Company at its own expense shall execute and deliver, in lieu thereof, a new Note, dated and bearing interest from the date to which interest shall have been paid on such lost, stolen, destroyed or mutilated Note or dated the date of such lost, stolen, destroyed or mutilated Note if no interest shall have been paid thereon.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14. Payments on Notes.</w:t>
      </w:r>
    </w:p>
    <w:p>
      <w:pPr>
        <w:spacing w:after="0" w:line="203" w:lineRule="exact"/>
        <w:rPr>
          <w:sz w:val="20"/>
          <w:szCs w:val="20"/>
          <w:color w:val="auto"/>
        </w:rPr>
      </w:pPr>
    </w:p>
    <w:p>
      <w:pPr>
        <w:jc w:val="both"/>
        <w:ind w:firstLine="648"/>
        <w:spacing w:after="0" w:line="274" w:lineRule="exact"/>
        <w:rPr>
          <w:sz w:val="20"/>
          <w:szCs w:val="20"/>
          <w:color w:val="auto"/>
        </w:rPr>
      </w:pPr>
      <w:r>
        <w:rPr>
          <w:rFonts w:ascii="Times New Roman" w:cs="Times New Roman" w:eastAsia="Times New Roman" w:hAnsi="Times New Roman"/>
          <w:sz w:val="22"/>
          <w:szCs w:val="22"/>
          <w:b w:val="1"/>
          <w:bCs w:val="1"/>
          <w:color w:val="auto"/>
        </w:rPr>
        <w:t xml:space="preserve">Section 14.1. Place of Payment. </w:t>
      </w:r>
      <w:r>
        <w:rPr>
          <w:rFonts w:ascii="Times New Roman" w:cs="Times New Roman" w:eastAsia="Times New Roman" w:hAnsi="Times New Roman"/>
          <w:sz w:val="22"/>
          <w:szCs w:val="22"/>
          <w:color w:val="auto"/>
        </w:rPr>
        <w:t>Subject to Section 14.2, payments of principal, Make</w:t>
      </w:r>
      <w:r>
        <w:rPr>
          <w:rFonts w:ascii="MS PGothic" w:cs="MS PGothic" w:eastAsia="MS PGothic" w:hAnsi="MS PGothic"/>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Whole Amount, if any,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 becoming due and payable on the Notes shall be made in New York, New York at the principal office of Bank of America, N.A. in such jurisdiction. The Company may at any time, by notice to each holder of a Note, change the place of payment of the Notes so long as such place of payment shall be either the principal office of the Company in such jurisdiction or the principal office of a bank or trust company in such jurisdiction.</w:t>
      </w:r>
    </w:p>
    <w:p>
      <w:pPr>
        <w:spacing w:after="0" w:line="218" w:lineRule="exact"/>
        <w:rPr>
          <w:sz w:val="20"/>
          <w:szCs w:val="20"/>
          <w:color w:val="auto"/>
        </w:rPr>
      </w:pPr>
    </w:p>
    <w:p>
      <w:pPr>
        <w:jc w:val="both"/>
        <w:ind w:firstLine="648"/>
        <w:spacing w:after="0" w:line="260" w:lineRule="exact"/>
        <w:rPr>
          <w:sz w:val="20"/>
          <w:szCs w:val="20"/>
          <w:color w:val="auto"/>
        </w:rPr>
      </w:pPr>
      <w:r>
        <w:rPr>
          <w:rFonts w:ascii="Times New Roman" w:cs="Times New Roman" w:eastAsia="Times New Roman" w:hAnsi="Times New Roman"/>
          <w:sz w:val="21"/>
          <w:szCs w:val="21"/>
          <w:b w:val="1"/>
          <w:bCs w:val="1"/>
          <w:color w:val="auto"/>
        </w:rPr>
        <w:t xml:space="preserve">Section 14.2. Payment by Wire Transfer. </w:t>
      </w:r>
      <w:r>
        <w:rPr>
          <w:rFonts w:ascii="Times New Roman" w:cs="Times New Roman" w:eastAsia="Times New Roman" w:hAnsi="Times New Roman"/>
          <w:sz w:val="21"/>
          <w:szCs w:val="21"/>
          <w:color w:val="auto"/>
        </w:rPr>
        <w:t>So long as any Purchaser or its nominee shall be the holder of any Note,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notwithstanding anything contained in Section 14.1 or in such Note to the contrary, the Company will pay all sums becoming due on such Note for principal, Make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Whole Amount, if any, interest and all other amounts becoming due hereunder by the method and at the address specified for such purpose below such Purchaser’s name in the Purchaser Schedule, or by such other method or at such other address as such Purchaser shall have from time to time specified to the Company in writing for such purpose, without the presentation or surrender of such Note or the making of any notation thereon, except that upon written request of the Company made concurrently with or reasonably promptly after payment or prepayment in full of any Note, such Purchaser shall surrender such Note for cancellation, reasonably promptly after any such request, to the Company at its principal executive office or at the place of payment most recently designated by the Company pursuant to Section 14.1. Prior to any sale or other disposition of any Note held by a Purchaser or its nominee, such Purchaser will, at its election, either endorse thereon the amount of principal paid thereon and the last date to which interest has been paid thereon or surrender such Note to the Company in exchange for a new Note or Notes pursuant to Section 13.2. The Company will afford the benefits of this Section 14.2 to any Institutional Investor that is the direct or indirect transferee of any Note purchased by a Purchaser under this Agreement and that has made the same agreement relating to such Note as the Purchasers have made in this Section 14.2.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369" w:right="339" w:bottom="1440" w:gutter="0" w:footer="0" w:header="0"/>
        </w:sectPr>
      </w:pPr>
    </w:p>
    <w:bookmarkStart w:id="49" w:name="page50"/>
    <w:bookmarkEnd w:id="49"/>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648"/>
        <w:spacing w:after="0" w:line="260" w:lineRule="exact"/>
        <w:rPr>
          <w:sz w:val="20"/>
          <w:szCs w:val="20"/>
          <w:color w:val="auto"/>
        </w:rPr>
      </w:pPr>
      <w:r>
        <w:rPr>
          <w:rFonts w:ascii="Times New Roman" w:cs="Times New Roman" w:eastAsia="Times New Roman" w:hAnsi="Times New Roman"/>
          <w:sz w:val="22"/>
          <w:szCs w:val="22"/>
          <w:b w:val="1"/>
          <w:bCs w:val="1"/>
          <w:color w:val="auto"/>
        </w:rPr>
        <w:t xml:space="preserve">Section 14.3. FATCA Information. </w:t>
      </w:r>
      <w:r>
        <w:rPr>
          <w:rFonts w:ascii="Times New Roman" w:cs="Times New Roman" w:eastAsia="Times New Roman" w:hAnsi="Times New Roman"/>
          <w:sz w:val="22"/>
          <w:szCs w:val="22"/>
          <w:color w:val="auto"/>
        </w:rPr>
        <w:t>All payments hereunder or under the Note shall be made net of any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withholding taxes. By acceptance of any Note, the holder of such Note agrees that such holder will with reasonable promptness duly complete and deliver to the Company on or before Closing, or to such other Person as may be reasonably requested by the Company, from time to time (a) in the case of any such holder that is a United States Person, a properly completed and executed copy of IRS Form W-9 that includes such holder’s United States tax identification number or other Forms reasonably requested by the Company necessary to establish such holder’s status as a United States Person and as may otherwise be necessary for the Company to comply with its withholding and information reporting obligations (including under FATCA) and (b) in the case of any such holder that is not a United States Person, a properly completed and executed copy of IRS Form W-8 (with any required attachments) and such other documentation prescribed by applicable law (including as prescribed by section 1471(b)(3)(C)(i) of the Code) and such additional documentation as may be necessary for the Company to comply with its withholding and information reporting obligations (including under FATCA) and to determine that such holder has complied with such holder’s obligations under FATCA or to determine the amount (if any) to deduct and withhold from any such payment made to such holder. Nothing in this Section 14.3 shall require any holder to provide information that is confidential or proprietary to such holder unless the Company is required to obtain such information under the Code and applicable Treasury regulations (including FATCA) and, in such event, the Company shall treat any such information it receives as confidential. Each holder agrees that if any form or certification it previously delivered expires or becomes obsolete or inaccurate in any respect, it shall update such form or certification under then current law or promptly notify the Company in writing of its legal inability to do so. Except as otherwise required by applicable law, the Company agrees that it will not withhold from any applicable payment to be made to a holder of a Note that is not a United States Person any tax so long as such holder shall have delivered to the Company (in such number of copies as shall be requested) on or about the date on which such holder becomes a holder under this Agreement (and from time to time thereafter upon the reasonable request of the Company), executed copies of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 or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 as applicable, as well as the applicable “U.S. Tax Compliance Certificate” substantially in the form attached as Schedule 14.3, in both cases correctly completed and executed.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15. Expenses,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369" w:right="339" w:bottom="1440" w:gutter="0" w:footer="0" w:header="0"/>
        </w:sectPr>
      </w:pPr>
    </w:p>
    <w:bookmarkStart w:id="50" w:name="page51"/>
    <w:bookmarkEnd w:id="50"/>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648"/>
        <w:spacing w:after="0" w:line="261" w:lineRule="exact"/>
        <w:rPr>
          <w:sz w:val="20"/>
          <w:szCs w:val="20"/>
          <w:color w:val="auto"/>
        </w:rPr>
      </w:pPr>
      <w:r>
        <w:rPr>
          <w:rFonts w:ascii="Times New Roman" w:cs="Times New Roman" w:eastAsia="Times New Roman" w:hAnsi="Times New Roman"/>
          <w:sz w:val="22"/>
          <w:szCs w:val="22"/>
          <w:b w:val="1"/>
          <w:bCs w:val="1"/>
          <w:color w:val="auto"/>
        </w:rPr>
        <w:t xml:space="preserve">Section 15.1. Transaction Expenses. </w:t>
      </w:r>
      <w:r>
        <w:rPr>
          <w:rFonts w:ascii="Times New Roman" w:cs="Times New Roman" w:eastAsia="Times New Roman" w:hAnsi="Times New Roman"/>
          <w:sz w:val="22"/>
          <w:szCs w:val="22"/>
          <w:color w:val="auto"/>
        </w:rPr>
        <w:t>Whether or not the transactions contemplated hereby are consummated,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will pay all costs and expenses (including reasonable and documented attorneys’ fees of one special counsel for the holders, taken as a whole, and, if reasonably required by the Required Holders, one local or other counsel for the holders, taken as a whole) incurred by the Purchasers and each other holder of a Note in connection with such transactions and in connection with any amendments, waivers or consents under or in respect of this Agreement, any Subsidiary Guaranty or the Notes (whether or not such amendment, waiver or consent becomes effective), including: (a) the costs and expenses incurred in enforcing or defending (or determining whether or how to enforce or defend) any rights under this Agreement, any Subsidiary Guaranty or the Notes or in responding to any subpoena or other legal process or informal investigative demand issued in connection with this Agreement, any Subsidiary Guaranty or the Notes, or by reason of being a holder of any Note, (b) the costs and expenses, including fees of one financial advisor for all Purchaser and holders of Notes, as a whole, incurred in connection with the insolvency or bankruptcy of the Company or any Subsidiary or in connection with any work</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out or restructuring of the transactions contemplated hereby and by the Notes and any Subsidiary Guaranty and (c) the costs and expenses incurred in connection with the initial filing of this Agreement and all related documents and financial information with the SVO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costs and expenses under this clause (c) shall not exceed $5,000 for each Note. If required by the NAIC, the Company shall obtain and maintain at its own cost and expense a Legal Entity Identifier (LEI).</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The Company will pay, and will save each Purchaser and each other holder of a Note harmless from, (i) all claims in respect of any fees, costs or expenses, if any, of brokers and finders (other than those, if any, retained by a Purchaser or other holder in connection with its purchase of the Notes), (ii) any and all wire transfer fees that any bank or other financial institution deducts from any payment under such Note to such holder or otherwise charges to a holder of a Note with respect to a payment under such Note and (iii) any judgment, liability, claim, order, decree, fine, penalty, cost, fee, expense (including reasonable attorneys’ fees and expenses) or obligation resulting from the consummation of the transactions contemplated hereby, including the use of the proceeds of the Notes by the Company.</w:t>
      </w:r>
    </w:p>
    <w:p>
      <w:pPr>
        <w:spacing w:after="0" w:line="22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15.2. Certain Taxes. </w:t>
      </w:r>
      <w:r>
        <w:rPr>
          <w:rFonts w:ascii="Times New Roman" w:cs="Times New Roman" w:eastAsia="Times New Roman" w:hAnsi="Times New Roman"/>
          <w:sz w:val="22"/>
          <w:szCs w:val="22"/>
          <w:color w:val="auto"/>
        </w:rPr>
        <w:t>The Company agrees to pay all stamp, documentary or similar taxes or fees which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payable in respect of the execution and delivery or the enforcement of this Agreement or any Subsidiary Guaranty or the execution and delivery (but not the transfer) or the enforcement of any of the Notes in the United States or any other jurisdiction where the Company or any Subsidiary Guarantor has assets or of any amendment of, or waiver or consent under or with respect to, this Agreement or any Subsidiary Guaranty or of any of the Notes, and to pay any value added tax due and payable in respect of reimbursement of costs and expenses by the Company pursuant to this Section 15, and will save each holder of a Note to the extent permitted by applicable law harmless against any loss or liability resulting from nonpayment or delay in payment of any such tax or fee required to be paid by the Company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369" w:right="339" w:bottom="1440" w:gutter="0" w:footer="0" w:header="0"/>
        </w:sectPr>
      </w:pPr>
    </w:p>
    <w:bookmarkStart w:id="51" w:name="page52"/>
    <w:bookmarkEnd w:id="51"/>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15.3. Survival. </w:t>
      </w:r>
      <w:r>
        <w:rPr>
          <w:rFonts w:ascii="Times New Roman" w:cs="Times New Roman" w:eastAsia="Times New Roman" w:hAnsi="Times New Roman"/>
          <w:sz w:val="22"/>
          <w:szCs w:val="22"/>
          <w:color w:val="auto"/>
        </w:rPr>
        <w:t>The obligations of the Company under this Section 15 will survive the payment or transfer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Note, the enforcement, amendment or waiver of any provision of this Agreement, any Subsidiary Guaranty or the Notes, and the termination of this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16. Survival of Representations and Warranties; Entire Agreement.</w:t>
      </w:r>
    </w:p>
    <w:p>
      <w:pPr>
        <w:spacing w:after="0" w:line="23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All representations and warranties contained herein shall survive the execution and delivery of this Agreement and the Notes, the purchase or transfer by any Purchaser of any Note or portion thereof or interest therein and the payment of any Note, and may be relied upon by any subsequent holder of a Note, regardless of any investigation made at any time by or on behalf of such Purchaser or any other holder of a Note. All statements contained in any certificate or other instrument delivered by or on behalf of the Company pursuant to this Agreement shall be deemed representations and warranties of the Company under this Agreement. Subject to the preceding sentence, this Agreement, the Notes and any Subsidiary Guaranties embody the entire agreement and understanding between each Purchaser and the Company and supersede all prior agreements and understandings relating to the subject matter hereof.</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17. Amendment and Waiver.</w:t>
      </w:r>
    </w:p>
    <w:p>
      <w:pPr>
        <w:spacing w:after="0" w:line="24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17.1. Requirements. </w:t>
      </w:r>
      <w:r>
        <w:rPr>
          <w:rFonts w:ascii="Times New Roman" w:cs="Times New Roman" w:eastAsia="Times New Roman" w:hAnsi="Times New Roman"/>
          <w:sz w:val="22"/>
          <w:szCs w:val="22"/>
          <w:color w:val="auto"/>
        </w:rPr>
        <w:t>This Agreement and the Notes may be amended, and the observance of any term hereof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Notes may be waived (either retroactively or prospectively), only with the written consent of the Company and the Required Holders, except that:</w:t>
      </w:r>
    </w:p>
    <w:p>
      <w:pPr>
        <w:spacing w:after="0" w:line="184" w:lineRule="exact"/>
        <w:rPr>
          <w:sz w:val="20"/>
          <w:szCs w:val="20"/>
          <w:color w:val="auto"/>
        </w:rPr>
      </w:pPr>
    </w:p>
    <w:p>
      <w:pPr>
        <w:ind w:firstLine="8"/>
        <w:spacing w:after="0" w:line="271" w:lineRule="auto"/>
        <w:tabs>
          <w:tab w:leader="none" w:pos="30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or waiver of any of Sections 1, 2, 3, 4, 5, 6 or 21 hereof, or any defined term (as it is used therein), will be effective as to any Purchaser unless consented to by such Purchaser in writing; and</w:t>
      </w:r>
    </w:p>
    <w:p>
      <w:pPr>
        <w:spacing w:after="0" w:line="171" w:lineRule="exact"/>
        <w:rPr>
          <w:rFonts w:ascii="Times New Roman" w:cs="Times New Roman" w:eastAsia="Times New Roman" w:hAnsi="Times New Roman"/>
          <w:sz w:val="22"/>
          <w:szCs w:val="22"/>
          <w:color w:val="auto"/>
        </w:rPr>
      </w:pPr>
    </w:p>
    <w:p>
      <w:pPr>
        <w:jc w:val="both"/>
        <w:ind w:firstLine="656"/>
        <w:spacing w:after="0" w:line="259" w:lineRule="exact"/>
        <w:tabs>
          <w:tab w:leader="none" w:pos="954"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or waiver may, without the written consent of each Purchaser and the holder of each Note at the time outstanding, (i) subject to Section 12 relating to acceleration or rescission, change the amount or time of any prepayment or payment of principal of, or reduce the rate or change the time of payment or method of computation of (x) interest on the Notes or (y) the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(ii) change the percentage of the principal amount of the Notes the holders of which are required to consent to any amendment or waiver, or (iii) amend any of Sections 8 (except as set forth in the second sentence of Section 8.2), 11(a), 11(b), 12, 17 or 20; and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17.2. Solicitation of Holders of Notes.</w:t>
      </w:r>
    </w:p>
    <w:p>
      <w:pPr>
        <w:spacing w:after="0" w:line="32" w:lineRule="exact"/>
        <w:rPr>
          <w:sz w:val="20"/>
          <w:szCs w:val="20"/>
          <w:color w:val="auto"/>
        </w:rPr>
      </w:pPr>
    </w:p>
    <w:p>
      <w:pPr>
        <w:jc w:val="both"/>
        <w:ind w:firstLine="8"/>
        <w:spacing w:after="0" w:line="238" w:lineRule="auto"/>
        <w:tabs>
          <w:tab w:leader="none" w:pos="30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Solicitation. </w:t>
      </w:r>
      <w:r>
        <w:rPr>
          <w:rFonts w:ascii="Times New Roman" w:cs="Times New Roman" w:eastAsia="Times New Roman" w:hAnsi="Times New Roman"/>
          <w:sz w:val="22"/>
          <w:szCs w:val="22"/>
          <w:color w:val="auto"/>
        </w:rPr>
        <w:t>The Company will provide each holder of a Note with sufficient information, sufficiently far in advance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date a decision is required, to enable such holder to make an informed and considered decision with respect to any proposed amendment, waiver or consent in respect of any of the provisions hereof or of the Notes or any Subsidiary Guaranty. The Company will deliver executed or true and correct copies of each amendment, waiver or consent effected pursuant to this Section 17 or any Subsidiary Guaranty to each holder of a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369" w:right="339" w:bottom="1440" w:gutter="0" w:footer="0" w:header="0"/>
        </w:sectPr>
      </w:pPr>
    </w:p>
    <w:bookmarkStart w:id="52" w:name="page53"/>
    <w:bookmarkEnd w:id="52"/>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promptly following the date on which it is executed and delivered by, or receives the consent or approval of, the requisite holders of Notes.</w:t>
      </w:r>
    </w:p>
    <w:p>
      <w:pPr>
        <w:spacing w:after="0" w:line="167" w:lineRule="exact"/>
        <w:rPr>
          <w:sz w:val="20"/>
          <w:szCs w:val="20"/>
          <w:color w:val="auto"/>
        </w:rPr>
      </w:pPr>
    </w:p>
    <w:p>
      <w:pPr>
        <w:jc w:val="both"/>
        <w:ind w:firstLine="8"/>
        <w:spacing w:after="0" w:line="247" w:lineRule="auto"/>
        <w:tabs>
          <w:tab w:leader="none" w:pos="34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 </w:t>
      </w:r>
      <w:r>
        <w:rPr>
          <w:rFonts w:ascii="Times New Roman" w:cs="Times New Roman" w:eastAsia="Times New Roman" w:hAnsi="Times New Roman"/>
          <w:sz w:val="22"/>
          <w:szCs w:val="22"/>
          <w:color w:val="auto"/>
        </w:rPr>
        <w:t>The Company will not directly or indirectly pay or cause to be paid any remuneration, whether by way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supplemental or additional interest, fee or otherwise, or grant any security or provide other credit support, to any holder of a Note as consideration for or as an inducement to the entering into by such holder of any waiver or amendment of any of the terms and provisions hereof or of any Subsidiary Guaranty or any Note unless such remuneration is concurrently paid, or security is concurrently granted or other credit support concurrently provided, on the same terms, ratably to each holder of a Note even if such holder did not consent to such waiver or amendment.</w:t>
      </w:r>
    </w:p>
    <w:p>
      <w:pPr>
        <w:spacing w:after="0" w:line="206" w:lineRule="exact"/>
        <w:rPr>
          <w:rFonts w:ascii="Times New Roman" w:cs="Times New Roman" w:eastAsia="Times New Roman" w:hAnsi="Times New Roman"/>
          <w:sz w:val="22"/>
          <w:szCs w:val="22"/>
          <w:color w:val="auto"/>
        </w:rPr>
      </w:pPr>
    </w:p>
    <w:p>
      <w:pPr>
        <w:jc w:val="both"/>
        <w:ind w:firstLine="8"/>
        <w:spacing w:after="0" w:line="262" w:lineRule="auto"/>
        <w:tabs>
          <w:tab w:leader="none" w:pos="294"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Consent in Contemplation of Transfer</w:t>
      </w:r>
      <w:r>
        <w:rPr>
          <w:rFonts w:ascii="Times New Roman" w:cs="Times New Roman" w:eastAsia="Times New Roman" w:hAnsi="Times New Roman"/>
          <w:sz w:val="21"/>
          <w:szCs w:val="21"/>
          <w:color w:val="auto"/>
        </w:rPr>
        <w:t>. Any consent given pursuant to this Section 17 or any Subsidiary Guaranty by a holder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a Note that has transferred or has agreed to transfer its Note to (i) the Company, (ii) any Subsidiary or any other Affiliate or</w:t>
      </w:r>
    </w:p>
    <w:p>
      <w:pPr>
        <w:jc w:val="both"/>
        <w:ind w:firstLine="8"/>
        <w:spacing w:after="0" w:line="255" w:lineRule="auto"/>
        <w:tabs>
          <w:tab w:leader="none" w:pos="384"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Person in connection with, or in anticipation of, such other Person acquiring, making a tender offer for or merging with the Company and/or any of its Affiliates, in each case in connection with such consent, shall be void and of no force or effect except solely as to such holder, and any amendments effected or waivers granted or to be effected or granted that would not have been or would not be so effected or granted but for such consent (and the consents of all other holders of Notes that were acquired under the same or similar conditions) shall be void and of no force or effect except solely as to such holder.</w:t>
      </w:r>
    </w:p>
    <w:p>
      <w:pPr>
        <w:spacing w:after="0" w:line="20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Section 17.3. Binding Effect, Etc. </w:t>
      </w:r>
      <w:r>
        <w:rPr>
          <w:rFonts w:ascii="Times New Roman" w:cs="Times New Roman" w:eastAsia="Times New Roman" w:hAnsi="Times New Roman"/>
          <w:sz w:val="22"/>
          <w:szCs w:val="22"/>
          <w:color w:val="auto"/>
        </w:rPr>
        <w:t>Any amendment or waiver consented to as provided in this Section 17 or any Subsidiary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Guaranty applies equally to all holders of Notes and is binding upon them and upon each future holder of any Note and upon the Company without regard to whether such Note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any holder of a Note and no delay in exercising any rights hereunder or under any Note or Subsidiary Guaranty shall operate as a waiver of any rights of any holder of such Note.</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17.4. Notes Held by Company, Etc. </w:t>
      </w:r>
      <w:r>
        <w:rPr>
          <w:rFonts w:ascii="Times New Roman" w:cs="Times New Roman" w:eastAsia="Times New Roman" w:hAnsi="Times New Roman"/>
          <w:sz w:val="22"/>
          <w:szCs w:val="22"/>
          <w:color w:val="auto"/>
        </w:rPr>
        <w:t>Solely for the purpose of determining whether the holders of the requisite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percentage of the aggregate principal amount of Notes then outstanding approved or consented to any amendment, waiver or consent to be given under this Agreement, any Subsidiary Guaranty or the Notes, or have directed the taking of any action provided herein or in any Subsidiary Guaranty or the Notes to be taken upon the direction of the holders of a specified percentage of the aggregate principal amount of Notes then outstanding, Notes directly or indirectly owned by the Company or any of its Affiliates shall be deemed not to be outstanding.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18. Notices.</w:t>
      </w:r>
    </w:p>
    <w:p>
      <w:pPr>
        <w:spacing w:after="0" w:line="23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Except to the extent otherwise provided in Section 7.4, all notices and communications provided for hereunder shall be in writing and sent (a) by telecopy if the sender on the same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369" w:right="339" w:bottom="1440" w:gutter="0" w:footer="0" w:header="0"/>
        </w:sectPr>
      </w:pPr>
    </w:p>
    <w:bookmarkStart w:id="53" w:name="page54"/>
    <w:bookmarkEnd w:id="53"/>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sends a confirming copy of such notice by an internationally recognized overnight delivery service (charges prepaid), or (b) by registered or certified mail with return receipt requested (postage prepaid), or (c) by an internationally recognized overnight delivery service (charges prepaid). Any such notice must be sent:</w:t>
      </w:r>
    </w:p>
    <w:p>
      <w:pPr>
        <w:spacing w:after="0" w:line="208" w:lineRule="exact"/>
        <w:rPr>
          <w:sz w:val="20"/>
          <w:szCs w:val="20"/>
          <w:color w:val="auto"/>
        </w:rPr>
      </w:pPr>
    </w:p>
    <w:p>
      <w:pPr>
        <w:ind w:firstLine="656"/>
        <w:spacing w:after="0" w:line="271" w:lineRule="auto"/>
        <w:tabs>
          <w:tab w:leader="none" w:pos="90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Purchaser or its nominee, to such Purchaser or nominee at the address specified for such communications in the Purchaser Schedule, or at such other address as such Purchaser or nominee shall have specified to the Company in writing,</w:t>
      </w:r>
    </w:p>
    <w:p>
      <w:pPr>
        <w:spacing w:after="0" w:line="184" w:lineRule="exact"/>
        <w:rPr>
          <w:rFonts w:ascii="Times New Roman" w:cs="Times New Roman" w:eastAsia="Times New Roman" w:hAnsi="Times New Roman"/>
          <w:sz w:val="22"/>
          <w:szCs w:val="22"/>
          <w:color w:val="auto"/>
        </w:rPr>
      </w:pPr>
    </w:p>
    <w:p>
      <w:pPr>
        <w:ind w:right="20" w:firstLine="656"/>
        <w:spacing w:after="0" w:line="258" w:lineRule="auto"/>
        <w:tabs>
          <w:tab w:leader="none" w:pos="97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holder of any Note, to such holder at such address as such other holder shall have specified to the Company in writing, or</w:t>
      </w:r>
    </w:p>
    <w:p>
      <w:pPr>
        <w:spacing w:after="0" w:line="198" w:lineRule="exact"/>
        <w:rPr>
          <w:rFonts w:ascii="Times New Roman" w:cs="Times New Roman" w:eastAsia="Times New Roman" w:hAnsi="Times New Roman"/>
          <w:sz w:val="22"/>
          <w:szCs w:val="22"/>
          <w:color w:val="auto"/>
        </w:rPr>
      </w:pPr>
    </w:p>
    <w:p>
      <w:pPr>
        <w:ind w:firstLine="656"/>
        <w:spacing w:after="0" w:line="248" w:lineRule="auto"/>
        <w:tabs>
          <w:tab w:leader="none" w:pos="102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to the Company at its address set forth at the beginning hereof to the attention of General Counsel, or at such other address as the Company shall have specified to the holder of each Note in writing.</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Notices under this Section 18 will be deemed given only when actually received.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19. Reproduction of Documents.</w:t>
      </w:r>
    </w:p>
    <w:p>
      <w:pPr>
        <w:spacing w:after="0" w:line="23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This Agreement and all documents relating thereto, including (a) consents, waivers and modifications that may hereafter be executed, (b) documents received by any Purchaser at the Closing (except the Notes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Section 19 shall not prohibit the Company or any other holder of Notes from contesting any such reproduction to the same extent that it could contest the original, or from introducing evidence to demonstrate the inaccuracy of any such reproduction.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20. Confidential Information.</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For the purposes of this Section 20, </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xml:space="preserve"> means information delivered to any Purchaser or holder of any Note by or on behalf of the Company or any Subsidiary in connection with the transactions contemplated by or otherwise pursuant to this Agreement that is confidential or proprietary in nature, provided that such term does not include information that</w:t>
      </w:r>
    </w:p>
    <w:p>
      <w:pPr>
        <w:spacing w:after="0" w:line="2" w:lineRule="exact"/>
        <w:rPr>
          <w:sz w:val="20"/>
          <w:szCs w:val="20"/>
          <w:color w:val="auto"/>
        </w:rPr>
      </w:pPr>
    </w:p>
    <w:p>
      <w:pPr>
        <w:jc w:val="both"/>
        <w:ind w:firstLine="8"/>
        <w:spacing w:after="0" w:line="241" w:lineRule="auto"/>
        <w:tabs>
          <w:tab w:leader="none" w:pos="31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and the source was not restricted in disclosing such information, or (d) constitutes financial statements delivered to such Purchaser under Section 7.1 that are otherwise publicly available. Each Purchaser or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369" w:right="339" w:bottom="1440" w:gutter="0" w:footer="0" w:header="0"/>
        </w:sectPr>
      </w:pPr>
    </w:p>
    <w:bookmarkStart w:id="54" w:name="page55"/>
    <w:bookmarkEnd w:id="54"/>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of any Note will maintain the confidentiality of such Confidential Information in accordance with procedures adopted by such Purchaser in good faith to protect confidential information of third parties delivered to such Purchaser, provided that such Purchaser may deliver or disclose Confidential Information to (i) its directors, officers, employees, agents, attorneys, trustees and affiliates (to the extent such disclosure reasonably relates to the administration of the investment represented by its Notes and such recipient is informed of its obligation to maintain the confidentiality of such information), (ii) its auditors, financial advisors and other professional advisors who agree to hold confidential the Confidential Information substantially in accordance with this Section 20, (iii) any other holder of any Note, (iv) any Institutional Investor to which it sells or offers to sell such Note or any part thereof or any participation therein (if such Person has agreed in writing prior to its receipt of such Confidential Information to be bound by this Section 20), (v) any Person from which it offers to purchase any Security of the Company (if such Person has agreed in writing prior to its receipt of such Confidential Information to be bound by this Section 20), (vi) any federal or state regulatory authority having jurisdiction over such Purchaser, (vii) the NAIC or the SVO or, in each case, any similar organization, or any nationally recognized rating agency that requires access to information about such Purchaser’s investment portfolio, or (viii) any other Person to which such delivery or disclosure may be necessary or appropriate (w) to effect compliance with any law, rule, regulation or order applicable to such Purchaser, (x) in response to any subpoena or other legal process, (y) in connection with any litigation to which such Purchaser is a party or (z) if an Event of Default has occurred and is continuing, to the extent such Purchaser may reasonably determine such delivery and disclosure to be necessary or appropriate in the enforcement or for the protection of the rights and remedies under such Purchaser’s Notes, this Agreement or any Subsidiary Guaranty. Each holder of a Note, by its acceptance of a Note, will be deemed to have agreed to be bound by and to be entitled to the benefits of this Section 20 as though it were a party to this Agreement. On reasonable request by the Company in connection with the delivery to any holder of a Note of information required to be delivered to such holder under this Agreement or requested by such holder (other than a holder that is a party to this Agreement or its nominee), such holder will enter into an agreement with the Company embodying this Section 20.</w:t>
      </w: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In the event that as a condition to receiving access to information relating to the Company or its Subsidiaries in connection with the transactions contemplated by or otherwise pursuant to this Agreement, any Purchaser or holder of a Note is required to agree to a confidentiality undertaking (whether through Intralinks, another secure website, a secure virtual workspace or otherwise) which is different from this Section 20, this Section 20 shall not be amended thereby and, as between such Purchaser or such holder and the Company, this Section 20 shall supersede any such other confidentiality undertaking.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21. Substitution of Purchaser.</w:t>
      </w:r>
    </w:p>
    <w:p>
      <w:pPr>
        <w:spacing w:after="0" w:line="25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Each Purchaser shall have the right to substitute any one of its Affiliates or another Purchaser or any one of such other Purchaser’s Affiliates (a </w:t>
      </w:r>
      <w:r>
        <w:rPr>
          <w:rFonts w:ascii="Times New Roman" w:cs="Times New Roman" w:eastAsia="Times New Roman" w:hAnsi="Times New Roman"/>
          <w:sz w:val="22"/>
          <w:szCs w:val="22"/>
          <w:b w:val="1"/>
          <w:bCs w:val="1"/>
          <w:color w:val="auto"/>
        </w:rPr>
        <w:t>“Substitute Purchaser”</w:t>
      </w:r>
      <w:r>
        <w:rPr>
          <w:rFonts w:ascii="Times New Roman" w:cs="Times New Roman" w:eastAsia="Times New Roman" w:hAnsi="Times New Roman"/>
          <w:sz w:val="22"/>
          <w:szCs w:val="22"/>
          <w:color w:val="auto"/>
        </w:rPr>
        <w:t>) as the purchaser of the Notes that it has agreed to purchase hereunder, by written notice to the Company, which notice shall be signed by both such Purchaser and such Substitute Purchaser, shall contain such Substitute Purchaser’s agreement to be bound by this Agreement and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369" w:right="339" w:bottom="1440" w:gutter="0" w:footer="0" w:header="0"/>
        </w:sectPr>
      </w:pPr>
    </w:p>
    <w:bookmarkStart w:id="55" w:name="page56"/>
    <w:bookmarkEnd w:id="55"/>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contain a confirmation by such Substitute Purchaser of the accuracy with respect to it of the representations set forth in Section 6. Upon receipt of such notice, any reference to such Purchaser in this Agreement (other than in this Section 21), shall be deemed to refer to such Substitute Purchaser in lieu of such original Purchaser. In the event that such Substitute Purchaser is so substituted as a Purchaser hereunder and such Substitute Purchaser thereafter transfers to such original Purchaser all of the Notes then held by such Substitute Purchaser, upon receipt by the Company of notice of such transfer, any reference to such Substitute Purchaser as a “Purchaser” in this Agreement (other than in this Section 21), shall no longer be deemed to refer to such Substitute Purchaser, but shall refer to such original Purchaser, and such original Purchaser shall again have all the rights of an original holder of the Notes under this Agreement.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22. Miscellaneous.</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Section 22.1. Successors and Assigns. </w:t>
      </w:r>
      <w:r>
        <w:rPr>
          <w:rFonts w:ascii="Times New Roman" w:cs="Times New Roman" w:eastAsia="Times New Roman" w:hAnsi="Times New Roman"/>
          <w:sz w:val="22"/>
          <w:szCs w:val="22"/>
          <w:color w:val="auto"/>
        </w:rPr>
        <w:t>All covenants and other agreements contained in this Agreement by or on behalf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any of the parties hereto bind and inure to the benefit of their respective successors and assigns (including any subsequent holder of a Note) whether so expressed or not, except that, subject to Section 10.2, the Company may not assign or otherwise transfer any of its rights or obligations hereunder or under the Notes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w:t>
      </w:r>
    </w:p>
    <w:p>
      <w:pPr>
        <w:spacing w:after="0" w:line="211" w:lineRule="exact"/>
        <w:rPr>
          <w:sz w:val="20"/>
          <w:szCs w:val="20"/>
          <w:color w:val="auto"/>
        </w:rPr>
      </w:pPr>
    </w:p>
    <w:p>
      <w:pPr>
        <w:jc w:val="both"/>
        <w:ind w:firstLine="648"/>
        <w:spacing w:after="0" w:line="257" w:lineRule="exact"/>
        <w:rPr>
          <w:sz w:val="20"/>
          <w:szCs w:val="20"/>
          <w:color w:val="auto"/>
        </w:rPr>
      </w:pPr>
      <w:r>
        <w:rPr>
          <w:rFonts w:ascii="Times New Roman" w:cs="Times New Roman" w:eastAsia="Times New Roman" w:hAnsi="Times New Roman"/>
          <w:sz w:val="21"/>
          <w:szCs w:val="21"/>
          <w:b w:val="1"/>
          <w:bCs w:val="1"/>
          <w:color w:val="auto"/>
        </w:rPr>
        <w:t xml:space="preserve">Section 22.2. Accounting Terms. </w:t>
      </w:r>
      <w:r>
        <w:rPr>
          <w:rFonts w:ascii="Times New Roman" w:cs="Times New Roman" w:eastAsia="Times New Roman" w:hAnsi="Times New Roman"/>
          <w:sz w:val="21"/>
          <w:szCs w:val="21"/>
          <w:color w:val="auto"/>
        </w:rPr>
        <w:t>(a) All accounting terms used herein which are not expressly defined in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have the meanings respectively given to them in accordance with GAAP. Except as otherwise specifically provided herein, (i) all computations made pursuant to this Agreement shall be made in accordance with GAAP, and (ii) all financial statements shall be prepared in accordance with GAAP. For purposes of determining compliance with this Agreement (including Section 9, Section 10 and the definition of “Indebtedness”), any election by the Company to measure any financial liability using fair value (as permitted by Financial Accounting Standards Board Accounting Standards Codification Topic No. 825</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25 – </w:t>
      </w:r>
      <w:r>
        <w:rPr>
          <w:rFonts w:ascii="Times New Roman" w:cs="Times New Roman" w:eastAsia="Times New Roman" w:hAnsi="Times New Roman"/>
          <w:sz w:val="21"/>
          <w:szCs w:val="21"/>
          <w:i w:val="1"/>
          <w:iCs w:val="1"/>
          <w:color w:val="auto"/>
        </w:rPr>
        <w:t>Fair Value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Option, </w:t>
      </w:r>
      <w:r>
        <w:rPr>
          <w:rFonts w:ascii="Times New Roman" w:cs="Times New Roman" w:eastAsia="Times New Roman" w:hAnsi="Times New Roman"/>
          <w:sz w:val="21"/>
          <w:szCs w:val="21"/>
          <w:color w:val="auto"/>
        </w:rPr>
        <w:t>International Accounting Standard 39 –</w:t>
      </w:r>
      <w:r>
        <w:rPr>
          <w:rFonts w:ascii="Times New Roman" w:cs="Times New Roman" w:eastAsia="Times New Roman" w:hAnsi="Times New Roman"/>
          <w:sz w:val="21"/>
          <w:szCs w:val="21"/>
          <w:i w:val="1"/>
          <w:iCs w:val="1"/>
          <w:color w:val="auto"/>
        </w:rPr>
        <w:t xml:space="preserve"> Financial Instruments: Recognition and Measurement </w:t>
      </w:r>
      <w:r>
        <w:rPr>
          <w:rFonts w:ascii="Times New Roman" w:cs="Times New Roman" w:eastAsia="Times New Roman" w:hAnsi="Times New Roman"/>
          <w:sz w:val="21"/>
          <w:szCs w:val="21"/>
          <w:color w:val="auto"/>
        </w:rPr>
        <w:t>or any similar accounting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standard) shall be disregarded and such determination shall be made as if such election had not been made.</w:t>
      </w:r>
    </w:p>
    <w:p>
      <w:pPr>
        <w:spacing w:after="0" w:line="219" w:lineRule="exact"/>
        <w:rPr>
          <w:sz w:val="20"/>
          <w:szCs w:val="20"/>
          <w:color w:val="auto"/>
        </w:rPr>
      </w:pPr>
    </w:p>
    <w:p>
      <w:pPr>
        <w:jc w:val="both"/>
        <w:ind w:firstLine="8"/>
        <w:spacing w:after="0" w:line="257" w:lineRule="auto"/>
        <w:tabs>
          <w:tab w:leader="none" w:pos="333"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at any time any change in GAAP would affect the computation of any financial ratio or requirement set forth in this Agreement, and either the Company or the Required Holders shall so request, the Company and the Required Holders shall negotiate in good faith to amend such ratio or requirement to preserve the original intent thereof in light of such change in GAAP (subject to the approval of the Required Holders);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until so amended, (i) such ratio or requirement shall continue to be computed in accordance with GAAP prior to such change therein and (ii) the Company shall provide to the holders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369" w:right="339" w:bottom="1440" w:gutter="0" w:footer="0" w:header="0"/>
        </w:sectPr>
      </w:pPr>
    </w:p>
    <w:bookmarkStart w:id="56" w:name="page57"/>
    <w:bookmarkEnd w:id="56"/>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8"/>
        <w:spacing w:after="0" w:line="248" w:lineRule="auto"/>
        <w:tabs>
          <w:tab w:leader="none" w:pos="29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herein to consolidated financial statements of the Company and its Subsidiaries or to the determination of any amount for the Company and its Subsidiaries on a consolidated basis or any similar reference shall, in each case, be deemed to include each variable interest entity that the Company or a Subsidiary is required to consolidate pursuant to FASB ASC 810 as if such variable interest entity were a Subsidiary as defined herein.</w:t>
      </w:r>
    </w:p>
    <w:p>
      <w:pPr>
        <w:spacing w:after="0" w:line="209"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herein to “fiscal year” and “fiscal quarter” refer to such fiscal periods of the Company.</w:t>
      </w:r>
    </w:p>
    <w:p>
      <w:pPr>
        <w:spacing w:after="0" w:line="246" w:lineRule="exact"/>
        <w:rPr>
          <w:rFonts w:ascii="Times New Roman" w:cs="Times New Roman" w:eastAsia="Times New Roman" w:hAnsi="Times New Roman"/>
          <w:sz w:val="22"/>
          <w:szCs w:val="22"/>
          <w:color w:val="auto"/>
        </w:rPr>
      </w:pPr>
    </w:p>
    <w:p>
      <w:pPr>
        <w:jc w:val="both"/>
        <w:ind w:firstLine="8"/>
        <w:spacing w:after="0" w:line="248" w:lineRule="auto"/>
        <w:tabs>
          <w:tab w:leader="none" w:pos="29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Acquisition consummated on or after the date of this Agreement, for each period of four fiscal quarters of the Company and its Subsidiaries ending next following the date of any Acquisition, Consolidated EBIT shall include the results of operations of the Person or assets so acquired on a historical pro forma basis, and which amounts may include such adjustments as are permitted under Regulation S-X of the Securities and Exchange Commission or FASB ASC 805;</w:t>
      </w:r>
    </w:p>
    <w:p>
      <w:pPr>
        <w:spacing w:after="0" w:line="196" w:lineRule="exact"/>
        <w:rPr>
          <w:rFonts w:ascii="Times New Roman" w:cs="Times New Roman" w:eastAsia="Times New Roman" w:hAnsi="Times New Roman"/>
          <w:sz w:val="22"/>
          <w:szCs w:val="22"/>
          <w:color w:val="auto"/>
        </w:rPr>
      </w:pPr>
    </w:p>
    <w:p>
      <w:pPr>
        <w:jc w:val="both"/>
        <w:ind w:firstLine="8"/>
        <w:spacing w:after="0" w:line="247" w:lineRule="auto"/>
        <w:tabs>
          <w:tab w:leader="none" w:pos="28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Material Disposition (as defined below) consummated on or after the date of this Agreement, for each period of four fiscal quarters of the Company and its Subsidiaries ending next following the date of such Material Disposition, Consolidated EBIT for such period shall be either (A) reduced by an amount equal to the Consolidated EBIT (if positive) attributable to the property that is the subject of such Material Disposition for such period or (B) increased by an amount equal to the Consolidated EBIT (if negative) attributable to such property for such period.</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For the purposes of this paragraph, </w:t>
      </w:r>
      <w:r>
        <w:rPr>
          <w:rFonts w:ascii="Times New Roman" w:cs="Times New Roman" w:eastAsia="Times New Roman" w:hAnsi="Times New Roman"/>
          <w:sz w:val="22"/>
          <w:szCs w:val="22"/>
          <w:b w:val="1"/>
          <w:bCs w:val="1"/>
          <w:color w:val="auto"/>
        </w:rPr>
        <w:t>“Material Disposition”</w:t>
      </w:r>
      <w:r>
        <w:rPr>
          <w:rFonts w:ascii="Times New Roman" w:cs="Times New Roman" w:eastAsia="Times New Roman" w:hAnsi="Times New Roman"/>
          <w:sz w:val="22"/>
          <w:szCs w:val="22"/>
          <w:color w:val="auto"/>
        </w:rPr>
        <w:t xml:space="preserve"> means any Disposition (as defined below), or series of related Dispositions, by the Company and its Subsidiaries of real or personal property that has a gross book value, as determined in accordance with GAAP, equal to or greater than 10% of Consolidated Total Assets determined as of the last day of the immediately preceding fiscal quarter, and “Disposition” means the sale, transfer, license or other disposition (including any sale and leaseback transaction) of any property by any Person, other than pursuant to or in connection with a Receivables Purchase Facility.</w:t>
      </w:r>
    </w:p>
    <w:p>
      <w:pPr>
        <w:spacing w:after="0" w:line="20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Section 22.3. Severability. </w:t>
      </w:r>
      <w:r>
        <w:rPr>
          <w:rFonts w:ascii="Times New Roman" w:cs="Times New Roman" w:eastAsia="Times New Roman" w:hAnsi="Times New Roman"/>
          <w:sz w:val="22"/>
          <w:szCs w:val="22"/>
          <w:color w:val="auto"/>
        </w:rPr>
        <w:t>Any provision of this Agreement that is prohibited or unenforceable in any jurisdiction shall, as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Section 22.4. Construction, Etc. </w:t>
      </w:r>
      <w:r>
        <w:rPr>
          <w:rFonts w:ascii="Times New Roman" w:cs="Times New Roman" w:eastAsia="Times New Roman" w:hAnsi="Times New Roman"/>
          <w:sz w:val="22"/>
          <w:szCs w:val="22"/>
          <w:color w:val="auto"/>
        </w:rPr>
        <w:t>Each covenant contained herein shall be construed (absent express provision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369" w:right="339" w:bottom="1440" w:gutter="0" w:footer="0" w:header="0"/>
        </w:sectPr>
      </w:pPr>
    </w:p>
    <w:bookmarkStart w:id="57" w:name="page58"/>
    <w:bookmarkEnd w:id="57"/>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2"/>
          <w:szCs w:val="22"/>
          <w:color w:val="auto"/>
        </w:rPr>
        <w:t>Defined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and, for purposes of the Notes, shall also include any such notes issued in substitution therefor pursuant to Section 13, (b) subject to Section 22.1,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Sections and Schedules shall be construed to refer to Sections of, and Schedules to, this Agreement, and (e) any reference to any law or regulation herein shall, unless otherwise specified, refer to such law or regulation as amended, modified or supplemented from time to time.</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Any financial ratios required to be maintained by the Company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369" w:right="339" w:bottom="1440" w:gutter="0" w:footer="0" w:header="0"/>
        </w:sectPr>
      </w:pPr>
    </w:p>
    <w:bookmarkStart w:id="58" w:name="page59"/>
    <w:bookmarkEnd w:id="58"/>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Section 22.5. Counterparts; Electronic Contracting. </w:t>
      </w:r>
      <w:r>
        <w:rPr>
          <w:rFonts w:ascii="Times New Roman" w:cs="Times New Roman" w:eastAsia="Times New Roman" w:hAnsi="Times New Roman"/>
          <w:sz w:val="22"/>
          <w:szCs w:val="22"/>
          <w:color w:val="auto"/>
        </w:rPr>
        <w:t>This Agreement may be executed in any number of 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of which shall be an original but all of which together shall constitute one instrument. Each counterpart may consist of a number of copies hereof, each signed by less than all, but together signed by all, of the parties hereto. The parties agree to electronic contracting and signatures with respect to this Agreement and the other documents (other than the Notes). Delivery of an electronic signature to, or a signed copy of, this Agreement and such other documents (other than the Notes) by facsimile, email or other electronic transmission shall be fully binding on the parties to the same extent as the delivery of the signed originals and shall be admissible into evidence for all purposes. The words “execution,” “execute”, “signed,” “signature,” and words of like import in or related to any document to be signed in connection with this Agreement and the other documents (other than the Notes) shall be deemed to include electronic signatures, the electronic matching of assignment terms and contract formations on electronic platforms approved by the Company,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Notwithstanding the foregoing, if any Purchaser shall request manually signed counterpart signatures to any document, the Company hereby agrees to use its reasonable endeavors to provide such manually signed signature pages as soon as reasonably practicable (but in any event within 30 days of such request or such longer period as the requesting Purchaser and the Company may mutually agree).</w:t>
      </w:r>
    </w:p>
    <w:p>
      <w:pPr>
        <w:spacing w:after="0" w:line="218" w:lineRule="exact"/>
        <w:rPr>
          <w:sz w:val="20"/>
          <w:szCs w:val="20"/>
          <w:color w:val="auto"/>
        </w:rPr>
      </w:pPr>
    </w:p>
    <w:p>
      <w:pPr>
        <w:jc w:val="both"/>
        <w:ind w:firstLine="648"/>
        <w:spacing w:after="0" w:line="271" w:lineRule="exact"/>
        <w:rPr>
          <w:sz w:val="20"/>
          <w:szCs w:val="20"/>
          <w:color w:val="auto"/>
        </w:rPr>
      </w:pPr>
      <w:r>
        <w:rPr>
          <w:rFonts w:ascii="Times New Roman" w:cs="Times New Roman" w:eastAsia="Times New Roman" w:hAnsi="Times New Roman"/>
          <w:sz w:val="22"/>
          <w:szCs w:val="22"/>
          <w:b w:val="1"/>
          <w:bCs w:val="1"/>
          <w:color w:val="auto"/>
        </w:rPr>
        <w:t xml:space="preserve">Section 22.6. Governing Law. </w:t>
      </w:r>
      <w:r>
        <w:rPr>
          <w:rFonts w:ascii="Times New Roman" w:cs="Times New Roman" w:eastAsia="Times New Roman" w:hAnsi="Times New Roman"/>
          <w:sz w:val="22"/>
          <w:szCs w:val="22"/>
          <w:color w:val="auto"/>
        </w:rPr>
        <w:t>This Agreement shall be construed and enforced in accordance with, and the rights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shall be governed by, the law of the State of New York excluding choice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 principles of the law of such State that would permit the application of the laws of a jurisdiction other than such State.</w:t>
      </w:r>
    </w:p>
    <w:p>
      <w:pPr>
        <w:spacing w:after="0" w:line="200" w:lineRule="exact"/>
        <w:rPr>
          <w:sz w:val="20"/>
          <w:szCs w:val="20"/>
          <w:color w:val="auto"/>
        </w:rPr>
      </w:pPr>
    </w:p>
    <w:p>
      <w:pPr>
        <w:jc w:val="both"/>
        <w:ind w:firstLine="648"/>
        <w:spacing w:after="0" w:line="257" w:lineRule="exact"/>
        <w:rPr>
          <w:sz w:val="20"/>
          <w:szCs w:val="20"/>
          <w:color w:val="auto"/>
        </w:rPr>
      </w:pPr>
      <w:r>
        <w:rPr>
          <w:rFonts w:ascii="Times New Roman" w:cs="Times New Roman" w:eastAsia="Times New Roman" w:hAnsi="Times New Roman"/>
          <w:sz w:val="22"/>
          <w:szCs w:val="22"/>
          <w:b w:val="1"/>
          <w:bCs w:val="1"/>
          <w:color w:val="auto"/>
        </w:rPr>
        <w:t xml:space="preserve">Section 22.7. Jurisdiction and Process; Waiver of Jury Trial. </w:t>
      </w:r>
      <w:r>
        <w:rPr>
          <w:rFonts w:ascii="Times New Roman" w:cs="Times New Roman" w:eastAsia="Times New Roman" w:hAnsi="Times New Roman"/>
          <w:sz w:val="22"/>
          <w:szCs w:val="22"/>
          <w:color w:val="auto"/>
        </w:rPr>
        <w:t>(a) The Company irrevocably submits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exclusive jurisdiction of any New York State or federal court sitting in the Borough of Manhattan, The City of New York, over any suit, action or proceeding arising out of or relating to this Agreement or the Notes.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223" w:lineRule="exact"/>
        <w:rPr>
          <w:sz w:val="20"/>
          <w:szCs w:val="20"/>
          <w:color w:val="auto"/>
        </w:rPr>
      </w:pPr>
    </w:p>
    <w:p>
      <w:pPr>
        <w:jc w:val="both"/>
        <w:ind w:firstLine="8"/>
        <w:spacing w:after="0" w:line="248" w:lineRule="auto"/>
        <w:tabs>
          <w:tab w:leader="none" w:pos="30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the fullest extent permitted by applicable law, that a final judgment in any suit, action or proceeding of the nature referred to in Section 22.7(a) brought in any such court shall be conclusive and binding upon it subject to rights of appeal, as the case may be, and may be enforced in the courts of the United States of America or the State of New York (or any other courts to the jurisdiction of which it or any of its assets is or may be subject) by a suit upon such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369" w:right="339" w:bottom="1440" w:gutter="0" w:footer="0" w:header="0"/>
        </w:sectPr>
      </w:pPr>
    </w:p>
    <w:bookmarkStart w:id="59" w:name="page60"/>
    <w:bookmarkEnd w:id="59"/>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8"/>
        <w:spacing w:after="0" w:line="243" w:lineRule="auto"/>
        <w:tabs>
          <w:tab w:leader="none" w:pos="29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consents to process being served by or on behalf of any holder of Notes in any suit, action or proceeding of the nature referred to in Section 22.7(a) by mailing a copy thereof by registered, certified, priority or express mail (or any substantially similar form of mail), postage prepaid, return receipt or delivery confirmation requested, to it at its address specified in Section 18 or at such other address of which such holder shall then have been notified pursuant to said Section. The Company agrees that such service upon receipt (i) 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spacing w:after="0" w:line="218" w:lineRule="exact"/>
        <w:rPr>
          <w:rFonts w:ascii="Times New Roman" w:cs="Times New Roman" w:eastAsia="Times New Roman" w:hAnsi="Times New Roman"/>
          <w:sz w:val="22"/>
          <w:szCs w:val="22"/>
          <w:color w:val="auto"/>
        </w:rPr>
      </w:pPr>
    </w:p>
    <w:p>
      <w:pPr>
        <w:jc w:val="both"/>
        <w:ind w:firstLine="8"/>
        <w:spacing w:after="0" w:line="250" w:lineRule="auto"/>
        <w:tabs>
          <w:tab w:leader="none" w:pos="30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Section 22.7 shall affect the right of any holder of a Note to serve process in any manner permitted by law, or limit any right that the holders of any of the Notes may have to bring proceedings against the Company in the courts of any appropriate jurisdiction or to enforce in any lawful manner a judgment obtained in one jurisdiction in any other jurisdiction.</w:t>
      </w:r>
    </w:p>
    <w:p>
      <w:pPr>
        <w:spacing w:after="0" w:line="208" w:lineRule="exact"/>
        <w:rPr>
          <w:rFonts w:ascii="Times New Roman" w:cs="Times New Roman" w:eastAsia="Times New Roman" w:hAnsi="Times New Roman"/>
          <w:sz w:val="22"/>
          <w:szCs w:val="22"/>
          <w:color w:val="auto"/>
        </w:rPr>
      </w:pPr>
    </w:p>
    <w:p>
      <w:pPr>
        <w:ind w:firstLine="8"/>
        <w:spacing w:after="0" w:line="248" w:lineRule="auto"/>
        <w:tabs>
          <w:tab w:leader="none" w:pos="30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hereby waive trial by jury in any action brought on or with respect to this Agreement, the Notes or any other document executed in connection herewith or therewith.</w:t>
      </w:r>
    </w:p>
    <w:p>
      <w:pPr>
        <w:ind w:left="52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369" w:right="339" w:bottom="1440" w:gutter="0" w:footer="0" w:header="0"/>
        </w:sectPr>
      </w:pPr>
    </w:p>
    <w:bookmarkStart w:id="60" w:name="page61"/>
    <w:bookmarkEnd w:id="60"/>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If you are in agreement with the foregoing, please sign the form of agreement on a counterpart of this Agreement and return it to the Company, whereupon this Agreement shall become a binding agreement between you and the Company.</w:t>
      </w: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The Toro Company</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Angela C. Drake</w:t>
      </w:r>
    </w:p>
    <w:p>
      <w:pPr>
        <w:spacing w:after="0" w:line="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Angela C. Drake</w:t>
      </w:r>
    </w:p>
    <w:p>
      <w:pPr>
        <w:ind w:left="3900"/>
        <w:spacing w:after="0"/>
        <w:rPr>
          <w:sz w:val="20"/>
          <w:szCs w:val="20"/>
          <w:color w:val="auto"/>
        </w:rPr>
      </w:pPr>
      <w:r>
        <w:rPr>
          <w:rFonts w:ascii="Times New Roman" w:cs="Times New Roman" w:eastAsia="Times New Roman" w:hAnsi="Times New Roman"/>
          <w:sz w:val="22"/>
          <w:szCs w:val="22"/>
          <w:color w:val="auto"/>
        </w:rPr>
        <w:t>Title: Vice President and Chief Financial Officer</w:t>
      </w:r>
    </w:p>
    <w:p>
      <w:pPr>
        <w:spacing w:after="0" w:line="200" w:lineRule="exact"/>
        <w:rPr>
          <w:sz w:val="20"/>
          <w:szCs w:val="20"/>
          <w:color w:val="auto"/>
        </w:rPr>
      </w:pPr>
    </w:p>
    <w:p>
      <w:pPr>
        <w:spacing w:after="0" w:line="2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Zachary Taylor</w:t>
      </w:r>
    </w:p>
    <w:p>
      <w:pPr>
        <w:spacing w:after="0" w:line="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Zachary Taylor</w:t>
      </w:r>
    </w:p>
    <w:p>
      <w:pPr>
        <w:ind w:left="3900" w:right="860"/>
        <w:spacing w:after="0" w:line="248" w:lineRule="auto"/>
        <w:rPr>
          <w:sz w:val="20"/>
          <w:szCs w:val="20"/>
          <w:color w:val="auto"/>
        </w:rPr>
      </w:pPr>
      <w:r>
        <w:rPr>
          <w:rFonts w:ascii="Times New Roman" w:cs="Times New Roman" w:eastAsia="Times New Roman" w:hAnsi="Times New Roman"/>
          <w:sz w:val="22"/>
          <w:szCs w:val="22"/>
          <w:color w:val="auto"/>
        </w:rPr>
        <w:t>Title: Treasurer &amp; Sr. Director, Global Treasury, Financial Services &amp; Risk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369" w:right="339" w:bottom="1440" w:gutter="0" w:footer="0" w:header="0"/>
        </w:sectPr>
      </w:pPr>
    </w:p>
    <w:bookmarkStart w:id="61" w:name="page62"/>
    <w:bookmarkEnd w:id="61"/>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47" w:lineRule="exact"/>
        <w:rPr>
          <w:sz w:val="20"/>
          <w:szCs w:val="20"/>
          <w:color w:val="auto"/>
        </w:rPr>
      </w:pPr>
    </w:p>
    <w:p>
      <w:pPr>
        <w:ind w:left="3900" w:right="259"/>
        <w:spacing w:after="0" w:line="258" w:lineRule="auto"/>
        <w:rPr>
          <w:sz w:val="20"/>
          <w:szCs w:val="20"/>
          <w:color w:val="auto"/>
        </w:rPr>
      </w:pPr>
      <w:r>
        <w:rPr>
          <w:rFonts w:ascii="Times New Roman" w:cs="Times New Roman" w:eastAsia="Times New Roman" w:hAnsi="Times New Roman"/>
          <w:sz w:val="22"/>
          <w:szCs w:val="22"/>
          <w:color w:val="auto"/>
        </w:rPr>
        <w:t>VOYA RETIREMENT INSURANCE AND ANNUITY COMPANY By: Voya Investment Management LLC, as Agent</w:t>
      </w: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Scott Brown</w:t>
      </w:r>
    </w:p>
    <w:p>
      <w:pPr>
        <w:spacing w:after="0" w:line="2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Scott Brown</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BPCE VIE</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BRIGHTHOUSE LIFE INSURANCE COMPANY</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Voya Investment Management LLC, as Agent</w:t>
      </w: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Scott Brown</w:t>
      </w:r>
    </w:p>
    <w:p>
      <w:pPr>
        <w:spacing w:after="0" w:line="2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Scott Brown</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23" w:lineRule="exact"/>
        <w:rPr>
          <w:sz w:val="20"/>
          <w:szCs w:val="20"/>
          <w:color w:val="auto"/>
        </w:rPr>
      </w:pPr>
    </w:p>
    <w:p>
      <w:pPr>
        <w:ind w:left="3900" w:right="479"/>
        <w:spacing w:after="0" w:line="258" w:lineRule="auto"/>
        <w:rPr>
          <w:sz w:val="20"/>
          <w:szCs w:val="20"/>
          <w:color w:val="auto"/>
        </w:rPr>
      </w:pPr>
      <w:r>
        <w:rPr>
          <w:rFonts w:ascii="Times New Roman" w:cs="Times New Roman" w:eastAsia="Times New Roman" w:hAnsi="Times New Roman"/>
          <w:sz w:val="22"/>
          <w:szCs w:val="22"/>
          <w:color w:val="auto"/>
        </w:rPr>
        <w:t>VOYA PRIVATE CREDIT TRUST FUND - GOLDMAN SACHS By: Voya Investment Trust Co., as Trustee</w:t>
      </w: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Scott Brown</w:t>
      </w:r>
    </w:p>
    <w:p>
      <w:pPr>
        <w:spacing w:after="0" w:line="2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Scott Brown</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0139"/>
          </w:cols>
          <w:pgMar w:left="320" w:top="369" w:right="1440" w:bottom="1440" w:gutter="0" w:footer="0" w:header="0"/>
        </w:sectPr>
      </w:pPr>
    </w:p>
    <w:bookmarkStart w:id="62" w:name="page63"/>
    <w:bookmarkEnd w:id="62"/>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NEW YORK LIFE INSURANCE COMPANY</w:t>
      </w:r>
    </w:p>
    <w:p>
      <w:pPr>
        <w:spacing w:after="0" w:line="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NYL Investors LLC, its Investment Manager</w:t>
      </w:r>
    </w:p>
    <w:p>
      <w:pPr>
        <w:spacing w:after="0" w:line="200" w:lineRule="exact"/>
        <w:rPr>
          <w:sz w:val="20"/>
          <w:szCs w:val="20"/>
          <w:color w:val="auto"/>
        </w:rPr>
      </w:pPr>
    </w:p>
    <w:p>
      <w:pPr>
        <w:spacing w:after="0" w:line="2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Sydney G. Crowe</w:t>
      </w:r>
    </w:p>
    <w:p>
      <w:pPr>
        <w:spacing w:after="0" w:line="2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Sydney G. Crowe</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52" w:lineRule="exact"/>
        <w:rPr>
          <w:sz w:val="20"/>
          <w:szCs w:val="20"/>
          <w:color w:val="auto"/>
        </w:rPr>
      </w:pPr>
    </w:p>
    <w:p>
      <w:pPr>
        <w:ind w:left="3900" w:right="680"/>
        <w:spacing w:after="0" w:line="271" w:lineRule="auto"/>
        <w:rPr>
          <w:sz w:val="20"/>
          <w:szCs w:val="20"/>
          <w:color w:val="auto"/>
        </w:rPr>
      </w:pPr>
      <w:r>
        <w:rPr>
          <w:rFonts w:ascii="Times New Roman" w:cs="Times New Roman" w:eastAsia="Times New Roman" w:hAnsi="Times New Roman"/>
          <w:sz w:val="22"/>
          <w:szCs w:val="22"/>
          <w:color w:val="auto"/>
        </w:rPr>
        <w:t>NEW YORK LIFE INSURANCE AND ANNUITY CORPORATION By: NYL Investors LLC, its Investment Manager</w:t>
      </w:r>
    </w:p>
    <w:p>
      <w:pPr>
        <w:spacing w:after="0" w:line="200" w:lineRule="exact"/>
        <w:rPr>
          <w:sz w:val="20"/>
          <w:szCs w:val="20"/>
          <w:color w:val="auto"/>
        </w:rPr>
      </w:pPr>
    </w:p>
    <w:p>
      <w:pPr>
        <w:spacing w:after="0" w:line="2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Sydney G. Crowe</w:t>
      </w:r>
    </w:p>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Sydney G. Crowe</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66" w:lineRule="exact"/>
        <w:rPr>
          <w:sz w:val="20"/>
          <w:szCs w:val="20"/>
          <w:color w:val="auto"/>
        </w:rPr>
      </w:pPr>
    </w:p>
    <w:p>
      <w:pPr>
        <w:ind w:left="3900"/>
        <w:spacing w:after="0" w:line="246" w:lineRule="auto"/>
        <w:rPr>
          <w:sz w:val="20"/>
          <w:szCs w:val="20"/>
          <w:color w:val="auto"/>
        </w:rPr>
      </w:pPr>
      <w:r>
        <w:rPr>
          <w:rFonts w:ascii="Times New Roman" w:cs="Times New Roman" w:eastAsia="Times New Roman" w:hAnsi="Times New Roman"/>
          <w:sz w:val="22"/>
          <w:szCs w:val="22"/>
          <w:color w:val="auto"/>
        </w:rPr>
        <w:t>NEW YORK LIFE INSURANCE AND ANNUITY CORPORATION INSTITUTIONALLY OWNED LIFE INSURANCE SEPARATE ACCOUNT (BOLI30D)</w:t>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NYL Investors LLC, its Investment Manager</w:t>
      </w:r>
    </w:p>
    <w:p>
      <w:pPr>
        <w:spacing w:after="0" w:line="200" w:lineRule="exact"/>
        <w:rPr>
          <w:sz w:val="20"/>
          <w:szCs w:val="20"/>
          <w:color w:val="auto"/>
        </w:rPr>
      </w:pPr>
    </w:p>
    <w:p>
      <w:pPr>
        <w:spacing w:after="0" w:line="2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Sydney G. Crowe</w:t>
      </w:r>
    </w:p>
    <w:p>
      <w:pPr>
        <w:spacing w:after="0" w:line="1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Sydney G. Crowe</w:t>
      </w:r>
    </w:p>
    <w:p>
      <w:pPr>
        <w:ind w:left="422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0660"/>
          </w:cols>
          <w:pgMar w:left="320" w:top="369" w:right="919" w:bottom="1440" w:gutter="0" w:footer="0" w:header="0"/>
        </w:sectPr>
      </w:pPr>
    </w:p>
    <w:bookmarkStart w:id="63" w:name="page64"/>
    <w:bookmarkEnd w:id="63"/>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LIFE INSURANCE COMPANY OF NORTH AMERICA</w:t>
      </w:r>
    </w:p>
    <w:p>
      <w:pPr>
        <w:spacing w:after="0" w:line="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NYL Investors LLC, its Investment Manager</w:t>
      </w:r>
    </w:p>
    <w:p>
      <w:pPr>
        <w:spacing w:after="0" w:line="200" w:lineRule="exact"/>
        <w:rPr>
          <w:sz w:val="20"/>
          <w:szCs w:val="20"/>
          <w:color w:val="auto"/>
        </w:rPr>
      </w:pPr>
    </w:p>
    <w:p>
      <w:pPr>
        <w:spacing w:after="0" w:line="2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Sydney G. Crowe</w:t>
      </w:r>
    </w:p>
    <w:p>
      <w:pPr>
        <w:spacing w:after="0" w:line="2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Sydney G. Crowe</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NEW YORK LIFE GROUP INSURANCE COMPANY OF NY</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NYL Investors LLC, its Investment Manager</w:t>
      </w:r>
    </w:p>
    <w:p>
      <w:pPr>
        <w:spacing w:after="0" w:line="200" w:lineRule="exact"/>
        <w:rPr>
          <w:sz w:val="20"/>
          <w:szCs w:val="20"/>
          <w:color w:val="auto"/>
        </w:rPr>
      </w:pPr>
    </w:p>
    <w:p>
      <w:pPr>
        <w:spacing w:after="0" w:line="2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Sydney G. Crowe</w:t>
      </w:r>
    </w:p>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Sydney G. Crowe</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Director</w:t>
      </w:r>
    </w:p>
    <w:p>
      <w:pPr>
        <w:spacing w:after="0" w:line="233" w:lineRule="auto"/>
        <w:rPr>
          <w:sz w:val="20"/>
          <w:szCs w:val="20"/>
          <w:color w:val="auto"/>
        </w:rPr>
      </w:pPr>
      <w:r>
        <w:rPr>
          <w:rFonts w:ascii="Times New Roman" w:cs="Times New Roman" w:eastAsia="Times New Roman" w:hAnsi="Times New Roman"/>
          <w:sz w:val="22"/>
          <w:szCs w:val="22"/>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3900"/>
        <w:spacing w:after="0" w:line="253" w:lineRule="auto"/>
        <w:rPr>
          <w:sz w:val="20"/>
          <w:szCs w:val="20"/>
          <w:color w:val="auto"/>
        </w:rPr>
      </w:pPr>
      <w:r>
        <w:rPr>
          <w:rFonts w:ascii="Times New Roman" w:cs="Times New Roman" w:eastAsia="Times New Roman" w:hAnsi="Times New Roman"/>
          <w:sz w:val="21"/>
          <w:szCs w:val="21"/>
          <w:color w:val="auto"/>
        </w:rPr>
        <w:t>THE BANK OF NEW YORK MELLON, A BANKING CORPORATION ORGANIZED UNDER THE LAWS OF NEW YORK, NOT IN ITS INDIVIDUAL CAPACITY BUT SOLELY AS TRUSTEE UNDER THAT CERTAIN TRUST AGREEMENT DATED AS OF JULY 1ST, 2015 BETWEEN NEW YORK LIFE INSURANCE COMPANY, AS GRANTOR, JOHN HANCOCK LIFE INSURANCE COMPANY (U.S.A.), AS BENEFICIARY, JOHN HANCOCK LIFE INSURANCE COMPANY OF NEW YORK, AS BENEFICIARY, AND THE BANK OF NEW YORK MELLON, AS TRUSTEE</w:t>
      </w:r>
    </w:p>
    <w:p>
      <w:pPr>
        <w:spacing w:after="0" w:line="1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New York Life Insurance Company, its attorney-in-fact</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NYL Investors LLC, its Investment Manager</w:t>
      </w:r>
    </w:p>
    <w:p>
      <w:pPr>
        <w:spacing w:after="0" w:line="200" w:lineRule="exact"/>
        <w:rPr>
          <w:sz w:val="20"/>
          <w:szCs w:val="20"/>
          <w:color w:val="auto"/>
        </w:rPr>
      </w:pPr>
    </w:p>
    <w:p>
      <w:pPr>
        <w:spacing w:after="0" w:line="2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Sydney G. Crowe</w:t>
      </w:r>
    </w:p>
    <w:p>
      <w:pPr>
        <w:spacing w:after="0" w:line="1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Sydney G. Crowe</w:t>
      </w:r>
    </w:p>
    <w:p>
      <w:pPr>
        <w:ind w:left="422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160"/>
          </w:cols>
          <w:pgMar w:left="320" w:top="369" w:right="419" w:bottom="1440" w:gutter="0" w:footer="0" w:header="0"/>
        </w:sectPr>
      </w:pPr>
    </w:p>
    <w:bookmarkStart w:id="64" w:name="page65"/>
    <w:bookmarkEnd w:id="64"/>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33" w:lineRule="exact"/>
        <w:rPr>
          <w:sz w:val="20"/>
          <w:szCs w:val="20"/>
          <w:color w:val="auto"/>
        </w:rPr>
      </w:pPr>
    </w:p>
    <w:p>
      <w:pPr>
        <w:ind w:left="3900" w:right="1040"/>
        <w:spacing w:after="0" w:line="252" w:lineRule="auto"/>
        <w:rPr>
          <w:sz w:val="20"/>
          <w:szCs w:val="20"/>
          <w:color w:val="auto"/>
        </w:rPr>
      </w:pPr>
      <w:r>
        <w:rPr>
          <w:rFonts w:ascii="Times New Roman" w:cs="Times New Roman" w:eastAsia="Times New Roman" w:hAnsi="Times New Roman"/>
          <w:sz w:val="22"/>
          <w:szCs w:val="22"/>
          <w:color w:val="auto"/>
        </w:rPr>
        <w:t>THE PRUDENTIAL INSURANCE COMPANY OF AMERICA PRUDENTIAL ARIZONA REINSURANCE CAPTIVE COMPANY PRUCO LIFE INSURANCE COMPANY By: PGIM, Inc. (as Investment Manager)</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212121"/>
        </w:rPr>
        <w:t>Anna Sabiston</w:t>
      </w:r>
    </w:p>
    <w:p>
      <w:pPr>
        <w:spacing w:after="0" w:line="1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color w:val="212121"/>
        </w:rPr>
        <w:t>Anna Sabiston</w:t>
      </w:r>
    </w:p>
    <w:p>
      <w:pPr>
        <w:ind w:left="42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THE PRUDENTIAL GIBRALTAR FINANCIAL LIFE INSURANCE CO., LTD.</w:t>
      </w:r>
    </w:p>
    <w:p>
      <w:pPr>
        <w:spacing w:after="0" w:line="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PGIM Japan Co., Ltd. (as Investment Manager)</w:t>
      </w:r>
    </w:p>
    <w:p>
      <w:pPr>
        <w:spacing w:after="0" w:line="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By: PGIM, Inc. (as Sub-Advisor)</w:t>
      </w:r>
    </w:p>
    <w:p>
      <w:pPr>
        <w:spacing w:after="0" w:line="200" w:lineRule="exact"/>
        <w:rPr>
          <w:sz w:val="20"/>
          <w:szCs w:val="20"/>
          <w:color w:val="auto"/>
        </w:rPr>
      </w:pPr>
    </w:p>
    <w:p>
      <w:pPr>
        <w:spacing w:after="0" w:line="2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212121"/>
        </w:rPr>
        <w:t>Anna Sabiston</w:t>
      </w:r>
    </w:p>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color w:val="212121"/>
        </w:rPr>
        <w:t>Anna Sabiston</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0960"/>
          </w:cols>
          <w:pgMar w:left="320" w:top="369" w:right="619" w:bottom="1440" w:gutter="0" w:footer="0" w:header="0"/>
        </w:sectPr>
      </w:pPr>
    </w:p>
    <w:bookmarkStart w:id="65" w:name="page66"/>
    <w:bookmarkEnd w:id="65"/>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47" w:lineRule="exact"/>
        <w:rPr>
          <w:sz w:val="20"/>
          <w:szCs w:val="20"/>
          <w:color w:val="auto"/>
        </w:rPr>
      </w:pPr>
    </w:p>
    <w:p>
      <w:pPr>
        <w:ind w:left="3900" w:right="819"/>
        <w:spacing w:after="0" w:line="282" w:lineRule="auto"/>
        <w:rPr>
          <w:sz w:val="20"/>
          <w:szCs w:val="20"/>
          <w:color w:val="auto"/>
        </w:rPr>
      </w:pPr>
      <w:r>
        <w:rPr>
          <w:rFonts w:ascii="Times New Roman" w:cs="Times New Roman" w:eastAsia="Times New Roman" w:hAnsi="Times New Roman"/>
          <w:sz w:val="21"/>
          <w:szCs w:val="21"/>
          <w:color w:val="auto"/>
        </w:rPr>
        <w:t>NEUBERGER BERMAN STRATEGIC INCOME FUND By: Neuberger Berman Investment Advisers LLC, as Manager</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Frank LaTorraca</w:t>
      </w:r>
    </w:p>
    <w:p>
      <w:pPr>
        <w:spacing w:after="0" w:line="2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Frank LaTorraca</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0139"/>
          </w:cols>
          <w:pgMar w:left="320" w:top="369" w:right="1440" w:bottom="1440" w:gutter="0" w:footer="0" w:header="0"/>
        </w:sectPr>
      </w:pPr>
    </w:p>
    <w:bookmarkStart w:id="66" w:name="page67"/>
    <w:bookmarkEnd w:id="66"/>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Defined Terms</w:t>
      </w:r>
    </w:p>
    <w:p>
      <w:pPr>
        <w:spacing w:after="0" w:line="15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As used herein, the following terms have the respective meanings set forth below or set forth in the Section hereof following such term:</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“2019 Note Purchase Agreement” </w:t>
      </w:r>
      <w:r>
        <w:rPr>
          <w:rFonts w:ascii="Times New Roman" w:cs="Times New Roman" w:eastAsia="Times New Roman" w:hAnsi="Times New Roman"/>
          <w:sz w:val="22"/>
          <w:szCs w:val="22"/>
          <w:color w:val="auto"/>
        </w:rPr>
        <w:t>is defined within the definition of Material Credit Facility.</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“2022 Note Purchase Agreement” </w:t>
      </w:r>
      <w:r>
        <w:rPr>
          <w:rFonts w:ascii="Times New Roman" w:cs="Times New Roman" w:eastAsia="Times New Roman" w:hAnsi="Times New Roman"/>
          <w:sz w:val="22"/>
          <w:szCs w:val="22"/>
          <w:color w:val="auto"/>
        </w:rPr>
        <w:t>is defined within the definition of Material Credit Facility.</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“2022 Credit Agreement” </w:t>
      </w:r>
      <w:r>
        <w:rPr>
          <w:rFonts w:ascii="Times New Roman" w:cs="Times New Roman" w:eastAsia="Times New Roman" w:hAnsi="Times New Roman"/>
          <w:sz w:val="22"/>
          <w:szCs w:val="22"/>
          <w:color w:val="auto"/>
        </w:rPr>
        <w:t>is defined within the definition of Material Credit Facility.</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“2024 Credit Agreement” </w:t>
      </w:r>
      <w:r>
        <w:rPr>
          <w:rFonts w:ascii="Times New Roman" w:cs="Times New Roman" w:eastAsia="Times New Roman" w:hAnsi="Times New Roman"/>
          <w:sz w:val="22"/>
          <w:szCs w:val="22"/>
          <w:color w:val="auto"/>
        </w:rPr>
        <w:t>is defined within the definition of Material Credit Facility.</w:t>
      </w:r>
    </w:p>
    <w:p>
      <w:pPr>
        <w:spacing w:after="0" w:line="16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“Acquisition” </w:t>
      </w:r>
      <w:r>
        <w:rPr>
          <w:rFonts w:ascii="Times New Roman" w:cs="Times New Roman" w:eastAsia="Times New Roman" w:hAnsi="Times New Roman"/>
          <w:sz w:val="22"/>
          <w:szCs w:val="22"/>
          <w:color w:val="auto"/>
        </w:rPr>
        <w:t>means any investment which involves a transaction or series of related transactions for the purpose of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resulting, directly or indirectly, in (a) the acquisition of all or substantially all of the assets of a Person, or of any business or division of a Person, (b) the acquisition of in excess of 50% of the capital stock, partnership interests, membership interests or equity of any Person, or otherwise causing any Person to become a Subsidiary or (c) a merger or consolidation or any other combination with another Person that is otherwise permitted under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each case, (i) before and after giving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to any such Acquisition, the Company is in compliance with financial covenant set forth in Section 10.7, (ii) such Acquisition is undertaken in accordance with all applicable Laws, and (iii) the prior, effective written consent or approval to such Acquisition of the board of directors or equivalent governing body of the acquiree is obtained.</w:t>
      </w:r>
    </w:p>
    <w:p>
      <w:pPr>
        <w:spacing w:after="0" w:line="11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“Affiliate” </w:t>
      </w:r>
      <w:r>
        <w:rPr>
          <w:rFonts w:ascii="Times New Roman" w:cs="Times New Roman" w:eastAsia="Times New Roman" w:hAnsi="Times New Roman"/>
          <w:sz w:val="22"/>
          <w:szCs w:val="22"/>
          <w:color w:val="auto"/>
        </w:rPr>
        <w:t>means, at any time, and with respect to any Person, any other Person that at such time directly or indirectly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through one or more intermediaries Controls, or is Controlled by, or is under common Control with, such first Person. Unless the context otherwise clearly requires, any reference to an “Affiliate” is a reference to an Affiliate of the Company.</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“Agreement” </w:t>
      </w:r>
      <w:r>
        <w:rPr>
          <w:rFonts w:ascii="Times New Roman" w:cs="Times New Roman" w:eastAsia="Times New Roman" w:hAnsi="Times New Roman"/>
          <w:sz w:val="22"/>
          <w:szCs w:val="22"/>
          <w:color w:val="auto"/>
        </w:rPr>
        <w:t>means this Note Purchase Agreement, including all Schedules attached to this Agreement.</w:t>
      </w:r>
    </w:p>
    <w:p>
      <w:pPr>
        <w:spacing w:after="0" w:line="108" w:lineRule="exact"/>
        <w:rPr>
          <w:sz w:val="20"/>
          <w:szCs w:val="20"/>
          <w:color w:val="auto"/>
        </w:rPr>
      </w:pPr>
    </w:p>
    <w:p>
      <w:pPr>
        <w:jc w:val="both"/>
        <w:ind w:firstLine="648"/>
        <w:spacing w:after="0" w:line="294" w:lineRule="exact"/>
        <w:rPr>
          <w:sz w:val="20"/>
          <w:szCs w:val="20"/>
          <w:color w:val="auto"/>
        </w:rPr>
      </w:pPr>
      <w:r>
        <w:rPr>
          <w:rFonts w:ascii="Times New Roman" w:cs="Times New Roman" w:eastAsia="Times New Roman" w:hAnsi="Times New Roman"/>
          <w:sz w:val="22"/>
          <w:szCs w:val="22"/>
          <w:b w:val="1"/>
          <w:bCs w:val="1"/>
          <w:color w:val="auto"/>
        </w:rPr>
        <w:t>“Anti</w:t>
      </w:r>
      <w:r>
        <w:rPr>
          <w:rFonts w:ascii="MS PGothic" w:cs="MS PGothic" w:eastAsia="MS PGothic" w:hAnsi="MS PGothic"/>
          <w:sz w:val="22"/>
          <w:szCs w:val="22"/>
          <w:color w:val="auto"/>
        </w:rPr>
        <w:t>‑</w:t>
      </w:r>
      <w:r>
        <w:rPr>
          <w:rFonts w:ascii="Times New Roman" w:cs="Times New Roman" w:eastAsia="Times New Roman" w:hAnsi="Times New Roman"/>
          <w:sz w:val="22"/>
          <w:szCs w:val="22"/>
          <w:b w:val="1"/>
          <w:bCs w:val="1"/>
          <w:color w:val="auto"/>
        </w:rPr>
        <w:t xml:space="preserve">Corruption Laws” </w:t>
      </w:r>
      <w:r>
        <w:rPr>
          <w:rFonts w:ascii="Times New Roman" w:cs="Times New Roman" w:eastAsia="Times New Roman" w:hAnsi="Times New Roman"/>
          <w:sz w:val="22"/>
          <w:szCs w:val="22"/>
          <w:color w:val="auto"/>
        </w:rPr>
        <w:t>means any law or regulation in a U.S. or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jurisdiction regarding bribery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corrupt activity, including the U.S. Foreign Corrupt Practices Act and the U.K. Bribery Act 2010.</w:t>
      </w:r>
    </w:p>
    <w:p>
      <w:pPr>
        <w:spacing w:after="0" w:line="89" w:lineRule="exact"/>
        <w:rPr>
          <w:sz w:val="20"/>
          <w:szCs w:val="20"/>
          <w:color w:val="auto"/>
        </w:rPr>
      </w:pPr>
    </w:p>
    <w:p>
      <w:pPr>
        <w:jc w:val="both"/>
        <w:ind w:firstLine="648"/>
        <w:spacing w:after="0" w:line="277" w:lineRule="exact"/>
        <w:rPr>
          <w:sz w:val="20"/>
          <w:szCs w:val="20"/>
          <w:color w:val="auto"/>
        </w:rPr>
      </w:pPr>
      <w:r>
        <w:rPr>
          <w:rFonts w:ascii="Times New Roman" w:cs="Times New Roman" w:eastAsia="Times New Roman" w:hAnsi="Times New Roman"/>
          <w:sz w:val="22"/>
          <w:szCs w:val="22"/>
          <w:b w:val="1"/>
          <w:bCs w:val="1"/>
          <w:color w:val="auto"/>
        </w:rPr>
        <w:t>“Anti</w:t>
      </w:r>
      <w:r>
        <w:rPr>
          <w:rFonts w:ascii="MS PGothic" w:cs="MS PGothic" w:eastAsia="MS PGothic" w:hAnsi="MS PGothic"/>
          <w:sz w:val="22"/>
          <w:szCs w:val="22"/>
          <w:color w:val="auto"/>
        </w:rPr>
        <w:t>‑</w:t>
      </w:r>
      <w:r>
        <w:rPr>
          <w:rFonts w:ascii="Times New Roman" w:cs="Times New Roman" w:eastAsia="Times New Roman" w:hAnsi="Times New Roman"/>
          <w:sz w:val="22"/>
          <w:szCs w:val="22"/>
          <w:b w:val="1"/>
          <w:bCs w:val="1"/>
          <w:color w:val="auto"/>
        </w:rPr>
        <w:t xml:space="preserve">Money Laundering Laws” </w:t>
      </w:r>
      <w:r>
        <w:rPr>
          <w:rFonts w:ascii="Times New Roman" w:cs="Times New Roman" w:eastAsia="Times New Roman" w:hAnsi="Times New Roman"/>
          <w:sz w:val="22"/>
          <w:szCs w:val="22"/>
          <w:color w:val="auto"/>
        </w:rPr>
        <w:t>means any law or regulation in a U.S. or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jurisdiction regarding money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laundering, drug trafficking, terrorist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related activities or other money laundering predicate crimes, including the Currency and Foreign Transactions Reporting Act of 1970 (otherwise known as the Bank Secrecy Act) and the USA PATRIOT Act.</w:t>
      </w:r>
    </w:p>
    <w:p>
      <w:pPr>
        <w:spacing w:after="0" w:line="1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“Available Cash” </w:t>
      </w:r>
      <w:r>
        <w:rPr>
          <w:rFonts w:ascii="Times New Roman" w:cs="Times New Roman" w:eastAsia="Times New Roman" w:hAnsi="Times New Roman"/>
          <w:sz w:val="22"/>
          <w:szCs w:val="22"/>
          <w:color w:val="auto"/>
        </w:rPr>
        <w:t>means cash and cash equivalents of the Company and its Subsidiaries on hand and on deposit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located in the United States on the applicable date of determination, other than cash or cash equivalents which are (a) listed or should be listed as “restricted” on the consolidated balance sheet of the Company and its Subsidiaries as of such date, (b) subject to any Lien, (c) held in accounts that are subject to any restriction on use or segregated or otherwise held separate for a particular purpose in favor of a third party, (d)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369" w:right="339" w:bottom="1440" w:gutter="0" w:footer="0" w:header="0"/>
        </w:sectPr>
      </w:pPr>
    </w:p>
    <w:bookmarkStart w:id="67" w:name="page68"/>
    <w:bookmarkEnd w:id="67"/>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otherwise generally available for use by the Company and its Subsidiaries, or (e) held as cash collateral.</w:t>
      </w:r>
    </w:p>
    <w:p>
      <w:pPr>
        <w:spacing w:after="0" w:line="16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Blocked Person</w:t>
      </w:r>
      <w:r>
        <w:rPr>
          <w:rFonts w:ascii="Times New Roman" w:cs="Times New Roman" w:eastAsia="Times New Roman" w:hAnsi="Times New Roman"/>
          <w:sz w:val="22"/>
          <w:szCs w:val="22"/>
          <w:color w:val="auto"/>
        </w:rPr>
        <w:t>” means (a) a Person whose name appears on the list of Specially Designated Nationals and 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clause (a) or (b).</w:t>
      </w:r>
    </w:p>
    <w:p>
      <w:pPr>
        <w:spacing w:after="0" w:line="11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“Business Day” </w:t>
      </w:r>
      <w:r>
        <w:rPr>
          <w:rFonts w:ascii="Times New Roman" w:cs="Times New Roman" w:eastAsia="Times New Roman" w:hAnsi="Times New Roman"/>
          <w:sz w:val="22"/>
          <w:szCs w:val="22"/>
          <w:color w:val="auto"/>
        </w:rPr>
        <w:t>means (a) for the purposes of Section 8.6 only, any day other than a Saturday, a Sunday or a day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commercial banks in New York City are required or authorized to be closed, and (b) for the purposes of any other provision of this Agreement, any day other than a Saturday, a Sunday or a day on which commercial banks in New York, New York or Bloomington, Minnesota are required or authorized to be closed.</w:t>
      </w:r>
    </w:p>
    <w:p>
      <w:pPr>
        <w:spacing w:after="0" w:line="1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“Capital Lease” </w:t>
      </w:r>
      <w:r>
        <w:rPr>
          <w:rFonts w:ascii="Times New Roman" w:cs="Times New Roman" w:eastAsia="Times New Roman" w:hAnsi="Times New Roman"/>
          <w:sz w:val="22"/>
          <w:szCs w:val="22"/>
          <w:color w:val="auto"/>
        </w:rPr>
        <w:t>means each lease by such Person as lessee (or other arrangement conveying the right to use) that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been or is required to be, in accordance with GAAP, classified and accounted for as a finance lease on a balance sheet of such Person.</w:t>
      </w:r>
    </w:p>
    <w:p>
      <w:pPr>
        <w:spacing w:after="0" w:line="99" w:lineRule="exact"/>
        <w:rPr>
          <w:sz w:val="20"/>
          <w:szCs w:val="20"/>
          <w:color w:val="auto"/>
        </w:rPr>
      </w:pPr>
    </w:p>
    <w:p>
      <w:pPr>
        <w:jc w:val="both"/>
        <w:ind w:firstLine="648"/>
        <w:spacing w:after="0" w:line="255" w:lineRule="exact"/>
        <w:rPr>
          <w:sz w:val="20"/>
          <w:szCs w:val="20"/>
          <w:color w:val="auto"/>
        </w:rPr>
      </w:pPr>
      <w:r>
        <w:rPr>
          <w:rFonts w:ascii="Times New Roman" w:cs="Times New Roman" w:eastAsia="Times New Roman" w:hAnsi="Times New Roman"/>
          <w:sz w:val="22"/>
          <w:szCs w:val="22"/>
          <w:b w:val="1"/>
          <w:bCs w:val="1"/>
          <w:color w:val="auto"/>
        </w:rPr>
        <w:t xml:space="preserve">“Change of Control” </w:t>
      </w:r>
      <w:r>
        <w:rPr>
          <w:rFonts w:ascii="Times New Roman" w:cs="Times New Roman" w:eastAsia="Times New Roman" w:hAnsi="Times New Roman"/>
          <w:sz w:val="22"/>
          <w:szCs w:val="22"/>
          <w:color w:val="auto"/>
        </w:rPr>
        <w:t>means an event or series of events by which (i) any Person or group within the meaning of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13(d)(3) of the Exchange Act and the rules and regulations promulgated thereunder, shall, after the date of Closing, acquire beneficial ownership (within the meaning of Rule 13d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3 of the Exchange Act), directly or indirectly, of securities of the Company (or other securities convertible into such securities) representing thirty percent (30%) of the combined voting power of all securities of the Company entitled to vote in the election of directors, other than securities having such power only by reason of the happening of a contingency (hereinafter called a </w:t>
      </w:r>
      <w:r>
        <w:rPr>
          <w:rFonts w:ascii="Times New Roman" w:cs="Times New Roman" w:eastAsia="Times New Roman" w:hAnsi="Times New Roman"/>
          <w:sz w:val="22"/>
          <w:szCs w:val="22"/>
          <w:b w:val="1"/>
          <w:bCs w:val="1"/>
          <w:color w:val="auto"/>
        </w:rPr>
        <w:t>“Controlling Person”</w:t>
      </w:r>
      <w:r>
        <w:rPr>
          <w:rFonts w:ascii="Times New Roman" w:cs="Times New Roman" w:eastAsia="Times New Roman" w:hAnsi="Times New Roman"/>
          <w:sz w:val="22"/>
          <w:szCs w:val="22"/>
          <w:color w:val="auto"/>
        </w:rPr>
        <w:t>); or (ii) a majority of the Board of Directors of the Company shall cease for any reason to consist of (A) individuals who on the Closing Date were serving as directors of the Company and (B) individuals who subsequently become members of the Board if such individuals’ nomination for election or election to the Board is recommended or approved by a majority of the Board of Directors of the Company; or (iii) a default or the happening of any event shall occur under any charter, indenture, agreement or other instrument in connection with which any preferred stock of the Company may be issued, and as a result of such default or event the holders of such preferred stock shall designate or elect members of the Board of Directors of the Company. For purposes of clause (i) above, a Person or group shall not be a Controlling Person if such Person or group holds voting power in good faith and not for the purpose of circumventing Section 8.7 as an agent, bank, broker, nominee, trustee, or holder of revocable proxies given in response to a solicitation pursuant to the Exchange Act, for one or more beneficial owners who do not individually, or, if they are a group acting in concert, as a group, have the voting power specified in clause (i).</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“Closing” </w:t>
      </w:r>
      <w:r>
        <w:rPr>
          <w:rFonts w:ascii="Times New Roman" w:cs="Times New Roman" w:eastAsia="Times New Roman" w:hAnsi="Times New Roman"/>
          <w:sz w:val="22"/>
          <w:szCs w:val="22"/>
          <w:color w:val="auto"/>
        </w:rPr>
        <w:t>is defined in Section 3.</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“Closing Date” </w:t>
      </w:r>
      <w:r>
        <w:rPr>
          <w:rFonts w:ascii="Times New Roman" w:cs="Times New Roman" w:eastAsia="Times New Roman" w:hAnsi="Times New Roman"/>
          <w:sz w:val="22"/>
          <w:szCs w:val="22"/>
          <w:color w:val="auto"/>
        </w:rPr>
        <w:t>shall mean the date of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369" w:right="339" w:bottom="1440" w:gutter="0" w:footer="0" w:header="0"/>
        </w:sectPr>
      </w:pPr>
    </w:p>
    <w:bookmarkStart w:id="68" w:name="page69"/>
    <w:bookmarkEnd w:id="68"/>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“Code” </w:t>
      </w:r>
      <w:r>
        <w:rPr>
          <w:rFonts w:ascii="Times New Roman" w:cs="Times New Roman" w:eastAsia="Times New Roman" w:hAnsi="Times New Roman"/>
          <w:sz w:val="22"/>
          <w:szCs w:val="22"/>
          <w:color w:val="auto"/>
        </w:rPr>
        <w:t>means the Internal Revenue Code of 1986 and the rules and regulations promulgated thereunder from time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“Company” </w:t>
      </w:r>
      <w:r>
        <w:rPr>
          <w:rFonts w:ascii="Times New Roman" w:cs="Times New Roman" w:eastAsia="Times New Roman" w:hAnsi="Times New Roman"/>
          <w:sz w:val="22"/>
          <w:szCs w:val="22"/>
          <w:color w:val="auto"/>
        </w:rPr>
        <w:t>is defined in the first paragraph of this Agreement.</w:t>
      </w:r>
    </w:p>
    <w:p>
      <w:pPr>
        <w:spacing w:after="0" w:line="16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“Competitor” </w:t>
      </w:r>
      <w:r>
        <w:rPr>
          <w:rFonts w:ascii="Times New Roman" w:cs="Times New Roman" w:eastAsia="Times New Roman" w:hAnsi="Times New Roman"/>
          <w:sz w:val="22"/>
          <w:szCs w:val="22"/>
          <w:color w:val="auto"/>
        </w:rPr>
        <w:t>mean any Person that may reasonably be deemed to be engaged in a business that is competitive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Company’s and any of its Subsidiary’s business as currently conducted or as may be conducted in the future;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an Institutional Investor shall not be deemed a Competitor so long as, to the extent it makes investments in entities that would be Competitors, such investments are non-controlling and passive in nature (it being understood that any enforcement of rights by such Institutional Investor in connection with such investments shall be deemed to be consistent with investments of such nature).</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“Confidential Information” </w:t>
      </w:r>
      <w:r>
        <w:rPr>
          <w:rFonts w:ascii="Times New Roman" w:cs="Times New Roman" w:eastAsia="Times New Roman" w:hAnsi="Times New Roman"/>
          <w:sz w:val="22"/>
          <w:szCs w:val="22"/>
          <w:color w:val="auto"/>
        </w:rPr>
        <w:t>is defined in Section 20.</w:t>
      </w:r>
    </w:p>
    <w:p>
      <w:pPr>
        <w:spacing w:after="0" w:line="166" w:lineRule="exact"/>
        <w:rPr>
          <w:sz w:val="20"/>
          <w:szCs w:val="20"/>
          <w:color w:val="auto"/>
        </w:rPr>
      </w:pPr>
    </w:p>
    <w:p>
      <w:pPr>
        <w:jc w:val="both"/>
        <w:ind w:firstLine="648"/>
        <w:spacing w:after="0" w:line="257" w:lineRule="exact"/>
        <w:rPr>
          <w:sz w:val="20"/>
          <w:szCs w:val="20"/>
          <w:color w:val="auto"/>
        </w:rPr>
      </w:pPr>
      <w:r>
        <w:rPr>
          <w:rFonts w:ascii="Times New Roman" w:cs="Times New Roman" w:eastAsia="Times New Roman" w:hAnsi="Times New Roman"/>
          <w:sz w:val="22"/>
          <w:szCs w:val="22"/>
          <w:b w:val="1"/>
          <w:bCs w:val="1"/>
          <w:color w:val="auto"/>
        </w:rPr>
        <w:t xml:space="preserve">“Consolidated EBIT” </w:t>
      </w:r>
      <w:r>
        <w:rPr>
          <w:rFonts w:ascii="Times New Roman" w:cs="Times New Roman" w:eastAsia="Times New Roman" w:hAnsi="Times New Roman"/>
          <w:sz w:val="22"/>
          <w:szCs w:val="22"/>
          <w:color w:val="auto"/>
        </w:rPr>
        <w:t>means, for any period, for the Company and its Subsidiaries on a consolidated basis, an amount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equal to Consolidated Net Income for such period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following to the extent deducted in calculating such Consolidated Net Income: (i) Consolidated Interest Charges for such period, (ii) the provision for federal, state, local and foreign income taxes payable by the Company and its Subsidiaries for such period, and (iii) one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time,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recurring cash fees and expenses, not to exceed $65,000,000 in the aggregate, (x) related to restructurings or productivity initiatives, or (y) related to cost savings, restructuring, severance, integration, or consolidation related to an Acquisition or Disposition permitted under Section 10.3, and to include without limitation advisory, legal, financing, and consulting fees related to an Acquisition or such Disposition, incurred in anticipation of, in connection with or as a result of such Acquisition or Disposition, or (z) the matters set forth on Schedule 22.2 attached hereto, or (iv) non-cash charges (including any non-cash charges related to impairment or equity compensation) for such period.</w:t>
      </w:r>
    </w:p>
    <w:p>
      <w:pPr>
        <w:spacing w:after="0" w:line="12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“Consolidated Interest Charges” </w:t>
      </w:r>
      <w:r>
        <w:rPr>
          <w:rFonts w:ascii="Times New Roman" w:cs="Times New Roman" w:eastAsia="Times New Roman" w:hAnsi="Times New Roman"/>
          <w:sz w:val="22"/>
          <w:szCs w:val="22"/>
          <w:color w:val="auto"/>
        </w:rPr>
        <w:t>means, for any period, for the Company and its Subsidiaries on a consolidated basis,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sum of (a) all interest, discounts, premium payments, commissions, fees (other than fees incurred hereunder or in connection herewith), charges and related expenses of the Company and its Subsidiaries in connection with Indebtedness (including capitalized interest) or in connection with the deferred purchase price of assets or incurred with respect to any Receivables Purchase Facility permitted hereunder, in each case to the extent treated as interest in accordance with GAAP and (b) the portion of rent expense of the Company and its Subsidiaries with respect to such period under Capital Leases that is treated as interest in accordance with GAAP.</w:t>
      </w:r>
    </w:p>
    <w:p>
      <w:pPr>
        <w:spacing w:after="0" w:line="11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“Consolidated Net Income” </w:t>
      </w:r>
      <w:r>
        <w:rPr>
          <w:rFonts w:ascii="Times New Roman" w:cs="Times New Roman" w:eastAsia="Times New Roman" w:hAnsi="Times New Roman"/>
          <w:sz w:val="22"/>
          <w:szCs w:val="22"/>
          <w:color w:val="auto"/>
        </w:rPr>
        <w:t>means, for any period, for the Company and its Subsidiaries on a consolidated basis, the net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income of the Company and its Subsidiaries for that period.</w:t>
      </w:r>
    </w:p>
    <w:p>
      <w:pPr>
        <w:spacing w:after="0" w:line="95"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“Consolidated Total Assets” </w:t>
      </w:r>
      <w:r>
        <w:rPr>
          <w:rFonts w:ascii="Times New Roman" w:cs="Times New Roman" w:eastAsia="Times New Roman" w:hAnsi="Times New Roman"/>
          <w:sz w:val="22"/>
          <w:szCs w:val="22"/>
          <w:color w:val="auto"/>
        </w:rPr>
        <w:t>means the total assets of the Company and its Subsidiaries, determined on a consolidated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basis in accordance with GAAP.</w:t>
      </w:r>
    </w:p>
    <w:p>
      <w:pPr>
        <w:spacing w:after="0" w:line="8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“Control” </w:t>
      </w:r>
      <w:r>
        <w:rPr>
          <w:rFonts w:ascii="Times New Roman" w:cs="Times New Roman" w:eastAsia="Times New Roman" w:hAnsi="Times New Roman"/>
          <w:sz w:val="22"/>
          <w:szCs w:val="22"/>
          <w:color w:val="auto"/>
        </w:rPr>
        <w:t>means the possession, directly or indirectly, of the power to direct or cause the direction of the management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policies of a Person, whether through the ownership of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369" w:right="339" w:bottom="1440" w:gutter="0" w:footer="0" w:header="0"/>
        </w:sectPr>
      </w:pPr>
    </w:p>
    <w:bookmarkStart w:id="69" w:name="page70"/>
    <w:bookmarkEnd w:id="69"/>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2"/>
          <w:szCs w:val="22"/>
          <w:color w:val="auto"/>
        </w:rPr>
        <w:t>securities, by contract or otherwise; and the terms “</w:t>
      </w:r>
      <w:r>
        <w:rPr>
          <w:rFonts w:ascii="Times New Roman" w:cs="Times New Roman" w:eastAsia="Times New Roman" w:hAnsi="Times New Roman"/>
          <w:sz w:val="22"/>
          <w:szCs w:val="22"/>
          <w:b w:val="1"/>
          <w:bCs w:val="1"/>
          <w:color w:val="auto"/>
        </w:rPr>
        <w:t>Controlled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Controlling</w:t>
      </w:r>
      <w:r>
        <w:rPr>
          <w:rFonts w:ascii="Times New Roman" w:cs="Times New Roman" w:eastAsia="Times New Roman" w:hAnsi="Times New Roman"/>
          <w:sz w:val="22"/>
          <w:szCs w:val="22"/>
          <w:color w:val="auto"/>
        </w:rPr>
        <w:t>” shall have meanings correlative to the foregoing.</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“Control Event” </w:t>
      </w:r>
      <w:r>
        <w:rPr>
          <w:rFonts w:ascii="Times New Roman" w:cs="Times New Roman" w:eastAsia="Times New Roman" w:hAnsi="Times New Roman"/>
          <w:sz w:val="22"/>
          <w:szCs w:val="22"/>
          <w:color w:val="auto"/>
        </w:rPr>
        <w:t>means:</w:t>
      </w:r>
    </w:p>
    <w:p>
      <w:pPr>
        <w:spacing w:after="0" w:line="170" w:lineRule="exact"/>
        <w:rPr>
          <w:sz w:val="20"/>
          <w:szCs w:val="20"/>
          <w:color w:val="auto"/>
        </w:rPr>
      </w:pPr>
    </w:p>
    <w:p>
      <w:pPr>
        <w:jc w:val="both"/>
        <w:ind w:firstLine="656"/>
        <w:spacing w:after="0" w:line="257" w:lineRule="auto"/>
        <w:tabs>
          <w:tab w:leader="none" w:pos="90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by the Company or any of its Subsidiaries or Affiliates of any agreement or letter of intent with respect to any proposed transaction or event or series of transactions or events which, individually or in the aggregate, may reasonably be expected to result in a Change of Control,</w:t>
      </w:r>
    </w:p>
    <w:p>
      <w:pPr>
        <w:spacing w:after="0" w:line="105" w:lineRule="exact"/>
        <w:rPr>
          <w:rFonts w:ascii="Times New Roman" w:cs="Times New Roman" w:eastAsia="Times New Roman" w:hAnsi="Times New Roman"/>
          <w:sz w:val="22"/>
          <w:szCs w:val="22"/>
          <w:color w:val="auto"/>
        </w:rPr>
      </w:pPr>
    </w:p>
    <w:p>
      <w:pPr>
        <w:ind w:firstLine="656"/>
        <w:spacing w:after="0" w:line="271" w:lineRule="auto"/>
        <w:tabs>
          <w:tab w:leader="none" w:pos="96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of any written agreement which, when fully performed by the parties thereto, would result in a Change of Control, or</w:t>
      </w:r>
    </w:p>
    <w:p>
      <w:pPr>
        <w:spacing w:after="0" w:line="103" w:lineRule="exact"/>
        <w:rPr>
          <w:rFonts w:ascii="Times New Roman" w:cs="Times New Roman" w:eastAsia="Times New Roman" w:hAnsi="Times New Roman"/>
          <w:sz w:val="22"/>
          <w:szCs w:val="22"/>
          <w:color w:val="auto"/>
        </w:rPr>
      </w:pPr>
    </w:p>
    <w:p>
      <w:pPr>
        <w:jc w:val="both"/>
        <w:ind w:firstLine="656"/>
        <w:spacing w:after="0" w:line="248" w:lineRule="auto"/>
        <w:tabs>
          <w:tab w:leader="none" w:pos="105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making of any written offer by any person (as such term is used in section 13(d) and section 14(d)(2) of the Exchange Act as in effect on the date of the Closing) or related persons constituting a group (as such term is used in Rule 13d-5 under the Exchange Act as in effect on the date of the Closing) to the holders of the common stock of the Company, which offer, if accepted by the requisite number of holders, would result in a Change of Control.</w:t>
      </w:r>
    </w:p>
    <w:p>
      <w:pPr>
        <w:spacing w:after="0" w:line="1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“Controlled Entity” </w:t>
      </w:r>
      <w:r>
        <w:rPr>
          <w:rFonts w:ascii="Times New Roman" w:cs="Times New Roman" w:eastAsia="Times New Roman" w:hAnsi="Times New Roman"/>
          <w:sz w:val="22"/>
          <w:szCs w:val="22"/>
          <w:color w:val="auto"/>
        </w:rPr>
        <w:t>means (a) any of the Subsidiaries of the Company and any of their or the Company’s respective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Controlled Affiliates and (b) if the Company has a parent company, such parent company and its Controlled Affiliates.</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“Controlling Person” </w:t>
      </w:r>
      <w:r>
        <w:rPr>
          <w:rFonts w:ascii="Times New Roman" w:cs="Times New Roman" w:eastAsia="Times New Roman" w:hAnsi="Times New Roman"/>
          <w:sz w:val="22"/>
          <w:szCs w:val="22"/>
          <w:color w:val="auto"/>
        </w:rPr>
        <w:t>has the meaning set forth in the definition of Change of Control.</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“Covenant Holiday” </w:t>
      </w:r>
      <w:r>
        <w:rPr>
          <w:rFonts w:ascii="Times New Roman" w:cs="Times New Roman" w:eastAsia="Times New Roman" w:hAnsi="Times New Roman"/>
          <w:sz w:val="22"/>
          <w:szCs w:val="22"/>
          <w:color w:val="auto"/>
        </w:rPr>
        <w:t>is defined in Section 10.7(a).</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“Exchange Act” </w:t>
      </w:r>
      <w:r>
        <w:rPr>
          <w:rFonts w:ascii="Times New Roman" w:cs="Times New Roman" w:eastAsia="Times New Roman" w:hAnsi="Times New Roman"/>
          <w:sz w:val="22"/>
          <w:szCs w:val="22"/>
          <w:color w:val="auto"/>
        </w:rPr>
        <w:t>means the Securities Exchange Act of 1934, and regulations promulgated thereunder.</w:t>
      </w:r>
    </w:p>
    <w:p>
      <w:pPr>
        <w:spacing w:after="0" w:line="15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“Default” </w:t>
      </w:r>
      <w:r>
        <w:rPr>
          <w:rFonts w:ascii="Times New Roman" w:cs="Times New Roman" w:eastAsia="Times New Roman" w:hAnsi="Times New Roman"/>
          <w:sz w:val="22"/>
          <w:szCs w:val="22"/>
          <w:color w:val="auto"/>
        </w:rPr>
        <w:t>means an event or condition the occurrence or existence of which would, with the lapse of time or the giving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or both, become an Event of Default.</w:t>
      </w:r>
    </w:p>
    <w:p>
      <w:pPr>
        <w:spacing w:after="0" w:line="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“Default Rate” </w:t>
      </w:r>
      <w:r>
        <w:rPr>
          <w:rFonts w:ascii="Times New Roman" w:cs="Times New Roman" w:eastAsia="Times New Roman" w:hAnsi="Times New Roman"/>
          <w:sz w:val="22"/>
          <w:szCs w:val="22"/>
          <w:color w:val="auto"/>
        </w:rPr>
        <w:t>means for any Note that rate of interest per annum that is the greater of (a) 2.0% above the rate of interest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stated in clause (a) of the first paragraph of the Notes or (b) 2.0% over the rate of interest publicly announced by Bank of America, N.A., in New York, New York as its “base” or “prime” rate.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“Disclosure Documents” </w:t>
      </w:r>
      <w:r>
        <w:rPr>
          <w:rFonts w:ascii="Times New Roman" w:cs="Times New Roman" w:eastAsia="Times New Roman" w:hAnsi="Times New Roman"/>
          <w:sz w:val="22"/>
          <w:szCs w:val="22"/>
          <w:color w:val="auto"/>
        </w:rPr>
        <w:t>is defined in Section 5.3.</w:t>
      </w:r>
    </w:p>
    <w:p>
      <w:pPr>
        <w:spacing w:after="0" w:line="166"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“EDGAR Next” </w:t>
      </w:r>
      <w:r>
        <w:rPr>
          <w:rFonts w:ascii="Times New Roman" w:cs="Times New Roman" w:eastAsia="Times New Roman" w:hAnsi="Times New Roman"/>
          <w:sz w:val="22"/>
          <w:szCs w:val="22"/>
          <w:color w:val="auto"/>
        </w:rPr>
        <w:t>means the SEC’s Electronic Data Gathering, Analysis and Retrieval System or any successor SEC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electronic filing system for such purposes.</w:t>
      </w:r>
    </w:p>
    <w:p>
      <w:pPr>
        <w:spacing w:after="0" w:line="65" w:lineRule="exact"/>
        <w:rPr>
          <w:sz w:val="20"/>
          <w:szCs w:val="20"/>
          <w:color w:val="auto"/>
        </w:rPr>
      </w:pPr>
    </w:p>
    <w:p>
      <w:pPr>
        <w:ind w:left="660"/>
        <w:spacing w:after="0" w:line="253" w:lineRule="exact"/>
        <w:rPr>
          <w:sz w:val="20"/>
          <w:szCs w:val="20"/>
          <w:color w:val="auto"/>
        </w:rPr>
      </w:pPr>
      <w:r>
        <w:rPr>
          <w:rFonts w:ascii="Times New Roman" w:cs="Times New Roman" w:eastAsia="Times New Roman" w:hAnsi="Times New Roman"/>
          <w:sz w:val="22"/>
          <w:szCs w:val="22"/>
          <w:b w:val="1"/>
          <w:bCs w:val="1"/>
          <w:color w:val="auto"/>
        </w:rPr>
        <w:t>“End</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 xml:space="preserve">User Financing Arrangements” </w:t>
      </w:r>
      <w:r>
        <w:rPr>
          <w:rFonts w:ascii="Times New Roman" w:cs="Times New Roman" w:eastAsia="Times New Roman" w:hAnsi="Times New Roman"/>
          <w:sz w:val="22"/>
          <w:szCs w:val="22"/>
          <w:color w:val="auto"/>
        </w:rPr>
        <w:t>has the meaning specified in the definition of “Indebtedness.”</w:t>
      </w:r>
    </w:p>
    <w:p>
      <w:pPr>
        <w:spacing w:after="0" w:line="21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“Environmental Laws” </w:t>
      </w:r>
      <w:r>
        <w:rPr>
          <w:rFonts w:ascii="Times New Roman" w:cs="Times New Roman" w:eastAsia="Times New Roman" w:hAnsi="Times New Roman"/>
          <w:sz w:val="22"/>
          <w:szCs w:val="22"/>
          <w:color w:val="auto"/>
        </w:rPr>
        <w:t>means any and all federal, state, local, and foreign statutes, laws, regulations, ordinances, rules,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judgments, orders, decrees, permits, concessions, grants, franchises, licenses, agreements or governmental restrictions relating to pollution and the protection of the environment or the release of any materials into the environment, including those related to Hazardous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369" w:right="339" w:bottom="1440" w:gutter="0" w:footer="0" w:header="0"/>
        </w:sectPr>
      </w:pPr>
    </w:p>
    <w:bookmarkStart w:id="70" w:name="page71"/>
    <w:bookmarkEnd w:id="70"/>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“ERISA” </w:t>
      </w:r>
      <w:r>
        <w:rPr>
          <w:rFonts w:ascii="Times New Roman" w:cs="Times New Roman" w:eastAsia="Times New Roman" w:hAnsi="Times New Roman"/>
          <w:sz w:val="22"/>
          <w:szCs w:val="22"/>
          <w:color w:val="auto"/>
        </w:rPr>
        <w:t>means the Employee Retirement Income Security Act of 1974, as amended from time to time, and the rules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regulations promulgated thereunder from time to time in effect.</w:t>
      </w:r>
    </w:p>
    <w:p>
      <w:pPr>
        <w:spacing w:after="0" w:line="8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“ERISA Affiliate” </w:t>
      </w:r>
      <w:r>
        <w:rPr>
          <w:rFonts w:ascii="Times New Roman" w:cs="Times New Roman" w:eastAsia="Times New Roman" w:hAnsi="Times New Roman"/>
          <w:sz w:val="22"/>
          <w:szCs w:val="22"/>
          <w:color w:val="auto"/>
        </w:rPr>
        <w:t>means any trade or business (whether or not incorporated) that is treated as a single employer together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Company under section 414 of the Code.</w:t>
      </w:r>
    </w:p>
    <w:p>
      <w:pPr>
        <w:spacing w:after="0" w:line="9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“Equity Interests” </w:t>
      </w:r>
      <w:r>
        <w:rPr>
          <w:rFonts w:ascii="Times New Roman" w:cs="Times New Roman" w:eastAsia="Times New Roman" w:hAnsi="Times New Roman"/>
          <w:sz w:val="22"/>
          <w:szCs w:val="22"/>
          <w:color w:val="auto"/>
        </w:rPr>
        <w:t>means, with respect to any Person, all of the shares of capital stock of (or other ownership or profit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“Event of Default” </w:t>
      </w:r>
      <w:r>
        <w:rPr>
          <w:rFonts w:ascii="Times New Roman" w:cs="Times New Roman" w:eastAsia="Times New Roman" w:hAnsi="Times New Roman"/>
          <w:sz w:val="22"/>
          <w:szCs w:val="22"/>
          <w:color w:val="auto"/>
        </w:rPr>
        <w:t>is defined in Section 11.</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“Exchange Act” </w:t>
      </w:r>
      <w:r>
        <w:rPr>
          <w:rFonts w:ascii="Times New Roman" w:cs="Times New Roman" w:eastAsia="Times New Roman" w:hAnsi="Times New Roman"/>
          <w:sz w:val="22"/>
          <w:szCs w:val="22"/>
          <w:color w:val="auto"/>
        </w:rPr>
        <w:t>means the Securities Exchange Act of 1934, and regulations promulgated thereunder.</w:t>
      </w:r>
    </w:p>
    <w:p>
      <w:pPr>
        <w:spacing w:after="0" w:line="15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“FATCA” </w:t>
      </w:r>
      <w:r>
        <w:rPr>
          <w:rFonts w:ascii="Times New Roman" w:cs="Times New Roman" w:eastAsia="Times New Roman" w:hAnsi="Times New Roman"/>
          <w:sz w:val="21"/>
          <w:szCs w:val="21"/>
          <w:color w:val="auto"/>
        </w:rPr>
        <w:t>means (a) sections 1471 through 1474 of the Code, as of the date of this Agreement (or any amended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successor version that is substantively comparable and not materially more onerous to comply with), together with any current or future regulations or official interpretations thereof, (b) any treaty, law or regulation of any other jurisdiction, or relating to an intergovernmental agreement between the United States of America and any other jurisdiction, which (in either case) facilitates the implementation of the foregoing clause (a), and (c) any agreements entered into pursuant to section 1471(b)(1) of the Code.</w:t>
      </w:r>
    </w:p>
    <w:p>
      <w:pPr>
        <w:spacing w:after="0" w:line="11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“Floor Plan Financing Arrangement” </w:t>
      </w:r>
      <w:r>
        <w:rPr>
          <w:rFonts w:ascii="Times New Roman" w:cs="Times New Roman" w:eastAsia="Times New Roman" w:hAnsi="Times New Roman"/>
          <w:sz w:val="22"/>
          <w:szCs w:val="22"/>
          <w:color w:val="auto"/>
        </w:rPr>
        <w:t>means any financing arrangement pursuant to which a capital provider agrees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inventory financing to certain dealers and distributors of certain products of the Company and any Subsidiary of the Company.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“Foreign Borrowing” </w:t>
      </w:r>
      <w:r>
        <w:rPr>
          <w:rFonts w:ascii="Times New Roman" w:cs="Times New Roman" w:eastAsia="Times New Roman" w:hAnsi="Times New Roman"/>
          <w:sz w:val="22"/>
          <w:szCs w:val="22"/>
          <w:color w:val="auto"/>
        </w:rPr>
        <w:t>is defined in Section 9.7(a).</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“Foreign Guarantee” </w:t>
      </w:r>
      <w:r>
        <w:rPr>
          <w:rFonts w:ascii="Times New Roman" w:cs="Times New Roman" w:eastAsia="Times New Roman" w:hAnsi="Times New Roman"/>
          <w:sz w:val="22"/>
          <w:szCs w:val="22"/>
          <w:color w:val="auto"/>
        </w:rPr>
        <w:t>is defined in Section 9.7(a).</w:t>
      </w:r>
    </w:p>
    <w:p>
      <w:pPr>
        <w:spacing w:after="0" w:line="16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“Foreign Subsidiary” </w:t>
      </w:r>
      <w:r>
        <w:rPr>
          <w:rFonts w:ascii="Times New Roman" w:cs="Times New Roman" w:eastAsia="Times New Roman" w:hAnsi="Times New Roman"/>
          <w:sz w:val="22"/>
          <w:szCs w:val="22"/>
          <w:color w:val="auto"/>
        </w:rPr>
        <w:t>means (i) any Subsidiary of the Company which is not organized under the laws of the United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States of America, any State thereof or the District of Columbia and (ii) any Subsidiary that is owned, in whole or in part, directly or indirectly, by one or more Foreign Subsidiaries.</w:t>
      </w:r>
    </w:p>
    <w:p>
      <w:pPr>
        <w:spacing w:after="0" w:line="77" w:lineRule="exact"/>
        <w:rPr>
          <w:sz w:val="20"/>
          <w:szCs w:val="20"/>
          <w:color w:val="auto"/>
        </w:rPr>
      </w:pPr>
    </w:p>
    <w:p>
      <w:pPr>
        <w:ind w:left="660"/>
        <w:spacing w:after="0" w:line="253" w:lineRule="exact"/>
        <w:rPr>
          <w:sz w:val="20"/>
          <w:szCs w:val="20"/>
          <w:color w:val="auto"/>
        </w:rPr>
      </w:pPr>
      <w:r>
        <w:rPr>
          <w:rFonts w:ascii="Times New Roman" w:cs="Times New Roman" w:eastAsia="Times New Roman" w:hAnsi="Times New Roman"/>
          <w:sz w:val="22"/>
          <w:szCs w:val="22"/>
          <w:b w:val="1"/>
          <w:bCs w:val="1"/>
          <w:color w:val="auto"/>
        </w:rPr>
        <w:t>“Form 10</w:t>
      </w:r>
      <w:r>
        <w:rPr>
          <w:rFonts w:ascii="MS PGothic" w:cs="MS PGothic" w:eastAsia="MS PGothic" w:hAnsi="MS PGothic"/>
          <w:sz w:val="22"/>
          <w:szCs w:val="22"/>
          <w:color w:val="auto"/>
        </w:rPr>
        <w:t>‑</w:t>
      </w:r>
      <w:r>
        <w:rPr>
          <w:rFonts w:ascii="Times New Roman" w:cs="Times New Roman" w:eastAsia="Times New Roman" w:hAnsi="Times New Roman"/>
          <w:sz w:val="22"/>
          <w:szCs w:val="22"/>
          <w:b w:val="1"/>
          <w:bCs w:val="1"/>
          <w:color w:val="auto"/>
        </w:rPr>
        <w:t xml:space="preserve">K” </w:t>
      </w:r>
      <w:r>
        <w:rPr>
          <w:rFonts w:ascii="Times New Roman" w:cs="Times New Roman" w:eastAsia="Times New Roman" w:hAnsi="Times New Roman"/>
          <w:sz w:val="22"/>
          <w:szCs w:val="22"/>
          <w:color w:val="auto"/>
        </w:rPr>
        <w:t>is defined in Section 7.1(b).</w:t>
      </w:r>
    </w:p>
    <w:p>
      <w:pPr>
        <w:spacing w:after="0" w:line="152" w:lineRule="exact"/>
        <w:rPr>
          <w:sz w:val="20"/>
          <w:szCs w:val="20"/>
          <w:color w:val="auto"/>
        </w:rPr>
      </w:pPr>
    </w:p>
    <w:p>
      <w:pPr>
        <w:ind w:left="660"/>
        <w:spacing w:after="0" w:line="253" w:lineRule="exact"/>
        <w:rPr>
          <w:sz w:val="20"/>
          <w:szCs w:val="20"/>
          <w:color w:val="auto"/>
        </w:rPr>
      </w:pPr>
      <w:r>
        <w:rPr>
          <w:rFonts w:ascii="Times New Roman" w:cs="Times New Roman" w:eastAsia="Times New Roman" w:hAnsi="Times New Roman"/>
          <w:sz w:val="22"/>
          <w:szCs w:val="22"/>
          <w:b w:val="1"/>
          <w:bCs w:val="1"/>
          <w:color w:val="auto"/>
        </w:rPr>
        <w:t>“Form 10</w:t>
      </w:r>
      <w:r>
        <w:rPr>
          <w:rFonts w:ascii="MS PGothic" w:cs="MS PGothic" w:eastAsia="MS PGothic" w:hAnsi="MS PGothic"/>
          <w:sz w:val="22"/>
          <w:szCs w:val="22"/>
          <w:color w:val="auto"/>
        </w:rPr>
        <w:t>‑</w:t>
      </w:r>
      <w:r>
        <w:rPr>
          <w:rFonts w:ascii="Times New Roman" w:cs="Times New Roman" w:eastAsia="Times New Roman" w:hAnsi="Times New Roman"/>
          <w:sz w:val="22"/>
          <w:szCs w:val="22"/>
          <w:b w:val="1"/>
          <w:bCs w:val="1"/>
          <w:color w:val="auto"/>
        </w:rPr>
        <w:t xml:space="preserve">Q” </w:t>
      </w:r>
      <w:r>
        <w:rPr>
          <w:rFonts w:ascii="Times New Roman" w:cs="Times New Roman" w:eastAsia="Times New Roman" w:hAnsi="Times New Roman"/>
          <w:sz w:val="22"/>
          <w:szCs w:val="22"/>
          <w:color w:val="auto"/>
        </w:rPr>
        <w:t>is defined in Section 7.1(a).</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“FRB” </w:t>
      </w:r>
      <w:r>
        <w:rPr>
          <w:rFonts w:ascii="Times New Roman" w:cs="Times New Roman" w:eastAsia="Times New Roman" w:hAnsi="Times New Roman"/>
          <w:sz w:val="22"/>
          <w:szCs w:val="22"/>
          <w:color w:val="auto"/>
        </w:rPr>
        <w:t>means the Board of Governors of the Federal Reserve System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369" w:right="339" w:bottom="1440" w:gutter="0" w:footer="0" w:header="0"/>
        </w:sectPr>
      </w:pPr>
    </w:p>
    <w:bookmarkStart w:id="71" w:name="page72"/>
    <w:bookmarkEnd w:id="71"/>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“GAAP” </w:t>
      </w:r>
      <w:r>
        <w:rPr>
          <w:rFonts w:ascii="Times New Roman" w:cs="Times New Roman" w:eastAsia="Times New Roman" w:hAnsi="Times New Roman"/>
          <w:sz w:val="22"/>
          <w:szCs w:val="22"/>
          <w:color w:val="auto"/>
        </w:rPr>
        <w:t>means (a) generally accepted accounting principles as in effect from time to time in the United States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America and (b) for purposes of Section 9.6, with respect to any Subsidiary, generally accepted accounting principles (including International Financial Reporting Standards, as applicable) as in effect from time to time in the jurisdiction of organization of such Subsidiary.</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“Governmental Authority” </w:t>
      </w:r>
      <w:r>
        <w:rPr>
          <w:rFonts w:ascii="Times New Roman" w:cs="Times New Roman" w:eastAsia="Times New Roman" w:hAnsi="Times New Roman"/>
          <w:sz w:val="22"/>
          <w:szCs w:val="22"/>
          <w:color w:val="auto"/>
        </w:rPr>
        <w:t>means</w:t>
      </w:r>
    </w:p>
    <w:p>
      <w:pPr>
        <w:spacing w:after="0" w:line="170" w:lineRule="exact"/>
        <w:rPr>
          <w:sz w:val="20"/>
          <w:szCs w:val="20"/>
          <w:color w:val="auto"/>
        </w:rPr>
      </w:pPr>
    </w:p>
    <w:p>
      <w:pPr>
        <w:ind w:left="940" w:hanging="284"/>
        <w:spacing w:after="0"/>
        <w:tabs>
          <w:tab w:leader="none" w:pos="9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government of</w:t>
      </w:r>
    </w:p>
    <w:p>
      <w:pPr>
        <w:spacing w:after="0" w:line="152" w:lineRule="exact"/>
        <w:rPr>
          <w:rFonts w:ascii="Times New Roman" w:cs="Times New Roman" w:eastAsia="Times New Roman" w:hAnsi="Times New Roman"/>
          <w:sz w:val="22"/>
          <w:szCs w:val="22"/>
          <w:color w:val="auto"/>
        </w:rPr>
      </w:pPr>
    </w:p>
    <w:p>
      <w:pPr>
        <w:ind w:left="1560" w:hanging="256"/>
        <w:spacing w:after="0"/>
        <w:tabs>
          <w:tab w:leader="none" w:pos="156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United States of America or any state or other political subdivision thereof, or</w:t>
      </w:r>
    </w:p>
    <w:p>
      <w:pPr>
        <w:spacing w:after="0" w:line="165" w:lineRule="exact"/>
        <w:rPr>
          <w:rFonts w:ascii="Times New Roman" w:cs="Times New Roman" w:eastAsia="Times New Roman" w:hAnsi="Times New Roman"/>
          <w:sz w:val="22"/>
          <w:szCs w:val="22"/>
          <w:color w:val="auto"/>
        </w:rPr>
      </w:pPr>
    </w:p>
    <w:p>
      <w:pPr>
        <w:ind w:firstLine="1304"/>
        <w:spacing w:after="0" w:line="271" w:lineRule="auto"/>
        <w:tabs>
          <w:tab w:leader="none" w:pos="164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jurisdiction in which the Company or any Subsidiary conducts all or any part of its business, or which asserts jurisdiction over any properties of the Company or any Subsidiary, or</w:t>
      </w:r>
    </w:p>
    <w:p>
      <w:pPr>
        <w:spacing w:after="0" w:line="90" w:lineRule="exact"/>
        <w:rPr>
          <w:rFonts w:ascii="Times New Roman" w:cs="Times New Roman" w:eastAsia="Times New Roman" w:hAnsi="Times New Roman"/>
          <w:sz w:val="22"/>
          <w:szCs w:val="22"/>
          <w:color w:val="auto"/>
        </w:rPr>
      </w:pPr>
    </w:p>
    <w:p>
      <w:pPr>
        <w:ind w:right="20" w:firstLine="656"/>
        <w:spacing w:after="0" w:line="271" w:lineRule="auto"/>
        <w:tabs>
          <w:tab w:leader="none" w:pos="96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entity exercising executive, legislative, judicial, regulatory or administrative functions of, or pertaining to, any such government.</w:t>
      </w:r>
    </w:p>
    <w:p>
      <w:pPr>
        <w:spacing w:after="0" w:line="56" w:lineRule="exact"/>
        <w:rPr>
          <w:sz w:val="20"/>
          <w:szCs w:val="20"/>
          <w:color w:val="auto"/>
        </w:rPr>
      </w:pPr>
    </w:p>
    <w:p>
      <w:pPr>
        <w:jc w:val="both"/>
        <w:ind w:firstLine="648"/>
        <w:spacing w:after="0" w:line="277" w:lineRule="exact"/>
        <w:rPr>
          <w:sz w:val="20"/>
          <w:szCs w:val="20"/>
          <w:color w:val="auto"/>
        </w:rPr>
      </w:pPr>
      <w:r>
        <w:rPr>
          <w:rFonts w:ascii="Times New Roman" w:cs="Times New Roman" w:eastAsia="Times New Roman" w:hAnsi="Times New Roman"/>
          <w:sz w:val="22"/>
          <w:szCs w:val="22"/>
          <w:b w:val="1"/>
          <w:bCs w:val="1"/>
          <w:color w:val="auto"/>
        </w:rPr>
        <w:t xml:space="preserve">“Governmental Official” </w:t>
      </w:r>
      <w:r>
        <w:rPr>
          <w:rFonts w:ascii="Times New Roman" w:cs="Times New Roman" w:eastAsia="Times New Roman" w:hAnsi="Times New Roman"/>
          <w:sz w:val="22"/>
          <w:szCs w:val="22"/>
          <w:color w:val="auto"/>
        </w:rPr>
        <w:t>means any governmental official or employee, employee of any government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government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controlled entity, political party, any official of a political party, candidate for political office, official of any public international organization or anyone else acting in an official capacity.</w:t>
      </w:r>
    </w:p>
    <w:p>
      <w:pPr>
        <w:spacing w:after="0" w:line="13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“Guarantee” </w:t>
      </w:r>
      <w:r>
        <w:rPr>
          <w:rFonts w:ascii="Times New Roman" w:cs="Times New Roman" w:eastAsia="Times New Roman" w:hAnsi="Times New Roman"/>
          <w:sz w:val="22"/>
          <w:szCs w:val="22"/>
          <w:color w:val="auto"/>
        </w:rPr>
        <w:t>means, as to any Person, (a) any obligation, contingent or otherwise, of such Person guaranteeing or having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3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“Hazardous Materials” </w:t>
      </w:r>
      <w:r>
        <w:rPr>
          <w:rFonts w:ascii="Times New Roman" w:cs="Times New Roman" w:eastAsia="Times New Roman" w:hAnsi="Times New Roman"/>
          <w:sz w:val="22"/>
          <w:szCs w:val="22"/>
          <w:color w:val="auto"/>
        </w:rPr>
        <w:t>means any and all pollutants, toxic or hazardous wastes or other substances that might pose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hazard to health and safety, the removal of which may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369" w:right="339" w:bottom="1440" w:gutter="0" w:footer="0" w:header="0"/>
        </w:sectPr>
      </w:pPr>
    </w:p>
    <w:bookmarkStart w:id="72" w:name="page73"/>
    <w:bookmarkEnd w:id="72"/>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or the generation, manufacture, refining, production, processing, treatment, storage, handling, transportation, transfer, use, disposal, release, discharge, spillage, seepage or filtration of which is or shall be restricted, prohibited or penalized by any applicable law, including asbestos, urea formaldehyde foam insulation, polychlorinated biphenyls, petroleum, petroleum products, lead based paint, radon gas or similar restricted, prohibited or penalized substances.</w:t>
      </w:r>
    </w:p>
    <w:p>
      <w:pPr>
        <w:spacing w:after="0" w:line="12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HCF</w:t>
      </w:r>
      <w:r>
        <w:rPr>
          <w:rFonts w:ascii="Times New Roman" w:cs="Times New Roman" w:eastAsia="Times New Roman" w:hAnsi="Times New Roman"/>
          <w:sz w:val="22"/>
          <w:szCs w:val="22"/>
          <w:color w:val="auto"/>
        </w:rPr>
        <w:t>” means Huntington Commercial Finance, LLC, a Minnesota limited liability company, or any of its successors or assigns.</w:t>
      </w:r>
    </w:p>
    <w:p>
      <w:pPr>
        <w:spacing w:after="0" w:line="8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HCFC Canada</w:t>
      </w:r>
      <w:r>
        <w:rPr>
          <w:rFonts w:ascii="Times New Roman" w:cs="Times New Roman" w:eastAsia="Times New Roman" w:hAnsi="Times New Roman"/>
          <w:sz w:val="22"/>
          <w:szCs w:val="22"/>
          <w:color w:val="auto"/>
        </w:rPr>
        <w:t>” means Huntington Commercial Finance Canada, Inc., a Canada corporation, or any of its successors or assigns.</w:t>
      </w:r>
    </w:p>
    <w:p>
      <w:pPr>
        <w:spacing w:after="0" w:line="9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“holder” </w:t>
      </w:r>
      <w:r>
        <w:rPr>
          <w:rFonts w:ascii="Times New Roman" w:cs="Times New Roman" w:eastAsia="Times New Roman" w:hAnsi="Times New Roman"/>
          <w:sz w:val="22"/>
          <w:szCs w:val="22"/>
          <w:color w:val="auto"/>
        </w:rPr>
        <w:t>means, with respect to any Note, the Person in whose name such Note is registered in the register maintained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Company pursuant to Section 13.1,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such Person is a nominee, then for the purposes of Sections 7, 12, 17.2 and 18 and any related definitions in this Schedule A, “holder” shall mean the beneficial owner of such Note whose name and address appears in such register.</w:t>
      </w:r>
    </w:p>
    <w:p>
      <w:pPr>
        <w:spacing w:after="0" w:line="1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“Indebtedness” </w:t>
      </w:r>
      <w:r>
        <w:rPr>
          <w:rFonts w:ascii="Times New Roman" w:cs="Times New Roman" w:eastAsia="Times New Roman" w:hAnsi="Times New Roman"/>
          <w:sz w:val="22"/>
          <w:szCs w:val="22"/>
          <w:color w:val="auto"/>
        </w:rPr>
        <w:t>means, as to any Person at a particular time, without duplication, all of the following, whether or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included as indebtedness or liabilities in accordance with GAAP:</w:t>
      </w:r>
    </w:p>
    <w:p>
      <w:pPr>
        <w:spacing w:after="0" w:line="113" w:lineRule="exact"/>
        <w:rPr>
          <w:sz w:val="20"/>
          <w:szCs w:val="20"/>
          <w:color w:val="auto"/>
        </w:rPr>
      </w:pPr>
    </w:p>
    <w:p>
      <w:pPr>
        <w:ind w:firstLine="656"/>
        <w:spacing w:after="0" w:line="271" w:lineRule="auto"/>
        <w:tabs>
          <w:tab w:leader="none" w:pos="94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for borrowed money and all obligations of such Person evidenced by bonds, debentures, notes, loan agreements or other similar instruments;</w:t>
      </w:r>
    </w:p>
    <w:p>
      <w:pPr>
        <w:spacing w:after="0" w:line="103" w:lineRule="exact"/>
        <w:rPr>
          <w:rFonts w:ascii="Times New Roman" w:cs="Times New Roman" w:eastAsia="Times New Roman" w:hAnsi="Times New Roman"/>
          <w:sz w:val="22"/>
          <w:szCs w:val="22"/>
          <w:color w:val="auto"/>
        </w:rPr>
      </w:pPr>
    </w:p>
    <w:p>
      <w:pPr>
        <w:jc w:val="both"/>
        <w:ind w:firstLine="656"/>
        <w:spacing w:after="0" w:line="243" w:lineRule="auto"/>
        <w:tabs>
          <w:tab w:leader="none" w:pos="95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direct or contingent obligations of such Person arising under letters of credit (including standby and commercial), bankers’ acceptances, bank guaranties, surety bonds and similar instruments, except to the extent (i) issued as a means of trade payment in the ordinary course of business or to support or secure any other obligation of any Person unless such other obligation also constitutes Indebtedness hereunder and (ii) in an aggregate stated or principal amount at any time outstanding not to exceed $100,000,000;</w:t>
      </w:r>
    </w:p>
    <w:p>
      <w:pPr>
        <w:spacing w:after="0" w:line="136" w:lineRule="exact"/>
        <w:rPr>
          <w:rFonts w:ascii="Times New Roman" w:cs="Times New Roman" w:eastAsia="Times New Roman" w:hAnsi="Times New Roman"/>
          <w:sz w:val="22"/>
          <w:szCs w:val="22"/>
          <w:color w:val="auto"/>
        </w:rPr>
      </w:pPr>
    </w:p>
    <w:p>
      <w:pPr>
        <w:ind w:firstLine="656"/>
        <w:spacing w:after="0" w:line="271" w:lineRule="auto"/>
        <w:tabs>
          <w:tab w:leader="none" w:pos="95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to pay the deferred purchase price of property or services (other than trade accounts payable in the ordinary course of business);</w:t>
      </w:r>
    </w:p>
    <w:p>
      <w:pPr>
        <w:spacing w:after="0" w:line="103" w:lineRule="exact"/>
        <w:rPr>
          <w:rFonts w:ascii="Times New Roman" w:cs="Times New Roman" w:eastAsia="Times New Roman" w:hAnsi="Times New Roman"/>
          <w:sz w:val="22"/>
          <w:szCs w:val="22"/>
          <w:color w:val="auto"/>
        </w:rPr>
      </w:pPr>
    </w:p>
    <w:p>
      <w:pPr>
        <w:jc w:val="both"/>
        <w:ind w:firstLine="656"/>
        <w:spacing w:after="0" w:line="250" w:lineRule="auto"/>
        <w:tabs>
          <w:tab w:leader="none" w:pos="967"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27"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Leases and Synthetic Lease Obligations;</w:t>
      </w:r>
    </w:p>
    <w:p>
      <w:pPr>
        <w:spacing w:after="0" w:line="152" w:lineRule="exact"/>
        <w:rPr>
          <w:rFonts w:ascii="Times New Roman" w:cs="Times New Roman" w:eastAsia="Times New Roman" w:hAnsi="Times New Roman"/>
          <w:sz w:val="22"/>
          <w:szCs w:val="22"/>
          <w:color w:val="auto"/>
        </w:rPr>
      </w:pPr>
    </w:p>
    <w:p>
      <w:pPr>
        <w:jc w:val="both"/>
        <w:ind w:firstLine="656"/>
        <w:spacing w:after="0" w:line="252" w:lineRule="auto"/>
        <w:tabs>
          <w:tab w:leader="none" w:pos="93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obligations of such Person to purchase, redeem, retire, defease or otherwise make any payment in respect of any Equity Interest in such Person or any other Person (other than obligations of the Company or a Subsidiary to Red Iron under the terms of the Red Iron LLC Agreement (as in effect on the Closing Date)), valued, in the case of a redeemable preferred interest, at the greater of its voluntary or involuntary liquidation preference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accrued and unpaid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369" w:right="339" w:bottom="1440" w:gutter="0" w:footer="0" w:header="0"/>
        </w:sectPr>
      </w:pPr>
    </w:p>
    <w:bookmarkStart w:id="73" w:name="page74"/>
    <w:bookmarkEnd w:id="73"/>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656"/>
        <w:spacing w:after="0" w:line="248" w:lineRule="auto"/>
        <w:tabs>
          <w:tab w:leader="none" w:pos="98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unpaid amount of all Receivables sold by any Person for which such Person has recourse liability or portion thereof for which such Person has recourse liability in cases where such recourse liability is not full except to the extent in an aggregate stated or principal amount, when taken together with amounts subject to the exception set forth in the following clause (h), at any time outstanding not to exceed $100,000,000; and</w:t>
      </w:r>
    </w:p>
    <w:p>
      <w:pPr>
        <w:spacing w:after="0" w:line="128" w:lineRule="exact"/>
        <w:rPr>
          <w:rFonts w:ascii="Times New Roman" w:cs="Times New Roman" w:eastAsia="Times New Roman" w:hAnsi="Times New Roman"/>
          <w:sz w:val="22"/>
          <w:szCs w:val="22"/>
          <w:color w:val="auto"/>
        </w:rPr>
      </w:pPr>
    </w:p>
    <w:p>
      <w:pPr>
        <w:jc w:val="both"/>
        <w:ind w:firstLine="656"/>
        <w:spacing w:after="0" w:line="257" w:lineRule="exact"/>
        <w:tabs>
          <w:tab w:leader="none" w:pos="95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Guarantees of such Person in respect of any of the foregoing, except to the extent (i) issued as a means of providing assurance of payment of amounts due by purchasers or lessees of the products or services of such Person or Affiliates of such Person to obligees providing financing for or purchasing obligations related to the acquisition or lease of such products or services (the </w:t>
      </w:r>
      <w:r>
        <w:rPr>
          <w:rFonts w:ascii="Times New Roman" w:cs="Times New Roman" w:eastAsia="Times New Roman" w:hAnsi="Times New Roman"/>
          <w:sz w:val="22"/>
          <w:szCs w:val="22"/>
          <w:b w:val="1"/>
          <w:bCs w:val="1"/>
          <w:color w:val="auto"/>
        </w:rPr>
        <w:t>“End</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User Financing Arrangements”</w:t>
      </w:r>
      <w:r>
        <w:rPr>
          <w:rFonts w:ascii="Times New Roman" w:cs="Times New Roman" w:eastAsia="Times New Roman" w:hAnsi="Times New Roman"/>
          <w:sz w:val="22"/>
          <w:szCs w:val="22"/>
          <w:color w:val="auto"/>
        </w:rPr>
        <w:t xml:space="preserve">); or, without duplication, (ii) to provide assurance of payments of amounts due Red Iron, HCFC Canada or HCF in the ordinary course of Red Iron’s, HCFC Canada’s or HCF’s business of financing purchases by distributors and dealers or products and services of such Person or an Affiliate of such Person (the </w:t>
      </w:r>
      <w:r>
        <w:rPr>
          <w:rFonts w:ascii="Times New Roman" w:cs="Times New Roman" w:eastAsia="Times New Roman" w:hAnsi="Times New Roman"/>
          <w:sz w:val="22"/>
          <w:szCs w:val="22"/>
          <w:b w:val="1"/>
          <w:bCs w:val="1"/>
          <w:color w:val="auto"/>
        </w:rPr>
        <w:t>“Red Iron/HCF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Repurchase Obligations”</w:t>
      </w:r>
      <w:r>
        <w:rPr>
          <w:rFonts w:ascii="Times New Roman" w:cs="Times New Roman" w:eastAsia="Times New Roman" w:hAnsi="Times New Roman"/>
          <w:sz w:val="22"/>
          <w:szCs w:val="22"/>
          <w:color w:val="auto"/>
        </w:rPr>
        <w:t>), in an aggregate stated or principal amount, when taken together with amounts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exception set forth in the preceding clause (g), at any time outstanding not to exceed $100,000,000.</w:t>
      </w:r>
    </w:p>
    <w:p>
      <w:pPr>
        <w:spacing w:after="0" w:line="138" w:lineRule="exact"/>
        <w:rPr>
          <w:sz w:val="20"/>
          <w:szCs w:val="20"/>
          <w:color w:val="auto"/>
        </w:rPr>
      </w:pPr>
    </w:p>
    <w:p>
      <w:pPr>
        <w:jc w:val="both"/>
        <w:ind w:firstLine="648"/>
        <w:spacing w:after="0" w:line="259" w:lineRule="exact"/>
        <w:rPr>
          <w:sz w:val="20"/>
          <w:szCs w:val="20"/>
          <w:color w:val="auto"/>
        </w:rPr>
      </w:pPr>
      <w:r>
        <w:rPr>
          <w:rFonts w:ascii="Times New Roman" w:cs="Times New Roman" w:eastAsia="Times New Roman" w:hAnsi="Times New Roman"/>
          <w:sz w:val="22"/>
          <w:szCs w:val="22"/>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recourse to such Person. The amount of any Capital Lease or Synthetic Lease Obligation as of any date shall be deemed to be the amount of Attributable Indebtedness in respect thereof as of such date.</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“Incremental Leverage Fee” </w:t>
      </w:r>
      <w:r>
        <w:rPr>
          <w:rFonts w:ascii="Times New Roman" w:cs="Times New Roman" w:eastAsia="Times New Roman" w:hAnsi="Times New Roman"/>
          <w:sz w:val="22"/>
          <w:szCs w:val="22"/>
          <w:color w:val="auto"/>
        </w:rPr>
        <w:t>is defined in Section 10.7(b).</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“Incremental Leverage Fee Payment” </w:t>
      </w:r>
      <w:r>
        <w:rPr>
          <w:rFonts w:ascii="Times New Roman" w:cs="Times New Roman" w:eastAsia="Times New Roman" w:hAnsi="Times New Roman"/>
          <w:sz w:val="22"/>
          <w:szCs w:val="22"/>
          <w:color w:val="auto"/>
        </w:rPr>
        <w:t>is defined in Section 10.7(c).</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“INHAM Exemption” </w:t>
      </w:r>
      <w:r>
        <w:rPr>
          <w:rFonts w:ascii="Times New Roman" w:cs="Times New Roman" w:eastAsia="Times New Roman" w:hAnsi="Times New Roman"/>
          <w:sz w:val="22"/>
          <w:szCs w:val="22"/>
          <w:color w:val="auto"/>
        </w:rPr>
        <w:t>is defined in Section 6.2(e).</w:t>
      </w:r>
    </w:p>
    <w:p>
      <w:pPr>
        <w:spacing w:after="0" w:line="15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“Institutional Investor” </w:t>
      </w:r>
      <w:r>
        <w:rPr>
          <w:rFonts w:ascii="Times New Roman" w:cs="Times New Roman" w:eastAsia="Times New Roman" w:hAnsi="Times New Roman"/>
          <w:sz w:val="22"/>
          <w:szCs w:val="22"/>
          <w:color w:val="auto"/>
        </w:rPr>
        <w:t>means (a) any Purchaser of a Note, (b) any holder of a Note holding (together with one or more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its affiliates) more than 3% of the aggregate principal amount of the Notes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Note.</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“Intellectual Property” </w:t>
      </w:r>
      <w:r>
        <w:rPr>
          <w:rFonts w:ascii="Times New Roman" w:cs="Times New Roman" w:eastAsia="Times New Roman" w:hAnsi="Times New Roman"/>
          <w:sz w:val="22"/>
          <w:szCs w:val="22"/>
          <w:color w:val="auto"/>
        </w:rPr>
        <w:t>is defined in Section 5.11(a).</w:t>
      </w:r>
    </w:p>
    <w:p>
      <w:pPr>
        <w:spacing w:after="0" w:line="16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“Leverage Ratio” </w:t>
      </w:r>
      <w:r>
        <w:rPr>
          <w:rFonts w:ascii="Times New Roman" w:cs="Times New Roman" w:eastAsia="Times New Roman" w:hAnsi="Times New Roman"/>
          <w:sz w:val="22"/>
          <w:szCs w:val="22"/>
          <w:color w:val="auto"/>
        </w:rPr>
        <w:t>means the consolidated ratio of (a) total Indebtedness (as of the end of any fiscal quarter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(1) Pending Transaction Debt (if any) as of such date and (2) the aggregate amount of Available Cash held by the Company and its Subsidiaries as of such date in an aggregate amount not to exceed the lesser of (i) $300,000,000, or (ii) the lowest amount of Available Cash permitted to be deducted in the calculation of the consolidated leverage ratio under all Material Credit Facilities to (b) the sum of Consolidated EBIT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depreciation and amortization expense for the period of four prior fiscal quarters ending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369" w:right="339" w:bottom="1440" w:gutter="0" w:footer="0" w:header="0"/>
        </w:sectPr>
      </w:pPr>
    </w:p>
    <w:bookmarkStart w:id="74" w:name="page75"/>
    <w:bookmarkEnd w:id="74"/>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“Lien” </w:t>
      </w:r>
      <w:r>
        <w:rPr>
          <w:rFonts w:ascii="Times New Roman" w:cs="Times New Roman" w:eastAsia="Times New Roman" w:hAnsi="Times New Roman"/>
          <w:sz w:val="22"/>
          <w:szCs w:val="22"/>
          <w:color w:val="auto"/>
        </w:rPr>
        <w:t>means, with respect to any Person, any mortgage, lien, pledge, charge, security interest or other encumbrance,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81" w:lineRule="exact"/>
        <w:rPr>
          <w:sz w:val="20"/>
          <w:szCs w:val="20"/>
          <w:color w:val="auto"/>
        </w:rPr>
      </w:pPr>
    </w:p>
    <w:p>
      <w:pPr>
        <w:ind w:left="660"/>
        <w:spacing w:after="0" w:line="253" w:lineRule="exact"/>
        <w:rPr>
          <w:sz w:val="20"/>
          <w:szCs w:val="20"/>
          <w:color w:val="auto"/>
        </w:rPr>
      </w:pPr>
      <w:r>
        <w:rPr>
          <w:rFonts w:ascii="Times New Roman" w:cs="Times New Roman" w:eastAsia="Times New Roman" w:hAnsi="Times New Roman"/>
          <w:sz w:val="22"/>
          <w:szCs w:val="22"/>
          <w:b w:val="1"/>
          <w:bCs w:val="1"/>
          <w:color w:val="auto"/>
        </w:rPr>
        <w:t>“Make</w:t>
      </w:r>
      <w:r>
        <w:rPr>
          <w:rFonts w:ascii="MS PGothic" w:cs="MS PGothic" w:eastAsia="MS PGothic" w:hAnsi="MS PGothic"/>
          <w:sz w:val="22"/>
          <w:szCs w:val="22"/>
          <w:color w:val="auto"/>
        </w:rPr>
        <w:t>‑</w:t>
      </w:r>
      <w:r>
        <w:rPr>
          <w:rFonts w:ascii="Times New Roman" w:cs="Times New Roman" w:eastAsia="Times New Roman" w:hAnsi="Times New Roman"/>
          <w:sz w:val="22"/>
          <w:szCs w:val="22"/>
          <w:b w:val="1"/>
          <w:bCs w:val="1"/>
          <w:color w:val="auto"/>
        </w:rPr>
        <w:t xml:space="preserve">Whole Amount” </w:t>
      </w:r>
      <w:r>
        <w:rPr>
          <w:rFonts w:ascii="Times New Roman" w:cs="Times New Roman" w:eastAsia="Times New Roman" w:hAnsi="Times New Roman"/>
          <w:sz w:val="22"/>
          <w:szCs w:val="22"/>
          <w:color w:val="auto"/>
        </w:rPr>
        <w:t>is defined in Section 8.6.</w:t>
      </w:r>
    </w:p>
    <w:p>
      <w:pPr>
        <w:spacing w:after="0" w:line="21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“Material” </w:t>
      </w:r>
      <w:r>
        <w:rPr>
          <w:rFonts w:ascii="Times New Roman" w:cs="Times New Roman" w:eastAsia="Times New Roman" w:hAnsi="Times New Roman"/>
          <w:sz w:val="22"/>
          <w:szCs w:val="22"/>
          <w:color w:val="auto"/>
        </w:rPr>
        <w:t>means material in relation to the business, operations, affairs, financial condition, assets, or properties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its Subsidiaries taken as a whole.</w:t>
      </w:r>
    </w:p>
    <w:p>
      <w:pPr>
        <w:spacing w:after="0" w:line="10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“Material Adverse Effect” </w:t>
      </w:r>
      <w:r>
        <w:rPr>
          <w:rFonts w:ascii="Times New Roman" w:cs="Times New Roman" w:eastAsia="Times New Roman" w:hAnsi="Times New Roman"/>
          <w:sz w:val="22"/>
          <w:szCs w:val="22"/>
          <w:color w:val="auto"/>
        </w:rPr>
        <w:t>means a material adverse effect on (a) the business, operations, affairs, financial condition,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assets or properties of the Company and its Subsidiaries taken as a whole, (b) the ability of the Company to perform its obligations under this Agreement and the Notes, (c) the ability of any Subsidiary Guarantor to perform its obligations under its Subsidiary Guaranty, or (d) the validity or enforceability of this Agreement, the Notes or any Subsidiary Guaranty.</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“Material Credit Facility” </w:t>
      </w:r>
      <w:r>
        <w:rPr>
          <w:rFonts w:ascii="Times New Roman" w:cs="Times New Roman" w:eastAsia="Times New Roman" w:hAnsi="Times New Roman"/>
          <w:sz w:val="22"/>
          <w:szCs w:val="22"/>
          <w:color w:val="auto"/>
        </w:rPr>
        <w:t>means, as to the Company and its Subsidiaries,</w:t>
      </w:r>
    </w:p>
    <w:p>
      <w:pPr>
        <w:spacing w:after="0" w:line="170" w:lineRule="exact"/>
        <w:rPr>
          <w:sz w:val="20"/>
          <w:szCs w:val="20"/>
          <w:color w:val="auto"/>
        </w:rPr>
      </w:pPr>
    </w:p>
    <w:p>
      <w:pPr>
        <w:jc w:val="both"/>
        <w:ind w:firstLine="656"/>
        <w:spacing w:after="0" w:line="247" w:lineRule="auto"/>
        <w:tabs>
          <w:tab w:leader="none" w:pos="98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Second Amended and Restated Credit Agreement dated as of October 2, 2024 among the Company, Toro Luxembourg, certain other Subsidiaries, as borrowers, Bank of America, N.A. as Administrative Agent, Swing Line Lender and L/C Issuer, Wells Fargo Bank, National Association, as syndication agent, BMO Harris Bank, N.A., HSBC Bank USA, National Association, and U.S. Bank National Association, as co-documentation agents and the other lenders party thereto, (the </w:t>
      </w:r>
      <w:r>
        <w:rPr>
          <w:rFonts w:ascii="Times New Roman" w:cs="Times New Roman" w:eastAsia="Times New Roman" w:hAnsi="Times New Roman"/>
          <w:sz w:val="22"/>
          <w:szCs w:val="22"/>
          <w:b w:val="1"/>
          <w:bCs w:val="1"/>
          <w:color w:val="auto"/>
        </w:rPr>
        <w:t>“2024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Credit Agreement”</w:t>
      </w:r>
      <w:r>
        <w:rPr>
          <w:rFonts w:ascii="Times New Roman" w:cs="Times New Roman" w:eastAsia="Times New Roman" w:hAnsi="Times New Roman"/>
          <w:sz w:val="22"/>
          <w:szCs w:val="22"/>
          <w:color w:val="auto"/>
        </w:rPr>
        <w:t>);</w:t>
      </w:r>
    </w:p>
    <w:p>
      <w:pPr>
        <w:spacing w:after="0" w:line="115" w:lineRule="exact"/>
        <w:rPr>
          <w:rFonts w:ascii="Times New Roman" w:cs="Times New Roman" w:eastAsia="Times New Roman" w:hAnsi="Times New Roman"/>
          <w:sz w:val="22"/>
          <w:szCs w:val="22"/>
          <w:color w:val="auto"/>
        </w:rPr>
      </w:pPr>
    </w:p>
    <w:p>
      <w:pPr>
        <w:jc w:val="both"/>
        <w:ind w:firstLine="656"/>
        <w:spacing w:after="0" w:line="257" w:lineRule="auto"/>
        <w:tabs>
          <w:tab w:leader="none" w:pos="967"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 Loan Credit Agreement dated as of April 27, 2022 among the Company, as borrower, Bank of America, N.A., as Administrative Agent, Wells Fargo Bank, National Association and U.S. Bank National Association as co-syndication agents, and certain other lenders party thereto (the </w:t>
      </w:r>
      <w:r>
        <w:rPr>
          <w:rFonts w:ascii="Times New Roman" w:cs="Times New Roman" w:eastAsia="Times New Roman" w:hAnsi="Times New Roman"/>
          <w:sz w:val="22"/>
          <w:szCs w:val="22"/>
          <w:b w:val="1"/>
          <w:bCs w:val="1"/>
          <w:color w:val="auto"/>
        </w:rPr>
        <w:t>“2022 Credit Agreement”</w:t>
      </w:r>
      <w:r>
        <w:rPr>
          <w:rFonts w:ascii="Times New Roman" w:cs="Times New Roman" w:eastAsia="Times New Roman" w:hAnsi="Times New Roman"/>
          <w:sz w:val="22"/>
          <w:szCs w:val="22"/>
          <w:color w:val="auto"/>
        </w:rPr>
        <w:t>);</w:t>
      </w:r>
    </w:p>
    <w:p>
      <w:pPr>
        <w:spacing w:after="0" w:line="105" w:lineRule="exact"/>
        <w:rPr>
          <w:rFonts w:ascii="Times New Roman" w:cs="Times New Roman" w:eastAsia="Times New Roman" w:hAnsi="Times New Roman"/>
          <w:sz w:val="22"/>
          <w:szCs w:val="22"/>
          <w:color w:val="auto"/>
        </w:rPr>
      </w:pPr>
    </w:p>
    <w:p>
      <w:pPr>
        <w:jc w:val="both"/>
        <w:ind w:firstLine="656"/>
        <w:spacing w:after="0" w:line="252" w:lineRule="auto"/>
        <w:tabs>
          <w:tab w:leader="none" w:pos="94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Note Purchase Agreement dated as of April 30, 2019 among the Company and the Institutional Investors from time to time party thereto (as amended, restated or supplemented from time to time, the </w:t>
      </w:r>
      <w:r>
        <w:rPr>
          <w:rFonts w:ascii="Times New Roman" w:cs="Times New Roman" w:eastAsia="Times New Roman" w:hAnsi="Times New Roman"/>
          <w:sz w:val="22"/>
          <w:szCs w:val="22"/>
          <w:b w:val="1"/>
          <w:bCs w:val="1"/>
          <w:color w:val="auto"/>
        </w:rPr>
        <w:t>“2019 Note Purchase Agreement”</w:t>
      </w:r>
      <w:r>
        <w:rPr>
          <w:rFonts w:ascii="Times New Roman" w:cs="Times New Roman" w:eastAsia="Times New Roman" w:hAnsi="Times New Roman"/>
          <w:sz w:val="22"/>
          <w:szCs w:val="22"/>
          <w:color w:val="auto"/>
        </w:rPr>
        <w:t>), pursuant to which the Company issued $200,000,000 aggregate principal amount of its Senior Notes due June 15, 2029 and June 15, 2031, for so long as any such notes remain outstanding;</w:t>
      </w:r>
    </w:p>
    <w:p>
      <w:pPr>
        <w:spacing w:after="0" w:line="111" w:lineRule="exact"/>
        <w:rPr>
          <w:rFonts w:ascii="Times New Roman" w:cs="Times New Roman" w:eastAsia="Times New Roman" w:hAnsi="Times New Roman"/>
          <w:sz w:val="22"/>
          <w:szCs w:val="22"/>
          <w:color w:val="auto"/>
        </w:rPr>
      </w:pPr>
    </w:p>
    <w:p>
      <w:pPr>
        <w:jc w:val="both"/>
        <w:ind w:firstLine="656"/>
        <w:spacing w:after="0" w:line="248" w:lineRule="auto"/>
        <w:tabs>
          <w:tab w:leader="none" w:pos="95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Note Purchase Agreement dated as of June 30, 2022 among the Company and the Institutional Investors from time to time party thereto (as amended, restated or supplemented from time to time, the </w:t>
      </w:r>
      <w:r>
        <w:rPr>
          <w:rFonts w:ascii="Times New Roman" w:cs="Times New Roman" w:eastAsia="Times New Roman" w:hAnsi="Times New Roman"/>
          <w:sz w:val="22"/>
          <w:szCs w:val="22"/>
          <w:b w:val="1"/>
          <w:bCs w:val="1"/>
          <w:color w:val="auto"/>
        </w:rPr>
        <w:t>“2022 Note Purchase Agreement”</w:t>
      </w:r>
      <w:r>
        <w:rPr>
          <w:rFonts w:ascii="Times New Roman" w:cs="Times New Roman" w:eastAsia="Times New Roman" w:hAnsi="Times New Roman"/>
          <w:sz w:val="22"/>
          <w:szCs w:val="22"/>
          <w:color w:val="auto"/>
        </w:rPr>
        <w:t>), pursuant to which the Company issued $100,000,000 aggregate principal amount of its Senior Notes due June 30, 2032, for so long as any such notes remain outstanding; and</w:t>
      </w:r>
    </w:p>
    <w:p>
      <w:pPr>
        <w:spacing w:after="0" w:line="128" w:lineRule="exact"/>
        <w:rPr>
          <w:rFonts w:ascii="Times New Roman" w:cs="Times New Roman" w:eastAsia="Times New Roman" w:hAnsi="Times New Roman"/>
          <w:sz w:val="22"/>
          <w:szCs w:val="22"/>
          <w:color w:val="auto"/>
        </w:rPr>
      </w:pPr>
    </w:p>
    <w:p>
      <w:pPr>
        <w:jc w:val="both"/>
        <w:ind w:firstLine="656"/>
        <w:spacing w:after="0" w:line="248" w:lineRule="auto"/>
        <w:tabs>
          <w:tab w:leader="none" w:pos="96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agreement(s) (other than any Receivables Purchase Facility or any Floor Plan Financing Arrangement), including any renewals, extensions, amendments, supplements, restatements, replacements or refinancings of the 2024 Credit Agreement and/or the 2022 Credit Agreement, creating or evidencing indebtedness for borrowed money entered into by the Company or any Subsidiary, or in respect of which the Company or any Subsidiary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369" w:right="339" w:bottom="1440" w:gutter="0" w:footer="0" w:header="0"/>
        </w:sectPr>
      </w:pPr>
    </w:p>
    <w:bookmarkStart w:id="75" w:name="page76"/>
    <w:bookmarkEnd w:id="75"/>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an obligor or otherwise provides a guarantee or other credit support (</w:t>
      </w:r>
      <w:r>
        <w:rPr>
          <w:rFonts w:ascii="Times New Roman" w:cs="Times New Roman" w:eastAsia="Times New Roman" w:hAnsi="Times New Roman"/>
          <w:sz w:val="22"/>
          <w:szCs w:val="22"/>
          <w:b w:val="1"/>
          <w:bCs w:val="1"/>
          <w:color w:val="auto"/>
        </w:rPr>
        <w:t>“Credit Facility”</w:t>
      </w:r>
      <w:r>
        <w:rPr>
          <w:rFonts w:ascii="Times New Roman" w:cs="Times New Roman" w:eastAsia="Times New Roman" w:hAnsi="Times New Roman"/>
          <w:sz w:val="22"/>
          <w:szCs w:val="22"/>
          <w:color w:val="auto"/>
        </w:rPr>
        <w:t>), in a principal amount outstanding or available for borrowing equal to or greater than $50,000,000 (or the equivalent of such amount in the relevant currency of payment, determined as of the date of the closing of such facility based on the exchange rate of such other currency); and if no Credit Facility or Credit Facilities equal or exceed such amounts, then the largest Credit Facility shall be deemed to be a Material Credit Facility</w:t>
      </w:r>
      <w:r>
        <w:rPr>
          <w:rFonts w:ascii="Times New Roman" w:cs="Times New Roman" w:eastAsia="Times New Roman" w:hAnsi="Times New Roman"/>
          <w:sz w:val="22"/>
          <w:szCs w:val="22"/>
          <w:i w:val="1"/>
          <w:iCs w:val="1"/>
          <w:color w:val="auto"/>
        </w:rPr>
        <w:t>.</w:t>
      </w:r>
    </w:p>
    <w:p>
      <w:pPr>
        <w:spacing w:after="0" w:line="12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“Material Subsidiary” </w:t>
      </w:r>
      <w:r>
        <w:rPr>
          <w:rFonts w:ascii="Times New Roman" w:cs="Times New Roman" w:eastAsia="Times New Roman" w:hAnsi="Times New Roman"/>
          <w:sz w:val="22"/>
          <w:szCs w:val="22"/>
          <w:color w:val="auto"/>
        </w:rPr>
        <w:t>means, at any time of determination, any Subsidiary having at such time either (i) 10% or more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net book value of Consolidated Total Assets as of the last day of the preceding fiscal quarter or (ii) 5% or more of the consolidated total (gross) revenues of the Company and its Subsidiaries for the preceding four fiscal quarter period, in each case, based upon the Company’s most recent annual or quarterly consolidated financial statements.</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“Maturity Date” </w:t>
      </w:r>
      <w:r>
        <w:rPr>
          <w:rFonts w:ascii="Times New Roman" w:cs="Times New Roman" w:eastAsia="Times New Roman" w:hAnsi="Times New Roman"/>
          <w:sz w:val="22"/>
          <w:szCs w:val="22"/>
          <w:color w:val="auto"/>
        </w:rPr>
        <w:t>is defined in the first paragraph of each Note.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“More Favorable Covenant” </w:t>
      </w:r>
      <w:r>
        <w:rPr>
          <w:rFonts w:ascii="Times New Roman" w:cs="Times New Roman" w:eastAsia="Times New Roman" w:hAnsi="Times New Roman"/>
          <w:sz w:val="22"/>
          <w:szCs w:val="22"/>
          <w:color w:val="auto"/>
        </w:rPr>
        <w:t>is defined in Section 10.11(a).</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“Most Favored Lender Notice” </w:t>
      </w:r>
      <w:r>
        <w:rPr>
          <w:rFonts w:ascii="Times New Roman" w:cs="Times New Roman" w:eastAsia="Times New Roman" w:hAnsi="Times New Roman"/>
          <w:sz w:val="22"/>
          <w:szCs w:val="22"/>
          <w:color w:val="auto"/>
        </w:rPr>
        <w:t>is defined in Section 10.11(c).</w:t>
      </w:r>
    </w:p>
    <w:p>
      <w:pPr>
        <w:spacing w:after="0" w:line="16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“Multiemployer Plan” </w:t>
      </w:r>
      <w:r>
        <w:rPr>
          <w:rFonts w:ascii="Times New Roman" w:cs="Times New Roman" w:eastAsia="Times New Roman" w:hAnsi="Times New Roman"/>
          <w:sz w:val="22"/>
          <w:szCs w:val="22"/>
          <w:color w:val="auto"/>
        </w:rPr>
        <w:t>means any Plan that is a “multiemployer plan” (as such term is defined in section 4001(a)(3)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ERISA).</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“NAIC” </w:t>
      </w:r>
      <w:r>
        <w:rPr>
          <w:rFonts w:ascii="Times New Roman" w:cs="Times New Roman" w:eastAsia="Times New Roman" w:hAnsi="Times New Roman"/>
          <w:sz w:val="22"/>
          <w:szCs w:val="22"/>
          <w:color w:val="auto"/>
        </w:rPr>
        <w:t>means the National Association of Insurance Commissioners.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“90-Day Period” </w:t>
      </w:r>
      <w:r>
        <w:rPr>
          <w:rFonts w:ascii="Times New Roman" w:cs="Times New Roman" w:eastAsia="Times New Roman" w:hAnsi="Times New Roman"/>
          <w:sz w:val="22"/>
          <w:szCs w:val="22"/>
          <w:color w:val="auto"/>
        </w:rPr>
        <w:t>is defined in Section 8.2(b).</w:t>
      </w:r>
    </w:p>
    <w:p>
      <w:pPr>
        <w:spacing w:after="0" w:line="122" w:lineRule="exact"/>
        <w:rPr>
          <w:sz w:val="20"/>
          <w:szCs w:val="20"/>
          <w:color w:val="auto"/>
        </w:rPr>
      </w:pPr>
    </w:p>
    <w:p>
      <w:pPr>
        <w:jc w:val="both"/>
        <w:ind w:firstLine="648"/>
        <w:spacing w:after="0" w:line="266" w:lineRule="exact"/>
        <w:rPr>
          <w:sz w:val="20"/>
          <w:szCs w:val="20"/>
          <w:color w:val="auto"/>
        </w:rPr>
      </w:pPr>
      <w:r>
        <w:rPr>
          <w:rFonts w:ascii="Times New Roman" w:cs="Times New Roman" w:eastAsia="Times New Roman" w:hAnsi="Times New Roman"/>
          <w:sz w:val="22"/>
          <w:szCs w:val="22"/>
          <w:b w:val="1"/>
          <w:bCs w:val="1"/>
          <w:color w:val="auto"/>
        </w:rPr>
        <w:t>“Non</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 xml:space="preserve">U.S. Plan” </w:t>
      </w:r>
      <w:r>
        <w:rPr>
          <w:rFonts w:ascii="Times New Roman" w:cs="Times New Roman" w:eastAsia="Times New Roman" w:hAnsi="Times New Roman"/>
          <w:sz w:val="22"/>
          <w:szCs w:val="22"/>
          <w:color w:val="auto"/>
        </w:rPr>
        <w:t>means any plan, fund or other similar program that (a) is established or maintained outside the United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“Notes” </w:t>
      </w:r>
      <w:r>
        <w:rPr>
          <w:rFonts w:ascii="Times New Roman" w:cs="Times New Roman" w:eastAsia="Times New Roman" w:hAnsi="Times New Roman"/>
          <w:sz w:val="22"/>
          <w:szCs w:val="22"/>
          <w:color w:val="auto"/>
        </w:rPr>
        <w:t>is defined in Section 1.</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“OFAC” </w:t>
      </w:r>
      <w:r>
        <w:rPr>
          <w:rFonts w:ascii="Times New Roman" w:cs="Times New Roman" w:eastAsia="Times New Roman" w:hAnsi="Times New Roman"/>
          <w:sz w:val="22"/>
          <w:szCs w:val="22"/>
          <w:color w:val="auto"/>
        </w:rPr>
        <w:t>means the Office of Foreign Assets Control of the United States Department of the Treasury.</w:t>
      </w:r>
    </w:p>
    <w:p>
      <w:pPr>
        <w:spacing w:after="0" w:line="16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“OFAC Sanctions Program” </w:t>
      </w:r>
      <w:r>
        <w:rPr>
          <w:rFonts w:ascii="Times New Roman" w:cs="Times New Roman" w:eastAsia="Times New Roman" w:hAnsi="Times New Roman"/>
          <w:sz w:val="22"/>
          <w:szCs w:val="22"/>
          <w:color w:val="auto"/>
        </w:rPr>
        <w:t>means any economic or trade sanction that OFAC is responsible for administering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enforcing. A list of OFAC Sanctions Programs may be found at http://www.treasury.gov/resource-center/sanctions/Programs/Pages/Programs.aspx.</w:t>
      </w:r>
    </w:p>
    <w:p>
      <w:pPr>
        <w:spacing w:after="0" w:line="1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“Officer’s Certificate” </w:t>
      </w:r>
      <w:r>
        <w:rPr>
          <w:rFonts w:ascii="Times New Roman" w:cs="Times New Roman" w:eastAsia="Times New Roman" w:hAnsi="Times New Roman"/>
          <w:sz w:val="22"/>
          <w:szCs w:val="22"/>
          <w:color w:val="auto"/>
        </w:rPr>
        <w:t>means a certificate of a Senior Financial Officer or of any other officer of the Company whose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responsibilities extend to the subject matter of such certificate.</w:t>
      </w:r>
    </w:p>
    <w:p>
      <w:pPr>
        <w:spacing w:after="0" w:line="65" w:lineRule="exact"/>
        <w:rPr>
          <w:sz w:val="20"/>
          <w:szCs w:val="20"/>
          <w:color w:val="auto"/>
        </w:rPr>
      </w:pPr>
    </w:p>
    <w:p>
      <w:pPr>
        <w:jc w:val="both"/>
        <w:ind w:firstLine="648"/>
        <w:spacing w:after="0" w:line="281" w:lineRule="exact"/>
        <w:rPr>
          <w:sz w:val="20"/>
          <w:szCs w:val="20"/>
          <w:color w:val="auto"/>
        </w:rPr>
      </w:pPr>
      <w:r>
        <w:rPr>
          <w:rFonts w:ascii="Times New Roman" w:cs="Times New Roman" w:eastAsia="Times New Roman" w:hAnsi="Times New Roman"/>
          <w:sz w:val="22"/>
          <w:szCs w:val="22"/>
          <w:b w:val="1"/>
          <w:bCs w:val="1"/>
          <w:color w:val="auto"/>
        </w:rPr>
        <w:t xml:space="preserve">“Originators” </w:t>
      </w:r>
      <w:r>
        <w:rPr>
          <w:rFonts w:ascii="Times New Roman" w:cs="Times New Roman" w:eastAsia="Times New Roman" w:hAnsi="Times New Roman"/>
          <w:sz w:val="22"/>
          <w:szCs w:val="22"/>
          <w:color w:val="auto"/>
        </w:rPr>
        <w:t>means the Company and/or any of its domestic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Subsidiaries in their respective capacities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parties to any documents related to any Receivables Purchase Facility, as sellers or transferors of any Receivables and related security in connection with a Permitted Receivables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369" w:right="339" w:bottom="1440" w:gutter="0" w:footer="0" w:header="0"/>
        </w:sectPr>
      </w:pPr>
    </w:p>
    <w:bookmarkStart w:id="76" w:name="page77"/>
    <w:bookmarkEnd w:id="76"/>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“PBGC” </w:t>
      </w:r>
      <w:r>
        <w:rPr>
          <w:rFonts w:ascii="Times New Roman" w:cs="Times New Roman" w:eastAsia="Times New Roman" w:hAnsi="Times New Roman"/>
          <w:sz w:val="22"/>
          <w:szCs w:val="22"/>
          <w:color w:val="auto"/>
        </w:rPr>
        <w:t>means the Pension Benefit Guaranty Corporation referred to and defined in ERISA or any successor thereto.</w:t>
      </w:r>
    </w:p>
    <w:p>
      <w:pPr>
        <w:spacing w:after="0" w:line="16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“Pending Acquisition Transaction” </w:t>
      </w:r>
      <w:r>
        <w:rPr>
          <w:rFonts w:ascii="Times New Roman" w:cs="Times New Roman" w:eastAsia="Times New Roman" w:hAnsi="Times New Roman"/>
          <w:sz w:val="22"/>
          <w:szCs w:val="22"/>
          <w:color w:val="auto"/>
        </w:rPr>
        <w:t>means any pending acquisition or investment not prohibited under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having a transaction value (as determined by the Company in good faith) in excess of $75,000,000.</w:t>
      </w:r>
    </w:p>
    <w:p>
      <w:pPr>
        <w:spacing w:after="0" w:line="10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“Pending Refinancing Transaction” </w:t>
      </w:r>
      <w:r>
        <w:rPr>
          <w:rFonts w:ascii="Times New Roman" w:cs="Times New Roman" w:eastAsia="Times New Roman" w:hAnsi="Times New Roman"/>
          <w:sz w:val="22"/>
          <w:szCs w:val="22"/>
          <w:color w:val="auto"/>
        </w:rPr>
        <w:t>means any refinancing, prepayment, repayment, redemption, repurchase,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settlement, discharge or defeasance of debt securities (whether issued in a registered transaction, 144A offering or other private placement) or term loan facilities.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 xml:space="preserve">“Pending Refinancing Transaction Effective Date” </w:t>
      </w:r>
      <w:r>
        <w:rPr>
          <w:rFonts w:ascii="Times New Roman" w:cs="Times New Roman" w:eastAsia="Times New Roman" w:hAnsi="Times New Roman"/>
          <w:sz w:val="21"/>
          <w:szCs w:val="21"/>
          <w:color w:val="auto"/>
        </w:rPr>
        <w:t>has the meaning set forth in the definition of “Pending Transaction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Debt”.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“Pending Transaction” </w:t>
      </w:r>
      <w:r>
        <w:rPr>
          <w:rFonts w:ascii="Times New Roman" w:cs="Times New Roman" w:eastAsia="Times New Roman" w:hAnsi="Times New Roman"/>
          <w:sz w:val="22"/>
          <w:szCs w:val="22"/>
          <w:color w:val="auto"/>
        </w:rPr>
        <w:t>means a Pending Acquisition Transaction or a Pending Refinancing Transaction.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“Pending Transaction Debt” </w:t>
      </w:r>
      <w:r>
        <w:rPr>
          <w:rFonts w:ascii="Times New Roman" w:cs="Times New Roman" w:eastAsia="Times New Roman" w:hAnsi="Times New Roman"/>
          <w:sz w:val="22"/>
          <w:szCs w:val="22"/>
          <w:color w:val="auto"/>
        </w:rPr>
        <w:t>means as of any date of determination, the lesser of:</w:t>
      </w:r>
    </w:p>
    <w:p>
      <w:pPr>
        <w:spacing w:after="0" w:line="170" w:lineRule="exact"/>
        <w:rPr>
          <w:sz w:val="20"/>
          <w:szCs w:val="20"/>
          <w:color w:val="auto"/>
        </w:rPr>
      </w:pPr>
    </w:p>
    <w:p>
      <w:pPr>
        <w:jc w:val="both"/>
        <w:ind w:firstLine="1304"/>
        <w:spacing w:after="0" w:line="257" w:lineRule="auto"/>
        <w:tabs>
          <w:tab w:leader="none" w:pos="160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cash proceeds received and held by or on behalf of the Company or its Subsidiaries in connection with any offering, issuance or other incurrence of Indebtedness (</w:t>
      </w:r>
      <w:r>
        <w:rPr>
          <w:rFonts w:ascii="Times New Roman" w:cs="Times New Roman" w:eastAsia="Times New Roman" w:hAnsi="Times New Roman"/>
          <w:sz w:val="22"/>
          <w:szCs w:val="22"/>
          <w:b w:val="1"/>
          <w:bCs w:val="1"/>
          <w:color w:val="auto"/>
        </w:rPr>
        <w:t>“Specified Indebtedness”</w:t>
      </w:r>
      <w:r>
        <w:rPr>
          <w:rFonts w:ascii="Times New Roman" w:cs="Times New Roman" w:eastAsia="Times New Roman" w:hAnsi="Times New Roman"/>
          <w:sz w:val="22"/>
          <w:szCs w:val="22"/>
          <w:color w:val="auto"/>
        </w:rPr>
        <w:t>) in connection with a Pending Transaction; and</w:t>
      </w:r>
    </w:p>
    <w:p>
      <w:pPr>
        <w:spacing w:after="0" w:line="105" w:lineRule="exact"/>
        <w:rPr>
          <w:rFonts w:ascii="Times New Roman" w:cs="Times New Roman" w:eastAsia="Times New Roman" w:hAnsi="Times New Roman"/>
          <w:sz w:val="22"/>
          <w:szCs w:val="22"/>
          <w:color w:val="auto"/>
        </w:rPr>
      </w:pPr>
    </w:p>
    <w:p>
      <w:pPr>
        <w:jc w:val="both"/>
        <w:ind w:firstLine="1304"/>
        <w:spacing w:after="0" w:line="257" w:lineRule="auto"/>
        <w:tabs>
          <w:tab w:leader="none" w:pos="161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lowest maximum amount (for the avoidance of doubt, not to be less than $0) that may be deducted as of such date when calculating “Indebtedness” (or other corresponding definition) for purposes of determining compliance with any leverage ratio financial covenant (or other corresponding provision) in any Material Credit Facility.</w:t>
      </w:r>
    </w:p>
    <w:p>
      <w:pPr>
        <w:spacing w:after="0" w:line="11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Company may only deduct the aggregate amount of cash proceeds received and held by or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behalf of the Company or its Subsidiaries in connection with Specified Indebtedness for purposes of clause (1) above in connection with not more than three Pending Transactions; and</w:t>
      </w:r>
    </w:p>
    <w:p>
      <w:pPr>
        <w:spacing w:after="0" w:line="12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further</w:t>
      </w:r>
      <w:r>
        <w:rPr>
          <w:rFonts w:ascii="Times New Roman" w:cs="Times New Roman" w:eastAsia="Times New Roman" w:hAnsi="Times New Roman"/>
          <w:sz w:val="22"/>
          <w:szCs w:val="22"/>
          <w:color w:val="auto"/>
        </w:rPr>
        <w:t>, that if the Company shall not have delivered to the holders of the Notes evidence of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investment grade rating from at least two accredited nationally recognized rating agencies (other than Egan-Jones Ratings Company) 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for a Pending Transaction prior to incurring such Specified Indebtedness, the aggregate amount of cash proceeds received and held by or on behalf of the Company or its Subsidiaries in connection with such Specified Indebtedness for purposes of clause (1) shall be deemed to be $0; and</w:t>
      </w:r>
    </w:p>
    <w:p>
      <w:pPr>
        <w:spacing w:after="0" w:line="11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if a Pending Acquisition Transaction is not consummated by the date that is 270 days after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offering, issuance or other incurrence of such Specified Indebtedness (the </w:t>
      </w:r>
      <w:r>
        <w:rPr>
          <w:rFonts w:ascii="Times New Roman" w:cs="Times New Roman" w:eastAsia="Times New Roman" w:hAnsi="Times New Roman"/>
          <w:sz w:val="22"/>
          <w:szCs w:val="22"/>
          <w:b w:val="1"/>
          <w:bCs w:val="1"/>
          <w:color w:val="auto"/>
        </w:rPr>
        <w:t>“Pending Acquisition Transaction 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then from and after the Pending Acquisition Transaction Effective Date (or such later date as the Required Holders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the aggregate amount of cash proceeds received and held by or on behalf of the Company or its Subsidiaries in connection with such Specified Indebtedness for purposes of clause (1) shall be deemed to be $0;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369" w:right="339" w:bottom="1440" w:gutter="0" w:footer="0" w:header="0"/>
        </w:sectPr>
      </w:pPr>
    </w:p>
    <w:bookmarkStart w:id="77" w:name="page78"/>
    <w:bookmarkEnd w:id="77"/>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i w:val="1"/>
          <w:iCs w:val="1"/>
          <w:color w:val="auto"/>
        </w:rPr>
        <w:t xml:space="preserve">provided, further, </w:t>
      </w:r>
      <w:r>
        <w:rPr>
          <w:rFonts w:ascii="Times New Roman" w:cs="Times New Roman" w:eastAsia="Times New Roman" w:hAnsi="Times New Roman"/>
          <w:sz w:val="22"/>
          <w:szCs w:val="22"/>
          <w:color w:val="auto"/>
        </w:rPr>
        <w:t>that if a Pending Refinancing Transaction is not consummated by the date that is 60 days after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offering, issuance or other incurrence of such Specified Indebtedness (the </w:t>
      </w:r>
      <w:r>
        <w:rPr>
          <w:rFonts w:ascii="Times New Roman" w:cs="Times New Roman" w:eastAsia="Times New Roman" w:hAnsi="Times New Roman"/>
          <w:sz w:val="22"/>
          <w:szCs w:val="22"/>
          <w:b w:val="1"/>
          <w:bCs w:val="1"/>
          <w:color w:val="auto"/>
        </w:rPr>
        <w:t>“Pending Refinancing Transaction 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then from and after the Pending Refinancing Transaction Effective Date (or such later date as the Required Holders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the aggregate amount of cash proceeds received and held by or on behalf of the Company or its Subsidiaries in connection with such Specified Indebtedness for purposes of clause (1) shall be deemed to be $0; and</w:t>
      </w:r>
    </w:p>
    <w:p>
      <w:pPr>
        <w:spacing w:after="0" w:line="124" w:lineRule="exact"/>
        <w:rPr>
          <w:sz w:val="20"/>
          <w:szCs w:val="20"/>
          <w:color w:val="auto"/>
        </w:rPr>
      </w:pPr>
    </w:p>
    <w:p>
      <w:pPr>
        <w:jc w:val="both"/>
        <w:ind w:right="20" w:firstLine="1296"/>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provided, further, </w:t>
      </w:r>
      <w:r>
        <w:rPr>
          <w:rFonts w:ascii="Times New Roman" w:cs="Times New Roman" w:eastAsia="Times New Roman" w:hAnsi="Times New Roman"/>
          <w:sz w:val="22"/>
          <w:szCs w:val="22"/>
          <w:color w:val="auto"/>
        </w:rPr>
        <w:t>that upon and after the consummation of a Pending Transaction, the aggregate amount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cash proceeds received and still held by or on behalf of the Company or its Subsidiaries in connection with such Specified Indebtedness for purposes of clause (1) above shall be deemed to be $0.</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Liens</w:t>
      </w:r>
      <w:r>
        <w:rPr>
          <w:rFonts w:ascii="Times New Roman" w:cs="Times New Roman" w:eastAsia="Times New Roman" w:hAnsi="Times New Roman"/>
          <w:sz w:val="22"/>
          <w:szCs w:val="22"/>
          <w:color w:val="auto"/>
        </w:rPr>
        <w:t>” is defined in Section 10.6.</w:t>
      </w:r>
    </w:p>
    <w:p>
      <w:pPr>
        <w:spacing w:after="0" w:line="15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“Person” </w:t>
      </w:r>
      <w:r>
        <w:rPr>
          <w:rFonts w:ascii="Times New Roman" w:cs="Times New Roman" w:eastAsia="Times New Roman" w:hAnsi="Times New Roman"/>
          <w:sz w:val="22"/>
          <w:szCs w:val="22"/>
          <w:color w:val="auto"/>
        </w:rPr>
        <w:t>means an individual, partnership, corporation, limited liability company, association, trust, unincorporated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organization, business entity or Governmental Authority.</w:t>
      </w:r>
    </w:p>
    <w:p>
      <w:pPr>
        <w:spacing w:after="0" w:line="9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“Plan” </w:t>
      </w:r>
      <w:r>
        <w:rPr>
          <w:rFonts w:ascii="Times New Roman" w:cs="Times New Roman" w:eastAsia="Times New Roman" w:hAnsi="Times New Roman"/>
          <w:sz w:val="22"/>
          <w:szCs w:val="22"/>
          <w:color w:val="auto"/>
        </w:rPr>
        <w:t>means an “employee benefit plan” (as defined in section 3(3) of ERISA) subject to Title I of ERISA that is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spacing w:after="0" w:line="1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“Preferred Stock” </w:t>
      </w:r>
      <w:r>
        <w:rPr>
          <w:rFonts w:ascii="Times New Roman" w:cs="Times New Roman" w:eastAsia="Times New Roman" w:hAnsi="Times New Roman"/>
          <w:sz w:val="22"/>
          <w:szCs w:val="22"/>
          <w:color w:val="auto"/>
        </w:rPr>
        <w:t>means any class of capital stock of a Person that is preferred over any other class of capital stock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similar equity interests) of such Person as to the payment of dividends or the payment of any amount upon liquidation or dissolution of such Person.</w:t>
      </w:r>
    </w:p>
    <w:p>
      <w:pPr>
        <w:spacing w:after="0" w:line="12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“Priority Indebtedness” </w:t>
      </w:r>
      <w:r>
        <w:rPr>
          <w:rFonts w:ascii="Times New Roman" w:cs="Times New Roman" w:eastAsia="Times New Roman" w:hAnsi="Times New Roman"/>
          <w:sz w:val="22"/>
          <w:szCs w:val="22"/>
          <w:color w:val="auto"/>
        </w:rPr>
        <w:t>means (without duplication), as of the date of any determination thereof, the sum of (i)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unsecured Indebtedness of Subsidiaries (including all Guarantees of Indebtedness of the Company or any Subsidiary but excluding (w) up to $200,000,000 of Indebtedness of a Wholly-Owned Subsidiary outstanding under the Receivables Purchase Facility, (x) unsecured Indebtedness owing to the Company or any other Subsidiary, (y) unsecured Indebtedness outstanding at the time such Person became a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Indebtedness shall have not been incurred in contemplation of such person becoming a Subsidiary, and (z) unsecured Indebtedness of Subsidiary Guarantors), and (ii) all Indebtedness of the Company and its Subsidiaries secured by Liens other than Indebtedness secured by Liens permitted by subparagraphs (a) through (i), inclusive, of Section 10.6. For the avoidance of doubt, all Indebtedness of any Foreign Subsidiary party to a Material Credit Facility that does not become a Subsidiary Guarantor under the terms of this Agreement shall constitute Priority Indebtedness for all purposes of this Agreement, including without limitation, all Indebtedness of Toro Luxembourg under the Existing Credit Agreement.</w:t>
      </w:r>
    </w:p>
    <w:p>
      <w:pPr>
        <w:spacing w:after="0" w:line="13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“property”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“properties” </w:t>
      </w:r>
      <w:r>
        <w:rPr>
          <w:rFonts w:ascii="Times New Roman" w:cs="Times New Roman" w:eastAsia="Times New Roman" w:hAnsi="Times New Roman"/>
          <w:sz w:val="22"/>
          <w:szCs w:val="22"/>
          <w:color w:val="auto"/>
        </w:rPr>
        <w:t>means, unless otherwise specifically limited, real or personal property of any kind, tangible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intangible, choate or inchoate.</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“PTE” </w:t>
      </w:r>
      <w:r>
        <w:rPr>
          <w:rFonts w:ascii="Times New Roman" w:cs="Times New Roman" w:eastAsia="Times New Roman" w:hAnsi="Times New Roman"/>
          <w:sz w:val="22"/>
          <w:szCs w:val="22"/>
          <w:color w:val="auto"/>
        </w:rPr>
        <w:t>is defined in Section 6.2(a).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369" w:right="339" w:bottom="1440" w:gutter="0" w:footer="0" w:header="0"/>
        </w:sectPr>
      </w:pPr>
    </w:p>
    <w:bookmarkStart w:id="78" w:name="page79"/>
    <w:bookmarkEnd w:id="78"/>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“Purchaser”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“Purchasers” </w:t>
      </w:r>
      <w:r>
        <w:rPr>
          <w:rFonts w:ascii="Times New Roman" w:cs="Times New Roman" w:eastAsia="Times New Roman" w:hAnsi="Times New Roman"/>
          <w:sz w:val="22"/>
          <w:szCs w:val="22"/>
          <w:color w:val="auto"/>
        </w:rPr>
        <w:t>means each of the purchasers that has executed and delivered this Agreement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 and such Purchaser’s successors and assigns (so long as any such assignment complies with Section 13.2),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that any Purchaser of a Note that ceases to be the registered holder or a beneficial owner (through a nominee) of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Note as the result of a transfer thereof pursuant to Section 13.2 shall cease to be included within the meaning of “Purchaser” of such Note for the purposes of this Agreement upon such transfer.</w:t>
      </w:r>
    </w:p>
    <w:p>
      <w:pPr>
        <w:spacing w:after="0" w:line="12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Purchaser Schedule</w:t>
      </w:r>
      <w:r>
        <w:rPr>
          <w:rFonts w:ascii="Times New Roman" w:cs="Times New Roman" w:eastAsia="Times New Roman" w:hAnsi="Times New Roman"/>
          <w:sz w:val="22"/>
          <w:szCs w:val="22"/>
          <w:color w:val="auto"/>
        </w:rPr>
        <w:t>” means the Purchaser Schedule to this Agreement listing the Purchasers of the Notes and including their notice and payment information.</w:t>
      </w:r>
    </w:p>
    <w:p>
      <w:pPr>
        <w:spacing w:after="0" w:line="109"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“Qualified Institutional Buyer” </w:t>
      </w:r>
      <w:r>
        <w:rPr>
          <w:rFonts w:ascii="Times New Roman" w:cs="Times New Roman" w:eastAsia="Times New Roman" w:hAnsi="Times New Roman"/>
          <w:sz w:val="22"/>
          <w:szCs w:val="22"/>
          <w:color w:val="auto"/>
        </w:rPr>
        <w:t>means any Person who is a “qualified institutional buyer” within the meaning of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as set forth in Rule 144A(a)(1) under the Securities Act.</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“QPAM Exemption” </w:t>
      </w:r>
      <w:r>
        <w:rPr>
          <w:rFonts w:ascii="Times New Roman" w:cs="Times New Roman" w:eastAsia="Times New Roman" w:hAnsi="Times New Roman"/>
          <w:sz w:val="22"/>
          <w:szCs w:val="22"/>
          <w:color w:val="auto"/>
        </w:rPr>
        <w:t>is defined in Section 6.2(d).</w:t>
      </w:r>
    </w:p>
    <w:p>
      <w:pPr>
        <w:spacing w:after="0" w:line="16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“Ratable Portion” </w:t>
      </w:r>
      <w:r>
        <w:rPr>
          <w:rFonts w:ascii="Times New Roman" w:cs="Times New Roman" w:eastAsia="Times New Roman" w:hAnsi="Times New Roman"/>
          <w:sz w:val="22"/>
          <w:szCs w:val="22"/>
          <w:color w:val="auto"/>
        </w:rPr>
        <w:t>means, with respect to any Note, an amount equal to the product of (x) the amount equal to the net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proceeds being so applied to the prepayment of Indebtedness in accordance with Section 10.3(2), multiplied by (y) a fraction the numerator of which is the outstanding principal amount of such Note and the denominator of which is the aggregate principal amount of Indebtedness of the Company and its Subsidiaries being prepaid pursuant to Section 10.3(2).</w:t>
      </w:r>
    </w:p>
    <w:p>
      <w:pPr>
        <w:spacing w:after="0" w:line="12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“Receivables” </w:t>
      </w:r>
      <w:r>
        <w:rPr>
          <w:rFonts w:ascii="Times New Roman" w:cs="Times New Roman" w:eastAsia="Times New Roman" w:hAnsi="Times New Roman"/>
          <w:sz w:val="22"/>
          <w:szCs w:val="22"/>
          <w:color w:val="auto"/>
        </w:rPr>
        <w:t>shall mean, with respect to any Person, all obligations of any obligor (whether now existing or hereafter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arising) under a contract for sale of goods or services by such Person or any of them, which shall include any obligation of such obligor (whether now existing or hereafter arising) to pay interest, finance charges or amounts with respect thereto, and, with respect to any of the foregoing receivables or obligations, (a) all of the interest of such Person in the goods (including returned goods) the sale of which gave rise to such receivable or obligation after the passage of title thereto to any obligor, (b) all other Liens and property subject thereto from time to time purporting to secure payment of such receivables or obligations, (c) all guarantees, insurance, letters of credit and other agreements or arrangements of whatever character from time to time supporting or securing payment of any such receivables or obligations, (d) all Records and (e) all proceeds of the foregoing.</w:t>
      </w:r>
    </w:p>
    <w:p>
      <w:pPr>
        <w:spacing w:after="0" w:line="1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b w:val="1"/>
          <w:bCs w:val="1"/>
          <w:color w:val="auto"/>
        </w:rPr>
        <w:t xml:space="preserve">“Receivables Purchase Facility” </w:t>
      </w:r>
      <w:r>
        <w:rPr>
          <w:rFonts w:ascii="Times New Roman" w:cs="Times New Roman" w:eastAsia="Times New Roman" w:hAnsi="Times New Roman"/>
          <w:sz w:val="22"/>
          <w:szCs w:val="22"/>
          <w:color w:val="auto"/>
        </w:rPr>
        <w:t>shall mean any agreement of any Originator providing for sales, transfers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conveyances of Receivables of such Originator purporting to be sales (and considered sales under GAAP) that do not provide, directly or indirectly, for recourse against the seller of such Receivables (or against any of such seller’s Affiliates) by way of a guaranty or any other support arrangement, with respect to the amount of such Receivables (based on the financial condition or circumstances of the obligor thereunder), other than such limited recourse as is reasonable given market standards for transactions of a similar type, taking into account such factors as historical bad debt loss experience and obligor concentration levels.</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“Receivables Purchase Facility Termination” </w:t>
      </w:r>
      <w:r>
        <w:rPr>
          <w:rFonts w:ascii="Times New Roman" w:cs="Times New Roman" w:eastAsia="Times New Roman" w:hAnsi="Times New Roman"/>
          <w:sz w:val="22"/>
          <w:szCs w:val="22"/>
          <w:color w:val="auto"/>
        </w:rPr>
        <w:t>is defined in Section 11(g).</w:t>
      </w:r>
    </w:p>
    <w:p>
      <w:pPr>
        <w:spacing w:after="0" w:line="16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1"/>
          <w:szCs w:val="21"/>
          <w:b w:val="1"/>
          <w:bCs w:val="1"/>
          <w:color w:val="auto"/>
        </w:rPr>
        <w:t xml:space="preserve">“Red Iron” </w:t>
      </w:r>
      <w:r>
        <w:rPr>
          <w:rFonts w:ascii="Times New Roman" w:cs="Times New Roman" w:eastAsia="Times New Roman" w:hAnsi="Times New Roman"/>
          <w:sz w:val="21"/>
          <w:szCs w:val="21"/>
          <w:color w:val="auto"/>
        </w:rPr>
        <w:t>means Red Iron Acceptance, LLC, a Delaware limited liability company. For avoidance of doubt, for so long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Red Iron is governed by the Red Iron LLC Agreement as in effect on the Closing Date, except for amendments that do not change the ownership interests of its members or materially change the overall management structure of Red Iron in a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369" w:right="339" w:bottom="1440" w:gutter="0" w:footer="0" w:header="0"/>
        </w:sectPr>
      </w:pPr>
    </w:p>
    <w:bookmarkStart w:id="79" w:name="page80"/>
    <w:bookmarkEnd w:id="79"/>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that would cause Red Iron to be considered a Subsidiary of the Company, any obligations of Red Iron shall not be considered an obligation of Toro or Red Iron Holding Corporation, a Delaware corporation.</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“Red Iron/HCF Repurchase Obligations” </w:t>
      </w:r>
      <w:r>
        <w:rPr>
          <w:rFonts w:ascii="Times New Roman" w:cs="Times New Roman" w:eastAsia="Times New Roman" w:hAnsi="Times New Roman"/>
          <w:sz w:val="22"/>
          <w:szCs w:val="22"/>
          <w:color w:val="auto"/>
        </w:rPr>
        <w:t>has the meaning specified in the definition of “Indebtedness.”</w:t>
      </w:r>
    </w:p>
    <w:p>
      <w:pPr>
        <w:spacing w:after="0" w:line="16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“Red Iron LLC Agreement” </w:t>
      </w:r>
      <w:r>
        <w:rPr>
          <w:rFonts w:ascii="Times New Roman" w:cs="Times New Roman" w:eastAsia="Times New Roman" w:hAnsi="Times New Roman"/>
          <w:sz w:val="22"/>
          <w:szCs w:val="22"/>
          <w:color w:val="auto"/>
        </w:rPr>
        <w:t>means that certain limited liability company agreement of Red Iron Acceptance, LLC,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dated as of August 12, 2009, by and among Red Iron Holding Corporation, a Delaware corporation and a Subsidiary of Toro, and TCFIF Joint Venture I, LLC, a Minnesota limited liability company, as amended prior to the date hereof.</w:t>
      </w:r>
    </w:p>
    <w:p>
      <w:pPr>
        <w:spacing w:after="0" w:line="9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“Related Fund” </w:t>
      </w:r>
      <w:r>
        <w:rPr>
          <w:rFonts w:ascii="Times New Roman" w:cs="Times New Roman" w:eastAsia="Times New Roman" w:hAnsi="Times New Roman"/>
          <w:sz w:val="22"/>
          <w:szCs w:val="22"/>
          <w:color w:val="auto"/>
        </w:rPr>
        <w:t>means, with respect to any holder of any Note, any fund or entity that (a) invests in Securities or bank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loans, and (b) is advised or managed by such holder, the same investment advisor as such holder or by an affiliate of such holder or such investment advisor.</w:t>
      </w:r>
    </w:p>
    <w:p>
      <w:pPr>
        <w:spacing w:after="0" w:line="99"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“Required Holders” </w:t>
      </w:r>
      <w:r>
        <w:rPr>
          <w:rFonts w:ascii="Times New Roman" w:cs="Times New Roman" w:eastAsia="Times New Roman" w:hAnsi="Times New Roman"/>
          <w:sz w:val="22"/>
          <w:szCs w:val="22"/>
          <w:color w:val="auto"/>
        </w:rPr>
        <w:t>means at any time on or after the Closing, the holders of at least 51% in principal amount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Notes at the time outstanding (exclusive of Notes then owned by the Company or any of its Affiliates).</w:t>
      </w:r>
    </w:p>
    <w:p>
      <w:pPr>
        <w:spacing w:after="0" w:line="9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“Responsible Officer” </w:t>
      </w:r>
      <w:r>
        <w:rPr>
          <w:rFonts w:ascii="Times New Roman" w:cs="Times New Roman" w:eastAsia="Times New Roman" w:hAnsi="Times New Roman"/>
          <w:sz w:val="22"/>
          <w:szCs w:val="22"/>
          <w:color w:val="auto"/>
        </w:rPr>
        <w:t>means any Senior Financial Officer and any other officer of the Company with responsibility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administration of the relevant portion of this Agreement.</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“Restricted Payment” </w:t>
      </w:r>
      <w:r>
        <w:rPr>
          <w:rFonts w:ascii="Times New Roman" w:cs="Times New Roman" w:eastAsia="Times New Roman" w:hAnsi="Times New Roman"/>
          <w:sz w:val="22"/>
          <w:szCs w:val="22"/>
          <w:color w:val="auto"/>
        </w:rPr>
        <w:t>has the meaning set forth in Section 10.10.</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“SEC” </w:t>
      </w:r>
      <w:r>
        <w:rPr>
          <w:rFonts w:ascii="Times New Roman" w:cs="Times New Roman" w:eastAsia="Times New Roman" w:hAnsi="Times New Roman"/>
          <w:sz w:val="22"/>
          <w:szCs w:val="22"/>
          <w:color w:val="auto"/>
        </w:rPr>
        <w:t>means the Securities and Exchange Commission of the United States of America.</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“Securities”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“Security” </w:t>
      </w:r>
      <w:r>
        <w:rPr>
          <w:rFonts w:ascii="Times New Roman" w:cs="Times New Roman" w:eastAsia="Times New Roman" w:hAnsi="Times New Roman"/>
          <w:sz w:val="22"/>
          <w:szCs w:val="22"/>
          <w:color w:val="auto"/>
        </w:rPr>
        <w:t>shall have the meaning specified in section 2(1) of the Securities Act.</w:t>
      </w:r>
    </w:p>
    <w:p>
      <w:pPr>
        <w:spacing w:after="0" w:line="16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“Securities Act” </w:t>
      </w:r>
      <w:r>
        <w:rPr>
          <w:rFonts w:ascii="Times New Roman" w:cs="Times New Roman" w:eastAsia="Times New Roman" w:hAnsi="Times New Roman"/>
          <w:sz w:val="22"/>
          <w:szCs w:val="22"/>
          <w:color w:val="auto"/>
        </w:rPr>
        <w:t>means the Securities Act of 1933 and the rules and regulations promulgated thereunder from time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in effect.</w:t>
      </w:r>
    </w:p>
    <w:p>
      <w:pPr>
        <w:spacing w:after="0" w:line="10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“Senior Financial Officer” </w:t>
      </w:r>
      <w:r>
        <w:rPr>
          <w:rFonts w:ascii="Times New Roman" w:cs="Times New Roman" w:eastAsia="Times New Roman" w:hAnsi="Times New Roman"/>
          <w:sz w:val="22"/>
          <w:szCs w:val="22"/>
          <w:color w:val="auto"/>
        </w:rPr>
        <w:t>means the chief financial officer, principal accounting officer, treasurer or comptroller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w:t>
      </w:r>
    </w:p>
    <w:p>
      <w:pPr>
        <w:spacing w:after="0" w:line="8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“Senior Indebtedness” </w:t>
      </w:r>
      <w:r>
        <w:rPr>
          <w:rFonts w:ascii="Times New Roman" w:cs="Times New Roman" w:eastAsia="Times New Roman" w:hAnsi="Times New Roman"/>
          <w:sz w:val="22"/>
          <w:szCs w:val="22"/>
          <w:color w:val="auto"/>
        </w:rPr>
        <w:t>means all Indebtedness of the Company or any Subsidiary which is not expressed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subordinate or junior in rank to any other Indebtedness of the Company or such Subsidiary.</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“Source” </w:t>
      </w:r>
      <w:r>
        <w:rPr>
          <w:rFonts w:ascii="Times New Roman" w:cs="Times New Roman" w:eastAsia="Times New Roman" w:hAnsi="Times New Roman"/>
          <w:sz w:val="22"/>
          <w:szCs w:val="22"/>
          <w:color w:val="auto"/>
        </w:rPr>
        <w:t>is defined in Section 6.2.</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“Specified Indebtedness” </w:t>
      </w:r>
      <w:r>
        <w:rPr>
          <w:rFonts w:ascii="Times New Roman" w:cs="Times New Roman" w:eastAsia="Times New Roman" w:hAnsi="Times New Roman"/>
          <w:sz w:val="22"/>
          <w:szCs w:val="22"/>
          <w:color w:val="auto"/>
        </w:rPr>
        <w:t>is defined in the definition of “Pending Transaction Debt”.</w:t>
      </w:r>
    </w:p>
    <w:p>
      <w:pPr>
        <w:spacing w:after="0" w:line="15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“State Sanctions List” </w:t>
      </w:r>
      <w:r>
        <w:rPr>
          <w:rFonts w:ascii="Times New Roman" w:cs="Times New Roman" w:eastAsia="Times New Roman" w:hAnsi="Times New Roman"/>
          <w:sz w:val="22"/>
          <w:szCs w:val="22"/>
          <w:color w:val="auto"/>
        </w:rPr>
        <w:t>means a list that is adopted by any state Governmental Authority within the United States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America pertaining to Persons that engage in investment or other commercial activities in Iran or any other country that is a target of economic sanctions imposed under U.S. Economic Sanctions Laws.</w:t>
      </w:r>
    </w:p>
    <w:p>
      <w:pPr>
        <w:spacing w:after="0" w:line="9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“Subsidiary” </w:t>
      </w:r>
      <w:r>
        <w:rPr>
          <w:rFonts w:ascii="Times New Roman" w:cs="Times New Roman" w:eastAsia="Times New Roman" w:hAnsi="Times New Roman"/>
          <w:sz w:val="22"/>
          <w:szCs w:val="22"/>
          <w:color w:val="auto"/>
        </w:rPr>
        <w:t>means, as to any Person, any other Person in which such first Person or one or more of its Subsidiaries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first Person and one or more of its Subsidiaries owns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369" w:right="339" w:bottom="1440" w:gutter="0" w:footer="0" w:header="0"/>
        </w:sectPr>
      </w:pPr>
    </w:p>
    <w:bookmarkStart w:id="80" w:name="page81"/>
    <w:bookmarkEnd w:id="80"/>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“Subsidiary Guarantor” </w:t>
      </w:r>
      <w:r>
        <w:rPr>
          <w:rFonts w:ascii="Times New Roman" w:cs="Times New Roman" w:eastAsia="Times New Roman" w:hAnsi="Times New Roman"/>
          <w:sz w:val="22"/>
          <w:szCs w:val="22"/>
          <w:color w:val="auto"/>
        </w:rPr>
        <w:t>means each Subsidiary that has executed and delivered a Subsidiary Guaranty.</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“Subsidiary Guaranty” </w:t>
      </w:r>
      <w:r>
        <w:rPr>
          <w:rFonts w:ascii="Times New Roman" w:cs="Times New Roman" w:eastAsia="Times New Roman" w:hAnsi="Times New Roman"/>
          <w:sz w:val="22"/>
          <w:szCs w:val="22"/>
          <w:color w:val="auto"/>
        </w:rPr>
        <w:t>is defined in Section 9.7(a).</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“Substitute Purchaser” </w:t>
      </w:r>
      <w:r>
        <w:rPr>
          <w:rFonts w:ascii="Times New Roman" w:cs="Times New Roman" w:eastAsia="Times New Roman" w:hAnsi="Times New Roman"/>
          <w:sz w:val="22"/>
          <w:szCs w:val="22"/>
          <w:color w:val="auto"/>
        </w:rPr>
        <w:t>is defined in Section 21.</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“SVO” </w:t>
      </w:r>
      <w:r>
        <w:rPr>
          <w:rFonts w:ascii="Times New Roman" w:cs="Times New Roman" w:eastAsia="Times New Roman" w:hAnsi="Times New Roman"/>
          <w:sz w:val="22"/>
          <w:szCs w:val="22"/>
          <w:color w:val="auto"/>
        </w:rPr>
        <w:t>means the Securities Valuation Office of the NAIC.</w:t>
      </w:r>
    </w:p>
    <w:p>
      <w:pPr>
        <w:spacing w:after="0" w:line="122" w:lineRule="exact"/>
        <w:rPr>
          <w:sz w:val="20"/>
          <w:szCs w:val="20"/>
          <w:color w:val="auto"/>
        </w:rPr>
      </w:pPr>
    </w:p>
    <w:p>
      <w:pPr>
        <w:jc w:val="both"/>
        <w:ind w:firstLine="648"/>
        <w:spacing w:after="0" w:line="271" w:lineRule="exact"/>
        <w:rPr>
          <w:sz w:val="20"/>
          <w:szCs w:val="20"/>
          <w:color w:val="auto"/>
        </w:rPr>
      </w:pPr>
      <w:r>
        <w:rPr>
          <w:rFonts w:ascii="Times New Roman" w:cs="Times New Roman" w:eastAsia="Times New Roman" w:hAnsi="Times New Roman"/>
          <w:sz w:val="22"/>
          <w:szCs w:val="22"/>
          <w:b w:val="1"/>
          <w:bCs w:val="1"/>
          <w:color w:val="auto"/>
        </w:rPr>
        <w:t xml:space="preserve">“Synthetic Lease Obligation” </w:t>
      </w:r>
      <w:r>
        <w:rPr>
          <w:rFonts w:ascii="Times New Roman" w:cs="Times New Roman" w:eastAsia="Times New Roman" w:hAnsi="Times New Roman"/>
          <w:sz w:val="22"/>
          <w:szCs w:val="22"/>
          <w:color w:val="auto"/>
        </w:rPr>
        <w:t>means the monetary obligation of a Person under (a) a so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called synthetic, off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balance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3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“Toro Luxembourg” </w:t>
      </w:r>
      <w:r>
        <w:rPr>
          <w:rFonts w:ascii="Times New Roman" w:cs="Times New Roman" w:eastAsia="Times New Roman" w:hAnsi="Times New Roman"/>
          <w:sz w:val="22"/>
          <w:szCs w:val="22"/>
          <w:color w:val="auto"/>
        </w:rPr>
        <w:t>means Toro Luxembourg S. À.R.L., a private limited liability company (</w:t>
      </w:r>
      <w:r>
        <w:rPr>
          <w:rFonts w:ascii="Times New Roman" w:cs="Times New Roman" w:eastAsia="Times New Roman" w:hAnsi="Times New Roman"/>
          <w:sz w:val="22"/>
          <w:szCs w:val="22"/>
          <w:i w:val="1"/>
          <w:iCs w:val="1"/>
          <w:color w:val="auto"/>
        </w:rPr>
        <w:t>société à responsabilité</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limitée</w:t>
      </w:r>
      <w:r>
        <w:rPr>
          <w:rFonts w:ascii="Times New Roman" w:cs="Times New Roman" w:eastAsia="Times New Roman" w:hAnsi="Times New Roman"/>
          <w:sz w:val="22"/>
          <w:szCs w:val="22"/>
          <w:color w:val="auto"/>
        </w:rPr>
        <w:t>) incorporated and existing under the laws of the Grand Duchy of Luxembourg, and registered with the Luxembourg trade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companies register (</w:t>
      </w:r>
      <w:r>
        <w:rPr>
          <w:rFonts w:ascii="Times New Roman" w:cs="Times New Roman" w:eastAsia="Times New Roman" w:hAnsi="Times New Roman"/>
          <w:sz w:val="22"/>
          <w:szCs w:val="22"/>
          <w:i w:val="1"/>
          <w:iCs w:val="1"/>
          <w:color w:val="auto"/>
        </w:rPr>
        <w:t>Registre de Commerce et des Sociétés de Luxembourg</w:t>
      </w:r>
      <w:r>
        <w:rPr>
          <w:rFonts w:ascii="Times New Roman" w:cs="Times New Roman" w:eastAsia="Times New Roman" w:hAnsi="Times New Roman"/>
          <w:sz w:val="22"/>
          <w:szCs w:val="22"/>
          <w:color w:val="auto"/>
        </w:rPr>
        <w:t>) under registration number B131092.</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“United States Person</w:t>
      </w:r>
      <w:r>
        <w:rPr>
          <w:rFonts w:ascii="Times New Roman" w:cs="Times New Roman" w:eastAsia="Times New Roman" w:hAnsi="Times New Roman"/>
          <w:sz w:val="22"/>
          <w:szCs w:val="22"/>
          <w:color w:val="auto"/>
        </w:rPr>
        <w:t>” has the meaning set forth in Section 7701(a)(30) of the Code.</w:t>
      </w:r>
    </w:p>
    <w:p>
      <w:pPr>
        <w:spacing w:after="0" w:line="122" w:lineRule="exact"/>
        <w:rPr>
          <w:sz w:val="20"/>
          <w:szCs w:val="20"/>
          <w:color w:val="auto"/>
        </w:rPr>
      </w:pPr>
    </w:p>
    <w:p>
      <w:pPr>
        <w:jc w:val="both"/>
        <w:ind w:firstLine="648"/>
        <w:spacing w:after="0" w:line="277" w:lineRule="exact"/>
        <w:rPr>
          <w:sz w:val="20"/>
          <w:szCs w:val="20"/>
          <w:color w:val="auto"/>
        </w:rPr>
      </w:pPr>
      <w:r>
        <w:rPr>
          <w:rFonts w:ascii="Times New Roman" w:cs="Times New Roman" w:eastAsia="Times New Roman" w:hAnsi="Times New Roman"/>
          <w:sz w:val="22"/>
          <w:szCs w:val="22"/>
          <w:b w:val="1"/>
          <w:bCs w:val="1"/>
          <w:color w:val="auto"/>
        </w:rPr>
        <w:t xml:space="preserve">“USA PATRIOT Act” </w:t>
      </w:r>
      <w:r>
        <w:rPr>
          <w:rFonts w:ascii="Times New Roman" w:cs="Times New Roman" w:eastAsia="Times New Roman" w:hAnsi="Times New Roman"/>
          <w:sz w:val="22"/>
          <w:szCs w:val="22"/>
          <w:color w:val="auto"/>
        </w:rPr>
        <w:t>means United States Public Law 107</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56, Uniting and Strengthening America by Providing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Appropriate Tools Required to Intercept and Obstruct Terrorism (USA PATRIOT ACT) Act of 2001 and the rules and regulations promulgated thereunder from time to time in effect.</w:t>
      </w:r>
    </w:p>
    <w:p>
      <w:pPr>
        <w:spacing w:after="0" w:line="1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“U.S. Economic Sanctions Laws” </w:t>
      </w:r>
      <w:r>
        <w:rPr>
          <w:rFonts w:ascii="Times New Roman" w:cs="Times New Roman" w:eastAsia="Times New Roman" w:hAnsi="Times New Roman"/>
          <w:sz w:val="22"/>
          <w:szCs w:val="22"/>
          <w:color w:val="auto"/>
        </w:rPr>
        <w:t>means those laws, executive orders, enabling legislation or regulations administered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and any other OFAC Sanctions Program.</w:t>
      </w:r>
    </w:p>
    <w:p>
      <w:pPr>
        <w:spacing w:after="0" w:line="81" w:lineRule="exact"/>
        <w:rPr>
          <w:sz w:val="20"/>
          <w:szCs w:val="20"/>
          <w:color w:val="auto"/>
        </w:rPr>
      </w:pPr>
    </w:p>
    <w:p>
      <w:pPr>
        <w:jc w:val="both"/>
        <w:ind w:firstLine="648"/>
        <w:spacing w:after="0" w:line="277" w:lineRule="exact"/>
        <w:rPr>
          <w:sz w:val="20"/>
          <w:szCs w:val="20"/>
          <w:color w:val="auto"/>
        </w:rPr>
      </w:pPr>
      <w:r>
        <w:rPr>
          <w:rFonts w:ascii="Times New Roman" w:cs="Times New Roman" w:eastAsia="Times New Roman" w:hAnsi="Times New Roman"/>
          <w:sz w:val="22"/>
          <w:szCs w:val="22"/>
          <w:b w:val="1"/>
          <w:bCs w:val="1"/>
          <w:color w:val="auto"/>
        </w:rPr>
        <w:t>“Wholly</w:t>
      </w:r>
      <w:r>
        <w:rPr>
          <w:rFonts w:ascii="MS PGothic" w:cs="MS PGothic" w:eastAsia="MS PGothic" w:hAnsi="MS PGothic"/>
          <w:sz w:val="22"/>
          <w:szCs w:val="22"/>
          <w:color w:val="auto"/>
        </w:rPr>
        <w:t>‑</w:t>
      </w:r>
      <w:r>
        <w:rPr>
          <w:rFonts w:ascii="Times New Roman" w:cs="Times New Roman" w:eastAsia="Times New Roman" w:hAnsi="Times New Roman"/>
          <w:sz w:val="22"/>
          <w:szCs w:val="22"/>
          <w:b w:val="1"/>
          <w:bCs w:val="1"/>
          <w:color w:val="auto"/>
        </w:rPr>
        <w:t xml:space="preserve">Owned Subsidiary” </w:t>
      </w:r>
      <w:r>
        <w:rPr>
          <w:rFonts w:ascii="Times New Roman" w:cs="Times New Roman" w:eastAsia="Times New Roman" w:hAnsi="Times New Roman"/>
          <w:sz w:val="22"/>
          <w:szCs w:val="22"/>
          <w:color w:val="auto"/>
        </w:rPr>
        <w:t>means, at any time, any Subsidiary all of the equity interests (except directors’ qualifying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and voting interests of which are owned by any one or more of the Company and the Company’s other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Subsidiaries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369" w:right="339" w:bottom="1440" w:gutter="0" w:footer="0" w:header="0"/>
        </w:sectPr>
      </w:pPr>
    </w:p>
    <w:bookmarkStart w:id="81" w:name="page82"/>
    <w:bookmarkEnd w:id="81"/>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[Form of Note]</w:t>
      </w:r>
    </w:p>
    <w:p>
      <w:pPr>
        <w:spacing w:after="0" w:line="2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The Toro Company</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5.27% Senior Note Due September 30, 2032</w:t>
      </w:r>
    </w:p>
    <w:p>
      <w:pPr>
        <w:sectPr>
          <w:pgSz w:w="11900" w:h="16838" w:orient="portrait"/>
          <w:cols w:equalWidth="0" w:num="1">
            <w:col w:w="11240"/>
          </w:cols>
          <w:pgMar w:left="320" w:top="369" w:right="339" w:bottom="1440" w:gutter="0" w:footer="0" w:header="0"/>
        </w:sectPr>
      </w:pPr>
    </w:p>
    <w:p>
      <w:pPr>
        <w:spacing w:after="0" w:line="223"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21"/>
          <w:szCs w:val="21"/>
          <w:color w:val="auto"/>
        </w:rPr>
        <w:t>No. R-[_____] $[_______]</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PPN 891092 ___</w:t>
      </w:r>
    </w:p>
    <w:p>
      <w:pPr>
        <w:spacing w:after="0" w:line="229" w:lineRule="exact"/>
        <w:rPr>
          <w:sz w:val="20"/>
          <w:szCs w:val="20"/>
          <w:color w:val="auto"/>
        </w:rPr>
      </w:pPr>
    </w:p>
    <w:p>
      <w:pPr>
        <w:sectPr>
          <w:pgSz w:w="11900" w:h="16838" w:orient="portrait"/>
          <w:cols w:equalWidth="0" w:num="2">
            <w:col w:w="1280" w:space="700"/>
            <w:col w:w="9260"/>
          </w:cols>
          <w:pgMar w:left="320" w:top="369" w:right="339" w:bottom="1440" w:gutter="0" w:footer="0" w:header="0"/>
          <w:type w:val="continuous"/>
        </w:sect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For Value Received, the undersigned, </w:t>
      </w:r>
      <w:r>
        <w:rPr>
          <w:rFonts w:ascii="Times New Roman" w:cs="Times New Roman" w:eastAsia="Times New Roman" w:hAnsi="Times New Roman"/>
          <w:sz w:val="21"/>
          <w:szCs w:val="21"/>
          <w:b w:val="1"/>
          <w:bCs w:val="1"/>
          <w:color w:val="auto"/>
        </w:rPr>
        <w:t>The Toro Company</w:t>
      </w:r>
      <w:r>
        <w:rPr>
          <w:rFonts w:ascii="Times New Roman" w:cs="Times New Roman" w:eastAsia="Times New Roman" w:hAnsi="Times New Roman"/>
          <w:sz w:val="21"/>
          <w:szCs w:val="21"/>
          <w:color w:val="auto"/>
        </w:rPr>
        <w:t xml:space="preserve"> (herein called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 corporation organized and existing under the laws of the State of Delaware, hereby promises to pay to [____________], or registered assigns, the principal</w:t>
      </w:r>
    </w:p>
    <w:p>
      <w:pPr>
        <w:spacing w:after="0" w:line="236" w:lineRule="auto"/>
        <w:rPr>
          <w:sz w:val="20"/>
          <w:szCs w:val="20"/>
          <w:color w:val="auto"/>
        </w:rPr>
      </w:pPr>
      <w:r>
        <w:rPr>
          <w:rFonts w:ascii="Times New Roman" w:cs="Times New Roman" w:eastAsia="Times New Roman" w:hAnsi="Times New Roman"/>
          <w:sz w:val="22"/>
          <w:szCs w:val="22"/>
          <w:color w:val="auto"/>
        </w:rPr>
        <w:t>sum of [_____________________] Dollars (or so much thereof as shall not have been prepaid) on September 30, 2032 (the</w:t>
      </w:r>
    </w:p>
    <w:p>
      <w:pPr>
        <w:jc w:val="both"/>
        <w:spacing w:after="0" w:line="255" w:lineRule="exact"/>
        <w:rPr>
          <w:sz w:val="20"/>
          <w:szCs w:val="20"/>
          <w:color w:val="auto"/>
        </w:rPr>
      </w:pPr>
      <w:r>
        <w:rPr>
          <w:rFonts w:ascii="Times New Roman" w:cs="Times New Roman" w:eastAsia="Times New Roman" w:hAnsi="Times New Roman"/>
          <w:sz w:val="22"/>
          <w:szCs w:val="22"/>
          <w:b w:val="1"/>
          <w:bCs w:val="1"/>
          <w:color w:val="auto"/>
        </w:rPr>
        <w:t>“Maturity Date”</w:t>
      </w:r>
      <w:r>
        <w:rPr>
          <w:rFonts w:ascii="Times New Roman" w:cs="Times New Roman" w:eastAsia="Times New Roman" w:hAnsi="Times New Roman"/>
          <w:sz w:val="22"/>
          <w:szCs w:val="22"/>
          <w:color w:val="auto"/>
        </w:rPr>
        <w:t>), with interest (computed on the basis of a 360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day year of twelve 30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day months) (a) on the unpaid balance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at the rate of 5.27% per annum from the date hereof, payable semiannually, on the 30th day of March and September in each year, commencing with March 30, 2026 and on the Maturity Date, until the principal hereof shall have become due and payable, and (b) to the extent permitted by law, (x) on any overdue payment of interest and (y) during the continuance of an Event of Default, on such unpaid balance and on any overdue payment of any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Whole Amount, at a rate per annum from time to time equal to the greater of (i) 2.0% over the coupon or (ii) 2.0% over the rate of interest publicly announced by Bank of America, N.A. from time to time in New York, New York as its “base” or “prime” rate, payable semiannually as aforesaid (or, at the option of the registered holder hereof, on demand).</w:t>
      </w:r>
    </w:p>
    <w:p>
      <w:pPr>
        <w:spacing w:after="0" w:line="172" w:lineRule="exact"/>
        <w:rPr>
          <w:sz w:val="20"/>
          <w:szCs w:val="20"/>
          <w:color w:val="auto"/>
        </w:rPr>
      </w:pPr>
    </w:p>
    <w:p>
      <w:pPr>
        <w:jc w:val="both"/>
        <w:ind w:right="20" w:firstLine="648"/>
        <w:spacing w:after="0" w:line="277" w:lineRule="exact"/>
        <w:rPr>
          <w:sz w:val="20"/>
          <w:szCs w:val="20"/>
          <w:color w:val="auto"/>
        </w:rPr>
      </w:pPr>
      <w:r>
        <w:rPr>
          <w:rFonts w:ascii="Times New Roman" w:cs="Times New Roman" w:eastAsia="Times New Roman" w:hAnsi="Times New Roman"/>
          <w:sz w:val="22"/>
          <w:szCs w:val="22"/>
          <w:color w:val="auto"/>
        </w:rPr>
        <w:t>Payments of principal of, interest on and any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with respect to this Note are to be made in lawful money of the United States of America at Bank of America, N.A. or at such other place as the Company shall have designated by written notice to the holder of this Note as provided in the Note Purchase Agreement referred to below.</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 xml:space="preserve">This Note is one of a series of Senior Notes (herein called the </w:t>
      </w:r>
      <w:r>
        <w:rPr>
          <w:rFonts w:ascii="Times New Roman" w:cs="Times New Roman" w:eastAsia="Times New Roman" w:hAnsi="Times New Roman"/>
          <w:sz w:val="21"/>
          <w:szCs w:val="21"/>
          <w:b w:val="1"/>
          <w:bCs w:val="1"/>
          <w:color w:val="auto"/>
        </w:rPr>
        <w:t>“Notes”</w:t>
      </w:r>
      <w:r>
        <w:rPr>
          <w:rFonts w:ascii="Times New Roman" w:cs="Times New Roman" w:eastAsia="Times New Roman" w:hAnsi="Times New Roman"/>
          <w:sz w:val="21"/>
          <w:szCs w:val="21"/>
          <w:color w:val="auto"/>
        </w:rPr>
        <w:t xml:space="preserve">) issued pursuant to the Note Purchase Agreement, dated September 30, 2025 (as from time to time amended, the </w:t>
      </w:r>
      <w:r>
        <w:rPr>
          <w:rFonts w:ascii="Times New Roman" w:cs="Times New Roman" w:eastAsia="Times New Roman" w:hAnsi="Times New Roman"/>
          <w:sz w:val="21"/>
          <w:szCs w:val="21"/>
          <w:b w:val="1"/>
          <w:bCs w:val="1"/>
          <w:color w:val="auto"/>
        </w:rPr>
        <w:t>“Note Purchase Agreement”</w:t>
      </w:r>
      <w:r>
        <w:rPr>
          <w:rFonts w:ascii="Times New Roman" w:cs="Times New Roman" w:eastAsia="Times New Roman" w:hAnsi="Times New Roman"/>
          <w:sz w:val="21"/>
          <w:szCs w:val="21"/>
          <w:color w:val="auto"/>
        </w:rPr>
        <w:t>), between the Company and the respective Purchasers named therein and is entitled to the benefits thereof. Each holder of this Note will be deemed, by its acceptance hereof, to have (i) agreed to the confidentiality provisions set forth in Section 20 of the Note Purchase Agreement and</w:t>
      </w:r>
    </w:p>
    <w:p>
      <w:pPr>
        <w:spacing w:after="0" w:line="2" w:lineRule="exact"/>
        <w:rPr>
          <w:sz w:val="20"/>
          <w:szCs w:val="20"/>
          <w:color w:val="auto"/>
        </w:rPr>
      </w:pPr>
    </w:p>
    <w:p>
      <w:pPr>
        <w:ind w:right="20" w:firstLine="8"/>
        <w:spacing w:after="0" w:line="237" w:lineRule="auto"/>
        <w:tabs>
          <w:tab w:leader="none" w:pos="34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made the representation set forth in Section 6.2 of the Note Purchase Agreement. Unless otherwise indicated, capitalized terms used in this Note shall have the respective meanings ascribed to such terms in the Note Purchase Agreement.</w:t>
      </w:r>
    </w:p>
    <w:p>
      <w:pPr>
        <w:spacing w:after="0" w:line="21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This Note is a registered Note and, as provided in the Note Purchase Agreement, upon surrender of this Note for registration of transfer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369" w:right="339" w:bottom="1440" w:gutter="0" w:footer="0" w:header="0"/>
          <w:type w:val="continuous"/>
        </w:sectPr>
      </w:pPr>
    </w:p>
    <w:bookmarkStart w:id="82" w:name="page83"/>
    <w:bookmarkEnd w:id="82"/>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This Note is subject to optional prepayment, in whole or from time to time in part, at the times and on the terms specified in the Note Purchase Agreement, but not otherwise.</w:t>
      </w:r>
    </w:p>
    <w:p>
      <w:pPr>
        <w:spacing w:after="0" w:line="171" w:lineRule="exact"/>
        <w:rPr>
          <w:sz w:val="20"/>
          <w:szCs w:val="20"/>
          <w:color w:val="auto"/>
        </w:rPr>
      </w:pPr>
    </w:p>
    <w:p>
      <w:pPr>
        <w:jc w:val="both"/>
        <w:ind w:firstLine="648"/>
        <w:spacing w:after="0" w:line="265" w:lineRule="exact"/>
        <w:rPr>
          <w:sz w:val="20"/>
          <w:szCs w:val="20"/>
          <w:color w:val="auto"/>
        </w:rPr>
      </w:pPr>
      <w:r>
        <w:rPr>
          <w:rFonts w:ascii="Times New Roman" w:cs="Times New Roman" w:eastAsia="Times New Roman" w:hAnsi="Times New Roman"/>
          <w:sz w:val="22"/>
          <w:szCs w:val="22"/>
          <w:color w:val="auto"/>
        </w:rPr>
        <w:t>If an Event of Default occurs and is continuing, the principal of this Note may be declared or otherwise become due and payable in the manner, at the price (including any applicable Make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Whole Amount) and with the effect provided in the Note Purchase Agreement.</w:t>
      </w:r>
    </w:p>
    <w:p>
      <w:pPr>
        <w:spacing w:after="0" w:line="219" w:lineRule="exact"/>
        <w:rPr>
          <w:sz w:val="20"/>
          <w:szCs w:val="20"/>
          <w:color w:val="auto"/>
        </w:rPr>
      </w:pPr>
    </w:p>
    <w:p>
      <w:pPr>
        <w:jc w:val="both"/>
        <w:ind w:right="20" w:firstLine="648"/>
        <w:spacing w:after="0" w:line="261" w:lineRule="exact"/>
        <w:rPr>
          <w:sz w:val="20"/>
          <w:szCs w:val="20"/>
          <w:color w:val="auto"/>
        </w:rPr>
      </w:pPr>
      <w:r>
        <w:rPr>
          <w:rFonts w:ascii="Times New Roman" w:cs="Times New Roman" w:eastAsia="Times New Roman" w:hAnsi="Times New Roman"/>
          <w:sz w:val="22"/>
          <w:szCs w:val="22"/>
          <w:color w:val="auto"/>
        </w:rPr>
        <w:t>This Note shall be construed and enforced in accordance with, and the rights of the Company and the holder of this Note shall be governed by, the law of the State of New York excluding choice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 principles of the law of such State that would permit the application of the laws of a jurisdiction other than such State.</w:t>
      </w:r>
    </w:p>
    <w:p>
      <w:pPr>
        <w:spacing w:after="0" w:line="21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The Toro Company</w:t>
      </w:r>
    </w:p>
    <w:p>
      <w:pPr>
        <w:spacing w:after="0" w:line="200" w:lineRule="exact"/>
        <w:rPr>
          <w:sz w:val="20"/>
          <w:szCs w:val="20"/>
          <w:color w:val="auto"/>
        </w:rPr>
      </w:pPr>
    </w:p>
    <w:p>
      <w:pPr>
        <w:spacing w:after="0" w:line="27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______________</w:t>
      </w:r>
    </w:p>
    <w:p>
      <w:pPr>
        <w:spacing w:after="0" w:line="2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6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______________</w:t>
      </w:r>
    </w:p>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369" w:right="339" w:bottom="1440" w:gutter="0" w:footer="0" w:header="0"/>
        </w:sectPr>
      </w:pPr>
    </w:p>
    <w:bookmarkStart w:id="83" w:name="page84"/>
    <w:bookmarkEnd w:id="83"/>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Opinion of Special Counsel for the Company</w:t>
      </w:r>
    </w:p>
    <w:p>
      <w:pPr>
        <w:spacing w:after="0" w:line="25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following opinions are to be provided by special counsel for the Company, subject to customary assumptions, limitations and qualifications. All capitalized terms used herein without definition shall have the meanings ascribed thereto in the Note Purchase Agreement.</w:t>
      </w:r>
    </w:p>
    <w:p>
      <w:pPr>
        <w:spacing w:after="0" w:line="208" w:lineRule="exact"/>
        <w:rPr>
          <w:sz w:val="20"/>
          <w:szCs w:val="20"/>
          <w:color w:val="auto"/>
        </w:rPr>
      </w:pPr>
    </w:p>
    <w:p>
      <w:pPr>
        <w:jc w:val="both"/>
        <w:ind w:left="1300" w:hanging="644"/>
        <w:spacing w:after="0" w:line="246" w:lineRule="auto"/>
        <w:tabs>
          <w:tab w:leader="none" w:pos="13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solely upon a certificate of good standing of the Company dated within five (5) Business Days prior to the Closing Date, the Company is a corporation under the DGCL with corporate power and authority to enter into the Note Purchase Agreement and the Notes and to perform its obligations thereunder.</w:t>
      </w:r>
    </w:p>
    <w:p>
      <w:pPr>
        <w:spacing w:after="0" w:line="2"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the Note Purchase Agreement and the Notes has been duly authorized by all necessary corporate action of the Company, and each of the Note Purchase Agreement and the Notes has been duly executed and delivered by the Company.</w:t>
      </w:r>
    </w:p>
    <w:p>
      <w:pPr>
        <w:ind w:left="1300" w:right="20" w:hanging="644"/>
        <w:spacing w:after="0" w:line="243" w:lineRule="auto"/>
        <w:tabs>
          <w:tab w:leader="none" w:pos="13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Note Purchase Agreement and the Notes is the legally valid and binding agreement of the Company, enforceable against the Company in accordance with its terms.</w:t>
      </w:r>
    </w:p>
    <w:p>
      <w:pPr>
        <w:ind w:left="1300" w:hanging="644"/>
        <w:spacing w:after="0" w:line="230" w:lineRule="auto"/>
        <w:tabs>
          <w:tab w:leader="none" w:pos="13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and delivery by the Company of the Note Purchase Agreement and the Notes does not on the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hereof:</w:t>
      </w:r>
    </w:p>
    <w:p>
      <w:pPr>
        <w:spacing w:after="0" w:line="223" w:lineRule="exact"/>
        <w:rPr>
          <w:sz w:val="20"/>
          <w:szCs w:val="20"/>
          <w:color w:val="auto"/>
        </w:rPr>
      </w:pPr>
    </w:p>
    <w:p>
      <w:pPr>
        <w:ind w:left="260" w:hanging="252"/>
        <w:spacing w:after="0"/>
        <w:tabs>
          <w:tab w:leader="none" w:pos="2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violate the provisions of the certificate of incorporation and the bylaws of the Company;</w:t>
      </w:r>
    </w:p>
    <w:p>
      <w:pPr>
        <w:spacing w:after="0" w:line="27" w:lineRule="exact"/>
        <w:rPr>
          <w:rFonts w:ascii="Times New Roman" w:cs="Times New Roman" w:eastAsia="Times New Roman" w:hAnsi="Times New Roman"/>
          <w:sz w:val="22"/>
          <w:szCs w:val="22"/>
          <w:color w:val="auto"/>
        </w:rPr>
      </w:pPr>
    </w:p>
    <w:p>
      <w:pPr>
        <w:ind w:left="1960" w:hanging="1952"/>
        <w:spacing w:after="0"/>
        <w:tabs>
          <w:tab w:leader="none" w:pos="347"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violate any federal or New York statute, rule or regulation applicable to the Company (including, without limitation, based solely upon an officer’s certificate of the Company, Regulation T, U or X of the Board of Governors of the Federal Reserve System, assuming the Company complies with the provisions of the Note Purchase Agreement and the Notes relating to the use of proceeds) or the DGCL; or</w:t>
      </w:r>
    </w:p>
    <w:p>
      <w:pPr>
        <w:ind w:left="1960" w:hanging="1952"/>
        <w:spacing w:after="0" w:line="239" w:lineRule="auto"/>
        <w:tabs>
          <w:tab w:leader="none" w:pos="39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any consents, approvals or authorizations to be obtained by the Company from, or any registrations, declarations or filings to be made by the Company with, any governmental authority under any federal or New York statute, rule or regulation or the DGCL, that have not been obtained or made prior to the date hereof.</w:t>
      </w:r>
    </w:p>
    <w:p>
      <w:pPr>
        <w:spacing w:after="0" w:line="219" w:lineRule="exact"/>
        <w:rPr>
          <w:sz w:val="20"/>
          <w:szCs w:val="20"/>
          <w:color w:val="auto"/>
        </w:rPr>
      </w:pPr>
    </w:p>
    <w:p>
      <w:pPr>
        <w:ind w:firstLine="8"/>
        <w:spacing w:after="0" w:line="271" w:lineRule="auto"/>
        <w:tabs>
          <w:tab w:leader="none" w:pos="22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solely upon an officer’s certificate of the Company, the Company is not required to be registered as an “investment company” within the meaning of the Investment Company Act of 1940, as amended.</w:t>
      </w:r>
    </w:p>
    <w:p>
      <w:pPr>
        <w:spacing w:after="0" w:line="171" w:lineRule="exact"/>
        <w:rPr>
          <w:rFonts w:ascii="Times New Roman" w:cs="Times New Roman" w:eastAsia="Times New Roman" w:hAnsi="Times New Roman"/>
          <w:sz w:val="22"/>
          <w:szCs w:val="22"/>
          <w:color w:val="auto"/>
        </w:rPr>
      </w:pPr>
    </w:p>
    <w:p>
      <w:pPr>
        <w:jc w:val="both"/>
        <w:ind w:firstLine="8"/>
        <w:spacing w:after="0" w:line="248" w:lineRule="auto"/>
        <w:tabs>
          <w:tab w:leader="none" w:pos="21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registration of the Notes under the Securities Act of 1933, as amended, and no qualification of an indenture under the Trust Indenture Act of 1939, as amended, is required for the purchase of the Notes by the Purchasers in the manner contemplated by the Note Purchase Agreement. We express no opinion, however, as to when or under what circumstances any Notes initially purchased by the Purchasers may be reoffered or resold.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369" w:right="339" w:bottom="1440" w:gutter="0" w:footer="0" w:header="0"/>
        </w:sectPr>
      </w:pPr>
    </w:p>
    <w:bookmarkStart w:id="84" w:name="page85"/>
    <w:bookmarkEnd w:id="84"/>
    <w:p>
      <w:pPr>
        <w:ind w:left="2900"/>
        <w:spacing w:after="0"/>
        <w:tabs>
          <w:tab w:leader="none" w:pos="6080" w:val="left"/>
        </w:tabs>
        <w:rPr>
          <w:sz w:val="20"/>
          <w:szCs w:val="20"/>
          <w:color w:val="auto"/>
        </w:rPr>
      </w:pPr>
      <w:r>
        <w:rPr>
          <w:rFonts w:ascii="Times New Roman" w:cs="Times New Roman" w:eastAsia="Times New Roman" w:hAnsi="Times New Roman"/>
          <w:sz w:val="22"/>
          <w:szCs w:val="22"/>
          <w:color w:val="auto"/>
        </w:rPr>
        <w:t>The Toro Company</w:t>
      </w:r>
      <w:r>
        <w:rPr>
          <w:sz w:val="20"/>
          <w:szCs w:val="20"/>
          <w:color w:val="auto"/>
        </w:rPr>
        <w:tab/>
      </w:r>
      <w:r>
        <w:rPr>
          <w:rFonts w:ascii="Times New Roman" w:cs="Times New Roman" w:eastAsia="Times New Roman" w:hAnsi="Times New Roman"/>
          <w:sz w:val="21"/>
          <w:szCs w:val="2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14.3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U.S. Tax Compliance Certificate</w:t>
      </w:r>
    </w:p>
    <w:p>
      <w:pPr>
        <w:spacing w:after="0" w:line="20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Reference is hereby made to the Note Purchase Agreement dated as of September 30, 2025 (as amended, supplemented or otherwise modified from time to time, the </w:t>
      </w:r>
      <w:r>
        <w:rPr>
          <w:rFonts w:ascii="Times New Roman" w:cs="Times New Roman" w:eastAsia="Times New Roman" w:hAnsi="Times New Roman"/>
          <w:sz w:val="22"/>
          <w:szCs w:val="22"/>
          <w:b w:val="1"/>
          <w:bCs w:val="1"/>
          <w:color w:val="auto"/>
        </w:rPr>
        <w:t>“Note Purchase Agreement”</w:t>
      </w:r>
      <w:r>
        <w:rPr>
          <w:rFonts w:ascii="Times New Roman" w:cs="Times New Roman" w:eastAsia="Times New Roman" w:hAnsi="Times New Roman"/>
          <w:sz w:val="22"/>
          <w:szCs w:val="22"/>
          <w:color w:val="auto"/>
        </w:rPr>
        <w:t xml:space="preserve">), among The Toro Company,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each holder of Notes and each lender from time to time party thereto.</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Pursuant to the provisions of the Note Purchase Agreement, the undersigned hereby certifies that:</w:t>
      </w:r>
    </w:p>
    <w:p>
      <w:pPr>
        <w:spacing w:after="0" w:line="233" w:lineRule="exact"/>
        <w:rPr>
          <w:sz w:val="20"/>
          <w:szCs w:val="20"/>
          <w:color w:val="auto"/>
        </w:rPr>
      </w:pPr>
    </w:p>
    <w:p>
      <w:pPr>
        <w:ind w:left="640" w:hanging="308"/>
        <w:spacing w:after="0"/>
        <w:tabs>
          <w:tab w:leader="none" w:pos="64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sole record and beneficial owner of the Notes in respect of which it is providing this certificate;</w:t>
      </w:r>
    </w:p>
    <w:p>
      <w:pPr>
        <w:spacing w:after="0" w:line="233"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a bank within the meaning of Section 881(c)(3)(A) of the Code;</w:t>
      </w:r>
    </w:p>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(iii)it is not a ten percent shareholder of the Company within the meaning of Section 871(h)(3)(B) of the Code; and</w:t>
      </w:r>
    </w:p>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(iv)it is not a controlled foreign corporation related to the Company as described in Section 881(c)(3)(C) of the Code.</w:t>
      </w:r>
    </w:p>
    <w:p>
      <w:pPr>
        <w:spacing w:after="0" w:line="185" w:lineRule="exact"/>
        <w:rPr>
          <w:sz w:val="20"/>
          <w:szCs w:val="20"/>
          <w:color w:val="auto"/>
        </w:rPr>
      </w:pPr>
    </w:p>
    <w:p>
      <w:pPr>
        <w:jc w:val="both"/>
        <w:ind w:firstLine="648"/>
        <w:spacing w:after="0" w:line="268" w:lineRule="exact"/>
        <w:rPr>
          <w:sz w:val="20"/>
          <w:szCs w:val="20"/>
          <w:color w:val="auto"/>
        </w:rPr>
      </w:pPr>
      <w:r>
        <w:rPr>
          <w:rFonts w:ascii="Times New Roman" w:cs="Times New Roman" w:eastAsia="Times New Roman" w:hAnsi="Times New Roman"/>
          <w:sz w:val="22"/>
          <w:szCs w:val="22"/>
          <w:color w:val="auto"/>
        </w:rPr>
        <w:t>The undersigned has furnished the Company with a certificate of its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Person status on IRS Form W-8BEN, IRS Form W-8ECI or IRS Form W-8BEN-E. By executing this certificate, the undersigned agrees that (1) if the information provided in this certificate changes, the undersigned shall promptly so inform the Company, and (2) the undersigned shall have at all times furnished the Company with a properly completed and currently effective certificate in either the calendar year in which each payment is to be made to the undersigned, or in either of the two calendar years preceding such payments.</w:t>
      </w:r>
    </w:p>
    <w:p>
      <w:pPr>
        <w:spacing w:after="0" w:line="2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Unless otherwise defined herein, terms defined in the Note Purchase Agreement and used herein shall have the meanings given to them in the Note Purchase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[Purchaser]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40"/>
          </w:cols>
          <w:pgMar w:left="320" w:top="369"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of Note]</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5.27% Senior Note Due September 30, 2032</w:t>
      </w:r>
    </w:p>
    <w:p>
      <w:pPr>
        <w:sectPr>
          <w:pgSz w:w="11900" w:h="16838" w:orient="portrait"/>
          <w:cols w:equalWidth="0" w:num="1">
            <w:col w:w="11240"/>
          </w:cols>
          <w:pgMar w:left="320" w:top="122" w:right="339" w:bottom="1440" w:gutter="0" w:footer="0" w:header="0"/>
        </w:sect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 R-[_____]</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[Date]</w:t>
      </w:r>
    </w:p>
    <w:p>
      <w:pPr>
        <w:spacing w:after="0" w:line="204" w:lineRule="exact"/>
        <w:rPr>
          <w:sz w:val="20"/>
          <w:szCs w:val="20"/>
          <w:color w:val="auto"/>
        </w:rPr>
      </w:pPr>
    </w:p>
    <w:p>
      <w:pPr>
        <w:sectPr>
          <w:pgSz w:w="11900" w:h="16838" w:orient="portrait"/>
          <w:cols w:equalWidth="0" w:num="2">
            <w:col w:w="2780" w:space="720"/>
            <w:col w:w="7740"/>
          </w:cols>
          <w:pgMar w:left="320" w:top="122" w:right="339" w:bottom="1440" w:gutter="0" w:footer="0" w:header="0"/>
          <w:type w:val="continuous"/>
        </w:sectPr>
      </w:pPr>
    </w:p>
    <w:p>
      <w:pPr>
        <w:spacing w:after="0" w:line="5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1"/>
          <w:szCs w:val="21"/>
          <w:color w:val="auto"/>
        </w:rPr>
        <w:t>$[_______]</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PPN 891092 ___</w:t>
      </w:r>
    </w:p>
    <w:p>
      <w:pPr>
        <w:spacing w:after="0" w:line="200" w:lineRule="exact"/>
        <w:rPr>
          <w:sz w:val="20"/>
          <w:szCs w:val="20"/>
          <w:color w:val="auto"/>
        </w:rPr>
      </w:pPr>
    </w:p>
    <w:p>
      <w:pPr>
        <w:sectPr>
          <w:pgSz w:w="11900" w:h="16838" w:orient="portrait"/>
          <w:cols w:equalWidth="0" w:num="2">
            <w:col w:w="5640" w:space="720"/>
            <w:col w:w="4880"/>
          </w:cols>
          <w:pgMar w:left="320" w:top="122" w:right="339" w:bottom="1440" w:gutter="0" w:footer="0" w:header="0"/>
          <w:type w:val="continuous"/>
        </w:sectPr>
      </w:pPr>
    </w:p>
    <w:p>
      <w:pPr>
        <w:spacing w:after="0" w:line="29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For Value Received, the undersigned, </w:t>
      </w:r>
      <w:r>
        <w:rPr>
          <w:rFonts w:ascii="Times New Roman" w:cs="Times New Roman" w:eastAsia="Times New Roman" w:hAnsi="Times New Roman"/>
          <w:sz w:val="21"/>
          <w:szCs w:val="21"/>
          <w:b w:val="1"/>
          <w:bCs w:val="1"/>
          <w:color w:val="auto"/>
        </w:rPr>
        <w:t>The Toro Company</w:t>
      </w:r>
      <w:r>
        <w:rPr>
          <w:rFonts w:ascii="Times New Roman" w:cs="Times New Roman" w:eastAsia="Times New Roman" w:hAnsi="Times New Roman"/>
          <w:sz w:val="21"/>
          <w:szCs w:val="21"/>
          <w:color w:val="auto"/>
        </w:rPr>
        <w:t xml:space="preserve"> (herein called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 corporation organized and existing under the laws of the State of Delaware, hereby promises to pay to [____________], or registered assigns, the principal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sum of [_____________________] Dollars (or so much thereof as shall not have been prepaid) on September 30, 2032 (the</w:t>
      </w:r>
    </w:p>
    <w:p>
      <w:pPr>
        <w:spacing w:after="0" w:line="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Maturity Date</w:t>
      </w:r>
      <w:r>
        <w:rPr>
          <w:rFonts w:ascii="Times New Roman" w:cs="Times New Roman" w:eastAsia="Times New Roman" w:hAnsi="Times New Roman"/>
          <w:sz w:val="22"/>
          <w:szCs w:val="22"/>
          <w:color w:val="auto"/>
        </w:rPr>
        <w:t>”), with interest (computed on the basis of a 360day year of twelve 30day months) (a) on the unpaid balance hereof at the rate of 5.27% per annum from the date hereof, payable semiannually, on the 30th day of March and September in each year, commencing with March 30, 2026 and on the Maturity Date, until the principal hereof shall have become due and payable, and (b) to the extent permitted by law, (x) on any overdue payment of interest and (y) during the continuance of an Event of Default, on such unpaid balance and on any overdue payment of any MakeWhole Amount, at a rate per annum from time to time equal to the greater of (i) 2.0% over the coupon or (ii) 2.0% over the rate of interest publicly announced by Bank of America, N.A. from time to time in New York, New York as its “base” or “prime” rate, payable semiannually as aforesaid (or, at the option of the registered holder hereof, on demand).</w:t>
      </w:r>
    </w:p>
    <w:p>
      <w:pPr>
        <w:spacing w:after="0" w:line="213"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Payments of principal of, interest on and any MakeWhole Amount with respect to this Note are to be made in lawful money of the United States of America at Bank of America, N.A. or at such other place as the Company shall have designated by written notice to the holder of this Note as provided in the Note Purchase Agreement referred to below.</w:t>
      </w:r>
    </w:p>
    <w:p>
      <w:pPr>
        <w:spacing w:after="0" w:line="20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This Note is one of a series of Senior Notes (herein called the “</w:t>
      </w:r>
      <w:r>
        <w:rPr>
          <w:rFonts w:ascii="Times New Roman" w:cs="Times New Roman" w:eastAsia="Times New Roman" w:hAnsi="Times New Roman"/>
          <w:sz w:val="21"/>
          <w:szCs w:val="21"/>
          <w:b w:val="1"/>
          <w:bCs w:val="1"/>
          <w:color w:val="auto"/>
        </w:rPr>
        <w:t>Notes</w:t>
      </w:r>
      <w:r>
        <w:rPr>
          <w:rFonts w:ascii="Times New Roman" w:cs="Times New Roman" w:eastAsia="Times New Roman" w:hAnsi="Times New Roman"/>
          <w:sz w:val="21"/>
          <w:szCs w:val="21"/>
          <w:color w:val="auto"/>
        </w:rPr>
        <w:t>”) issued pursuant to the Note Purchase Agreement, dated September 30, 2025 (as from time to time amended, the “</w:t>
      </w:r>
      <w:r>
        <w:rPr>
          <w:rFonts w:ascii="Times New Roman" w:cs="Times New Roman" w:eastAsia="Times New Roman" w:hAnsi="Times New Roman"/>
          <w:sz w:val="21"/>
          <w:szCs w:val="21"/>
          <w:b w:val="1"/>
          <w:bCs w:val="1"/>
          <w:color w:val="auto"/>
        </w:rPr>
        <w:t>Note Purchase Agreement</w:t>
      </w:r>
      <w:r>
        <w:rPr>
          <w:rFonts w:ascii="Times New Roman" w:cs="Times New Roman" w:eastAsia="Times New Roman" w:hAnsi="Times New Roman"/>
          <w:sz w:val="21"/>
          <w:szCs w:val="21"/>
          <w:color w:val="auto"/>
        </w:rPr>
        <w:t>”), between the Company and the respective Purchasers named therein and is entitled to the benefits thereof. Each holder of this Note will be deemed, by its acceptance hereof, to have (i) agreed to the confidentiality provisions set forth in Section 20 of the Note Purchase Agreement and (ii) made the representation set forth in Section 6.2 of the Note Purchase Agreement. Unless otherwise indicated, capitalized terms used in this Note shall have the respective meanings ascribed to such terms in the Note Purchase Agreement.</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Note is a registered Note and, as provided in the Note Purchase Agreement, upon surrender of this Note for registration of transfer accompanied by a written instrument of transfer duly executed, by the registered holder hereof or such holder’s attorney duly authorized in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Purchaser Schedule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Note Purchase Agreement)</w:t>
      </w:r>
    </w:p>
    <w:p>
      <w:pPr>
        <w:sectPr>
          <w:pgSz w:w="11900" w:h="16838" w:orient="portrait"/>
          <w:cols w:equalWidth="0" w:num="1">
            <w:col w:w="11240"/>
          </w:cols>
          <w:pgMar w:left="320" w:top="122" w:right="339" w:bottom="1440" w:gutter="0" w:footer="0" w:header="0"/>
          <w:type w:val="continuous"/>
        </w:sectPr>
      </w:pPr>
    </w:p>
    <w:bookmarkStart w:id="86" w:name="page87"/>
    <w:bookmarkEnd w:id="86"/>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spacing w:after="0" w:line="20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This Note is subject to optional prepayment, in whole or from time to time in part, at the times and on the terms specified in the Note Purchase Agreement, but not otherwise.</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If an Event of Default occurs and is continuing, the principal of this Note may be declared or otherwise become due and payable in the manner, at the price (including any applicable MakeWhole Amount) and with the effect provided in the Note Purchase Agreement.</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Note shall be construed and enforced in accordance with, and the rights of the Company and the holder of this Note shall be governed by, the law of the State of New York excluding choiceoflaw principles of the law of such State that would permit the application of the laws of a jurisdiction other than such State.</w:t>
      </w:r>
    </w:p>
    <w:p>
      <w:pPr>
        <w:spacing w:after="0" w:line="200" w:lineRule="exact"/>
        <w:rPr>
          <w:sz w:val="20"/>
          <w:szCs w:val="20"/>
          <w:color w:val="auto"/>
        </w:rPr>
      </w:pPr>
    </w:p>
    <w:p>
      <w:pPr>
        <w:spacing w:after="0" w:line="26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29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-158750</wp:posOffset>
            </wp:positionV>
            <wp:extent cx="36690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12065</wp:posOffset>
            </wp:positionV>
            <wp:extent cx="36690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6903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-158750</wp:posOffset>
            </wp:positionV>
            <wp:extent cx="36690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-158750</wp:posOffset>
            </wp:positionV>
            <wp:extent cx="36690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12065</wp:posOffset>
            </wp:positionV>
            <wp:extent cx="36690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6903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-158750</wp:posOffset>
            </wp:positionV>
            <wp:extent cx="36690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Purchaser Schedule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(to Note Purchase Agreement)</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1)"/>
      <w:numFmt w:val="lowerLetter"/>
      <w:start w:val="1"/>
    </w:lvl>
  </w:abstractNum>
  <w:abstractNum w:abstractNumId="2">
    <w:nsid w:val="5E884ADC"/>
    <w:multiLevelType w:val="hybridMultilevel"/>
    <w:lvl w:ilvl="0">
      <w:lvlJc w:val="left"/>
      <w:lvlText w:val="(%1)"/>
      <w:numFmt w:val="lowerLetter"/>
      <w:start w:val="1"/>
    </w:lvl>
  </w:abstractNum>
  <w:abstractNum w:abstractNumId="3">
    <w:nsid w:val="51EAD36B"/>
    <w:multiLevelType w:val="hybridMultilevel"/>
    <w:lvl w:ilvl="0">
      <w:lvlJc w:val="left"/>
      <w:lvlText w:val="(%1)"/>
      <w:numFmt w:val="lowerLetter"/>
      <w:start w:val="2"/>
    </w:lvl>
  </w:abstractNum>
  <w:abstractNum w:abstractNumId="4">
    <w:nsid w:val="2D517796"/>
    <w:multiLevelType w:val="hybridMultilevel"/>
    <w:lvl w:ilvl="0">
      <w:lvlJc w:val="left"/>
      <w:lvlText w:val="(%1)"/>
      <w:numFmt w:val="lowerLetter"/>
      <w:start w:val="4"/>
    </w:lvl>
  </w:abstractNum>
  <w:abstractNum w:abstractNumId="5">
    <w:nsid w:val="580BD78F"/>
    <w:multiLevelType w:val="hybridMultilevel"/>
    <w:lvl w:ilvl="0">
      <w:lvlJc w:val="left"/>
      <w:lvlText w:val="(%1)"/>
      <w:numFmt w:val="lowerLetter"/>
      <w:start w:val="2"/>
    </w:lvl>
  </w:abstractNum>
  <w:abstractNum w:abstractNumId="6">
    <w:nsid w:val="153EA438"/>
    <w:multiLevelType w:val="hybridMultilevel"/>
    <w:lvl w:ilvl="0">
      <w:lvlJc w:val="left"/>
      <w:lvlText w:val="(%1)"/>
      <w:numFmt w:val="lowerLetter"/>
      <w:start w:val="2"/>
    </w:lvl>
  </w:abstractNum>
  <w:abstractNum w:abstractNumId="7">
    <w:nsid w:val="3855585C"/>
    <w:multiLevelType w:val="hybridMultilevel"/>
    <w:lvl w:ilvl="0">
      <w:lvlJc w:val="left"/>
      <w:lvlText w:val="(%1)"/>
      <w:numFmt w:val="lowerLetter"/>
      <w:start w:val="3"/>
    </w:lvl>
  </w:abstractNum>
  <w:abstractNum w:abstractNumId="8">
    <w:nsid w:val="70A64E2A"/>
    <w:multiLevelType w:val="hybridMultilevel"/>
    <w:lvl w:ilvl="0">
      <w:lvlJc w:val="left"/>
      <w:lvlText w:val="(%1)"/>
      <w:numFmt w:val="lowerLetter"/>
      <w:start w:val="2"/>
    </w:lvl>
  </w:abstractNum>
  <w:abstractNum w:abstractNumId="9">
    <w:nsid w:val="6A2342EC"/>
    <w:multiLevelType w:val="hybridMultilevel"/>
    <w:lvl w:ilvl="0">
      <w:lvlJc w:val="left"/>
      <w:lvlText w:val="(%1)"/>
      <w:numFmt w:val="lowerLetter"/>
      <w:start w:val="5"/>
    </w:lvl>
  </w:abstractNum>
  <w:abstractNum w:abstractNumId="10">
    <w:nsid w:val="2A487CB0"/>
    <w:multiLevelType w:val="hybridMultilevel"/>
    <w:lvl w:ilvl="0">
      <w:lvlJc w:val="left"/>
      <w:lvlText w:val="(%1)"/>
      <w:numFmt w:val="lowerLetter"/>
      <w:start w:val="2"/>
    </w:lvl>
  </w:abstractNum>
  <w:abstractNum w:abstractNumId="11">
    <w:nsid w:val="1D4ED43B"/>
    <w:multiLevelType w:val="hybridMultilevel"/>
    <w:lvl w:ilvl="0">
      <w:lvlJc w:val="left"/>
      <w:lvlText w:val="(%1)"/>
      <w:numFmt w:val="lowerLetter"/>
      <w:start w:val="2"/>
    </w:lvl>
    <w:lvl w:ilvl="1">
      <w:lvlJc w:val="left"/>
      <w:lvlText w:val="(%2)"/>
      <w:numFmt w:val="lowerLetter"/>
      <w:start w:val="9"/>
    </w:lvl>
  </w:abstractNum>
  <w:abstractNum w:abstractNumId="12">
    <w:nsid w:val="725A06FB"/>
    <w:multiLevelType w:val="hybridMultilevel"/>
    <w:lvl w:ilvl="0">
      <w:lvlJc w:val="left"/>
      <w:lvlText w:val="(%1)"/>
      <w:numFmt w:val="lowerRoman"/>
      <w:start w:val="2"/>
    </w:lvl>
  </w:abstractNum>
  <w:abstractNum w:abstractNumId="13">
    <w:nsid w:val="2CD89A32"/>
    <w:multiLevelType w:val="hybridMultilevel"/>
    <w:lvl w:ilvl="0">
      <w:lvlJc w:val="left"/>
      <w:lvlText w:val="(%1)"/>
      <w:numFmt w:val="lowerLetter"/>
      <w:start w:val="4"/>
    </w:lvl>
  </w:abstractNum>
  <w:abstractNum w:abstractNumId="14">
    <w:nsid w:val="57E4CCAF"/>
    <w:multiLevelType w:val="hybridMultilevel"/>
    <w:lvl w:ilvl="0">
      <w:lvlJc w:val="left"/>
      <w:lvlText w:val="(%1)"/>
      <w:numFmt w:val="lowerLetter"/>
      <w:start w:val="1"/>
    </w:lvl>
  </w:abstractNum>
  <w:abstractNum w:abstractNumId="15">
    <w:nsid w:val="7A6D8D3C"/>
    <w:multiLevelType w:val="hybridMultilevel"/>
    <w:lvl w:ilvl="0">
      <w:lvlJc w:val="left"/>
      <w:lvlText w:val="(%1)"/>
      <w:numFmt w:val="lowerLetter"/>
      <w:start w:val="5"/>
    </w:lvl>
  </w:abstractNum>
  <w:abstractNum w:abstractNumId="16">
    <w:nsid w:val="4B588F54"/>
    <w:multiLevelType w:val="hybridMultilevel"/>
    <w:lvl w:ilvl="0">
      <w:lvlJc w:val="left"/>
      <w:lvlText w:val="(%1)"/>
      <w:numFmt w:val="lowerLetter"/>
      <w:start w:val="1"/>
    </w:lvl>
    <w:lvl w:ilvl="1">
      <w:lvlJc w:val="left"/>
      <w:lvlText w:val="(%2)"/>
      <w:numFmt w:val="lowerLetter"/>
      <w:start w:val="9"/>
    </w:lvl>
  </w:abstractNum>
  <w:abstractNum w:abstractNumId="17">
    <w:nsid w:val="542289EC"/>
    <w:multiLevelType w:val="hybridMultilevel"/>
    <w:lvl w:ilvl="0">
      <w:lvlJc w:val="left"/>
      <w:lvlText w:val="(%1)"/>
      <w:numFmt w:val="lowerRoman"/>
      <w:start w:val="2"/>
    </w:lvl>
  </w:abstractNum>
  <w:abstractNum w:abstractNumId="18">
    <w:nsid w:val="6DE91B18"/>
    <w:multiLevelType w:val="hybridMultilevel"/>
    <w:lvl w:ilvl="0">
      <w:lvlJc w:val="left"/>
      <w:lvlText w:val="(%1)"/>
      <w:numFmt w:val="lowerLetter"/>
      <w:start w:val="2"/>
    </w:lvl>
    <w:lvl w:ilvl="1">
      <w:lvlJc w:val="left"/>
      <w:lvlText w:val="(%2)"/>
      <w:numFmt w:val="lowerRoman"/>
      <w:start w:val="1"/>
    </w:lvl>
  </w:abstractNum>
  <w:abstractNum w:abstractNumId="19">
    <w:nsid w:val="38437FDB"/>
    <w:multiLevelType w:val="hybridMultilevel"/>
    <w:lvl w:ilvl="0">
      <w:lvlJc w:val="left"/>
      <w:lvlText w:val="(%1)"/>
      <w:numFmt w:val="lowerLetter"/>
      <w:start w:val="3"/>
    </w:lvl>
  </w:abstractNum>
  <w:abstractNum w:abstractNumId="20">
    <w:nsid w:val="7644A45C"/>
    <w:multiLevelType w:val="hybridMultilevel"/>
    <w:lvl w:ilvl="0">
      <w:lvlJc w:val="left"/>
      <w:lvlText w:val="(%1)"/>
      <w:numFmt w:val="lowerLetter"/>
      <w:start w:val="4"/>
    </w:lvl>
    <w:lvl w:ilvl="1">
      <w:lvlJc w:val="left"/>
      <w:lvlText w:val="(%2)"/>
      <w:numFmt w:val="lowerRoman"/>
      <w:start w:val="1"/>
    </w:lvl>
  </w:abstractNum>
  <w:abstractNum w:abstractNumId="21">
    <w:nsid w:val="32FFF902"/>
    <w:multiLevelType w:val="hybridMultilevel"/>
    <w:lvl w:ilvl="0">
      <w:lvlJc w:val="left"/>
      <w:lvlText w:val="(%1)"/>
      <w:numFmt w:val="lowerLetter"/>
      <w:start w:val="7"/>
    </w:lvl>
  </w:abstractNum>
  <w:abstractNum w:abstractNumId="22">
    <w:nsid w:val="684A481A"/>
    <w:multiLevelType w:val="hybridMultilevel"/>
    <w:lvl w:ilvl="0">
      <w:lvlJc w:val="left"/>
      <w:lvlText w:val="(%1)"/>
      <w:numFmt w:val="lowerLetter"/>
      <w:start w:val="1"/>
    </w:lvl>
    <w:lvl w:ilvl="1">
      <w:lvlJc w:val="left"/>
      <w:lvlText w:val="(%2)"/>
      <w:numFmt w:val="lowerLetter"/>
      <w:start w:val="2"/>
    </w:lvl>
  </w:abstractNum>
  <w:abstractNum w:abstractNumId="23">
    <w:nsid w:val="579478FE"/>
    <w:multiLevelType w:val="hybridMultilevel"/>
    <w:lvl w:ilvl="0">
      <w:lvlJc w:val="left"/>
      <w:lvlText w:val="(%1)"/>
      <w:numFmt w:val="lowerLetter"/>
      <w:start w:val="3"/>
    </w:lvl>
  </w:abstractNum>
  <w:abstractNum w:abstractNumId="24">
    <w:nsid w:val="749ABB43"/>
    <w:multiLevelType w:val="hybridMultilevel"/>
    <w:lvl w:ilvl="0">
      <w:lvlJc w:val="left"/>
      <w:lvlText w:val="(%1)"/>
      <w:numFmt w:val="lowerLetter"/>
      <w:start w:val="1"/>
    </w:lvl>
  </w:abstractNum>
  <w:abstractNum w:abstractNumId="25">
    <w:nsid w:val="3DC240FB"/>
    <w:multiLevelType w:val="hybridMultilevel"/>
    <w:lvl w:ilvl="0">
      <w:lvlJc w:val="left"/>
      <w:lvlText w:val="%1"/>
      <w:numFmt w:val="lowerLetter"/>
      <w:start w:val="1"/>
    </w:lvl>
    <w:lvl w:ilvl="1">
      <w:lvlJc w:val="left"/>
      <w:lvlText w:val="(%2)"/>
      <w:numFmt w:val="lowerLetter"/>
      <w:start w:val="1"/>
    </w:lvl>
  </w:abstractNum>
  <w:abstractNum w:abstractNumId="26">
    <w:nsid w:val="1BA026FA"/>
    <w:multiLevelType w:val="hybridMultilevel"/>
    <w:lvl w:ilvl="0">
      <w:lvlJc w:val="left"/>
      <w:lvlText w:val="(%1)"/>
      <w:numFmt w:val="lowerLetter"/>
      <w:start w:val="2"/>
    </w:lvl>
    <w:lvl w:ilvl="1">
      <w:lvlJc w:val="left"/>
      <w:lvlText w:val="%2"/>
      <w:numFmt w:val="lowerLetter"/>
      <w:start w:val="1"/>
    </w:lvl>
  </w:abstractNum>
  <w:abstractNum w:abstractNumId="27">
    <w:nsid w:val="79A1DEAA"/>
    <w:multiLevelType w:val="hybridMultilevel"/>
    <w:lvl w:ilvl="0">
      <w:lvlJc w:val="left"/>
      <w:lvlText w:val="(%1)"/>
      <w:numFmt w:val="lowerLetter"/>
      <w:start w:val="3"/>
    </w:lvl>
  </w:abstractNum>
  <w:abstractNum w:abstractNumId="28">
    <w:nsid w:val="75C6C33A"/>
    <w:multiLevelType w:val="hybridMultilevel"/>
    <w:lvl w:ilvl="0">
      <w:lvlJc w:val="left"/>
      <w:lvlText w:val="(%1)"/>
      <w:numFmt w:val="lowerLetter"/>
      <w:start w:val="2"/>
    </w:lvl>
  </w:abstractNum>
  <w:abstractNum w:abstractNumId="29">
    <w:nsid w:val="12E685FB"/>
    <w:multiLevelType w:val="hybridMultilevel"/>
    <w:lvl w:ilvl="0">
      <w:lvlJc w:val="left"/>
      <w:lvlText w:val="(%1)"/>
      <w:numFmt w:val="lowerLetter"/>
      <w:start w:val="2"/>
    </w:lvl>
  </w:abstractNum>
  <w:abstractNum w:abstractNumId="30">
    <w:nsid w:val="70C6A529"/>
    <w:multiLevelType w:val="hybridMultilevel"/>
    <w:lvl w:ilvl="0">
      <w:lvlJc w:val="left"/>
      <w:lvlText w:val="(%1)"/>
      <w:numFmt w:val="lowerRoman"/>
      <w:start w:val="1"/>
    </w:lvl>
  </w:abstractNum>
  <w:abstractNum w:abstractNumId="31">
    <w:nsid w:val="520EEDD1"/>
    <w:multiLevelType w:val="hybridMultilevel"/>
    <w:lvl w:ilvl="0">
      <w:lvlJc w:val="left"/>
      <w:lvlText w:val="(%1)"/>
      <w:numFmt w:val="lowerRoman"/>
      <w:start w:val="2"/>
    </w:lvl>
    <w:lvl w:ilvl="1">
      <w:lvlJc w:val="left"/>
      <w:lvlText w:val="(%2)"/>
      <w:numFmt w:val="upperLetter"/>
      <w:start w:val="1"/>
    </w:lvl>
  </w:abstractNum>
  <w:abstractNum w:abstractNumId="32">
    <w:nsid w:val="374A3FE6"/>
    <w:multiLevelType w:val="hybridMultilevel"/>
    <w:lvl w:ilvl="0">
      <w:lvlJc w:val="left"/>
      <w:lvlText w:val="(%1)"/>
      <w:numFmt w:val="lowerLetter"/>
      <w:start w:val="2"/>
    </w:lvl>
  </w:abstractNum>
  <w:abstractNum w:abstractNumId="33">
    <w:nsid w:val="4F4EF005"/>
    <w:multiLevelType w:val="hybridMultilevel"/>
    <w:lvl w:ilvl="0">
      <w:lvlJc w:val="left"/>
      <w:lvlText w:val="(%1)"/>
      <w:numFmt w:val="lowerLetter"/>
      <w:start w:val="1"/>
    </w:lvl>
  </w:abstractNum>
  <w:abstractNum w:abstractNumId="34">
    <w:nsid w:val="23F9C13C"/>
    <w:multiLevelType w:val="hybridMultilevel"/>
    <w:lvl w:ilvl="0">
      <w:lvlJc w:val="left"/>
      <w:lvlText w:val="(%1)"/>
      <w:numFmt w:val="lowerLetter"/>
      <w:start w:val="2"/>
    </w:lvl>
  </w:abstractNum>
  <w:abstractNum w:abstractNumId="35">
    <w:nsid w:val="649BB77C"/>
    <w:multiLevelType w:val="hybridMultilevel"/>
    <w:lvl w:ilvl="0">
      <w:lvlJc w:val="left"/>
      <w:lvlText w:val="(%1)"/>
      <w:numFmt w:val="lowerRoman"/>
      <w:start w:val="10"/>
    </w:lvl>
  </w:abstractNum>
  <w:abstractNum w:abstractNumId="36">
    <w:nsid w:val="275AC794"/>
    <w:multiLevelType w:val="hybridMultilevel"/>
    <w:lvl w:ilvl="0">
      <w:lvlJc w:val="left"/>
      <w:lvlText w:val="(%1)"/>
      <w:numFmt w:val="decimal"/>
      <w:start w:val="1"/>
    </w:lvl>
  </w:abstractNum>
  <w:abstractNum w:abstractNumId="37">
    <w:nsid w:val="39386575"/>
    <w:multiLevelType w:val="hybridMultilevel"/>
    <w:lvl w:ilvl="0">
      <w:lvlJc w:val="left"/>
      <w:lvlText w:val="(%1)"/>
      <w:numFmt w:val="lowerLetter"/>
      <w:start w:val="1"/>
    </w:lvl>
    <w:lvl w:ilvl="1">
      <w:lvlJc w:val="left"/>
      <w:lvlText w:val="(%2)"/>
      <w:numFmt w:val="lowerLetter"/>
      <w:start w:val="2"/>
    </w:lvl>
  </w:abstractNum>
  <w:abstractNum w:abstractNumId="38">
    <w:nsid w:val="1CF10FD8"/>
    <w:multiLevelType w:val="hybridMultilevel"/>
    <w:lvl w:ilvl="0">
      <w:lvlJc w:val="left"/>
      <w:lvlText w:val="%1"/>
      <w:numFmt w:val="lowerLetter"/>
      <w:start w:val="1"/>
    </w:lvl>
    <w:lvl w:ilvl="1">
      <w:lvlJc w:val="left"/>
      <w:lvlText w:val="(%2)"/>
      <w:numFmt w:val="lowerLetter"/>
      <w:start w:val="4"/>
    </w:lvl>
  </w:abstractNum>
  <w:abstractNum w:abstractNumId="39">
    <w:nsid w:val="180115BE"/>
    <w:multiLevelType w:val="hybridMultilevel"/>
    <w:lvl w:ilvl="0">
      <w:lvlJc w:val="left"/>
      <w:lvlText w:val="(%1)"/>
      <w:numFmt w:val="lowerLetter"/>
      <w:start w:val="9"/>
    </w:lvl>
    <w:lvl w:ilvl="1">
      <w:lvlJc w:val="left"/>
      <w:lvlText w:val="(%2)"/>
      <w:numFmt w:val="lowerLetter"/>
      <w:start w:val="10"/>
    </w:lvl>
  </w:abstractNum>
  <w:abstractNum w:abstractNumId="40">
    <w:nsid w:val="235BA861"/>
    <w:multiLevelType w:val="hybridMultilevel"/>
    <w:lvl w:ilvl="0">
      <w:lvlJc w:val="left"/>
      <w:lvlText w:val="%1"/>
      <w:numFmt w:val="lowerLetter"/>
      <w:start w:val="1"/>
    </w:lvl>
    <w:lvl w:ilvl="1">
      <w:lvlJc w:val="left"/>
      <w:lvlText w:val="(%2)"/>
      <w:numFmt w:val="lowerLetter"/>
      <w:start w:val="2"/>
    </w:lvl>
  </w:abstractNum>
  <w:abstractNum w:abstractNumId="41">
    <w:nsid w:val="47398C89"/>
    <w:multiLevelType w:val="hybridMultilevel"/>
    <w:lvl w:ilvl="0">
      <w:lvlJc w:val="left"/>
      <w:lvlText w:val="(%1)"/>
      <w:numFmt w:val="lowerLetter"/>
      <w:start w:val="3"/>
    </w:lvl>
    <w:lvl w:ilvl="1">
      <w:lvlJc w:val="left"/>
      <w:lvlText w:val="%2"/>
      <w:numFmt w:val="lowerLetter"/>
      <w:start w:val="1"/>
    </w:lvl>
  </w:abstractNum>
  <w:abstractNum w:abstractNumId="42">
    <w:nsid w:val="354FE9F9"/>
    <w:multiLevelType w:val="hybridMultilevel"/>
    <w:lvl w:ilvl="0">
      <w:lvlJc w:val="left"/>
      <w:lvlText w:val="(%1)"/>
      <w:numFmt w:val="lowerLetter"/>
      <w:start w:val="61"/>
    </w:lvl>
    <w:lvl w:ilvl="1">
      <w:lvlJc w:val="left"/>
      <w:lvlText w:val="%2"/>
      <w:numFmt w:val="lowerLetter"/>
      <w:start w:val="1"/>
    </w:lvl>
  </w:abstractNum>
  <w:abstractNum w:abstractNumId="43">
    <w:nsid w:val="15B5AF5C"/>
    <w:multiLevelType w:val="hybridMultilevel"/>
    <w:lvl w:ilvl="0">
      <w:lvlJc w:val="left"/>
      <w:lvlText w:val="(%1)"/>
      <w:numFmt w:val="lowerLetter"/>
      <w:start w:val="4"/>
    </w:lvl>
    <w:lvl w:ilvl="1">
      <w:lvlJc w:val="left"/>
      <w:lvlText w:val="%2"/>
      <w:numFmt w:val="lowerLetter"/>
      <w:start w:val="1"/>
    </w:lvl>
  </w:abstractNum>
  <w:abstractNum w:abstractNumId="44">
    <w:nsid w:val="741226BB"/>
    <w:multiLevelType w:val="hybridMultilevel"/>
    <w:lvl w:ilvl="0">
      <w:lvlJc w:val="left"/>
      <w:lvlText w:val="(%1)"/>
      <w:numFmt w:val="lowerLetter"/>
      <w:start w:val="1"/>
    </w:lvl>
    <w:lvl w:ilvl="1">
      <w:lvlJc w:val="left"/>
      <w:lvlText w:val="(%2)"/>
      <w:numFmt w:val="lowerLetter"/>
      <w:start w:val="2"/>
    </w:lvl>
  </w:abstractNum>
  <w:abstractNum w:abstractNumId="45">
    <w:nsid w:val="D34B6A8"/>
    <w:multiLevelType w:val="hybridMultilevel"/>
    <w:lvl w:ilvl="0">
      <w:lvlJc w:val="left"/>
      <w:lvlText w:val="(%1)"/>
      <w:numFmt w:val="lowerLetter"/>
      <w:start w:val="2"/>
    </w:lvl>
  </w:abstractNum>
  <w:abstractNum w:abstractNumId="46">
    <w:nsid w:val="10233C99"/>
    <w:multiLevelType w:val="hybridMultilevel"/>
    <w:lvl w:ilvl="0">
      <w:lvlJc w:val="left"/>
      <w:lvlText w:val="(%1)"/>
      <w:numFmt w:val="lowerLetter"/>
      <w:start w:val="1"/>
    </w:lvl>
  </w:abstractNum>
  <w:abstractNum w:abstractNumId="47">
    <w:nsid w:val="3F6AB60F"/>
    <w:multiLevelType w:val="hybridMultilevel"/>
    <w:lvl w:ilvl="0">
      <w:lvlJc w:val="left"/>
      <w:lvlText w:val="(%1)"/>
      <w:numFmt w:val="lowerLetter"/>
      <w:start w:val="7"/>
    </w:lvl>
  </w:abstractNum>
  <w:abstractNum w:abstractNumId="48">
    <w:nsid w:val="61574095"/>
    <w:multiLevelType w:val="hybridMultilevel"/>
    <w:lvl w:ilvl="0">
      <w:lvlJc w:val="left"/>
      <w:lvlText w:val="(%1)"/>
      <w:numFmt w:val="lowerLetter"/>
      <w:start w:val="9"/>
    </w:lvl>
  </w:abstractNum>
  <w:abstractNum w:abstractNumId="49">
    <w:nsid w:val="7E0C57B1"/>
    <w:multiLevelType w:val="hybridMultilevel"/>
    <w:lvl w:ilvl="0">
      <w:lvlJc w:val="left"/>
      <w:lvlText w:val="(%1)"/>
      <w:numFmt w:val="lowerRoman"/>
      <w:start w:val="2"/>
    </w:lvl>
  </w:abstractNum>
  <w:abstractNum w:abstractNumId="50">
    <w:nsid w:val="77AE35EB"/>
    <w:multiLevelType w:val="hybridMultilevel"/>
    <w:lvl w:ilvl="0">
      <w:lvlJc w:val="left"/>
      <w:lvlText w:val="(%1)"/>
      <w:numFmt w:val="lowerLetter"/>
      <w:start w:val="13"/>
    </w:lvl>
  </w:abstractNum>
  <w:abstractNum w:abstractNumId="51">
    <w:nsid w:val="579BE4F1"/>
    <w:multiLevelType w:val="hybridMultilevel"/>
    <w:lvl w:ilvl="0">
      <w:lvlJc w:val="left"/>
      <w:lvlText w:val="(%1)"/>
      <w:numFmt w:val="lowerLetter"/>
      <w:start w:val="2"/>
    </w:lvl>
  </w:abstractNum>
  <w:abstractNum w:abstractNumId="52">
    <w:nsid w:val="310C50B3"/>
    <w:multiLevelType w:val="hybridMultilevel"/>
    <w:lvl w:ilvl="0">
      <w:lvlJc w:val="left"/>
      <w:lvlText w:val="(%1)"/>
      <w:numFmt w:val="lowerLetter"/>
      <w:start w:val="1"/>
    </w:lvl>
  </w:abstractNum>
  <w:abstractNum w:abstractNumId="53">
    <w:nsid w:val="5FF87E05"/>
    <w:multiLevelType w:val="hybridMultilevel"/>
    <w:lvl w:ilvl="0">
      <w:lvlJc w:val="left"/>
      <w:lvlText w:val="(%1)"/>
      <w:numFmt w:val="lowerLetter"/>
      <w:start w:val="1"/>
    </w:lvl>
  </w:abstractNum>
  <w:abstractNum w:abstractNumId="54">
    <w:nsid w:val="2F305DEF"/>
    <w:multiLevelType w:val="hybridMultilevel"/>
    <w:lvl w:ilvl="0">
      <w:lvlJc w:val="left"/>
      <w:lvlText w:val="(%1)"/>
      <w:numFmt w:val="lowerLetter"/>
      <w:start w:val="1"/>
    </w:lvl>
    <w:lvl w:ilvl="1">
      <w:lvlJc w:val="left"/>
      <w:lvlText w:val="(%2)"/>
      <w:numFmt w:val="lowerLetter"/>
      <w:start w:val="2"/>
    </w:lvl>
  </w:abstractNum>
  <w:abstractNum w:abstractNumId="55">
    <w:nsid w:val="25A70BF7"/>
    <w:multiLevelType w:val="hybridMultilevel"/>
    <w:lvl w:ilvl="0">
      <w:lvlJc w:val="left"/>
      <w:lvlText w:val="(%1)"/>
      <w:numFmt w:val="lowerLetter"/>
      <w:start w:val="1"/>
    </w:lvl>
  </w:abstractNum>
  <w:abstractNum w:abstractNumId="56">
    <w:nsid w:val="1DBABF00"/>
    <w:multiLevelType w:val="hybridMultilevel"/>
    <w:lvl w:ilvl="0">
      <w:lvlJc w:val="left"/>
      <w:lvlText w:val="(%1)"/>
      <w:numFmt w:val="lowerLetter"/>
      <w:start w:val="2"/>
    </w:lvl>
  </w:abstractNum>
  <w:abstractNum w:abstractNumId="57">
    <w:nsid w:val="4AD084E9"/>
    <w:multiLevelType w:val="hybridMultilevel"/>
    <w:lvl w:ilvl="0">
      <w:lvlJc w:val="left"/>
      <w:lvlText w:val="(%1)"/>
      <w:numFmt w:val="lowerLetter"/>
      <w:start w:val="61"/>
    </w:lvl>
  </w:abstractNum>
  <w:abstractNum w:abstractNumId="58">
    <w:nsid w:val="1F48EAA1"/>
    <w:multiLevelType w:val="hybridMultilevel"/>
    <w:lvl w:ilvl="0">
      <w:lvlJc w:val="left"/>
      <w:lvlText w:val="(%1)"/>
      <w:numFmt w:val="lowerRoman"/>
      <w:start w:val="1"/>
    </w:lvl>
  </w:abstractNum>
  <w:abstractNum w:abstractNumId="59">
    <w:nsid w:val="1381823A"/>
    <w:multiLevelType w:val="hybridMultilevel"/>
    <w:lvl w:ilvl="0">
      <w:lvlJc w:val="left"/>
      <w:lvlText w:val="(%1)"/>
      <w:numFmt w:val="lowerLetter"/>
      <w:start w:val="1"/>
    </w:lvl>
  </w:abstractNum>
  <w:abstractNum w:abstractNumId="60">
    <w:nsid w:val="5DB70AE5"/>
    <w:multiLevelType w:val="hybridMultilevel"/>
    <w:lvl w:ilvl="0">
      <w:lvlJc w:val="left"/>
      <w:lvlText w:val="(%1)"/>
      <w:numFmt w:val="lowerLetter"/>
      <w:start w:val="2"/>
    </w:lvl>
  </w:abstractNum>
  <w:abstractNum w:abstractNumId="61">
    <w:nsid w:val="100F8FCA"/>
    <w:multiLevelType w:val="hybridMultilevel"/>
    <w:lvl w:ilvl="0">
      <w:lvlJc w:val="left"/>
      <w:lvlText w:val="(%1)"/>
      <w:numFmt w:val="lowerLetter"/>
      <w:start w:val="3"/>
    </w:lvl>
  </w:abstractNum>
  <w:abstractNum w:abstractNumId="62">
    <w:nsid w:val="6590700B"/>
    <w:multiLevelType w:val="hybridMultilevel"/>
    <w:lvl w:ilvl="0">
      <w:lvlJc w:val="left"/>
      <w:lvlText w:val="(%1)"/>
      <w:numFmt w:val="lowerLetter"/>
      <w:start w:val="2"/>
    </w:lvl>
  </w:abstractNum>
  <w:abstractNum w:abstractNumId="63">
    <w:nsid w:val="15014ACB"/>
    <w:multiLevelType w:val="hybridMultilevel"/>
    <w:lvl w:ilvl="0">
      <w:lvlJc w:val="left"/>
      <w:lvlText w:val="(%1)"/>
      <w:numFmt w:val="lowerLetter"/>
      <w:start w:val="3"/>
    </w:lvl>
    <w:lvl w:ilvl="1">
      <w:lvlJc w:val="left"/>
      <w:lvlText w:val="*"/>
      <w:numFmt w:val="bullet"/>
      <w:start w:val="1"/>
    </w:lvl>
  </w:abstractNum>
  <w:abstractNum w:abstractNumId="64">
    <w:nsid w:val="5F5E7FD0"/>
    <w:multiLevelType w:val="hybridMultilevel"/>
    <w:lvl w:ilvl="0">
      <w:lvlJc w:val="left"/>
      <w:lvlText w:val="(%1)"/>
      <w:numFmt w:val="lowerRoman"/>
      <w:start w:val="1"/>
    </w:lvl>
  </w:abstractNum>
  <w:abstractNum w:abstractNumId="65">
    <w:nsid w:val="98A3148"/>
    <w:multiLevelType w:val="hybridMultilevel"/>
    <w:lvl w:ilvl="0">
      <w:lvlJc w:val="left"/>
      <w:lvlText w:val="(%1)"/>
      <w:numFmt w:val="lowerLetter"/>
      <w:start w:val="1"/>
    </w:lvl>
    <w:lvl w:ilvl="1">
      <w:lvlJc w:val="left"/>
      <w:lvlText w:val="(%2)"/>
      <w:numFmt w:val="lowerRoman"/>
      <w:start w:val="1"/>
    </w:lvl>
  </w:abstractNum>
  <w:abstractNum w:abstractNumId="66">
    <w:nsid w:val="799D0247"/>
    <w:multiLevelType w:val="hybridMultilevel"/>
    <w:lvl w:ilvl="0">
      <w:lvlJc w:val="left"/>
      <w:lvlText w:val="(%1)"/>
      <w:numFmt w:val="lowerLetter"/>
      <w:start w:val="1"/>
    </w:lvl>
  </w:abstractNum>
  <w:abstractNum w:abstractNumId="67">
    <w:nsid w:val="6B94764"/>
    <w:multiLevelType w:val="hybridMultilevel"/>
    <w:lvl w:ilvl="0">
      <w:lvlJc w:val="left"/>
      <w:lvlText w:val="(%1)"/>
      <w:numFmt w:val="lowerLetter"/>
      <w:start w:val="7"/>
    </w:lvl>
  </w:abstractNum>
  <w:abstractNum w:abstractNumId="68">
    <w:nsid w:val="42C296BD"/>
    <w:multiLevelType w:val="hybridMultilevel"/>
    <w:lvl w:ilvl="0">
      <w:lvlJc w:val="left"/>
      <w:lvlText w:val="(%1)"/>
      <w:numFmt w:val="lowerLetter"/>
      <w:start w:val="1"/>
    </w:lvl>
  </w:abstractNum>
  <w:abstractNum w:abstractNumId="69">
    <w:nsid w:val="168E121F"/>
    <w:multiLevelType w:val="hybridMultilevel"/>
    <w:lvl w:ilvl="0">
      <w:lvlJc w:val="left"/>
      <w:lvlText w:val="(%1)"/>
      <w:numFmt w:val="decimal"/>
      <w:start w:val="1"/>
    </w:lvl>
  </w:abstractNum>
  <w:abstractNum w:abstractNumId="70">
    <w:nsid w:val="1EBA5D23"/>
    <w:multiLevelType w:val="hybridMultilevel"/>
    <w:lvl w:ilvl="0">
      <w:lvlJc w:val="left"/>
      <w:lvlText w:val="(%1)"/>
      <w:numFmt w:val="lowerRoman"/>
      <w:start w:val="2"/>
    </w:lvl>
  </w:abstractNum>
  <w:abstractNum w:abstractNumId="71">
    <w:nsid w:val="661E3F1E"/>
    <w:multiLevelType w:val="hybridMultilevel"/>
    <w:lvl w:ilvl="0">
      <w:lvlJc w:val="left"/>
      <w:lvlText w:val="%1."/>
      <w:numFmt w:val="decimal"/>
      <w:start w:val="1"/>
    </w:lvl>
  </w:abstractNum>
  <w:abstractNum w:abstractNumId="72">
    <w:nsid w:val="5DC79EA8"/>
    <w:multiLevelType w:val="hybridMultilevel"/>
    <w:lvl w:ilvl="0">
      <w:lvlJc w:val="left"/>
      <w:lvlText w:val="(%1)"/>
      <w:numFmt w:val="lowerRoman"/>
      <w:start w:val="1"/>
    </w:lvl>
  </w:abstractNum>
  <w:abstractNum w:abstractNumId="73">
    <w:nsid w:val="540A471C"/>
    <w:multiLevelType w:val="hybridMultilevel"/>
    <w:lvl w:ilvl="0">
      <w:lvlJc w:val="left"/>
      <w:lvlText w:val="%1."/>
      <w:numFmt w:val="decimal"/>
      <w:start w:val="5"/>
    </w:lvl>
  </w:abstractNum>
  <w:abstractNum w:abstractNumId="74">
    <w:nsid w:val="7BD3EE7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2025-09-30T15:59:00Z</dcterms:created>
  <dcterms:modified xsi:type="dcterms:W3CDTF">2025-09-30T15:59:00Z</dcterms:modified>
</cp:coreProperties>
</file>