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UNITED STATES</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10-Q/A</w:t>
      </w:r>
    </w:p>
    <w:p>
      <w:pPr>
        <w:jc w:val="center"/>
        <w:ind w:right="3099"/>
        <w:spacing w:after="0"/>
        <w:rPr>
          <w:sz w:val="20"/>
          <w:szCs w:val="20"/>
          <w:color w:val="auto"/>
        </w:rPr>
      </w:pPr>
      <w:r>
        <w:rPr>
          <w:rFonts w:ascii="Courier New" w:cs="Courier New" w:eastAsia="Courier New" w:hAnsi="Courier New"/>
          <w:sz w:val="15"/>
          <w:szCs w:val="15"/>
          <w:color w:val="auto"/>
        </w:rPr>
        <w:t>(AMENDMENT NO. 1)</w:t>
      </w:r>
    </w:p>
    <w:p>
      <w:pPr>
        <w:spacing w:after="0" w:line="16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QUARTERLY REPORT PURSUANT TO SECTION 13 OR 15(d) OF THE</w:t>
      </w:r>
    </w:p>
    <w:p>
      <w:pPr>
        <w:ind w:left="21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QUARTERLY PERIOD ENDED JANUARY 31, 2003</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1-8649</w:t>
      </w:r>
    </w:p>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TORO COMPANY</w:t>
      </w:r>
    </w:p>
    <w:p>
      <w:pPr>
        <w:jc w:val="center"/>
        <w:ind w:right="31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01" w:right="1440" w:bottom="1440" w:gutter="0" w:footer="0" w:header="0"/>
        </w:sectPr>
      </w:pPr>
    </w:p>
    <w:p>
      <w:pPr>
        <w:spacing w:after="0" w:line="338"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19"/>
          </w:cols>
          <w:pgMar w:left="240" w:top="401" w:right="1440" w:bottom="1440" w:gutter="0" w:footer="0" w:header="0"/>
          <w:type w:val="continuous"/>
        </w:sectPr>
      </w:pPr>
    </w:p>
    <w:p>
      <w:pPr>
        <w:spacing w:after="0" w:line="14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8111 LYNDALE AVENUE SOUTH</w:t>
      </w:r>
    </w:p>
    <w:p>
      <w:pPr>
        <w:jc w:val="center"/>
        <w:ind w:right="3179"/>
        <w:spacing w:after="0"/>
        <w:rPr>
          <w:sz w:val="20"/>
          <w:szCs w:val="20"/>
          <w:color w:val="auto"/>
        </w:rPr>
      </w:pPr>
      <w:r>
        <w:rPr>
          <w:rFonts w:ascii="Courier New" w:cs="Courier New" w:eastAsia="Courier New" w:hAnsi="Courier New"/>
          <w:sz w:val="15"/>
          <w:szCs w:val="15"/>
          <w:color w:val="auto"/>
        </w:rPr>
        <w:t>BLOOMINGTON, MINNESOTA 55420</w:t>
      </w:r>
    </w:p>
    <w:p>
      <w:pPr>
        <w:jc w:val="center"/>
        <w:ind w:right="3179"/>
        <w:spacing w:after="0"/>
        <w:rPr>
          <w:sz w:val="20"/>
          <w:szCs w:val="20"/>
          <w:color w:val="auto"/>
        </w:rPr>
      </w:pPr>
      <w:r>
        <w:rPr>
          <w:rFonts w:ascii="Courier New" w:cs="Courier New" w:eastAsia="Courier New" w:hAnsi="Courier New"/>
          <w:sz w:val="15"/>
          <w:szCs w:val="15"/>
          <w:color w:val="auto"/>
        </w:rPr>
        <w:t>TELEPHONE NUMBER: (952) 888-8801</w:t>
      </w:r>
    </w:p>
    <w:p>
      <w:pPr>
        <w:spacing w:after="0" w:line="16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jc w:val="center"/>
        <w:ind w:right="3179"/>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200" w:lineRule="exact"/>
        <w:rPr>
          <w:sz w:val="24"/>
          <w:szCs w:val="24"/>
          <w:color w:val="auto"/>
        </w:rPr>
      </w:pPr>
    </w:p>
    <w:p>
      <w:pPr>
        <w:spacing w:after="0" w:line="313"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01" w:right="1440" w:bottom="1440" w:gutter="0" w:footer="0" w:header="0"/>
          <w:type w:val="continuous"/>
        </w:sectPr>
      </w:pPr>
    </w:p>
    <w:p>
      <w:pPr>
        <w:spacing w:after="0" w:line="34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140" w:space="520"/>
            <w:col w:w="2640" w:space="720"/>
            <w:col w:w="5199"/>
          </w:cols>
          <w:pgMar w:left="240" w:top="40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640" w:space="720"/>
            <w:col w:w="4859"/>
          </w:cols>
          <w:pgMar w:left="240" w:top="401" w:right="1440" w:bottom="1440" w:gutter="0" w:footer="0" w:header="0"/>
          <w:type w:val="continuous"/>
        </w:sectPr>
      </w:pPr>
    </w:p>
    <w:p>
      <w:pPr>
        <w:spacing w:after="0" w:line="150" w:lineRule="exact"/>
        <w:rPr>
          <w:sz w:val="24"/>
          <w:szCs w:val="24"/>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w:t>
      </w:r>
    </w:p>
    <w:p>
      <w:pPr>
        <w:sectPr>
          <w:pgSz w:w="11900" w:h="16838" w:orient="portrait"/>
          <w:cols w:equalWidth="0" w:num="1">
            <w:col w:w="10219"/>
          </w:cols>
          <w:pgMar w:left="240" w:top="401" w:right="1440" w:bottom="1440" w:gutter="0" w:footer="0" w:header="0"/>
          <w:type w:val="continuous"/>
        </w:sectPr>
      </w:pPr>
    </w:p>
    <w:p>
      <w:pPr>
        <w:spacing w:after="0" w:line="176"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140" w:space="520"/>
            <w:col w:w="2640" w:space="720"/>
            <w:col w:w="5199"/>
          </w:cols>
          <w:pgMar w:left="240" w:top="401"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640" w:space="720"/>
            <w:col w:w="4859"/>
          </w:cols>
          <w:pgMar w:left="240" w:top="401" w:right="1440" w:bottom="1440" w:gutter="0" w:footer="0" w:header="0"/>
          <w:type w:val="continuous"/>
        </w:sectPr>
      </w:pPr>
    </w:p>
    <w:p>
      <w:pPr>
        <w:ind w:right="3539"/>
        <w:spacing w:after="0" w:line="235" w:lineRule="auto"/>
        <w:rPr>
          <w:sz w:val="20"/>
          <w:szCs w:val="20"/>
          <w:color w:val="auto"/>
        </w:rPr>
      </w:pPr>
      <w:r>
        <w:rPr>
          <w:rFonts w:ascii="Courier New" w:cs="Courier New" w:eastAsia="Courier New" w:hAnsi="Courier New"/>
          <w:sz w:val="15"/>
          <w:szCs w:val="15"/>
          <w:color w:val="auto"/>
        </w:rPr>
        <w:t>The number of shares of Common Stock outstanding as of February 28, 2003 was 12,234,788.</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01" w:right="1440" w:bottom="1440" w:gutter="0" w:footer="0" w:header="0"/>
          <w:type w:val="continuous"/>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EXPLANATORY NOTE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Toro Company is filing this Amendment to its quarterly report on Form 10-Q for the quarter ended January 31, 2003, as filed with the Securities and Exchange Commission on March 13, 2003, in order to correct the omission of the audited balance sheet information as of end of the fiscal year ended October 31, 2002 contained in the Condensed Consolidated Balance Sheets and Notes to Condensed Consolidated Financial Statements included in Part I, Item 1, Financial Statements. The company is also updating Part II, Item 6, Exhibits and Reports on Form 8-K. No other item or part of the company's quarterly report on Form 10-Q for the quarter ended January 31, 2003 as previously filed is affected by this amendment.</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connection with the filing of this Amendment and pursuant to Rule 12b-15 of the Securities Exchange Act of 1934, as amended, the complete text of Item 1 of Part I and Item 6 of Part II, as amended, is set forth herein. In addition, in connection with the filing of this Amendment and pursuant to Rule 12b-15, the company is including certain currently dated certifications. The remainder of the company's quarterly report on Form 10-Q is unchanged and is not reproduced in this Amendment. This report speaks as of the original filing date of the quarterly report on Form 10-Q and, except as indicated, has not been updated to reflect events and transactions occurring subsequent to the original filing date.</w:t>
      </w:r>
    </w:p>
    <w:p>
      <w:pPr>
        <w:sectPr>
          <w:pgSz w:w="11900" w:h="16838" w:orient="portrait"/>
          <w:cols w:equalWidth="0" w:num="1">
            <w:col w:w="10219"/>
          </w:cols>
          <w:pgMar w:left="240" w:top="452" w:right="1440" w:bottom="1440" w:gutter="0" w:footer="0" w:header="0"/>
        </w:sectPr>
      </w:pPr>
    </w:p>
    <w:bookmarkStart w:id="2" w:name="page3"/>
    <w:bookmarkEnd w:id="2"/>
    <w:p>
      <w:pPr>
        <w:jc w:val="center"/>
        <w:ind w:right="4480"/>
        <w:spacing w:after="0"/>
        <w:rPr>
          <w:sz w:val="20"/>
          <w:szCs w:val="20"/>
          <w:color w:val="auto"/>
        </w:rPr>
      </w:pPr>
      <w:r>
        <w:rPr>
          <w:rFonts w:ascii="Courier New" w:cs="Courier New" w:eastAsia="Courier New" w:hAnsi="Courier New"/>
          <w:sz w:val="15"/>
          <w:szCs w:val="15"/>
          <w:color w:val="auto"/>
        </w:rPr>
        <w:t>THE TORO COMPANY</w:t>
      </w:r>
    </w:p>
    <w:p>
      <w:pPr>
        <w:jc w:val="center"/>
        <w:ind w:right="4480"/>
        <w:spacing w:after="0"/>
        <w:rPr>
          <w:sz w:val="20"/>
          <w:szCs w:val="20"/>
          <w:color w:val="auto"/>
        </w:rPr>
      </w:pPr>
      <w:r>
        <w:rPr>
          <w:rFonts w:ascii="Courier New" w:cs="Courier New" w:eastAsia="Courier New" w:hAnsi="Courier New"/>
          <w:sz w:val="15"/>
          <w:szCs w:val="15"/>
          <w:color w:val="auto"/>
        </w:rPr>
        <w:t>INDEX TO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Number</w:t>
      </w:r>
    </w:p>
    <w:p>
      <w:pPr>
        <w:jc w:val="right"/>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ind w:left="1760"/>
        <w:spacing w:after="0"/>
        <w:rPr>
          <w:sz w:val="20"/>
          <w:szCs w:val="20"/>
          <w:color w:val="auto"/>
        </w:rPr>
      </w:pPr>
      <w:r>
        <w:rPr>
          <w:rFonts w:ascii="Courier New" w:cs="Courier New" w:eastAsia="Courier New" w:hAnsi="Courier New"/>
          <w:sz w:val="15"/>
          <w:szCs w:val="15"/>
          <w:color w:val="auto"/>
        </w:rPr>
        <w:t>Condensed Consolidated Statements of Operations (Unaudited) -</w:t>
      </w:r>
    </w:p>
    <w:p>
      <w:pPr>
        <w:ind w:left="2100"/>
        <w:spacing w:after="0"/>
        <w:tabs>
          <w:tab w:leader="dot" w:pos="11340" w:val="left"/>
        </w:tabs>
        <w:rPr>
          <w:sz w:val="20"/>
          <w:szCs w:val="20"/>
          <w:color w:val="auto"/>
        </w:rPr>
      </w:pPr>
      <w:r>
        <w:rPr>
          <w:rFonts w:ascii="Courier New" w:cs="Courier New" w:eastAsia="Courier New" w:hAnsi="Courier New"/>
          <w:sz w:val="15"/>
          <w:szCs w:val="15"/>
          <w:color w:val="auto"/>
        </w:rPr>
        <w:t>Three Months Ended January 31, 2003 and February 1, 2002</w:t>
      </w:r>
      <w:r>
        <w:rPr>
          <w:sz w:val="20"/>
          <w:szCs w:val="20"/>
          <w:color w:val="auto"/>
        </w:rPr>
        <w:tab/>
      </w:r>
      <w:r>
        <w:rPr>
          <w:rFonts w:ascii="Courier New" w:cs="Courier New" w:eastAsia="Courier New" w:hAnsi="Courier New"/>
          <w:sz w:val="13"/>
          <w:szCs w:val="13"/>
          <w:color w:val="auto"/>
        </w:rPr>
        <w:t>3</w:t>
      </w:r>
    </w:p>
    <w:p>
      <w:pPr>
        <w:spacing w:after="0" w:line="16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Balance Sheets (Unaudited) -</w:t>
      </w:r>
    </w:p>
    <w:p>
      <w:pPr>
        <w:ind w:left="2100"/>
        <w:spacing w:after="0"/>
        <w:tabs>
          <w:tab w:leader="dot" w:pos="11340" w:val="left"/>
        </w:tabs>
        <w:rPr>
          <w:sz w:val="20"/>
          <w:szCs w:val="20"/>
          <w:color w:val="auto"/>
        </w:rPr>
      </w:pPr>
      <w:r>
        <w:rPr>
          <w:rFonts w:ascii="Courier New" w:cs="Courier New" w:eastAsia="Courier New" w:hAnsi="Courier New"/>
          <w:sz w:val="15"/>
          <w:szCs w:val="15"/>
          <w:color w:val="auto"/>
        </w:rPr>
        <w:t>January 31, 2003, February 1, 2002, and October 31, 2002</w:t>
      </w:r>
      <w:r>
        <w:rPr>
          <w:sz w:val="20"/>
          <w:szCs w:val="20"/>
          <w:color w:val="auto"/>
        </w:rPr>
        <w:tab/>
      </w:r>
      <w:r>
        <w:rPr>
          <w:rFonts w:ascii="Courier New" w:cs="Courier New" w:eastAsia="Courier New" w:hAnsi="Courier New"/>
          <w:sz w:val="13"/>
          <w:szCs w:val="13"/>
          <w:color w:val="auto"/>
        </w:rPr>
        <w:t>4</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Condensed Consolidated Statements of Cash Flows (Unaudited) -</w:t>
      </w:r>
    </w:p>
    <w:p>
      <w:pPr>
        <w:ind w:left="2100"/>
        <w:spacing w:after="0"/>
        <w:tabs>
          <w:tab w:leader="dot" w:pos="11340" w:val="left"/>
        </w:tabs>
        <w:rPr>
          <w:sz w:val="20"/>
          <w:szCs w:val="20"/>
          <w:color w:val="auto"/>
        </w:rPr>
      </w:pPr>
      <w:r>
        <w:rPr>
          <w:rFonts w:ascii="Courier New" w:cs="Courier New" w:eastAsia="Courier New" w:hAnsi="Courier New"/>
          <w:sz w:val="15"/>
          <w:szCs w:val="15"/>
          <w:color w:val="auto"/>
        </w:rPr>
        <w:t>Three Months Ended January 31, 2003 and February 1, 2002</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ind w:left="1760"/>
        <w:spacing w:after="0"/>
        <w:tabs>
          <w:tab w:leader="dot" w:pos="11080" w:val="left"/>
        </w:tabs>
        <w:rPr>
          <w:sz w:val="20"/>
          <w:szCs w:val="20"/>
          <w:color w:val="auto"/>
        </w:rPr>
      </w:pPr>
      <w:r>
        <w:rPr>
          <w:rFonts w:ascii="Courier New" w:cs="Courier New" w:eastAsia="Courier New" w:hAnsi="Courier New"/>
          <w:sz w:val="15"/>
          <w:szCs w:val="15"/>
          <w:color w:val="auto"/>
        </w:rPr>
        <w:t>Notes to Condensed Consolidated Financial Statements (Unaudited)</w:t>
      </w:r>
      <w:r>
        <w:rPr>
          <w:sz w:val="20"/>
          <w:szCs w:val="20"/>
          <w:color w:val="auto"/>
        </w:rPr>
        <w:tab/>
      </w:r>
      <w:r>
        <w:rPr>
          <w:rFonts w:ascii="Courier New" w:cs="Courier New" w:eastAsia="Courier New" w:hAnsi="Courier New"/>
          <w:sz w:val="14"/>
          <w:szCs w:val="14"/>
          <w:color w:val="auto"/>
        </w:rPr>
        <w:t>6-10</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spacing w:after="0"/>
        <w:tabs>
          <w:tab w:leader="none" w:pos="1740" w:val="left"/>
          <w:tab w:leader="dot" w:pos="112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3"/>
          <w:szCs w:val="13"/>
          <w:color w:val="auto"/>
        </w:rPr>
        <w:t>11</w:t>
      </w:r>
    </w:p>
    <w:p>
      <w:pPr>
        <w:spacing w:after="0" w:line="169" w:lineRule="exact"/>
        <w:rPr>
          <w:sz w:val="20"/>
          <w:szCs w:val="20"/>
          <w:color w:val="auto"/>
        </w:rPr>
      </w:pPr>
    </w:p>
    <w:p>
      <w:pPr>
        <w:ind w:left="1760"/>
        <w:spacing w:after="0"/>
        <w:tabs>
          <w:tab w:leader="dot" w:pos="10980" w:val="left"/>
        </w:tabs>
        <w:rPr>
          <w:sz w:val="20"/>
          <w:szCs w:val="20"/>
          <w:color w:val="auto"/>
        </w:rPr>
      </w:pPr>
      <w:r>
        <w:rPr>
          <w:rFonts w:ascii="Courier New" w:cs="Courier New" w:eastAsia="Courier New" w:hAnsi="Courier New"/>
          <w:sz w:val="15"/>
          <w:szCs w:val="15"/>
          <w:color w:val="auto"/>
        </w:rPr>
        <w:t>Signatures and Certifications</w:t>
      </w:r>
      <w:r>
        <w:rPr>
          <w:sz w:val="20"/>
          <w:szCs w:val="20"/>
          <w:color w:val="auto"/>
        </w:rPr>
        <w:tab/>
      </w:r>
      <w:r>
        <w:rPr>
          <w:rFonts w:ascii="Courier New" w:cs="Courier New" w:eastAsia="Courier New" w:hAnsi="Courier New"/>
          <w:sz w:val="14"/>
          <w:szCs w:val="14"/>
          <w:color w:val="auto"/>
        </w:rPr>
        <w:t>12-14</w:t>
      </w:r>
    </w:p>
    <w:p>
      <w:pPr>
        <w:sectPr>
          <w:pgSz w:w="11900" w:h="16838" w:orient="portrait"/>
          <w:cols w:equalWidth="0" w:num="1">
            <w:col w:w="11520"/>
          </w:cols>
          <w:pgMar w:left="240" w:top="452" w:right="139" w:bottom="1440" w:gutter="0" w:footer="0" w:header="0"/>
        </w:sectPr>
      </w:pPr>
    </w:p>
    <w:bookmarkStart w:id="3" w:name="page4"/>
    <w:bookmarkEnd w:id="3"/>
    <w:p>
      <w:pPr>
        <w:jc w:val="center"/>
        <w:ind w:right="430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9"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THE TORO COMPANY AND SUBSIDIARIES</w:t>
      </w:r>
    </w:p>
    <w:p>
      <w:pPr>
        <w:ind w:left="960"/>
        <w:spacing w:after="0"/>
        <w:rPr>
          <w:sz w:val="20"/>
          <w:szCs w:val="20"/>
          <w:color w:val="auto"/>
        </w:rPr>
      </w:pPr>
      <w:r>
        <w:rPr>
          <w:rFonts w:ascii="Courier New" w:cs="Courier New" w:eastAsia="Courier New" w:hAnsi="Courier New"/>
          <w:sz w:val="15"/>
          <w:szCs w:val="15"/>
          <w:color w:val="auto"/>
        </w:rPr>
        <w:t>CONDENSED CONSOLIDATED STATEMENTS OF OPERATIONS (UNAUDITED)</w:t>
      </w:r>
    </w:p>
    <w:p>
      <w:pPr>
        <w:ind w:left="1040"/>
        <w:spacing w:after="0"/>
        <w:rPr>
          <w:sz w:val="20"/>
          <w:szCs w:val="20"/>
          <w:color w:val="auto"/>
        </w:rPr>
      </w:pPr>
      <w:r>
        <w:rPr>
          <w:rFonts w:ascii="Courier New" w:cs="Courier New" w:eastAsia="Courier New" w:hAnsi="Courier New"/>
          <w:sz w:val="15"/>
          <w:szCs w:val="15"/>
          <w:color w:val="auto"/>
        </w:rPr>
        <w:t>(DOLLARS AND SHARES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80" w:type="dxa"/>
            <w:vAlign w:val="bottom"/>
            <w:gridSpan w:val="3"/>
          </w:tcPr>
          <w:p>
            <w:pPr>
              <w:jc w:val="right"/>
              <w:ind w:right="12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7220" w:type="dxa"/>
            <w:vAlign w:val="bottom"/>
          </w:tcPr>
          <w:p>
            <w:pPr>
              <w:spacing w:after="0"/>
              <w:rPr>
                <w:sz w:val="14"/>
                <w:szCs w:val="14"/>
                <w:color w:val="auto"/>
              </w:rPr>
            </w:pPr>
          </w:p>
        </w:tc>
        <w:tc>
          <w:tcPr>
            <w:tcW w:w="42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4"/>
              </w:rPr>
              <w:t>January 31,</w:t>
            </w:r>
          </w:p>
        </w:tc>
        <w:tc>
          <w:tcPr>
            <w:tcW w:w="52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February 1,</w:t>
            </w:r>
          </w:p>
        </w:tc>
      </w:tr>
      <w:tr>
        <w:trPr>
          <w:trHeight w:val="170"/>
        </w:trPr>
        <w:tc>
          <w:tcPr>
            <w:tcW w:w="7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2003</w:t>
            </w:r>
          </w:p>
        </w:tc>
        <w:tc>
          <w:tcPr>
            <w:tcW w:w="520" w:type="dxa"/>
            <w:vAlign w:val="bottom"/>
          </w:tcPr>
          <w:p>
            <w:pPr>
              <w:spacing w:after="0"/>
              <w:rPr>
                <w:sz w:val="14"/>
                <w:szCs w:val="14"/>
                <w:color w:val="auto"/>
              </w:rPr>
            </w:pPr>
          </w:p>
        </w:tc>
        <w:tc>
          <w:tcPr>
            <w:tcW w:w="15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7220" w:type="dxa"/>
            <w:vAlign w:val="bottom"/>
          </w:tcPr>
          <w:p>
            <w:pPr>
              <w:spacing w:after="0"/>
              <w:rPr>
                <w:sz w:val="20"/>
                <w:szCs w:val="20"/>
                <w:color w:val="auto"/>
              </w:rPr>
            </w:pPr>
            <w:r>
              <w:rPr>
                <w:rFonts w:ascii="Courier New" w:cs="Courier New" w:eastAsia="Courier New" w:hAnsi="Courier New"/>
                <w:sz w:val="15"/>
                <w:szCs w:val="15"/>
                <w:color w:val="auto"/>
                <w:w w:val="97"/>
              </w:rPr>
              <w:t>Net sales.........................................................................</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295,962</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277,915</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w w:val="97"/>
              </w:rPr>
              <w:t>Cost of sales.....................................................................</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190,381</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182,608</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105,581</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95,307</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Selling, general, and administrative expense......................................</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95,864</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89,012</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Restructuring and other expense...................................................</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9,953</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Earnings (loss) from operations...............................................</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9,717</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(3,658)</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expense..................................................................</w:t>
            </w:r>
          </w:p>
        </w:tc>
        <w:tc>
          <w:tcPr>
            <w:tcW w:w="44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(4,092)</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(5,320)</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income, net.................................................................</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4,795</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1,334</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Earnings (loss) before income taxes and cumulative effect of change</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in accounting principle...................................................</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10,420</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(7,644)</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440" w:type="dxa"/>
            <w:vAlign w:val="bottom"/>
          </w:tcPr>
          <w:p>
            <w:pPr>
              <w:spacing w:after="0"/>
              <w:rPr>
                <w:sz w:val="14"/>
                <w:szCs w:val="14"/>
                <w:color w:val="auto"/>
              </w:rPr>
            </w:pP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(3,439)</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2,523</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Net earnings (loss) before cumulative effect of change in</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accounting principle......................................................</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6,981</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(5,121)</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benefit of $509......................................................</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(24,614)</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Net earnings (loss).......................................................</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6,981</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(29,735)</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Basic net earnings (loss) per share of common stock, before</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9"/>
              </w:rPr>
              <w:t>cumulative effect of change in accounting principle.............................</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0.56</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(0.41)</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benefit..............................................................</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net earnings (loss) per share of common stock...............................</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0.56</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Diluted net earnings (loss) per share of common stock, before</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9"/>
              </w:rPr>
              <w:t>cumulative effect of change in accounting principle.............................</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0.54</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(0.41)</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 benefit..............................................................</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net earnings (loss) per share of common stock.............................</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0.54</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r>
        <w:trPr>
          <w:trHeight w:val="170"/>
        </w:trPr>
        <w:tc>
          <w:tcPr>
            <w:tcW w:w="7220" w:type="dxa"/>
            <w:vAlign w:val="bottom"/>
          </w:tcPr>
          <w:p>
            <w:pPr>
              <w:spacing w:after="0"/>
              <w:rPr>
                <w:sz w:val="14"/>
                <w:szCs w:val="14"/>
                <w:color w:val="auto"/>
              </w:rPr>
            </w:pPr>
          </w:p>
        </w:tc>
        <w:tc>
          <w:tcPr>
            <w:tcW w:w="21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 outstanding -</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12,461</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 outstanding -</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7220" w:type="dxa"/>
            <w:vAlign w:val="bottom"/>
          </w:tcPr>
          <w:p>
            <w:pPr>
              <w:jc w:val="right"/>
              <w:spacing w:after="0"/>
              <w:rPr>
                <w:sz w:val="20"/>
                <w:szCs w:val="20"/>
                <w:color w:val="auto"/>
              </w:rPr>
            </w:pPr>
            <w:r>
              <w:rPr>
                <w:rFonts w:ascii="Courier New" w:cs="Courier New" w:eastAsia="Courier New" w:hAnsi="Courier New"/>
                <w:sz w:val="15"/>
                <w:szCs w:val="15"/>
                <w:color w:val="auto"/>
              </w:rPr>
              <w:t>Dilutive......................................................................</w:t>
            </w:r>
          </w:p>
        </w:tc>
        <w:tc>
          <w:tcPr>
            <w:tcW w:w="44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12,922</w:t>
            </w:r>
          </w:p>
        </w:tc>
        <w:tc>
          <w:tcPr>
            <w:tcW w:w="52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40"/>
          </w:cols>
          <w:pgMar w:left="240" w:top="452" w:right="219" w:bottom="1440" w:gutter="0" w:footer="0" w:header="0"/>
        </w:sectPr>
      </w:pPr>
    </w:p>
    <w:bookmarkStart w:id="4" w:name="page5"/>
    <w:bookmarkEnd w:id="4"/>
    <w:p>
      <w:pPr>
        <w:jc w:val="center"/>
        <w:ind w:right="342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440"/>
        <w:spacing w:after="0"/>
        <w:rPr>
          <w:sz w:val="20"/>
          <w:szCs w:val="20"/>
          <w:color w:val="auto"/>
        </w:rPr>
      </w:pPr>
      <w:r>
        <w:rPr>
          <w:rFonts w:ascii="Courier New" w:cs="Courier New" w:eastAsia="Courier New" w:hAnsi="Courier New"/>
          <w:sz w:val="15"/>
          <w:szCs w:val="15"/>
          <w:color w:val="auto"/>
        </w:rPr>
        <w:t>CONDENSED CONSOLIDATED BALANCE SHEETS (UNAUDITED)</w:t>
      </w:r>
    </w:p>
    <w:p>
      <w:pPr>
        <w:jc w:val="center"/>
        <w:ind w:right="3420"/>
        <w:spacing w:after="0"/>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January 31,</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February 1,</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w:t>
            </w:r>
          </w:p>
        </w:tc>
      </w:tr>
      <w:tr>
        <w:trPr>
          <w:trHeight w:val="170"/>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2003</w:t>
            </w:r>
          </w:p>
        </w:tc>
        <w:tc>
          <w:tcPr>
            <w:tcW w:w="30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 ......................................................</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62,816</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Receivables, net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311,892</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302,189</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255,739</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Inventories, net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267,376</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274,524</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224,367</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Prepaid expenses and other current assets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11,689</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17,415</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10,497</w:t>
            </w:r>
          </w:p>
        </w:tc>
      </w:tr>
      <w:tr>
        <w:trPr>
          <w:trHeight w:val="170"/>
        </w:trPr>
        <w:tc>
          <w:tcPr>
            <w:tcW w:w="712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39,474</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34,261</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38,722</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630,518</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628,435</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592,141</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plant, and equipment .................................................</w:t>
            </w:r>
          </w:p>
        </w:tc>
        <w:tc>
          <w:tcPr>
            <w:tcW w:w="3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449,040</w:t>
            </w:r>
          </w:p>
        </w:tc>
        <w:tc>
          <w:tcPr>
            <w:tcW w:w="3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410,387</w:t>
            </w:r>
          </w:p>
        </w:tc>
        <w:tc>
          <w:tcPr>
            <w:tcW w:w="2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440,714</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Less accumulated depreciation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289,566</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265,942</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283,935</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159,474</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144,445</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156,779</w:t>
            </w:r>
          </w:p>
        </w:tc>
      </w:tr>
      <w:tr>
        <w:trPr>
          <w:trHeight w:val="339"/>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income taxes ..........................................................</w:t>
            </w:r>
          </w:p>
        </w:tc>
        <w:tc>
          <w:tcPr>
            <w:tcW w:w="3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4,196</w:t>
            </w:r>
          </w:p>
        </w:tc>
        <w:tc>
          <w:tcPr>
            <w:tcW w:w="3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9,721</w:t>
            </w:r>
          </w:p>
        </w:tc>
        <w:tc>
          <w:tcPr>
            <w:tcW w:w="2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4,196</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14,253</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14,794</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13,264</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Goodwill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77,891</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77,805</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77,855</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intangible assets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1,769</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2,347</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1,905</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 ...........................................................</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$ 888,101</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$ 877,547</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$ 846,140</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71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Current portion of long-term debt ..............................................</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15,825</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Short-term debt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25,024</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113,938</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Accounts payable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90,397</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75,656</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86,180</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Accrued liabilities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194,917</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172,744</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190,589</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326,184</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362,851</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293,750</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less current portion ...........................................</w:t>
            </w:r>
          </w:p>
        </w:tc>
        <w:tc>
          <w:tcPr>
            <w:tcW w:w="3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178,724</w:t>
            </w:r>
          </w:p>
        </w:tc>
        <w:tc>
          <w:tcPr>
            <w:tcW w:w="30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194,553</w:t>
            </w:r>
          </w:p>
        </w:tc>
        <w:tc>
          <w:tcPr>
            <w:tcW w:w="2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178,756</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long-term liabilities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8,259</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7,091</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8,344</w:t>
            </w:r>
          </w:p>
        </w:tc>
      </w:tr>
      <w:tr>
        <w:trPr>
          <w:trHeight w:val="339"/>
        </w:trPr>
        <w:tc>
          <w:tcPr>
            <w:tcW w:w="7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71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Preferred stock, par value $1.00 per share, authorized 1,000,000</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voting and 850,000 non-voting shares, none issued and outstanding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Common stock par value $1.00 per share, authorized 35,000,000 shares, issued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and outstanding 12,218,531 shares as of January 31, 2003 (net of 1,289,524</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1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treasury shares), 12,278,570 shares as of February 1, 2002 (net of</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1,229,485 treasury shares), and 12,171,237 shares as of October 31, 2002</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of 1,336,818 treasury shares)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12,219</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12,279</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12,171</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28,083</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32,208</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23,364</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Retained earnings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347,845</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281,831</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342,358</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comprehensive loss ..............................................</w:t>
            </w: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(13,213)</w:t>
            </w:r>
          </w:p>
        </w:tc>
        <w:tc>
          <w:tcPr>
            <w:tcW w:w="3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(13,266)</w:t>
            </w:r>
          </w:p>
        </w:tc>
        <w:tc>
          <w:tcPr>
            <w:tcW w:w="2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(12,603)</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 .............................................</w:t>
            </w:r>
          </w:p>
        </w:tc>
        <w:tc>
          <w:tcPr>
            <w:tcW w:w="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374,934</w:t>
            </w:r>
          </w:p>
        </w:tc>
        <w:tc>
          <w:tcPr>
            <w:tcW w:w="30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313,052</w:t>
            </w:r>
          </w:p>
        </w:tc>
        <w:tc>
          <w:tcPr>
            <w:tcW w:w="2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365,290</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stockholders' equity .............................</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$ 888,101</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$ 877,547</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$ 846,140</w:t>
            </w:r>
          </w:p>
        </w:tc>
      </w:tr>
      <w:tr>
        <w:trPr>
          <w:trHeight w:val="170"/>
        </w:trPr>
        <w:tc>
          <w:tcPr>
            <w:tcW w:w="712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560"/>
          </w:cols>
          <w:pgMar w:left="240" w:top="452" w:right="1099" w:bottom="1440" w:gutter="0" w:footer="0" w:header="0"/>
        </w:sectPr>
      </w:pPr>
    </w:p>
    <w:bookmarkStart w:id="5" w:name="page6"/>
    <w:bookmarkEnd w:id="5"/>
    <w:p>
      <w:pPr>
        <w:jc w:val="center"/>
        <w:ind w:right="4580"/>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4580"/>
        <w:spacing w:after="0"/>
        <w:rPr>
          <w:sz w:val="20"/>
          <w:szCs w:val="20"/>
          <w:color w:val="auto"/>
        </w:rPr>
      </w:pPr>
      <w:r>
        <w:rPr>
          <w:rFonts w:ascii="Courier New" w:cs="Courier New" w:eastAsia="Courier New" w:hAnsi="Courier New"/>
          <w:sz w:val="15"/>
          <w:szCs w:val="15"/>
          <w:color w:val="auto"/>
        </w:rPr>
        <w:t>CONDENSED CONSOLIDATED STATEMENTS OF CASH FLOWS (UNAUDITED)</w:t>
      </w:r>
    </w:p>
    <w:tbl>
      <w:tblPr>
        <w:tblLayout w:type="fixed"/>
        <w:tblInd w:w="0" w:type="dxa"/>
        <w:tblCellMar>
          <w:top w:w="0" w:type="dxa"/>
          <w:left w:w="0" w:type="dxa"/>
          <w:bottom w:w="0" w:type="dxa"/>
          <w:right w:w="0" w:type="dxa"/>
        </w:tblCellMar>
      </w:tblPr>
      <w:tr>
        <w:trPr>
          <w:trHeight w:val="169"/>
        </w:trPr>
        <w:tc>
          <w:tcPr>
            <w:tcW w:w="6960" w:type="dxa"/>
            <w:vAlign w:val="bottom"/>
          </w:tcPr>
          <w:p>
            <w:pPr>
              <w:jc w:val="right"/>
              <w:ind w:right="2667"/>
              <w:spacing w:after="0"/>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6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3"/>
          </w:tcPr>
          <w:p>
            <w:pPr>
              <w:jc w:val="right"/>
              <w:ind w:right="11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January 31,</w:t>
            </w:r>
          </w:p>
        </w:tc>
        <w:tc>
          <w:tcPr>
            <w:tcW w:w="56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February 1,</w:t>
            </w:r>
          </w:p>
        </w:tc>
      </w:tr>
      <w:tr>
        <w:trPr>
          <w:trHeight w:val="170"/>
        </w:trPr>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2003</w:t>
            </w:r>
          </w:p>
        </w:tc>
        <w:tc>
          <w:tcPr>
            <w:tcW w:w="560" w:type="dxa"/>
            <w:vAlign w:val="bottom"/>
          </w:tcPr>
          <w:p>
            <w:pPr>
              <w:spacing w:after="0"/>
              <w:rPr>
                <w:sz w:val="14"/>
                <w:szCs w:val="14"/>
                <w:color w:val="auto"/>
              </w:rPr>
            </w:pPr>
          </w:p>
        </w:tc>
        <w:tc>
          <w:tcPr>
            <w:tcW w:w="15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w w:val="97"/>
              </w:rPr>
              <w:t>Net earnings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6,981</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(29,735)</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earnings (loss) to net cash</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960" w:type="dxa"/>
            <w:vAlign w:val="bottom"/>
          </w:tcPr>
          <w:p>
            <w:pPr>
              <w:jc w:val="right"/>
              <w:ind w:right="3727"/>
              <w:spacing w:after="0"/>
              <w:rPr>
                <w:sz w:val="20"/>
                <w:szCs w:val="20"/>
                <w:color w:val="auto"/>
              </w:rPr>
            </w:pPr>
            <w:r>
              <w:rPr>
                <w:rFonts w:ascii="Courier New" w:cs="Courier New" w:eastAsia="Courier New" w:hAnsi="Courier New"/>
                <w:sz w:val="15"/>
                <w:szCs w:val="15"/>
                <w:color w:val="auto"/>
              </w:rPr>
              <w:t>used in operating activities:</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24,614</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Non-cash asset impairment write-off.........................................</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4,163</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Provision for depreciation and amortization.................................</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7,310</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7,336</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Gain on disposal of property, plant, and equipment..........................</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Increase in deferred income taxes...........................................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(752)</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r>
        <w:trPr>
          <w:trHeight w:val="170"/>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Receivables, net.......................................................</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(52,399)</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(30,512)</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(48,213)</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(39,863)</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 current assets..............................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(1,322)</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(6,209)</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liabilities...............................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13,257</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(7,846)</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operating activities..............................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(75,142)</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(78,396)</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Purchases of property, plant, and equipment.................................</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(11,451)</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(9,245)</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asset disposals...............................................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Decrease in investment in affiliates........................................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Increase in other assets....................................................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(2,147)</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(2,426)</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business..............................................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1,016</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(11,551)</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(11,609)</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Increase in short-term debt.................................................</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23,868</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79,525</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Repayments of long-term debt................................................</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Decrease in other long-term liabilities.....................................</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exercise of stock options.....................................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1,693</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661</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Purchases of common stock...................................................</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(598)</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Dividends on common stock...................................................</w:t>
            </w:r>
          </w:p>
        </w:tc>
        <w:tc>
          <w:tcPr>
            <w:tcW w:w="80" w:type="dxa"/>
            <w:vAlign w:val="bottom"/>
          </w:tcPr>
          <w:p>
            <w:pPr>
              <w:spacing w:after="0"/>
              <w:rPr>
                <w:sz w:val="14"/>
                <w:szCs w:val="1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(1,495)</w:t>
            </w:r>
          </w:p>
        </w:tc>
        <w:tc>
          <w:tcPr>
            <w:tcW w:w="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(1,501)</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23,372</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77,201</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w w:val="97"/>
              </w:rPr>
              <w:t>Foreign currency translation adjustment........................................</w:t>
            </w:r>
          </w:p>
        </w:tc>
        <w:tc>
          <w:tcPr>
            <w:tcW w:w="80" w:type="dxa"/>
            <w:vAlign w:val="bottom"/>
          </w:tcPr>
          <w:p>
            <w:pPr>
              <w:spacing w:after="0"/>
              <w:rPr>
                <w:sz w:val="24"/>
                <w:szCs w:val="2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592</w:t>
            </w:r>
          </w:p>
        </w:tc>
        <w:tc>
          <w:tcPr>
            <w:tcW w:w="5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w w:val="97"/>
              </w:rPr>
              <w:t>Net decrease in cash and cash equivalents......................................</w:t>
            </w:r>
          </w:p>
        </w:tc>
        <w:tc>
          <w:tcPr>
            <w:tcW w:w="80" w:type="dxa"/>
            <w:vAlign w:val="bottom"/>
          </w:tcPr>
          <w:p>
            <w:pPr>
              <w:spacing w:after="0"/>
              <w:rPr>
                <w:sz w:val="24"/>
                <w:szCs w:val="24"/>
                <w:color w:val="auto"/>
              </w:rPr>
            </w:pPr>
          </w:p>
        </w:tc>
        <w:tc>
          <w:tcPr>
            <w:tcW w:w="2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(62,729)</w:t>
            </w:r>
          </w:p>
        </w:tc>
        <w:tc>
          <w:tcPr>
            <w:tcW w:w="5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(12,830)</w:t>
            </w:r>
          </w:p>
        </w:tc>
      </w:tr>
      <w:tr>
        <w:trPr>
          <w:trHeight w:val="170"/>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as of the beginning of the period....................</w:t>
            </w:r>
          </w:p>
        </w:tc>
        <w:tc>
          <w:tcPr>
            <w:tcW w:w="8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62,816</w:t>
            </w:r>
          </w:p>
        </w:tc>
        <w:tc>
          <w:tcPr>
            <w:tcW w:w="560" w:type="dxa"/>
            <w:vAlign w:val="bottom"/>
          </w:tcPr>
          <w:p>
            <w:pPr>
              <w:spacing w:after="0"/>
              <w:rPr>
                <w:sz w:val="14"/>
                <w:szCs w:val="14"/>
                <w:color w:val="auto"/>
              </w:rPr>
            </w:pP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12,876</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as of the end of the period..........................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6960" w:type="dxa"/>
            <w:vAlign w:val="bottom"/>
          </w:tcPr>
          <w:p>
            <w:pPr>
              <w:spacing w:after="0"/>
              <w:rPr>
                <w:sz w:val="14"/>
                <w:szCs w:val="14"/>
                <w:color w:val="auto"/>
              </w:rPr>
            </w:pPr>
          </w:p>
        </w:tc>
        <w:tc>
          <w:tcPr>
            <w:tcW w:w="21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2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500" w:top="452" w:right="219" w:bottom="1440" w:gutter="0" w:footer="0" w:header="0"/>
        </w:sectPr>
      </w:pPr>
    </w:p>
    <w:bookmarkStart w:id="6" w:name="page7"/>
    <w:bookmarkEnd w:id="6"/>
    <w:p>
      <w:pPr>
        <w:jc w:val="center"/>
        <w:ind w:right="3179"/>
        <w:spacing w:after="0"/>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JANUARY 31, 2003</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2003 cannot be annualized to determine the expected results for the fiscal year ending October 31, 2003. Certain amounts from prior period's financial statements have been reclassified to conform to this period's presentation.</w:t>
      </w:r>
    </w:p>
    <w:p>
      <w:pPr>
        <w:spacing w:after="0" w:line="16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fiscal year ended October 31, 2002. The policies described in that report are used for preparing quarterly reports.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preparing the consolidated financial statements in conformity with accounting principles generally accepted in the United States of America, management must make decisions which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were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760" w:type="dxa"/>
            <w:vAlign w:val="bottom"/>
          </w:tcPr>
          <w:p>
            <w:pPr>
              <w:jc w:val="right"/>
              <w:ind w:right="2747"/>
              <w:spacing w:after="0"/>
              <w:rPr>
                <w:sz w:val="20"/>
                <w:szCs w:val="20"/>
                <w:color w:val="auto"/>
              </w:rPr>
            </w:pPr>
            <w:r>
              <w:rPr>
                <w:rFonts w:ascii="Courier New" w:cs="Courier New" w:eastAsia="Courier New" w:hAnsi="Courier New"/>
                <w:sz w:val="15"/>
                <w:szCs w:val="15"/>
                <w:color w:val="auto"/>
                <w:w w:val="96"/>
              </w:rPr>
              <w:t>(Dollars in thousands)</w:t>
            </w:r>
          </w:p>
        </w:tc>
        <w:tc>
          <w:tcPr>
            <w:tcW w:w="1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January 31,</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February 1,</w:t>
            </w:r>
          </w:p>
        </w:tc>
        <w:tc>
          <w:tcPr>
            <w:tcW w:w="44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October 31,</w:t>
            </w:r>
          </w:p>
        </w:tc>
      </w:tr>
      <w:tr>
        <w:trPr>
          <w:trHeight w:val="170"/>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9"/>
              </w:rPr>
              <w:t>Raw materials and work in process....................</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74,834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69,335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68,296</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9"/>
              </w:rPr>
              <w:t>Finished goods and service parts.....................</w:t>
            </w:r>
          </w:p>
        </w:tc>
        <w:tc>
          <w:tcPr>
            <w:tcW w:w="1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233,973</w:t>
            </w:r>
          </w:p>
        </w:tc>
        <w:tc>
          <w:tcPr>
            <w:tcW w:w="4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250,678</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198,860</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308,807</w:t>
            </w:r>
          </w:p>
        </w:tc>
        <w:tc>
          <w:tcPr>
            <w:tcW w:w="4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320,013</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267,156</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9"/>
              </w:rPr>
              <w:t>Less: LIFO...........................................</w:t>
            </w:r>
          </w:p>
        </w:tc>
        <w:tc>
          <w:tcPr>
            <w:tcW w:w="1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26,903</w:t>
            </w:r>
          </w:p>
        </w:tc>
        <w:tc>
          <w:tcPr>
            <w:tcW w:w="4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29,264</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26,903</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reserves.......................................</w:t>
            </w:r>
          </w:p>
        </w:tc>
        <w:tc>
          <w:tcPr>
            <w:tcW w:w="1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14,528</w:t>
            </w:r>
          </w:p>
        </w:tc>
        <w:tc>
          <w:tcPr>
            <w:tcW w:w="4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16,225</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15,886</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267,376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274,524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224,367</w:t>
            </w:r>
          </w:p>
        </w:tc>
      </w:tr>
      <w:tr>
        <w:trPr>
          <w:trHeight w:val="170"/>
        </w:trPr>
        <w:tc>
          <w:tcPr>
            <w:tcW w:w="47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47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Restructuring and Other Expense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fiscal 2002, the company announced plans to close its Riverside, California manufacturing operations and its Evansville, Indiana and Madera, California manufacturing facilities. Approximately 550 job positions and related staff reductions will be lost in connection with closing these operations. As of January 31, 2003, of the 550 job position reductions, 441 have been eliminated.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181"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following is an analysis of the company's restructuring and other expense reserve accounts: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Severance</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5"/>
              </w:rPr>
              <w:t>&amp; Benefits</w:t>
            </w:r>
          </w:p>
        </w:tc>
        <w:tc>
          <w:tcPr>
            <w:tcW w:w="5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Balance as of October 31, 2002..............................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1,865</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2,737</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Utilization.................................................</w:t>
            </w:r>
          </w:p>
        </w:tc>
        <w:tc>
          <w:tcPr>
            <w:tcW w:w="8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1,331</w:t>
            </w:r>
          </w:p>
        </w:tc>
        <w:tc>
          <w:tcPr>
            <w:tcW w:w="58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1,356</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Balance as of January 31, 2003..............................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1,381</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expects a majority of the remaining accruals to be utilized during fiscal 2003.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Comprehensive income (loss) and the components of other comprehensive income (loss) for the three months ended were as follows:</w:t>
      </w:r>
    </w:p>
    <w:p>
      <w:pPr>
        <w:spacing w:after="0" w:line="34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January 31,</w:t>
            </w:r>
          </w:p>
        </w:tc>
        <w:tc>
          <w:tcPr>
            <w:tcW w:w="4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February 1,</w:t>
            </w:r>
          </w:p>
        </w:tc>
      </w:tr>
      <w:tr>
        <w:trPr>
          <w:trHeight w:val="170"/>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7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7"/>
              </w:rPr>
              <w:t>Net earnings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6,981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(29,735)</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Cumulative translation adjustments.................</w:t>
            </w:r>
          </w:p>
        </w:tc>
        <w:tc>
          <w:tcPr>
            <w:tcW w:w="8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592</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Unrealized loss on derivative instruments..........</w:t>
            </w:r>
          </w:p>
        </w:tc>
        <w:tc>
          <w:tcPr>
            <w:tcW w:w="8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(1,202)</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0"/>
        </w:trPr>
        <w:tc>
          <w:tcPr>
            <w:tcW w:w="47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w w:val="97"/>
              </w:rPr>
              <w:t>Comprehensive income (loss)...........................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(30,013)</w:t>
            </w:r>
          </w:p>
        </w:tc>
      </w:tr>
      <w:tr>
        <w:trPr>
          <w:trHeight w:val="170"/>
        </w:trPr>
        <w:tc>
          <w:tcPr>
            <w:tcW w:w="476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Data</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Reconciliations of basic and dilutive weighted average shares of common stock outstanding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(Shares in thousands)</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January 31,</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February 1,</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2003</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stock outstanding....................................</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12,440</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12,470</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Assumed issuance of contingent shares ......................</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2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and assumed issuance of contingent shares............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12,461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12,500</w:t>
            </w:r>
          </w:p>
        </w:tc>
      </w:tr>
      <w:tr>
        <w:trPr>
          <w:trHeight w:val="170"/>
        </w:trPr>
        <w:tc>
          <w:tcPr>
            <w:tcW w:w="52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Dilutive</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and assumed issuance of contingent shares............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12,461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12,500</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7"/>
              </w:rPr>
              <w:t>Assumed conversion of stock options.........................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461</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 common stock,</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rPr>
              <w:t>assumed issuance of contingent shares, and</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280" w:type="dxa"/>
            <w:vAlign w:val="bottom"/>
          </w:tcPr>
          <w:p>
            <w:pPr>
              <w:ind w:left="600"/>
              <w:spacing w:after="0"/>
              <w:rPr>
                <w:sz w:val="20"/>
                <w:szCs w:val="20"/>
                <w:color w:val="auto"/>
              </w:rPr>
            </w:pPr>
            <w:r>
              <w:rPr>
                <w:rFonts w:ascii="Courier New" w:cs="Courier New" w:eastAsia="Courier New" w:hAnsi="Courier New"/>
                <w:sz w:val="15"/>
                <w:szCs w:val="15"/>
                <w:color w:val="auto"/>
                <w:w w:val="97"/>
              </w:rPr>
              <w:t>assumed conversion of stock options..................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12,922</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12,500</w:t>
            </w:r>
          </w:p>
        </w:tc>
      </w:tr>
      <w:tr>
        <w:trPr>
          <w:trHeight w:val="170"/>
        </w:trPr>
        <w:tc>
          <w:tcPr>
            <w:tcW w:w="52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848"/>
        </w:trPr>
        <w:tc>
          <w:tcPr>
            <w:tcW w:w="528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19"/>
          </w:cols>
          <w:pgMar w:left="240" w:top="452" w:right="1440" w:bottom="904"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Segment Data</w:t>
      </w:r>
    </w:p>
    <w:p>
      <w:pPr>
        <w:spacing w:after="0" w:line="175"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76" w:lineRule="exact"/>
        <w:rPr>
          <w:sz w:val="20"/>
          <w:szCs w:val="20"/>
          <w:color w:val="auto"/>
        </w:rPr>
      </w:pPr>
    </w:p>
    <w:p>
      <w:pPr>
        <w:ind w:right="4220"/>
        <w:spacing w:after="0" w:line="235" w:lineRule="auto"/>
        <w:rPr>
          <w:sz w:val="20"/>
          <w:szCs w:val="20"/>
          <w:color w:val="auto"/>
        </w:rPr>
      </w:pPr>
      <w:r>
        <w:rPr>
          <w:rFonts w:ascii="Courier New" w:cs="Courier New" w:eastAsia="Courier New" w:hAnsi="Courier New"/>
          <w:sz w:val="15"/>
          <w:szCs w:val="15"/>
          <w:color w:val="auto"/>
        </w:rPr>
        <w:t>The following table shows the summarized financial information concerning the company's reportable segments: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Three months ended January 31, 2003</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Professional(1)</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Residential</w:t>
            </w:r>
          </w:p>
        </w:tc>
        <w:tc>
          <w:tcPr>
            <w:tcW w:w="16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Distribution</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$ 193,444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94,665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18,600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(10,747)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$ 295,962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Intersegment gross sales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12,044</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843</w:t>
            </w:r>
          </w:p>
        </w:tc>
        <w:tc>
          <w:tcPr>
            <w:tcW w:w="3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(12,887)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27,756</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8,661</w:t>
            </w:r>
          </w:p>
        </w:tc>
        <w:tc>
          <w:tcPr>
            <w:tcW w:w="3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(3,358)</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(22,639)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10,420</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449,869</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193,068</w:t>
            </w:r>
          </w:p>
        </w:tc>
        <w:tc>
          <w:tcPr>
            <w:tcW w:w="3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36,158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209,006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888,101</w:t>
            </w: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Three months ended February 1, 2002</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$ 175,765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92,216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24,229</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(14,295)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$ 277,915</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Intersegment gross sales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15,667</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1,250</w:t>
            </w:r>
          </w:p>
        </w:tc>
        <w:tc>
          <w:tcPr>
            <w:tcW w:w="3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(16,917)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and accounting change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9,080</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7,706</w:t>
            </w:r>
          </w:p>
        </w:tc>
        <w:tc>
          <w:tcPr>
            <w:tcW w:w="3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(22,343)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(7,644)</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448,704</w:t>
            </w:r>
          </w:p>
        </w:tc>
        <w:tc>
          <w:tcPr>
            <w:tcW w:w="2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170,099</w:t>
            </w:r>
          </w:p>
        </w:tc>
        <w:tc>
          <w:tcPr>
            <w:tcW w:w="3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53,978</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204,766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877,547</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restructuring and other expense of $10.0 million in fiscal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presents the details of the other segment earnings (loss)</w:t>
      </w:r>
    </w:p>
    <w:p>
      <w:pPr>
        <w:spacing w:after="0"/>
        <w:rPr>
          <w:sz w:val="20"/>
          <w:szCs w:val="20"/>
          <w:color w:val="auto"/>
        </w:rPr>
      </w:pPr>
      <w:r>
        <w:rPr>
          <w:rFonts w:ascii="Courier New" w:cs="Courier New" w:eastAsia="Courier New" w:hAnsi="Courier New"/>
          <w:sz w:val="15"/>
          <w:szCs w:val="15"/>
          <w:color w:val="auto"/>
        </w:rPr>
        <w:t>before income taxes: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36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January 31,</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February 1,</w:t>
            </w:r>
          </w:p>
        </w:tc>
      </w:tr>
      <w:tr>
        <w:trPr>
          <w:trHeight w:val="170"/>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2003</w:t>
            </w:r>
          </w:p>
        </w:tc>
        <w:tc>
          <w:tcPr>
            <w:tcW w:w="6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360" w:type="dxa"/>
            <w:vAlign w:val="bottom"/>
          </w:tcPr>
          <w:p>
            <w:pPr>
              <w:spacing w:after="0"/>
              <w:rPr>
                <w:sz w:val="14"/>
                <w:szCs w:val="14"/>
                <w:color w:val="auto"/>
              </w:rPr>
            </w:pP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5"/>
              </w:rPr>
              <w:t>Corporate expenses............................................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(23,757)</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(21,249)</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Finance charge revenue........................................</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848</w:t>
            </w:r>
          </w:p>
        </w:tc>
        <w:tc>
          <w:tcPr>
            <w:tcW w:w="6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1,068</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Elimination of corporate financing expense....................</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2,332</w:t>
            </w:r>
          </w:p>
        </w:tc>
        <w:tc>
          <w:tcPr>
            <w:tcW w:w="6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2,615</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 net.........................................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(4,092)</w:t>
            </w:r>
          </w:p>
        </w:tc>
        <w:tc>
          <w:tcPr>
            <w:tcW w:w="6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(5,320)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2,030</w:t>
            </w:r>
          </w:p>
        </w:tc>
        <w:tc>
          <w:tcPr>
            <w:tcW w:w="6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5360" w:type="dxa"/>
            <w:vAlign w:val="bottom"/>
          </w:tcPr>
          <w:p>
            <w:pPr>
              <w:spacing w:after="0"/>
              <w:rPr>
                <w:sz w:val="14"/>
                <w:szCs w:val="14"/>
                <w:color w:val="auto"/>
              </w:rPr>
            </w:pP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5"/>
              </w:rPr>
              <w:t>Total.........................................................</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(22,639)</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(22,343)</w:t>
            </w:r>
          </w:p>
        </w:tc>
      </w:tr>
      <w:tr>
        <w:trPr>
          <w:trHeight w:val="170"/>
        </w:trPr>
        <w:tc>
          <w:tcPr>
            <w:tcW w:w="5360" w:type="dxa"/>
            <w:vAlign w:val="bottom"/>
          </w:tcPr>
          <w:p>
            <w:pPr>
              <w:spacing w:after="0"/>
              <w:rPr>
                <w:sz w:val="14"/>
                <w:szCs w:val="14"/>
                <w:color w:val="auto"/>
              </w:rPr>
            </w:pP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right="4400"/>
        <w:spacing w:after="0" w:line="235" w:lineRule="auto"/>
        <w:rPr>
          <w:sz w:val="20"/>
          <w:szCs w:val="20"/>
          <w:color w:val="auto"/>
        </w:rPr>
      </w:pPr>
      <w:r>
        <w:rPr>
          <w:rFonts w:ascii="Courier New" w:cs="Courier New" w:eastAsia="Courier New" w:hAnsi="Courier New"/>
          <w:sz w:val="15"/>
          <w:szCs w:val="15"/>
          <w:color w:val="auto"/>
        </w:rPr>
        <w:t>The changes in the net carrying amount of goodwill for the first quarter of fiscal 2003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5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Professional</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Residential</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Segment</w:t>
            </w:r>
          </w:p>
        </w:tc>
        <w:tc>
          <w:tcPr>
            <w:tcW w:w="440" w:type="dxa"/>
            <w:vAlign w:val="bottom"/>
          </w:tcPr>
          <w:p>
            <w:pPr>
              <w:spacing w:after="0"/>
              <w:rPr>
                <w:sz w:val="14"/>
                <w:szCs w:val="1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Segment</w:t>
            </w:r>
          </w:p>
        </w:tc>
        <w:tc>
          <w:tcPr>
            <w:tcW w:w="5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740" w:type="dxa"/>
            <w:vAlign w:val="bottom"/>
          </w:tcPr>
          <w:p>
            <w:pPr>
              <w:spacing w:after="0"/>
              <w:rPr>
                <w:sz w:val="14"/>
                <w:szCs w:val="14"/>
                <w:color w:val="auto"/>
              </w:rPr>
            </w:pPr>
          </w:p>
        </w:tc>
        <w:tc>
          <w:tcPr>
            <w:tcW w:w="3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40" w:type="dxa"/>
            <w:vAlign w:val="bottom"/>
          </w:tcPr>
          <w:p>
            <w:pPr>
              <w:ind w:left="80"/>
              <w:spacing w:after="0"/>
              <w:rPr>
                <w:sz w:val="20"/>
                <w:szCs w:val="20"/>
                <w:color w:val="auto"/>
              </w:rPr>
            </w:pPr>
            <w:r>
              <w:rPr>
                <w:rFonts w:ascii="Courier New" w:cs="Courier New" w:eastAsia="Courier New" w:hAnsi="Courier New"/>
                <w:sz w:val="15"/>
                <w:szCs w:val="15"/>
                <w:color w:val="auto"/>
                <w:w w:val="97"/>
              </w:rPr>
              <w:t>Balance as of October 31, 2002</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68,942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8,913</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77,855</w:t>
            </w:r>
          </w:p>
        </w:tc>
      </w:tr>
      <w:tr>
        <w:trPr>
          <w:trHeight w:val="170"/>
        </w:trPr>
        <w:tc>
          <w:tcPr>
            <w:tcW w:w="5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w:t>
            </w: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2740" w:type="dxa"/>
            <w:vAlign w:val="bottom"/>
          </w:tcPr>
          <w:p>
            <w:pPr>
              <w:spacing w:after="0"/>
              <w:rPr>
                <w:sz w:val="14"/>
                <w:szCs w:val="14"/>
                <w:color w:val="auto"/>
              </w:rPr>
            </w:pPr>
          </w:p>
        </w:tc>
        <w:tc>
          <w:tcPr>
            <w:tcW w:w="3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40" w:type="dxa"/>
            <w:vAlign w:val="bottom"/>
          </w:tcPr>
          <w:p>
            <w:pPr>
              <w:ind w:left="80"/>
              <w:spacing w:after="0"/>
              <w:rPr>
                <w:sz w:val="20"/>
                <w:szCs w:val="20"/>
                <w:color w:val="auto"/>
              </w:rPr>
            </w:pPr>
            <w:r>
              <w:rPr>
                <w:rFonts w:ascii="Courier New" w:cs="Courier New" w:eastAsia="Courier New" w:hAnsi="Courier New"/>
                <w:sz w:val="15"/>
                <w:szCs w:val="15"/>
                <w:color w:val="auto"/>
                <w:w w:val="97"/>
              </w:rPr>
              <w:t>Balance as of January 31, 2003</w:t>
            </w: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68,952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8,939</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77,891</w:t>
            </w:r>
          </w:p>
        </w:tc>
      </w:tr>
      <w:tr>
        <w:trPr>
          <w:trHeight w:val="170"/>
        </w:trPr>
        <w:tc>
          <w:tcPr>
            <w:tcW w:w="2740" w:type="dxa"/>
            <w:vAlign w:val="bottom"/>
          </w:tcPr>
          <w:p>
            <w:pPr>
              <w:spacing w:after="0"/>
              <w:rPr>
                <w:sz w:val="14"/>
                <w:szCs w:val="14"/>
                <w:color w:val="auto"/>
              </w:rPr>
            </w:pPr>
          </w:p>
        </w:tc>
        <w:tc>
          <w:tcPr>
            <w:tcW w:w="35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2740" w:type="dxa"/>
            <w:vAlign w:val="bottom"/>
          </w:tcPr>
          <w:p>
            <w:pPr>
              <w:spacing w:after="0"/>
              <w:rPr>
                <w:sz w:val="24"/>
                <w:szCs w:val="24"/>
                <w:color w:val="auto"/>
              </w:rPr>
            </w:pPr>
          </w:p>
        </w:tc>
        <w:tc>
          <w:tcPr>
            <w:tcW w:w="228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000"/>
          </w:cols>
          <w:pgMar w:left="240" w:top="452" w:right="6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Other Intangible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other amortizable intangible assets were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2"/>
          </w:tcPr>
          <w:p>
            <w:pPr>
              <w:jc w:val="right"/>
              <w:ind w:right="867"/>
              <w:spacing w:after="0"/>
              <w:rPr>
                <w:sz w:val="20"/>
                <w:szCs w:val="20"/>
                <w:color w:val="auto"/>
              </w:rPr>
            </w:pPr>
            <w:r>
              <w:rPr>
                <w:rFonts w:ascii="Courier New" w:cs="Courier New" w:eastAsia="Courier New" w:hAnsi="Courier New"/>
                <w:sz w:val="15"/>
                <w:szCs w:val="15"/>
                <w:color w:val="auto"/>
              </w:rPr>
              <w:t>January 31, 2003</w:t>
            </w:r>
          </w:p>
        </w:tc>
        <w:tc>
          <w:tcPr>
            <w:tcW w:w="33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October 31, 2002</w:t>
            </w:r>
          </w:p>
        </w:tc>
      </w:tr>
      <w:tr>
        <w:trPr>
          <w:trHeight w:val="170"/>
        </w:trPr>
        <w:tc>
          <w:tcPr>
            <w:tcW w:w="45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64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Gross Carrying</w:t>
            </w: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rPr>
              <w:t>Accumulated</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Gross Carrying</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Amount</w:t>
            </w: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rPr>
              <w:t>Amortization</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Amount</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w w:val="96"/>
              </w:rPr>
              <w:t>Amortization</w:t>
            </w:r>
          </w:p>
        </w:tc>
      </w:tr>
      <w:tr>
        <w:trPr>
          <w:trHeight w:val="170"/>
        </w:trPr>
        <w:tc>
          <w:tcPr>
            <w:tcW w:w="45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5"/>
              </w:rPr>
              <w:t>Patents..............................................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6,104</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$(4,688)</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$6,104</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$(4,609)</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Non-compete agreements...............................</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(447)</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800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800</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(800)</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800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(785)</w:t>
            </w:r>
          </w:p>
        </w:tc>
      </w:tr>
      <w:tr>
        <w:trPr>
          <w:trHeight w:val="170"/>
        </w:trPr>
        <w:tc>
          <w:tcPr>
            <w:tcW w:w="4580" w:type="dxa"/>
            <w:vAlign w:val="bottom"/>
          </w:tcPr>
          <w:p>
            <w:pPr>
              <w:spacing w:after="0"/>
              <w:rPr>
                <w:sz w:val="14"/>
                <w:szCs w:val="14"/>
                <w:color w:val="auto"/>
              </w:rPr>
            </w:pPr>
          </w:p>
        </w:tc>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5"/>
              </w:rPr>
              <w:t>Total................................................</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7,704</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$(5,935)</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$7,704</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$(5,799)</w:t>
            </w:r>
          </w:p>
        </w:tc>
      </w:tr>
      <w:tr>
        <w:trPr>
          <w:trHeight w:val="170"/>
        </w:trPr>
        <w:tc>
          <w:tcPr>
            <w:tcW w:w="4580" w:type="dxa"/>
            <w:vAlign w:val="bottom"/>
          </w:tcPr>
          <w:p>
            <w:pPr>
              <w:spacing w:after="0"/>
              <w:rPr>
                <w:sz w:val="14"/>
                <w:szCs w:val="14"/>
                <w:color w:val="auto"/>
              </w:rPr>
            </w:pPr>
          </w:p>
        </w:tc>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5"/>
              </w:rPr>
              <w:t>Total other intangible assets, net...................</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1,769</w:t>
            </w:r>
          </w:p>
        </w:tc>
        <w:tc>
          <w:tcPr>
            <w:tcW w:w="1640" w:type="dxa"/>
            <w:vAlign w:val="bottom"/>
          </w:tcPr>
          <w:p>
            <w:pPr>
              <w:spacing w:after="0"/>
              <w:rPr>
                <w:sz w:val="24"/>
                <w:szCs w:val="24"/>
                <w:color w:val="auto"/>
              </w:rPr>
            </w:pP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$1,905</w:t>
            </w:r>
          </w:p>
        </w:tc>
        <w:tc>
          <w:tcPr>
            <w:tcW w:w="144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bl>
    <w:p>
      <w:pPr>
        <w:spacing w:after="0" w:line="344" w:lineRule="exact"/>
        <w:rPr>
          <w:sz w:val="20"/>
          <w:szCs w:val="20"/>
          <w:color w:val="auto"/>
        </w:rPr>
      </w:pPr>
    </w:p>
    <w:p>
      <w:pPr>
        <w:ind w:right="4320"/>
        <w:spacing w:after="0" w:line="237" w:lineRule="auto"/>
        <w:rPr>
          <w:sz w:val="20"/>
          <w:szCs w:val="20"/>
          <w:color w:val="auto"/>
        </w:rPr>
      </w:pPr>
      <w:r>
        <w:rPr>
          <w:rFonts w:ascii="Courier New" w:cs="Courier New" w:eastAsia="Courier New" w:hAnsi="Courier New"/>
          <w:sz w:val="15"/>
          <w:szCs w:val="15"/>
          <w:color w:val="auto"/>
        </w:rPr>
        <w:t>Amortization expense for intangible assets during the first quarter of fiscal 2003 was $136,000. Estimated amortization expense for the remainder of fiscal 2003 and succeeding fiscal years is as follows: 2003 (remainder), $343,000; 2004, $357,000; 2005, $337,000; 2006, $337,000; 2007, $182,000; 2008, $131,000 and after 2008, $82,000.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Guarantees</w:t>
      </w:r>
    </w:p>
    <w:p>
      <w:pPr>
        <w:spacing w:after="0" w:line="175" w:lineRule="exact"/>
        <w:rPr>
          <w:sz w:val="20"/>
          <w:szCs w:val="20"/>
          <w:color w:val="auto"/>
        </w:rPr>
      </w:pPr>
    </w:p>
    <w:p>
      <w:pPr>
        <w:ind w:right="4140"/>
        <w:spacing w:after="0" w:line="238" w:lineRule="auto"/>
        <w:rPr>
          <w:sz w:val="20"/>
          <w:szCs w:val="20"/>
          <w:color w:val="auto"/>
        </w:rPr>
      </w:pPr>
      <w:r>
        <w:rPr>
          <w:rFonts w:ascii="Courier New" w:cs="Courier New" w:eastAsia="Courier New" w:hAnsi="Courier New"/>
          <w:sz w:val="15"/>
          <w:szCs w:val="15"/>
          <w:color w:val="auto"/>
        </w:rPr>
        <w:t>The company's products are warranted to the end-user to ensure end-user confidence in design, workmanship, and overall quality. Warranty lengths vary by product line, ranging from a period of six months to seven years, and cover parts, labor, and other expenses for non-maintenance repairs, provided operator abuse, improper use, or negligence did not necessitate the repair. An authorized distributor or dealer must perform warranty work and submit claims for warranty reimbursement, which the company pays as long as the repairs meet prescribed standards. Warranty expense is accrued at the time of sale based on historical claims experience by individual product lines. Special warranty reserves are also accrued for special rework campaigns for known major product modifications. The company also offers additional warranty coverage on select products when the factory warranty period expires.</w:t>
      </w:r>
    </w:p>
    <w:p>
      <w:pPr>
        <w:spacing w:after="0" w:line="182" w:lineRule="exact"/>
        <w:rPr>
          <w:sz w:val="20"/>
          <w:szCs w:val="20"/>
          <w:color w:val="auto"/>
        </w:rPr>
      </w:pPr>
    </w:p>
    <w:p>
      <w:pPr>
        <w:ind w:right="4760"/>
        <w:spacing w:after="0" w:line="235" w:lineRule="auto"/>
        <w:rPr>
          <w:sz w:val="20"/>
          <w:szCs w:val="20"/>
          <w:color w:val="auto"/>
        </w:rPr>
      </w:pPr>
      <w:r>
        <w:rPr>
          <w:rFonts w:ascii="Courier New" w:cs="Courier New" w:eastAsia="Courier New" w:hAnsi="Courier New"/>
          <w:sz w:val="15"/>
          <w:szCs w:val="15"/>
          <w:color w:val="auto"/>
        </w:rPr>
        <w:t>Warranty provisions, claims, and changes in estimates for the three-month periods ended were as follows:</w:t>
      </w:r>
    </w:p>
    <w:p>
      <w:pPr>
        <w:spacing w:after="0" w:line="200" w:lineRule="exact"/>
        <w:rPr>
          <w:sz w:val="20"/>
          <w:szCs w:val="20"/>
          <w:color w:val="auto"/>
        </w:rPr>
      </w:pPr>
    </w:p>
    <w:p>
      <w:pPr>
        <w:spacing w:after="0" w:line="315" w:lineRule="exact"/>
        <w:rPr>
          <w:sz w:val="20"/>
          <w:szCs w:val="20"/>
          <w:color w:val="auto"/>
        </w:rPr>
      </w:pPr>
    </w:p>
    <w:p>
      <w:pPr>
        <w:ind w:right="700"/>
        <w:spacing w:after="0" w:line="235" w:lineRule="auto"/>
        <w:rPr>
          <w:sz w:val="20"/>
          <w:szCs w:val="20"/>
          <w:color w:val="auto"/>
        </w:rPr>
      </w:pPr>
      <w:r>
        <w:rPr>
          <w:rFonts w:ascii="Courier New" w:cs="Courier New" w:eastAsia="Courier New" w:hAnsi="Courier New"/>
          <w:sz w:val="15"/>
          <w:szCs w:val="15"/>
          <w:color w:val="auto"/>
        </w:rPr>
        <w:t>(Dollars in Thousands) Beginning Warranty Warranty Changes in Ending Three Months Ended Balance Provisions Claims Estimates Balance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January 31,</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$53,590</w:t>
            </w:r>
          </w:p>
        </w:tc>
        <w:tc>
          <w:tcPr>
            <w:tcW w:w="2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$7,784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(9,243)</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$52,942</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February 1,</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$57,882</w:t>
            </w:r>
          </w:p>
        </w:tc>
        <w:tc>
          <w:tcPr>
            <w:tcW w:w="22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$7,097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(11,173)</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$54,058</w:t>
            </w:r>
          </w:p>
        </w:tc>
      </w:tr>
      <w:tr>
        <w:trPr>
          <w:trHeight w:val="848"/>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80"/>
          </w:cols>
          <w:pgMar w:left="240" w:top="452" w:right="47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Derivative Instruments and Hedging Activities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uses derivative instruments to assist in the management of exposure to currency exchange rates. Toro uses derivatives only in an attempt to limit underlying exposure to currency fluctuations, and not for trading purposes. The company documents all relations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quarter ended January 31, 2003, the amount of losses reclassified to earnings for such cash flow hedges was $1.0 million. As of January 31, 2003, the amount of such contracts outstanding was $66.1 million. The unrecognized after-tax loss portion of the fair value of the contracts recorded in accumulated comprehensive loss as of January 31, 2003 was $1.6 million.</w:t>
      </w:r>
    </w:p>
    <w:p>
      <w:pPr>
        <w:spacing w:after="0" w:line="18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company also enters into other foreign currency exchange contracts. These contracts are intended to hedge intercompany financing transactions and other activities that are not subject to the accounting criteria of Statement of Financial Accounting Standard (SFAS) No. 133; therefore, changes in fair value of these instruments are recorded in other income, net.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SFAS No. 143, "Accounting for Asset Retirement Obligations" addresses the diverse accounting practices for obligations associated with the retirement of tangible long-lived assets and the associated asset retirement costs. The company adopted this standard on November 1, 2002, which did not have a material impact on the company's financial statements.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SFAS No. 144, "Accounting for the Impairment or Disposal of Long-Lived Assets" establishes a single accounting model for the impairment or disposal of long-lived assets. The company adopted this standard on November 1, 2002, which did not have a material impact on the company's financial statements.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SFAS No. 146, "Accounting for Costs Associated with Exit or Disposal Activities" requires that a liability for a cost associated with an exit or disposal activity be recognized when the liability is incurred. This statement also establishes that fair value is the objective for initial measurement of the liability. The company will apply the provisions of SFAS No. 146 for exit or disposal activities initiated after December 31, 2002, as required.</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This interpretation elaborates disclosure requirements for obligations by a guarantor under certain guarantees. This interpretation also requires a guarantor to recognize, at the inception of a guarantee, a liability for the fair value of an obligation undertaken in issuing a guarantee. The company will apply the initial recognition and measurement provisions of Interpretation No. 45 to guarantees issued or modified after December 31, 2002, as required. The company has adopted the disclosure requirements in this Interpretation during the first quarter of fiscal 2003, as required.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2" w:right="1440" w:bottom="1440" w:gutter="0" w:footer="0" w:header="0"/>
        </w:sectPr>
      </w:pPr>
    </w:p>
    <w:bookmarkStart w:id="11" w:name="page12"/>
    <w:bookmarkEnd w:id="11"/>
    <w:p>
      <w:pPr>
        <w:ind w:left="2390"/>
        <w:spacing w:after="0"/>
        <w:rPr>
          <w:sz w:val="20"/>
          <w:szCs w:val="20"/>
          <w:color w:val="auto"/>
        </w:rPr>
      </w:pPr>
      <w:r>
        <w:rPr>
          <w:rFonts w:ascii="Courier New" w:cs="Courier New" w:eastAsia="Courier New" w:hAnsi="Courier New"/>
          <w:sz w:val="15"/>
          <w:szCs w:val="15"/>
          <w:color w:val="auto"/>
        </w:rPr>
        <w:t>PART II. OTHER INFORMATION</w:t>
      </w:r>
    </w:p>
    <w:p>
      <w:pPr>
        <w:spacing w:after="0" w:line="33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450" w:hanging="450"/>
        <w:spacing w:after="0"/>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3(i) and 4(a)</w:t>
      </w:r>
      <w:r>
        <w:rPr>
          <w:rFonts w:ascii="Courier New" w:cs="Courier New" w:eastAsia="Courier New" w:hAnsi="Courier New"/>
          <w:sz w:val="14"/>
          <w:szCs w:val="14"/>
          <w:color w:val="auto"/>
        </w:rPr>
        <w:t>Restated Certificate of Incorporation of Registrant</w:t>
      </w:r>
    </w:p>
    <w:p>
      <w:pPr>
        <w:spacing w:after="0" w:line="5" w:lineRule="exact"/>
        <w:rPr>
          <w:sz w:val="20"/>
          <w:szCs w:val="20"/>
          <w:color w:val="auto"/>
        </w:rPr>
      </w:pPr>
    </w:p>
    <w:p>
      <w:pPr>
        <w:ind w:left="2290"/>
        <w:spacing w:after="0"/>
        <w:rPr>
          <w:sz w:val="20"/>
          <w:szCs w:val="20"/>
          <w:color w:val="auto"/>
        </w:rPr>
      </w:pPr>
      <w:r>
        <w:rPr>
          <w:rFonts w:ascii="Courier New" w:cs="Courier New" w:eastAsia="Courier New" w:hAnsi="Courier New"/>
          <w:sz w:val="14"/>
          <w:szCs w:val="14"/>
          <w:color w:val="auto"/>
        </w:rPr>
        <w:t>(incorporated by reference to Exhibit 3(i) and 4(a) to</w:t>
      </w:r>
    </w:p>
    <w:p>
      <w:pPr>
        <w:spacing w:after="0" w:line="11" w:lineRule="exact"/>
        <w:rPr>
          <w:sz w:val="20"/>
          <w:szCs w:val="20"/>
          <w:color w:val="auto"/>
        </w:rPr>
      </w:pPr>
    </w:p>
    <w:p>
      <w:pPr>
        <w:ind w:left="2290"/>
        <w:spacing w:after="0"/>
        <w:rPr>
          <w:sz w:val="20"/>
          <w:szCs w:val="20"/>
          <w:color w:val="auto"/>
        </w:rPr>
      </w:pPr>
      <w:r>
        <w:rPr>
          <w:rFonts w:ascii="Courier New" w:cs="Courier New" w:eastAsia="Courier New" w:hAnsi="Courier New"/>
          <w:sz w:val="14"/>
          <w:szCs w:val="14"/>
          <w:color w:val="auto"/>
        </w:rPr>
        <w:t>Registrant's Annual Report on Form 10-K for the fiscal</w:t>
      </w:r>
    </w:p>
    <w:p>
      <w:pPr>
        <w:spacing w:after="0" w:line="5"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year ended October 31, 2001).</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3(ii) and 4(b)</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Bylaws of Registrant (incorporated by reference to</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Exhibit 3(ii) and 4(d) to Registrant's Quarterly</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Report on Form 10-Q for the quarter ended August 3,</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2001).</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Specimen form of Common Stock certificate</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(incorporated by reference to Exhibit 4(c) to</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Registrant's Registration Statement on Form S-8,</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Registration No. 2-94417).</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Rights Agreement dated as of May 20, 1998, between</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Registrant and Wells Fargo Bank Minnesota, National</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Association relating to rights to purchase Series B</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Junior Participating Voting Preferred Stock, as</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amended (incorporated by reference to Registrant's</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Current Report on Form 8-K dated May 27, 1998,</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Commission File No. 1-8649).</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Indenture dated as of January 31, 1997, between</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Registrant and First National Trust Association, as</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w w:val="97"/>
              </w:rPr>
              <w:t>Trustee, relating to the Registrant's 7.125% Notes due</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June 15, 2007 and its 7.80% Debentures due June 15,</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2027 (incorporated by reference to Exhibit 4(a) to</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Registrant's Current Report on Form 8-K for June 24,</w:t>
            </w:r>
          </w:p>
        </w:tc>
      </w:tr>
      <w:tr>
        <w:trPr>
          <w:trHeight w:val="170"/>
        </w:trPr>
        <w:tc>
          <w:tcPr>
            <w:tcW w:w="1540" w:type="dxa"/>
            <w:vAlign w:val="bottom"/>
          </w:tcPr>
          <w:p>
            <w:pPr>
              <w:spacing w:after="0"/>
              <w:rPr>
                <w:sz w:val="14"/>
                <w:szCs w:val="14"/>
                <w:color w:val="auto"/>
              </w:rPr>
            </w:pP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rPr>
              <w:t>1997, Commission File No. 1-8649).</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w w:val="99"/>
              </w:rPr>
              <w:t>Section 906 Certification of Chief Executive Officer.</w:t>
            </w:r>
          </w:p>
        </w:tc>
      </w:tr>
      <w:tr>
        <w:trPr>
          <w:trHeight w:val="339"/>
        </w:trPr>
        <w:tc>
          <w:tcPr>
            <w:tcW w:w="154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5060" w:type="dxa"/>
            <w:vAlign w:val="bottom"/>
          </w:tcPr>
          <w:p>
            <w:pPr>
              <w:ind w:left="300"/>
              <w:spacing w:after="0"/>
              <w:rPr>
                <w:sz w:val="20"/>
                <w:szCs w:val="20"/>
                <w:color w:val="auto"/>
              </w:rPr>
            </w:pPr>
            <w:r>
              <w:rPr>
                <w:rFonts w:ascii="Courier New" w:cs="Courier New" w:eastAsia="Courier New" w:hAnsi="Courier New"/>
                <w:sz w:val="15"/>
                <w:szCs w:val="15"/>
                <w:color w:val="auto"/>
                <w:w w:val="99"/>
              </w:rPr>
              <w:t>Section 906 Certification of Chief Financial Officer.</w:t>
            </w:r>
          </w:p>
        </w:tc>
      </w:tr>
    </w:tbl>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2" w:name="page13"/>
    <w:bookmarkEnd w:id="12"/>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left="260" w:right="361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TORO COMPANY</w:t>
      </w:r>
    </w:p>
    <w:p>
      <w:pPr>
        <w:jc w:val="center"/>
        <w:ind w:right="317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452"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 2003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/s/ Stephen P. Wolfe</w:t>
      </w:r>
    </w:p>
    <w:p>
      <w:pPr>
        <w:ind w:left="7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Stephen P. Wolfe</w:t>
      </w:r>
    </w:p>
    <w:p>
      <w:pPr>
        <w:spacing w:after="0" w:line="238" w:lineRule="auto"/>
        <w:rPr>
          <w:sz w:val="20"/>
          <w:szCs w:val="20"/>
          <w:color w:val="auto"/>
        </w:rPr>
      </w:pPr>
      <w:r>
        <w:rPr>
          <w:rFonts w:ascii="Courier New" w:cs="Courier New" w:eastAsia="Courier New" w:hAnsi="Courier New"/>
          <w:sz w:val="15"/>
          <w:szCs w:val="15"/>
          <w:color w:val="auto"/>
        </w:rPr>
        <w:t>Vice President Finance,</w:t>
      </w:r>
    </w:p>
    <w:p>
      <w:pPr>
        <w:spacing w:after="0"/>
        <w:rPr>
          <w:sz w:val="20"/>
          <w:szCs w:val="20"/>
          <w:color w:val="auto"/>
        </w:rPr>
      </w:pPr>
      <w:r>
        <w:rPr>
          <w:rFonts w:ascii="Courier New" w:cs="Courier New" w:eastAsia="Courier New" w:hAnsi="Courier New"/>
          <w:sz w:val="15"/>
          <w:szCs w:val="15"/>
          <w:color w:val="auto"/>
        </w:rPr>
        <w:t>Treasurer and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(duly authorized officer and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3">
            <w:col w:w="440" w:space="160"/>
            <w:col w:w="1060" w:space="720"/>
            <w:col w:w="7839"/>
          </w:cols>
          <w:pgMar w:left="240" w:top="452" w:right="1440" w:bottom="1440" w:gutter="0" w:footer="0" w:header="0"/>
          <w:type w:val="continuous"/>
        </w:sect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2" w:right="1440" w:bottom="1440" w:gutter="0" w:footer="0" w:header="0"/>
          <w:type w:val="continuous"/>
        </w:sectPr>
      </w:pPr>
    </w:p>
    <w:bookmarkStart w:id="13" w:name="page14"/>
    <w:bookmarkEnd w:id="13"/>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Kendrick B. Melrose, certify that:</w:t>
      </w:r>
    </w:p>
    <w:p>
      <w:pPr>
        <w:spacing w:after="0" w:line="169" w:lineRule="exact"/>
        <w:rPr>
          <w:sz w:val="20"/>
          <w:szCs w:val="20"/>
          <w:color w:val="auto"/>
        </w:rPr>
      </w:pPr>
    </w:p>
    <w:p>
      <w:pPr>
        <w:ind w:left="270" w:hanging="270"/>
        <w:spacing w:after="0"/>
        <w:tabs>
          <w:tab w:leader="none" w:pos="2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10-Q/A of The Toro Company;</w:t>
      </w:r>
    </w:p>
    <w:p>
      <w:pPr>
        <w:spacing w:after="0" w:line="174" w:lineRule="exact"/>
        <w:rPr>
          <w:rFonts w:ascii="Courier New" w:cs="Courier New" w:eastAsia="Courier New" w:hAnsi="Courier New"/>
          <w:sz w:val="15"/>
          <w:szCs w:val="15"/>
          <w:color w:val="auto"/>
        </w:rPr>
      </w:pPr>
    </w:p>
    <w:p>
      <w:pPr>
        <w:ind w:left="10" w:right="3259" w:hanging="10"/>
        <w:spacing w:after="0" w:line="237" w:lineRule="auto"/>
        <w:tabs>
          <w:tab w:leader="none" w:pos="2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8" w:lineRule="exact"/>
        <w:rPr>
          <w:rFonts w:ascii="Courier New" w:cs="Courier New" w:eastAsia="Courier New" w:hAnsi="Courier New"/>
          <w:sz w:val="15"/>
          <w:szCs w:val="15"/>
          <w:color w:val="auto"/>
        </w:rPr>
      </w:pPr>
    </w:p>
    <w:p>
      <w:pPr>
        <w:ind w:left="10" w:right="3439" w:hanging="10"/>
        <w:spacing w:after="0" w:line="259" w:lineRule="auto"/>
        <w:tabs>
          <w:tab w:leader="none" w:pos="27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2" w:lineRule="exact"/>
        <w:rPr>
          <w:rFonts w:ascii="Courier New" w:cs="Courier New" w:eastAsia="Courier New" w:hAnsi="Courier New"/>
          <w:sz w:val="14"/>
          <w:szCs w:val="14"/>
          <w:color w:val="auto"/>
        </w:rPr>
      </w:pPr>
    </w:p>
    <w:p>
      <w:pPr>
        <w:ind w:left="10" w:right="3359" w:hanging="10"/>
        <w:spacing w:after="0" w:line="237" w:lineRule="auto"/>
        <w:tabs>
          <w:tab w:leader="none" w:pos="2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5" w:lineRule="exact"/>
        <w:rPr>
          <w:sz w:val="20"/>
          <w:szCs w:val="20"/>
          <w:color w:val="auto"/>
        </w:rPr>
      </w:pPr>
    </w:p>
    <w:p>
      <w:pPr>
        <w:ind w:left="450" w:right="343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8" w:lineRule="exact"/>
        <w:rPr>
          <w:rFonts w:ascii="Courier New" w:cs="Courier New" w:eastAsia="Courier New" w:hAnsi="Courier New"/>
          <w:sz w:val="15"/>
          <w:szCs w:val="15"/>
          <w:color w:val="auto"/>
        </w:rPr>
      </w:pPr>
    </w:p>
    <w:p>
      <w:pPr>
        <w:jc w:val="both"/>
        <w:ind w:left="450" w:right="353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5"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sz w:val="20"/>
          <w:szCs w:val="20"/>
          <w:color w:val="auto"/>
        </w:rPr>
      </w:pPr>
    </w:p>
    <w:p>
      <w:pPr>
        <w:ind w:left="10" w:right="3179" w:hanging="10"/>
        <w:spacing w:after="0" w:line="237" w:lineRule="auto"/>
        <w:tabs>
          <w:tab w:leader="none" w:pos="27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7" w:lineRule="exact"/>
        <w:rPr>
          <w:sz w:val="20"/>
          <w:szCs w:val="20"/>
          <w:color w:val="auto"/>
        </w:rPr>
      </w:pPr>
    </w:p>
    <w:p>
      <w:pPr>
        <w:ind w:left="450" w:right="3359" w:hanging="450"/>
        <w:spacing w:after="0" w:line="256"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Courier New" w:cs="Courier New" w:eastAsia="Courier New" w:hAnsi="Courier New"/>
          <w:sz w:val="14"/>
          <w:szCs w:val="14"/>
          <w:color w:val="auto"/>
        </w:rPr>
      </w:pPr>
    </w:p>
    <w:p>
      <w:pPr>
        <w:ind w:left="450" w:right="3699"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sz w:val="20"/>
          <w:szCs w:val="20"/>
          <w:color w:val="auto"/>
        </w:rPr>
      </w:pPr>
    </w:p>
    <w:p>
      <w:pPr>
        <w:ind w:left="10" w:right="3179" w:hanging="10"/>
        <w:spacing w:after="0" w:line="237" w:lineRule="auto"/>
        <w:tabs>
          <w:tab w:leader="none" w:pos="2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June 3, 2003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Kendrick B. Melrose</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Kendrick B. Melrose</w:t>
      </w:r>
    </w:p>
    <w:p>
      <w:pPr>
        <w:spacing w:after="0" w:line="4" w:lineRule="exact"/>
        <w:rPr>
          <w:rFonts w:ascii="Courier New" w:cs="Courier New" w:eastAsia="Courier New" w:hAnsi="Courier New"/>
          <w:sz w:val="15"/>
          <w:szCs w:val="15"/>
          <w:color w:val="auto"/>
        </w:rPr>
      </w:pPr>
    </w:p>
    <w:p>
      <w:pPr>
        <w:ind w:left="10" w:right="70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Chairman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452" w:right="1440" w:bottom="1440" w:gutter="0" w:footer="0" w:header="0"/>
        </w:sectPr>
      </w:pPr>
    </w:p>
    <w:bookmarkStart w:id="14" w:name="page15"/>
    <w:bookmarkEnd w:id="14"/>
    <w:p>
      <w:pPr>
        <w:ind w:left="10"/>
        <w:spacing w:after="0"/>
        <w:rPr>
          <w:sz w:val="20"/>
          <w:szCs w:val="20"/>
          <w:color w:val="auto"/>
        </w:rPr>
      </w:pPr>
      <w:r>
        <w:rPr>
          <w:rFonts w:ascii="Courier New" w:cs="Courier New" w:eastAsia="Courier New" w:hAnsi="Courier New"/>
          <w:sz w:val="15"/>
          <w:szCs w:val="15"/>
          <w:color w:val="auto"/>
        </w:rPr>
        <w:t>I, Stephen P. Wolfe, certify that:</w:t>
      </w:r>
    </w:p>
    <w:p>
      <w:pPr>
        <w:spacing w:after="0" w:line="169" w:lineRule="exact"/>
        <w:rPr>
          <w:sz w:val="20"/>
          <w:szCs w:val="20"/>
          <w:color w:val="auto"/>
        </w:rPr>
      </w:pPr>
    </w:p>
    <w:p>
      <w:pPr>
        <w:ind w:left="270" w:hanging="270"/>
        <w:spacing w:after="0"/>
        <w:tabs>
          <w:tab w:leader="none" w:pos="2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10-Q/A of The Toro Company;</w:t>
      </w:r>
    </w:p>
    <w:p>
      <w:pPr>
        <w:spacing w:after="0" w:line="174" w:lineRule="exact"/>
        <w:rPr>
          <w:rFonts w:ascii="Courier New" w:cs="Courier New" w:eastAsia="Courier New" w:hAnsi="Courier New"/>
          <w:sz w:val="15"/>
          <w:szCs w:val="15"/>
          <w:color w:val="auto"/>
        </w:rPr>
      </w:pPr>
    </w:p>
    <w:p>
      <w:pPr>
        <w:ind w:left="10" w:right="3259" w:hanging="10"/>
        <w:spacing w:after="0" w:line="237"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8" w:lineRule="exact"/>
        <w:rPr>
          <w:rFonts w:ascii="Courier New" w:cs="Courier New" w:eastAsia="Courier New" w:hAnsi="Courier New"/>
          <w:sz w:val="15"/>
          <w:szCs w:val="15"/>
          <w:color w:val="auto"/>
        </w:rPr>
      </w:pPr>
    </w:p>
    <w:p>
      <w:pPr>
        <w:ind w:left="10" w:right="3439" w:hanging="10"/>
        <w:spacing w:after="0" w:line="259" w:lineRule="auto"/>
        <w:tabs>
          <w:tab w:leader="none" w:pos="27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2" w:lineRule="exact"/>
        <w:rPr>
          <w:rFonts w:ascii="Courier New" w:cs="Courier New" w:eastAsia="Courier New" w:hAnsi="Courier New"/>
          <w:sz w:val="14"/>
          <w:szCs w:val="14"/>
          <w:color w:val="auto"/>
        </w:rPr>
      </w:pPr>
    </w:p>
    <w:p>
      <w:pPr>
        <w:ind w:left="10" w:right="3359" w:hanging="10"/>
        <w:spacing w:after="0" w:line="237" w:lineRule="auto"/>
        <w:tabs>
          <w:tab w:leader="none" w:pos="2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5" w:lineRule="exact"/>
        <w:rPr>
          <w:sz w:val="20"/>
          <w:szCs w:val="20"/>
          <w:color w:val="auto"/>
        </w:rPr>
      </w:pPr>
    </w:p>
    <w:p>
      <w:pPr>
        <w:ind w:left="450" w:right="343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8" w:lineRule="exact"/>
        <w:rPr>
          <w:rFonts w:ascii="Courier New" w:cs="Courier New" w:eastAsia="Courier New" w:hAnsi="Courier New"/>
          <w:sz w:val="15"/>
          <w:szCs w:val="15"/>
          <w:color w:val="auto"/>
        </w:rPr>
      </w:pPr>
    </w:p>
    <w:p>
      <w:pPr>
        <w:jc w:val="both"/>
        <w:ind w:left="450" w:right="353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5"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quarterly report our conclusions about the effectiveness of the disclosure controls and procedures based on our evaluation as of the Evaluation Date;</w:t>
      </w:r>
    </w:p>
    <w:p>
      <w:pPr>
        <w:spacing w:after="0" w:line="175" w:lineRule="exact"/>
        <w:rPr>
          <w:sz w:val="20"/>
          <w:szCs w:val="20"/>
          <w:color w:val="auto"/>
        </w:rPr>
      </w:pPr>
    </w:p>
    <w:p>
      <w:pPr>
        <w:ind w:left="10" w:right="3179" w:hanging="10"/>
        <w:spacing w:after="0" w:line="237" w:lineRule="auto"/>
        <w:tabs>
          <w:tab w:leader="none" w:pos="2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7" w:lineRule="exact"/>
        <w:rPr>
          <w:sz w:val="20"/>
          <w:szCs w:val="20"/>
          <w:color w:val="auto"/>
        </w:rPr>
      </w:pPr>
    </w:p>
    <w:p>
      <w:pPr>
        <w:ind w:left="450" w:right="3359" w:hanging="450"/>
        <w:spacing w:after="0" w:line="256"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Courier New" w:cs="Courier New" w:eastAsia="Courier New" w:hAnsi="Courier New"/>
          <w:sz w:val="14"/>
          <w:szCs w:val="14"/>
          <w:color w:val="auto"/>
        </w:rPr>
      </w:pPr>
    </w:p>
    <w:p>
      <w:pPr>
        <w:ind w:left="450" w:right="3699"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sz w:val="20"/>
          <w:szCs w:val="20"/>
          <w:color w:val="auto"/>
        </w:rPr>
      </w:pPr>
    </w:p>
    <w:p>
      <w:pPr>
        <w:ind w:left="10" w:right="3179" w:hanging="10"/>
        <w:spacing w:after="0" w:line="237" w:lineRule="auto"/>
        <w:tabs>
          <w:tab w:leader="none" w:pos="27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June 3, 2003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Stephen P. Wolfe</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P. Wolfe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Finance</w:t>
      </w:r>
    </w:p>
    <w:p>
      <w:pPr>
        <w:spacing w:after="0" w:line="4" w:lineRule="exact"/>
        <w:rPr>
          <w:rFonts w:ascii="Courier New" w:cs="Courier New" w:eastAsia="Courier New" w:hAnsi="Courier New"/>
          <w:sz w:val="15"/>
          <w:szCs w:val="15"/>
          <w:color w:val="auto"/>
        </w:rPr>
      </w:pPr>
    </w:p>
    <w:p>
      <w:pPr>
        <w:ind w:left="10" w:right="69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Treasurer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2" w:right="1440" w:bottom="1440" w:gutter="0" w:footer="0" w:header="0"/>
        </w:sectPr>
      </w:pPr>
    </w:p>
    <w:bookmarkStart w:id="15" w:name="page16"/>
    <w:bookmarkEnd w:id="15"/>
    <w:p>
      <w:pPr>
        <w:jc w:val="right"/>
        <w:ind w:right="3179"/>
        <w:spacing w:after="0"/>
        <w:rPr>
          <w:sz w:val="20"/>
          <w:szCs w:val="20"/>
          <w:color w:val="auto"/>
        </w:rPr>
      </w:pPr>
      <w:r>
        <w:rPr>
          <w:rFonts w:ascii="Courier New" w:cs="Courier New" w:eastAsia="Courier New" w:hAnsi="Courier New"/>
          <w:sz w:val="15"/>
          <w:szCs w:val="15"/>
          <w:color w:val="auto"/>
        </w:rPr>
        <w:t>EXHIBIT 99(a)</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CERTIFICATION PURSUANT TO</w:t>
      </w:r>
    </w:p>
    <w:p>
      <w:pPr>
        <w:ind w:left="2550"/>
        <w:spacing w:after="0"/>
        <w:rPr>
          <w:sz w:val="20"/>
          <w:szCs w:val="20"/>
          <w:color w:val="auto"/>
        </w:rPr>
      </w:pPr>
      <w:r>
        <w:rPr>
          <w:rFonts w:ascii="Courier New" w:cs="Courier New" w:eastAsia="Courier New" w:hAnsi="Courier New"/>
          <w:sz w:val="15"/>
          <w:szCs w:val="15"/>
          <w:color w:val="auto"/>
        </w:rPr>
        <w:t>18 U.S.C. SECTION 1350,</w:t>
      </w:r>
    </w:p>
    <w:p>
      <w:pPr>
        <w:ind w:left="2550"/>
        <w:spacing w:after="0"/>
        <w:rPr>
          <w:sz w:val="20"/>
          <w:szCs w:val="20"/>
          <w:color w:val="auto"/>
        </w:rPr>
      </w:pPr>
      <w:r>
        <w:rPr>
          <w:rFonts w:ascii="Courier New" w:cs="Courier New" w:eastAsia="Courier New" w:hAnsi="Courier New"/>
          <w:sz w:val="15"/>
          <w:szCs w:val="15"/>
          <w:color w:val="auto"/>
        </w:rPr>
        <w:t>AS ADOPTED PURSUANT TO</w:t>
      </w:r>
    </w:p>
    <w:p>
      <w:pPr>
        <w:ind w:left="1590"/>
        <w:spacing w:after="0" w:line="238"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connection with the Quarterly Report of The Toro Company (the "Company") on Form 10-Q/A for the quarterly period ended January 31, 2003 as filed with the Securities and Exchange Commission on the date hereof (the "Report"), I, Kendrick B. Melrose,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230" w:right="3359" w:hanging="436"/>
        <w:spacing w:after="0" w:line="235" w:lineRule="auto"/>
        <w:tabs>
          <w:tab w:leader="none" w:pos="12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230" w:right="3439" w:hanging="436"/>
        <w:spacing w:after="0" w:line="237" w:lineRule="auto"/>
        <w:tabs>
          <w:tab w:leader="none" w:pos="12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 Kendrick B. Melrose</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Kendrick B. Melrose</w:t>
      </w:r>
    </w:p>
    <w:p>
      <w:pPr>
        <w:spacing w:after="0" w:line="4" w:lineRule="exact"/>
        <w:rPr>
          <w:rFonts w:ascii="Courier New" w:cs="Courier New" w:eastAsia="Courier New" w:hAnsi="Courier New"/>
          <w:sz w:val="15"/>
          <w:szCs w:val="15"/>
          <w:color w:val="auto"/>
        </w:rPr>
      </w:pPr>
    </w:p>
    <w:p>
      <w:pPr>
        <w:ind w:left="10" w:right="70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 June 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229"/>
          </w:cols>
          <w:pgMar w:left="230" w:top="305" w:right="1440" w:bottom="1440" w:gutter="0" w:footer="0" w:header="0"/>
        </w:sectPr>
      </w:pPr>
    </w:p>
    <w:bookmarkStart w:id="16" w:name="page17"/>
    <w:bookmarkEnd w:id="16"/>
    <w:p>
      <w:pPr>
        <w:jc w:val="right"/>
        <w:ind w:right="3179"/>
        <w:spacing w:after="0"/>
        <w:rPr>
          <w:sz w:val="20"/>
          <w:szCs w:val="20"/>
          <w:color w:val="auto"/>
        </w:rPr>
      </w:pPr>
      <w:r>
        <w:rPr>
          <w:rFonts w:ascii="Courier New" w:cs="Courier New" w:eastAsia="Courier New" w:hAnsi="Courier New"/>
          <w:sz w:val="15"/>
          <w:szCs w:val="15"/>
          <w:color w:val="auto"/>
        </w:rPr>
        <w:t>EXHIBIT 99(b)</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CERTIFICATION PURSUANT TO</w:t>
      </w:r>
    </w:p>
    <w:p>
      <w:pPr>
        <w:ind w:left="2550"/>
        <w:spacing w:after="0"/>
        <w:rPr>
          <w:sz w:val="20"/>
          <w:szCs w:val="20"/>
          <w:color w:val="auto"/>
        </w:rPr>
      </w:pPr>
      <w:r>
        <w:rPr>
          <w:rFonts w:ascii="Courier New" w:cs="Courier New" w:eastAsia="Courier New" w:hAnsi="Courier New"/>
          <w:sz w:val="15"/>
          <w:szCs w:val="15"/>
          <w:color w:val="auto"/>
        </w:rPr>
        <w:t>18 U.S.C. SECTION 1350,</w:t>
      </w:r>
    </w:p>
    <w:p>
      <w:pPr>
        <w:ind w:left="2550"/>
        <w:spacing w:after="0"/>
        <w:rPr>
          <w:sz w:val="20"/>
          <w:szCs w:val="20"/>
          <w:color w:val="auto"/>
        </w:rPr>
      </w:pPr>
      <w:r>
        <w:rPr>
          <w:rFonts w:ascii="Courier New" w:cs="Courier New" w:eastAsia="Courier New" w:hAnsi="Courier New"/>
          <w:sz w:val="15"/>
          <w:szCs w:val="15"/>
          <w:color w:val="auto"/>
        </w:rPr>
        <w:t>AS ADOPTED PURSUANT TO</w:t>
      </w:r>
    </w:p>
    <w:p>
      <w:pPr>
        <w:ind w:left="1590"/>
        <w:spacing w:after="0" w:line="238"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Quarterly Report of The Toro Company (the "Company") on Form 10-Q/A for the quarterly period ended January 31, 2003 as filed with the Securities and Exchange Commission on the date hereof (the "Report"), I, Stephen P. Wolfe, Vice President-Finance, Treasurer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230" w:right="3359" w:hanging="436"/>
        <w:spacing w:after="0" w:line="235" w:lineRule="auto"/>
        <w:tabs>
          <w:tab w:leader="none" w:pos="12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5" w:lineRule="exact"/>
        <w:rPr>
          <w:rFonts w:ascii="Courier New" w:cs="Courier New" w:eastAsia="Courier New" w:hAnsi="Courier New"/>
          <w:sz w:val="15"/>
          <w:szCs w:val="15"/>
          <w:color w:val="auto"/>
        </w:rPr>
      </w:pPr>
    </w:p>
    <w:p>
      <w:pPr>
        <w:ind w:left="1230" w:right="3439" w:hanging="436"/>
        <w:spacing w:after="0" w:line="237" w:lineRule="auto"/>
        <w:tabs>
          <w:tab w:leader="none" w:pos="12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 Stephen P. Wolfe</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P. Wolfe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President-Finance,</w:t>
      </w:r>
    </w:p>
    <w:p>
      <w:pPr>
        <w:spacing w:after="0" w:line="4" w:lineRule="exact"/>
        <w:rPr>
          <w:rFonts w:ascii="Courier New" w:cs="Courier New" w:eastAsia="Courier New" w:hAnsi="Courier New"/>
          <w:sz w:val="15"/>
          <w:szCs w:val="15"/>
          <w:color w:val="auto"/>
        </w:rPr>
      </w:pPr>
    </w:p>
    <w:p>
      <w:pPr>
        <w:ind w:left="10" w:right="69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and Chief Financial Officer June 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29"/>
      </w:cols>
      <w:pgMar w:left="23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abstractNum>
  <w:abstractNum w:abstractNumId="1">
    <w:nsid w:val="4DB127F8"/>
    <w:multiLevelType w:val="hybridMultilevel"/>
    <w:lvl w:ilvl="0">
      <w:lvlJc w:val="left"/>
      <w:lvlText w:val="(%1)"/>
      <w:numFmt w:val="lowerLetter"/>
      <w:start w:val="2"/>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6"/>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2019-12-13T13:54:26Z</dcterms:created>
  <dcterms:modified xsi:type="dcterms:W3CDTF">2019-12-13T13:54:26Z</dcterms:modified>
</cp:coreProperties>
</file>