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471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7116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11/28/2007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554"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112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12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74"/>
        <w:spacing w:after="0"/>
        <w:rPr>
          <w:sz w:val="20"/>
          <w:szCs w:val="20"/>
          <w:color w:val="auto"/>
        </w:rPr>
      </w:pPr>
      <w:r>
        <w:rPr>
          <w:rFonts w:ascii="Arial" w:cs="Arial" w:eastAsia="Arial" w:hAnsi="Arial"/>
          <w:sz w:val="17"/>
          <w:szCs w:val="17"/>
          <w:color w:val="0000FF"/>
        </w:rPr>
        <w:t>General Manager, Commercial</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6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180"/>
              <w:spacing w:after="0" w:line="216" w:lineRule="exact"/>
              <w:rPr>
                <w:sz w:val="20"/>
                <w:szCs w:val="20"/>
                <w:color w:val="auto"/>
              </w:rPr>
            </w:pPr>
            <w:r>
              <w:rPr>
                <w:rFonts w:ascii="Arial" w:cs="Arial" w:eastAsia="Arial" w:hAnsi="Arial"/>
                <w:sz w:val="17"/>
                <w:szCs w:val="17"/>
                <w:color w:val="0000FF"/>
              </w:rPr>
              <w:t>2,684.749</w:t>
            </w:r>
            <w:r>
              <w:rPr>
                <w:rFonts w:ascii="Arial" w:cs="Arial" w:eastAsia="Arial" w:hAnsi="Arial"/>
                <w:sz w:val="22"/>
                <w:szCs w:val="22"/>
                <w:color w:val="008000"/>
                <w:vertAlign w:val="superscript"/>
              </w:rPr>
              <w:t>(1)</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55"/>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54.93</w:t>
            </w:r>
          </w:p>
        </w:tc>
        <w:tc>
          <w:tcPr>
            <w:tcW w:w="1120" w:type="dxa"/>
            <w:vAlign w:val="bottom"/>
          </w:tcPr>
          <w:p>
            <w:pPr>
              <w:jc w:val="right"/>
              <w:ind w:right="198"/>
              <w:spacing w:after="0"/>
              <w:rPr>
                <w:sz w:val="20"/>
                <w:szCs w:val="20"/>
                <w:color w:val="auto"/>
              </w:rPr>
            </w:pPr>
            <w:r>
              <w:rPr>
                <w:rFonts w:ascii="Arial" w:cs="Arial" w:eastAsia="Arial" w:hAnsi="Arial"/>
                <w:sz w:val="13"/>
                <w:szCs w:val="13"/>
                <w:color w:val="0000FF"/>
              </w:rPr>
              <w:t>11/28/2007</w:t>
            </w:r>
          </w:p>
        </w:tc>
        <w:tc>
          <w:tcPr>
            <w:tcW w:w="114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480" w:type="dxa"/>
            <w:vAlign w:val="bottom"/>
          </w:tcPr>
          <w:p>
            <w:pPr>
              <w:ind w:left="80"/>
              <w:spacing w:after="0"/>
              <w:rPr>
                <w:sz w:val="20"/>
                <w:szCs w:val="20"/>
                <w:color w:val="auto"/>
              </w:rPr>
            </w:pPr>
            <w:r>
              <w:rPr>
                <w:rFonts w:ascii="Arial" w:cs="Arial" w:eastAsia="Arial" w:hAnsi="Arial"/>
                <w:sz w:val="13"/>
                <w:szCs w:val="13"/>
                <w:color w:val="0000FF"/>
              </w:rPr>
              <w:t>3,900</w:t>
            </w:r>
          </w:p>
        </w:tc>
        <w:tc>
          <w:tcPr>
            <w:tcW w:w="2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0000FF"/>
                <w:w w:val="93"/>
              </w:rPr>
              <w:t>11/28/2008</w:t>
            </w:r>
            <w:r>
              <w:rPr>
                <w:rFonts w:ascii="Arial" w:cs="Arial" w:eastAsia="Arial" w:hAnsi="Arial"/>
                <w:sz w:val="22"/>
                <w:szCs w:val="22"/>
                <w:color w:val="008000"/>
                <w:w w:val="93"/>
                <w:vertAlign w:val="superscript"/>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11/28/2017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3,900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rPr>
                <w:sz w:val="20"/>
                <w:szCs w:val="20"/>
                <w:color w:val="auto"/>
              </w:rPr>
            </w:pPr>
            <w:r>
              <w:rPr>
                <w:rFonts w:ascii="Arial" w:cs="Arial" w:eastAsia="Arial" w:hAnsi="Arial"/>
                <w:sz w:val="13"/>
                <w:szCs w:val="13"/>
                <w:color w:val="0000FF"/>
              </w:rPr>
              <w:t>3,900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55"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dividend reinvestment feature of The Toro Company Investment, Savings &amp; ESOP: 5.1504 Shares of Common Stock acquired by the reporting person on July 12, 2007 and 5.6425 Shares of Common Stock acquired by the reporting person on October 17, 2007. Also includes 40.4420 Shares of Common Stock acquired by the reporting person through contributions to The Toro Company Investment, Savings &amp; ESOP since the date of his last report.</w:t>
      </w:r>
    </w:p>
    <w:p>
      <w:pPr>
        <w:spacing w:after="0" w:line="2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Stacy L. Bogart, Atty-in-fact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11/30/2007</w:t>
            </w:r>
          </w:p>
        </w:tc>
      </w:tr>
      <w:tr>
        <w:trPr>
          <w:trHeight w:val="235"/>
        </w:trPr>
        <w:tc>
          <w:tcPr>
            <w:tcW w:w="21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2019-12-18T14:11:51Z</dcterms:created>
  <dcterms:modified xsi:type="dcterms:W3CDTF">2019-12-18T14:11:51Z</dcterms:modified>
</cp:coreProperties>
</file>