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BURKART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06/02/2014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3"/>
        <w:spacing w:after="0"/>
        <w:rPr>
          <w:sz w:val="20"/>
          <w:szCs w:val="20"/>
          <w:color w:val="auto"/>
        </w:rPr>
      </w:pPr>
      <w:r>
        <w:rPr>
          <w:rFonts w:ascii="Arial" w:cs="Arial" w:eastAsia="Arial" w:hAnsi="Arial"/>
          <w:sz w:val="18"/>
          <w:szCs w:val="18"/>
          <w:color w:val="0000FF"/>
        </w:rPr>
        <w:t>VP, Irrig. &amp; Lighting Business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ind w:left="520"/>
              <w:spacing w:after="0"/>
              <w:rPr>
                <w:sz w:val="20"/>
                <w:szCs w:val="20"/>
                <w:color w:val="auto"/>
              </w:rPr>
            </w:pPr>
            <w:r>
              <w:rPr>
                <w:rFonts w:ascii="Arial" w:cs="Arial" w:eastAsia="Arial" w:hAnsi="Arial"/>
                <w:sz w:val="18"/>
                <w:szCs w:val="18"/>
                <w:color w:val="0000FF"/>
              </w:rPr>
              <w:t>06/02/2014</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ind w:left="120"/>
              <w:spacing w:after="0"/>
              <w:rPr>
                <w:sz w:val="20"/>
                <w:szCs w:val="20"/>
                <w:color w:val="auto"/>
              </w:rPr>
            </w:pPr>
            <w:r>
              <w:rPr>
                <w:rFonts w:ascii="Arial" w:cs="Arial" w:eastAsia="Arial" w:hAnsi="Arial"/>
                <w:sz w:val="14"/>
                <w:szCs w:val="14"/>
                <w:color w:val="0000FF"/>
              </w:rPr>
              <w:t>G</w:t>
            </w:r>
          </w:p>
        </w:tc>
        <w:tc>
          <w:tcPr>
            <w:tcW w:w="320" w:type="dxa"/>
            <w:vAlign w:val="bottom"/>
          </w:tcPr>
          <w:p>
            <w:pPr>
              <w:ind w:left="80"/>
              <w:spacing w:after="0"/>
              <w:rPr>
                <w:sz w:val="20"/>
                <w:szCs w:val="20"/>
                <w:color w:val="auto"/>
              </w:rPr>
            </w:pPr>
            <w:r>
              <w:rPr>
                <w:rFonts w:ascii="Arial" w:cs="Arial" w:eastAsia="Arial" w:hAnsi="Arial"/>
                <w:sz w:val="14"/>
                <w:szCs w:val="14"/>
                <w:color w:val="0000FF"/>
              </w:rPr>
              <w:t>V</w:t>
            </w:r>
          </w:p>
        </w:tc>
        <w:tc>
          <w:tcPr>
            <w:tcW w:w="840" w:type="dxa"/>
            <w:vAlign w:val="bottom"/>
          </w:tcPr>
          <w:p>
            <w:pPr>
              <w:jc w:val="right"/>
              <w:ind w:right="250"/>
              <w:spacing w:after="0"/>
              <w:rPr>
                <w:sz w:val="20"/>
                <w:szCs w:val="20"/>
                <w:color w:val="auto"/>
              </w:rPr>
            </w:pPr>
            <w:r>
              <w:rPr>
                <w:rFonts w:ascii="Arial" w:cs="Arial" w:eastAsia="Arial" w:hAnsi="Arial"/>
                <w:sz w:val="18"/>
                <w:szCs w:val="18"/>
                <w:color w:val="0000FF"/>
              </w:rPr>
              <w:t>160</w:t>
            </w:r>
          </w:p>
        </w:tc>
        <w:tc>
          <w:tcPr>
            <w:tcW w:w="500" w:type="dxa"/>
            <w:vAlign w:val="bottom"/>
          </w:tcPr>
          <w:p>
            <w:pPr>
              <w:ind w:left="140"/>
              <w:spacing w:after="0"/>
              <w:rPr>
                <w:sz w:val="20"/>
                <w:szCs w:val="20"/>
                <w:color w:val="auto"/>
              </w:rPr>
            </w:pPr>
            <w:r>
              <w:rPr>
                <w:rFonts w:ascii="Arial" w:cs="Arial" w:eastAsia="Arial" w:hAnsi="Arial"/>
                <w:sz w:val="18"/>
                <w:szCs w:val="18"/>
                <w:color w:val="0000FF"/>
              </w:rPr>
              <w:t>D</w:t>
            </w:r>
          </w:p>
        </w:tc>
        <w:tc>
          <w:tcPr>
            <w:tcW w:w="660" w:type="dxa"/>
            <w:vAlign w:val="bottom"/>
          </w:tcPr>
          <w:p>
            <w:pPr>
              <w:jc w:val="center"/>
              <w:ind w:right="1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83,906</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rPr>
              <w:t>06/02/2014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170"/>
              <w:spacing w:after="0"/>
              <w:rPr>
                <w:sz w:val="20"/>
                <w:szCs w:val="20"/>
                <w:color w:val="auto"/>
              </w:rPr>
            </w:pPr>
            <w:r>
              <w:rPr>
                <w:rFonts w:ascii="Arial" w:cs="Arial" w:eastAsia="Arial" w:hAnsi="Arial"/>
                <w:sz w:val="18"/>
                <w:szCs w:val="18"/>
                <w:color w:val="0000FF"/>
              </w:rPr>
              <w:t>1,600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64.941</w:t>
            </w:r>
            <w:r>
              <w:rPr>
                <w:rFonts w:ascii="Arial" w:cs="Arial" w:eastAsia="Arial" w:hAnsi="Arial"/>
                <w:sz w:val="22"/>
                <w:szCs w:val="22"/>
                <w:color w:val="008000"/>
                <w:w w:val="86"/>
                <w:vertAlign w:val="superscript"/>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82,306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38,218.138</w:t>
            </w:r>
            <w:r>
              <w:rPr>
                <w:rFonts w:ascii="Arial" w:cs="Arial" w:eastAsia="Arial" w:hAnsi="Arial"/>
                <w:sz w:val="22"/>
                <w:szCs w:val="22"/>
                <w:color w:val="008000"/>
                <w:w w:val="85"/>
                <w:vertAlign w:val="superscript"/>
              </w:rPr>
              <w:t>(2)</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16,801.734</w:t>
            </w:r>
            <w:r>
              <w:rPr>
                <w:rFonts w:ascii="Arial" w:cs="Arial" w:eastAsia="Arial" w:hAnsi="Arial"/>
                <w:sz w:val="22"/>
                <w:szCs w:val="22"/>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Date</w:t>
            </w:r>
          </w:p>
        </w:tc>
        <w:tc>
          <w:tcPr>
            <w:tcW w:w="320" w:type="dxa"/>
            <w:vAlign w:val="bottom"/>
          </w:tcPr>
          <w:p>
            <w:pPr>
              <w:spacing w:after="0"/>
              <w:rPr>
                <w:sz w:val="11"/>
                <w:szCs w:val="11"/>
                <w:color w:val="auto"/>
              </w:rPr>
            </w:pPr>
          </w:p>
        </w:tc>
        <w:tc>
          <w:tcPr>
            <w:tcW w:w="8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0" w:type="dxa"/>
            <w:vAlign w:val="bottom"/>
            <w:gridSpan w:val="3"/>
          </w:tcPr>
          <w:p>
            <w:pPr>
              <w:ind w:left="1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$64.93 to $64.95,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237.955 net shares acquired under the dividend reinvestment feature of The Toro Company Investment, Savings &amp; ESOP (IS&amp;ESOP) less quarterly non-discretionary administrative fees; and 58.661 shares acquired through issuer annual investment fund contributions to the IS&amp;ESOP.</w:t>
      </w: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105.224 performance share units acquired by the reporting person under the dividend reinvestment feature of The Toro Company Deferred Compensation Plan for Officers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06/04/2014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2019-12-17T02:56:32Z</dcterms:created>
  <dcterms:modified xsi:type="dcterms:W3CDTF">2019-12-17T02:56:32Z</dcterms:modified>
</cp:coreProperties>
</file>