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35560</wp:posOffset>
            </wp:positionV>
            <wp:extent cx="6969125" cy="1605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60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Ellis Gary Lee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60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0"/>
        <w:spacing w:after="0"/>
        <w:tabs>
          <w:tab w:leader="none" w:pos="510" w:val="left"/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3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198755</wp:posOffset>
            </wp:positionV>
            <wp:extent cx="6969125" cy="12960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29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Transaction  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807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Common Stock Units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3,862.822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83.12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11/02/2030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3,201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3,201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-1784985</wp:posOffset>
            </wp:positionV>
            <wp:extent cx="7033895" cy="19234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2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46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Amended and Restated 2010 Equity and Incentive Plan, as amended and restated (the "Amended and Restated 2010 Plan").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1"/>
        <w:spacing w:after="0" w:line="253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25.785 common stock units acquired by the reporting person under the dividend reinvestment feature of The Toro Company Deferred Compensation Plan for Non-Employee Directors since the date of his last report.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Amended and Restated 2010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date of grant, which was November 2, 2020.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90170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2020-11-04T16:33:43Z</dcterms:created>
  <dcterms:modified xsi:type="dcterms:W3CDTF">2020-11-04T16:33:43Z</dcterms:modified>
</cp:coreProperties>
</file>