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UNITED STATES</w:t>
      </w:r>
    </w:p>
    <w:p>
      <w:pPr>
        <w:spacing w:after="0" w:line="201"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679"/>
        <w:spacing w:after="0"/>
        <w:tabs>
          <w:tab w:leader="none" w:pos="2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FORM 10-Q</w:t>
      </w:r>
    </w:p>
    <w:p>
      <w:pPr>
        <w:spacing w:after="0" w:line="207" w:lineRule="exact"/>
        <w:rPr>
          <w:sz w:val="24"/>
          <w:szCs w:val="24"/>
          <w:color w:val="auto"/>
        </w:rPr>
      </w:pPr>
    </w:p>
    <w:p>
      <w:pPr>
        <w:ind w:right="1879"/>
        <w:spacing w:after="0" w:line="235" w:lineRule="auto"/>
        <w:rPr>
          <w:sz w:val="20"/>
          <w:szCs w:val="20"/>
          <w:color w:val="auto"/>
        </w:rPr>
      </w:pPr>
      <w:r>
        <w:rPr>
          <w:rFonts w:ascii="Courier New" w:cs="Courier New" w:eastAsia="Courier New" w:hAnsi="Courier New"/>
          <w:sz w:val="18"/>
          <w:szCs w:val="18"/>
          <w:color w:val="auto"/>
        </w:rPr>
        <w:t>Quarterly Report Pursuant to Section 13 or 15(d) of the Securities Exchange Act of 1934</w:t>
      </w:r>
    </w:p>
    <w:p>
      <w:pPr>
        <w:sectPr>
          <w:pgSz w:w="11900" w:h="16838" w:orient="portrait"/>
          <w:cols w:equalWidth="0" w:num="1">
            <w:col w:w="10219"/>
          </w:cols>
          <w:pgMar w:left="240" w:top="452" w:right="1440" w:bottom="1440" w:gutter="0" w:footer="0" w:header="0"/>
        </w:sect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Quarterly Period Ended February 2, 1996 Commission File Number</w:t>
      </w:r>
    </w:p>
    <w:p>
      <w:pPr>
        <w:spacing w:after="0" w:line="16"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1-8649</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6" w:lineRule="exact"/>
        <w:rPr>
          <w:sz w:val="24"/>
          <w:szCs w:val="24"/>
          <w:color w:val="auto"/>
        </w:rPr>
      </w:pPr>
    </w:p>
    <w:p>
      <w:pPr>
        <w:sectPr>
          <w:pgSz w:w="11900" w:h="16838" w:orient="portrait"/>
          <w:cols w:equalWidth="0" w:num="2">
            <w:col w:w="7380" w:space="220"/>
            <w:col w:w="2619"/>
          </w:cols>
          <w:pgMar w:left="240" w:top="452" w:right="1440" w:bottom="1440" w:gutter="0" w:footer="0" w:header="0"/>
          <w:type w:val="continuous"/>
        </w:sectPr>
      </w:pPr>
    </w:p>
    <w:p>
      <w:pPr>
        <w:spacing w:after="0" w:line="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(Exact name of registrant as specified in its charter)</w:t>
      </w:r>
    </w:p>
    <w:p>
      <w:pPr>
        <w:sectPr>
          <w:pgSz w:w="11900" w:h="16838" w:orient="portrait"/>
          <w:cols w:equalWidth="0" w:num="1">
            <w:col w:w="10219"/>
          </w:cols>
          <w:pgMar w:left="240" w:top="452" w:right="1440" w:bottom="1440" w:gutter="0" w:footer="0" w:header="0"/>
          <w:type w:val="continuous"/>
        </w:sectPr>
      </w:pPr>
    </w:p>
    <w:p>
      <w:pPr>
        <w:spacing w:after="0" w:line="200" w:lineRule="exact"/>
        <w:rPr>
          <w:sz w:val="24"/>
          <w:szCs w:val="24"/>
          <w:color w:val="auto"/>
        </w:rPr>
      </w:pPr>
    </w:p>
    <w:p>
      <w:pPr>
        <w:spacing w:after="0" w:line="22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41-0580470</w:t>
      </w:r>
    </w:p>
    <w:p>
      <w:pPr>
        <w:spacing w:after="0" w:line="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6"/>
          <w:szCs w:val="16"/>
          <w:color w:val="auto"/>
        </w:rPr>
        <w:t>(I.R.S. Employer Identification Number)</w:t>
      </w:r>
    </w:p>
    <w:p>
      <w:pPr>
        <w:spacing w:after="0" w:line="200" w:lineRule="exact"/>
        <w:rPr>
          <w:sz w:val="24"/>
          <w:szCs w:val="24"/>
          <w:color w:val="auto"/>
        </w:rPr>
      </w:pPr>
    </w:p>
    <w:p>
      <w:pPr>
        <w:sectPr>
          <w:pgSz w:w="11900" w:h="16838" w:orient="portrait"/>
          <w:cols w:equalWidth="0" w:num="2">
            <w:col w:w="3500" w:space="720"/>
            <w:col w:w="5999"/>
          </w:cols>
          <w:pgMar w:left="240" w:top="452" w:right="1440" w:bottom="1440" w:gutter="0" w:footer="0" w:header="0"/>
          <w:type w:val="continuous"/>
        </w:sectPr>
      </w:pPr>
    </w:p>
    <w:p>
      <w:pPr>
        <w:spacing w:after="0" w:line="221"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8111 LYNDALE AVENUE SOUTH</w:t>
      </w:r>
    </w:p>
    <w:p>
      <w:pPr>
        <w:ind w:left="2740"/>
        <w:spacing w:after="0"/>
        <w:tabs>
          <w:tab w:leader="none" w:pos="5260" w:val="left"/>
        </w:tabs>
        <w:rPr>
          <w:sz w:val="20"/>
          <w:szCs w:val="20"/>
          <w:color w:val="auto"/>
        </w:rPr>
      </w:pPr>
      <w:r>
        <w:rPr>
          <w:rFonts w:ascii="Courier New" w:cs="Courier New" w:eastAsia="Courier New" w:hAnsi="Courier New"/>
          <w:sz w:val="18"/>
          <w:szCs w:val="18"/>
          <w:color w:val="auto"/>
        </w:rPr>
        <w:t>BLOOMINGTON, MINNESOTA</w:t>
      </w:r>
      <w:r>
        <w:rPr>
          <w:sz w:val="20"/>
          <w:szCs w:val="20"/>
          <w:color w:val="auto"/>
        </w:rPr>
        <w:tab/>
      </w:r>
      <w:r>
        <w:rPr>
          <w:rFonts w:ascii="Courier New" w:cs="Courier New" w:eastAsia="Courier New" w:hAnsi="Courier New"/>
          <w:sz w:val="16"/>
          <w:szCs w:val="16"/>
          <w:color w:val="auto"/>
        </w:rPr>
        <w:t>55420</w:t>
      </w:r>
    </w:p>
    <w:p>
      <w:pPr>
        <w:ind w:left="2540"/>
        <w:spacing w:after="0"/>
        <w:rPr>
          <w:sz w:val="20"/>
          <w:szCs w:val="20"/>
          <w:color w:val="auto"/>
        </w:rPr>
      </w:pPr>
      <w:r>
        <w:rPr>
          <w:rFonts w:ascii="Courier New" w:cs="Courier New" w:eastAsia="Courier New" w:hAnsi="Courier New"/>
          <w:sz w:val="18"/>
          <w:szCs w:val="18"/>
          <w:color w:val="auto"/>
        </w:rPr>
        <w:t>TELEPHONE NUMBER: (612) 888-8801</w:t>
      </w:r>
    </w:p>
    <w:p>
      <w:pPr>
        <w:spacing w:after="0" w:line="200" w:lineRule="exact"/>
        <w:rPr>
          <w:sz w:val="24"/>
          <w:szCs w:val="24"/>
          <w:color w:val="auto"/>
        </w:rPr>
      </w:pPr>
    </w:p>
    <w:p>
      <w:pPr>
        <w:spacing w:after="0" w:line="209" w:lineRule="exact"/>
        <w:rPr>
          <w:sz w:val="24"/>
          <w:szCs w:val="24"/>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(Address, including zip code, and telephone number, including area code, of registrant's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19"/>
          </w:cols>
          <w:pgMar w:left="240" w:top="452" w:right="1440" w:bottom="1440" w:gutter="0" w:footer="0" w:header="0"/>
          <w:type w:val="continuous"/>
        </w:sectPr>
      </w:pPr>
    </w:p>
    <w:p>
      <w:pPr>
        <w:spacing w:after="0" w:line="200" w:lineRule="exact"/>
        <w:rPr>
          <w:sz w:val="24"/>
          <w:szCs w:val="24"/>
          <w:color w:val="auto"/>
        </w:rPr>
      </w:pPr>
    </w:p>
    <w:p>
      <w:pPr>
        <w:spacing w:after="0" w:line="211" w:lineRule="exact"/>
        <w:rPr>
          <w:sz w:val="24"/>
          <w:szCs w:val="24"/>
          <w:color w:val="auto"/>
        </w:rPr>
      </w:pPr>
    </w:p>
    <w:p>
      <w:pPr>
        <w:jc w:val="center"/>
        <w:ind w:left="540"/>
        <w:spacing w:after="0"/>
        <w:rPr>
          <w:sz w:val="20"/>
          <w:szCs w:val="20"/>
          <w:color w:val="auto"/>
        </w:rPr>
      </w:pPr>
      <w:r>
        <w:rPr>
          <w:rFonts w:ascii="Courier New" w:cs="Courier New" w:eastAsia="Courier New" w:hAnsi="Courier New"/>
          <w:sz w:val="16"/>
          <w:szCs w:val="16"/>
          <w:color w:val="auto"/>
        </w:rPr>
        <w:t>Yes</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X</w:t>
      </w:r>
    </w:p>
    <w:p>
      <w:pPr>
        <w:spacing w:after="0" w:line="20" w:lineRule="exact"/>
        <w:rPr>
          <w:sz w:val="24"/>
          <w:szCs w:val="24"/>
          <w:color w:val="auto"/>
        </w:rPr>
      </w:pPr>
      <w:r>
        <w:rPr>
          <w:sz w:val="24"/>
          <w:szCs w:val="24"/>
          <w:color w:val="auto"/>
        </w:rPr>
        <w:br w:type="column"/>
      </w:r>
    </w:p>
    <w:p>
      <w:pPr>
        <w:spacing w:after="0" w:line="39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No</w:t>
      </w:r>
    </w:p>
    <w:p>
      <w:pPr>
        <w:spacing w:after="0" w:line="21" w:lineRule="exact"/>
        <w:rPr>
          <w:sz w:val="24"/>
          <w:szCs w:val="24"/>
          <w:color w:val="auto"/>
        </w:rPr>
      </w:pPr>
    </w:p>
    <w:p>
      <w:pPr>
        <w:sectPr>
          <w:pgSz w:w="11900" w:h="16838" w:orient="portrait"/>
          <w:cols w:equalWidth="0" w:num="3">
            <w:col w:w="860" w:space="520"/>
            <w:col w:w="100" w:space="640"/>
            <w:col w:w="8099"/>
          </w:cols>
          <w:pgMar w:left="240" w:top="452" w:right="1440" w:bottom="144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1920" w:space="720"/>
            <w:col w:w="7579"/>
          </w:cols>
          <w:pgMar w:left="240" w:top="452" w:right="1440" w:bottom="1440" w:gutter="0" w:footer="0" w:header="0"/>
          <w:type w:val="continuous"/>
        </w:sectPr>
      </w:pPr>
    </w:p>
    <w:p>
      <w:pPr>
        <w:spacing w:after="0" w:line="24" w:lineRule="exact"/>
        <w:rPr>
          <w:sz w:val="24"/>
          <w:szCs w:val="24"/>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The number of shares of Common Stock outstanding as of March 1, 1996 was 12,290,353.</w:t>
      </w:r>
    </w:p>
    <w:p>
      <w:pPr>
        <w:spacing w:after="0" w:line="200" w:lineRule="exact"/>
        <w:rPr>
          <w:sz w:val="24"/>
          <w:szCs w:val="24"/>
          <w:color w:val="auto"/>
        </w:rPr>
      </w:pPr>
    </w:p>
    <w:p>
      <w:pPr>
        <w:spacing w:after="0" w:line="21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452" w:right="1440"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4"/>
        </w:trPr>
        <w:tc>
          <w:tcPr>
            <w:tcW w:w="960" w:type="dxa"/>
            <w:vAlign w:val="bottom"/>
          </w:tcPr>
          <w:p>
            <w:pPr>
              <w:spacing w:after="0"/>
              <w:rPr>
                <w:sz w:val="17"/>
                <w:szCs w:val="17"/>
                <w:color w:val="auto"/>
              </w:rPr>
            </w:pPr>
          </w:p>
        </w:tc>
        <w:tc>
          <w:tcPr>
            <w:tcW w:w="6900" w:type="dxa"/>
            <w:vAlign w:val="bottom"/>
          </w:tcPr>
          <w:p>
            <w:pPr>
              <w:ind w:left="2420"/>
              <w:spacing w:after="0"/>
              <w:rPr>
                <w:sz w:val="20"/>
                <w:szCs w:val="20"/>
                <w:color w:val="auto"/>
              </w:rPr>
            </w:pPr>
            <w:r>
              <w:rPr>
                <w:rFonts w:ascii="Courier New" w:cs="Courier New" w:eastAsia="Courier New" w:hAnsi="Courier New"/>
                <w:sz w:val="18"/>
                <w:szCs w:val="18"/>
                <w:color w:val="auto"/>
              </w:rPr>
              <w:t>THE TORO COMPANY</w:t>
            </w:r>
          </w:p>
        </w:tc>
        <w:tc>
          <w:tcPr>
            <w:tcW w:w="36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6900" w:type="dxa"/>
            <w:vAlign w:val="bottom"/>
          </w:tcPr>
          <w:p>
            <w:pPr>
              <w:ind w:left="2320"/>
              <w:spacing w:after="0" w:line="203" w:lineRule="exact"/>
              <w:rPr>
                <w:sz w:val="20"/>
                <w:szCs w:val="20"/>
                <w:color w:val="auto"/>
              </w:rPr>
            </w:pPr>
            <w:r>
              <w:rPr>
                <w:rFonts w:ascii="Courier New" w:cs="Courier New" w:eastAsia="Courier New" w:hAnsi="Courier New"/>
                <w:sz w:val="18"/>
                <w:szCs w:val="18"/>
                <w:color w:val="auto"/>
              </w:rPr>
              <w:t>INDEX TO FORM 10-Q</w:t>
            </w:r>
          </w:p>
        </w:tc>
        <w:tc>
          <w:tcPr>
            <w:tcW w:w="360" w:type="dxa"/>
            <w:vAlign w:val="bottom"/>
          </w:tcPr>
          <w:p>
            <w:pPr>
              <w:spacing w:after="0"/>
              <w:rPr>
                <w:sz w:val="17"/>
                <w:szCs w:val="17"/>
                <w:color w:val="auto"/>
              </w:rPr>
            </w:pPr>
          </w:p>
        </w:tc>
      </w:tr>
      <w:tr>
        <w:trPr>
          <w:trHeight w:val="810"/>
        </w:trPr>
        <w:tc>
          <w:tcPr>
            <w:tcW w:w="960" w:type="dxa"/>
            <w:vAlign w:val="bottom"/>
          </w:tcPr>
          <w:p>
            <w:pPr>
              <w:spacing w:after="0"/>
              <w:rPr>
                <w:sz w:val="24"/>
                <w:szCs w:val="24"/>
                <w:color w:val="auto"/>
              </w:rPr>
            </w:pPr>
          </w:p>
        </w:tc>
        <w:tc>
          <w:tcPr>
            <w:tcW w:w="7260" w:type="dxa"/>
            <w:vAlign w:val="bottom"/>
            <w:gridSpan w:val="2"/>
          </w:tcPr>
          <w:p>
            <w:pPr>
              <w:ind w:left="5900"/>
              <w:spacing w:after="0"/>
              <w:rPr>
                <w:sz w:val="20"/>
                <w:szCs w:val="20"/>
                <w:color w:val="auto"/>
              </w:rPr>
            </w:pPr>
            <w:r>
              <w:rPr>
                <w:rFonts w:ascii="Courier New" w:cs="Courier New" w:eastAsia="Courier New" w:hAnsi="Courier New"/>
                <w:sz w:val="18"/>
                <w:szCs w:val="18"/>
                <w:color w:val="auto"/>
              </w:rPr>
              <w:t>Page Number</w:t>
            </w:r>
          </w:p>
        </w:tc>
      </w:tr>
      <w:tr>
        <w:trPr>
          <w:trHeight w:val="203"/>
        </w:trPr>
        <w:tc>
          <w:tcPr>
            <w:tcW w:w="960" w:type="dxa"/>
            <w:vAlign w:val="bottom"/>
          </w:tcPr>
          <w:p>
            <w:pPr>
              <w:spacing w:after="0"/>
              <w:rPr>
                <w:sz w:val="17"/>
                <w:szCs w:val="17"/>
                <w:color w:val="auto"/>
              </w:rPr>
            </w:pPr>
          </w:p>
        </w:tc>
        <w:tc>
          <w:tcPr>
            <w:tcW w:w="7260" w:type="dxa"/>
            <w:vAlign w:val="bottom"/>
            <w:gridSpan w:val="2"/>
          </w:tcPr>
          <w:p>
            <w:pPr>
              <w:ind w:left="5900"/>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6900" w:type="dxa"/>
            <w:vAlign w:val="bottom"/>
          </w:tcPr>
          <w:p>
            <w:pPr>
              <w:ind w:left="100"/>
              <w:spacing w:after="0"/>
              <w:rPr>
                <w:sz w:val="20"/>
                <w:szCs w:val="20"/>
                <w:color w:val="auto"/>
              </w:rPr>
            </w:pPr>
            <w:r>
              <w:rPr>
                <w:rFonts w:ascii="Courier New" w:cs="Courier New" w:eastAsia="Courier New" w:hAnsi="Courier New"/>
                <w:sz w:val="18"/>
                <w:szCs w:val="18"/>
                <w:color w:val="auto"/>
              </w:rPr>
              <w:t>FINANCIAL INFORMATION:</w:t>
            </w:r>
          </w:p>
        </w:tc>
        <w:tc>
          <w:tcPr>
            <w:tcW w:w="360" w:type="dxa"/>
            <w:vAlign w:val="bottom"/>
          </w:tcPr>
          <w:p>
            <w:pPr>
              <w:spacing w:after="0"/>
              <w:rPr>
                <w:sz w:val="24"/>
                <w:szCs w:val="24"/>
                <w:color w:val="auto"/>
              </w:rPr>
            </w:pPr>
          </w:p>
        </w:tc>
      </w:tr>
      <w:tr>
        <w:trPr>
          <w:trHeight w:val="405"/>
        </w:trPr>
        <w:tc>
          <w:tcPr>
            <w:tcW w:w="960" w:type="dxa"/>
            <w:vAlign w:val="bottom"/>
          </w:tcPr>
          <w:p>
            <w:pPr>
              <w:spacing w:after="0"/>
              <w:rPr>
                <w:sz w:val="24"/>
                <w:szCs w:val="24"/>
                <w:color w:val="auto"/>
              </w:rPr>
            </w:pPr>
          </w:p>
        </w:tc>
        <w:tc>
          <w:tcPr>
            <w:tcW w:w="6900" w:type="dxa"/>
            <w:vAlign w:val="bottom"/>
          </w:tcPr>
          <w:p>
            <w:pPr>
              <w:ind w:left="100"/>
              <w:spacing w:after="0"/>
              <w:rPr>
                <w:sz w:val="20"/>
                <w:szCs w:val="20"/>
                <w:color w:val="auto"/>
              </w:rPr>
            </w:pPr>
            <w:r>
              <w:rPr>
                <w:rFonts w:ascii="Courier New" w:cs="Courier New" w:eastAsia="Courier New" w:hAnsi="Courier New"/>
                <w:sz w:val="18"/>
                <w:szCs w:val="18"/>
                <w:color w:val="auto"/>
              </w:rPr>
              <w:t>Condensed Consolidated Statements of Earnings and</w:t>
            </w:r>
          </w:p>
        </w:tc>
        <w:tc>
          <w:tcPr>
            <w:tcW w:w="36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6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Retained Earnings (Unaudited) -</w:t>
            </w:r>
          </w:p>
        </w:tc>
        <w:tc>
          <w:tcPr>
            <w:tcW w:w="360" w:type="dxa"/>
            <w:vAlign w:val="bottom"/>
          </w:tcPr>
          <w:p>
            <w:pPr>
              <w:spacing w:after="0"/>
              <w:rPr>
                <w:sz w:val="17"/>
                <w:szCs w:val="17"/>
                <w:color w:val="auto"/>
              </w:rPr>
            </w:pPr>
          </w:p>
        </w:tc>
      </w:tr>
      <w:tr>
        <w:trPr>
          <w:trHeight w:val="203"/>
        </w:trPr>
        <w:tc>
          <w:tcPr>
            <w:tcW w:w="960" w:type="dxa"/>
            <w:vAlign w:val="bottom"/>
          </w:tcPr>
          <w:p>
            <w:pPr>
              <w:spacing w:after="0"/>
              <w:rPr>
                <w:sz w:val="17"/>
                <w:szCs w:val="17"/>
                <w:color w:val="auto"/>
              </w:rPr>
            </w:pPr>
          </w:p>
        </w:tc>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Three Months Ended February 2, 1996 and February 3, 1995. . .</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960" w:type="dxa"/>
            <w:vAlign w:val="bottom"/>
          </w:tcPr>
          <w:p>
            <w:pPr>
              <w:spacing w:after="0"/>
              <w:rPr>
                <w:sz w:val="24"/>
                <w:szCs w:val="24"/>
                <w:color w:val="auto"/>
              </w:rPr>
            </w:pPr>
          </w:p>
        </w:tc>
        <w:tc>
          <w:tcPr>
            <w:tcW w:w="6900" w:type="dxa"/>
            <w:vAlign w:val="bottom"/>
          </w:tcPr>
          <w:p>
            <w:pPr>
              <w:ind w:left="100"/>
              <w:spacing w:after="0"/>
              <w:rPr>
                <w:sz w:val="20"/>
                <w:szCs w:val="20"/>
                <w:color w:val="auto"/>
              </w:rPr>
            </w:pPr>
            <w:r>
              <w:rPr>
                <w:rFonts w:ascii="Courier New" w:cs="Courier New" w:eastAsia="Courier New" w:hAnsi="Courier New"/>
                <w:sz w:val="18"/>
                <w:szCs w:val="18"/>
                <w:color w:val="auto"/>
              </w:rPr>
              <w:t>Condensed Consolidated Balance Sheets (Unaudited) -</w:t>
            </w:r>
          </w:p>
        </w:tc>
        <w:tc>
          <w:tcPr>
            <w:tcW w:w="36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February 2, 1996, February 3, 1995 and October 31, 1995 . . .</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960" w:type="dxa"/>
            <w:vAlign w:val="bottom"/>
          </w:tcPr>
          <w:p>
            <w:pPr>
              <w:spacing w:after="0"/>
              <w:rPr>
                <w:sz w:val="24"/>
                <w:szCs w:val="24"/>
                <w:color w:val="auto"/>
              </w:rPr>
            </w:pPr>
          </w:p>
        </w:tc>
        <w:tc>
          <w:tcPr>
            <w:tcW w:w="6900" w:type="dxa"/>
            <w:vAlign w:val="bottom"/>
          </w:tcPr>
          <w:p>
            <w:pPr>
              <w:ind w:left="100"/>
              <w:spacing w:after="0"/>
              <w:rPr>
                <w:sz w:val="20"/>
                <w:szCs w:val="20"/>
                <w:color w:val="auto"/>
              </w:rPr>
            </w:pPr>
            <w:r>
              <w:rPr>
                <w:rFonts w:ascii="Courier New" w:cs="Courier New" w:eastAsia="Courier New" w:hAnsi="Courier New"/>
                <w:sz w:val="18"/>
                <w:szCs w:val="18"/>
                <w:color w:val="auto"/>
              </w:rPr>
              <w:t>Consolidated Statements of Cash Flows (Unaudited) -</w:t>
            </w:r>
          </w:p>
        </w:tc>
        <w:tc>
          <w:tcPr>
            <w:tcW w:w="36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Three Months Ended February 2, 1996 and February 3, 1995. . .</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960" w:type="dxa"/>
            <w:vAlign w:val="bottom"/>
          </w:tcPr>
          <w:p>
            <w:pPr>
              <w:spacing w:after="0"/>
              <w:rPr>
                <w:sz w:val="24"/>
                <w:szCs w:val="24"/>
                <w:color w:val="auto"/>
              </w:rPr>
            </w:pPr>
          </w:p>
        </w:tc>
        <w:tc>
          <w:tcPr>
            <w:tcW w:w="6900" w:type="dxa"/>
            <w:vAlign w:val="bottom"/>
          </w:tcPr>
          <w:p>
            <w:pPr>
              <w:ind w:left="100"/>
              <w:spacing w:after="0"/>
              <w:rPr>
                <w:sz w:val="20"/>
                <w:szCs w:val="20"/>
                <w:color w:val="auto"/>
              </w:rPr>
            </w:pPr>
            <w:r>
              <w:rPr>
                <w:rFonts w:ascii="Courier New" w:cs="Courier New" w:eastAsia="Courier New" w:hAnsi="Courier New"/>
                <w:sz w:val="18"/>
                <w:szCs w:val="18"/>
                <w:color w:val="auto"/>
              </w:rPr>
              <w:t>Notes to Condensed Consolidated Financial</w:t>
            </w:r>
          </w:p>
        </w:tc>
        <w:tc>
          <w:tcPr>
            <w:tcW w:w="36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Statements (Unaudited). . . . . . . . . . . . . . . . . . . . .</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960" w:type="dxa"/>
            <w:vAlign w:val="bottom"/>
          </w:tcPr>
          <w:p>
            <w:pPr>
              <w:spacing w:after="0"/>
              <w:rPr>
                <w:sz w:val="24"/>
                <w:szCs w:val="24"/>
                <w:color w:val="auto"/>
              </w:rPr>
            </w:pPr>
          </w:p>
        </w:tc>
        <w:tc>
          <w:tcPr>
            <w:tcW w:w="6900" w:type="dxa"/>
            <w:vAlign w:val="bottom"/>
          </w:tcPr>
          <w:p>
            <w:pPr>
              <w:ind w:left="100"/>
              <w:spacing w:after="0"/>
              <w:rPr>
                <w:sz w:val="20"/>
                <w:szCs w:val="20"/>
                <w:color w:val="auto"/>
              </w:rPr>
            </w:pPr>
            <w:r>
              <w:rPr>
                <w:rFonts w:ascii="Courier New" w:cs="Courier New" w:eastAsia="Courier New" w:hAnsi="Courier New"/>
                <w:sz w:val="18"/>
                <w:szCs w:val="18"/>
                <w:color w:val="auto"/>
              </w:rPr>
              <w:t>Management's Discussion and Analysis of Financial</w:t>
            </w:r>
          </w:p>
        </w:tc>
        <w:tc>
          <w:tcPr>
            <w:tcW w:w="360" w:type="dxa"/>
            <w:vAlign w:val="bottom"/>
          </w:tcPr>
          <w:p>
            <w:pPr>
              <w:spacing w:after="0"/>
              <w:rPr>
                <w:sz w:val="24"/>
                <w:szCs w:val="24"/>
                <w:color w:val="auto"/>
              </w:rPr>
            </w:pPr>
          </w:p>
        </w:tc>
      </w:tr>
      <w:tr>
        <w:trPr>
          <w:trHeight w:val="203"/>
        </w:trPr>
        <w:tc>
          <w:tcPr>
            <w:tcW w:w="960" w:type="dxa"/>
            <w:vAlign w:val="bottom"/>
          </w:tcPr>
          <w:p>
            <w:pPr>
              <w:spacing w:after="0"/>
              <w:rPr>
                <w:sz w:val="17"/>
                <w:szCs w:val="17"/>
                <w:color w:val="auto"/>
              </w:rPr>
            </w:pPr>
          </w:p>
        </w:tc>
        <w:tc>
          <w:tcPr>
            <w:tcW w:w="6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Condition and Results of Operations . . . . . . . . . . . . .</w:t>
            </w:r>
          </w:p>
        </w:tc>
        <w:tc>
          <w:tcPr>
            <w:tcW w:w="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7-9</w:t>
            </w:r>
          </w:p>
        </w:tc>
      </w:tr>
      <w:tr>
        <w:trPr>
          <w:trHeight w:val="608"/>
        </w:trPr>
        <w:tc>
          <w:tcPr>
            <w:tcW w:w="9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6900" w:type="dxa"/>
            <w:vAlign w:val="bottom"/>
          </w:tcPr>
          <w:p>
            <w:pPr>
              <w:ind w:left="100"/>
              <w:spacing w:after="0"/>
              <w:rPr>
                <w:sz w:val="20"/>
                <w:szCs w:val="20"/>
                <w:color w:val="auto"/>
              </w:rPr>
            </w:pPr>
            <w:r>
              <w:rPr>
                <w:rFonts w:ascii="Courier New" w:cs="Courier New" w:eastAsia="Courier New" w:hAnsi="Courier New"/>
                <w:sz w:val="18"/>
                <w:szCs w:val="18"/>
                <w:color w:val="auto"/>
              </w:rPr>
              <w:t>OTHER INFORMATION:</w:t>
            </w:r>
          </w:p>
        </w:tc>
        <w:tc>
          <w:tcPr>
            <w:tcW w:w="360" w:type="dxa"/>
            <w:vAlign w:val="bottom"/>
          </w:tcPr>
          <w:p>
            <w:pPr>
              <w:spacing w:after="0"/>
              <w:rPr>
                <w:sz w:val="24"/>
                <w:szCs w:val="24"/>
                <w:color w:val="auto"/>
              </w:rPr>
            </w:pPr>
          </w:p>
        </w:tc>
      </w:tr>
      <w:tr>
        <w:trPr>
          <w:trHeight w:val="608"/>
        </w:trPr>
        <w:tc>
          <w:tcPr>
            <w:tcW w:w="960" w:type="dxa"/>
            <w:vAlign w:val="bottom"/>
          </w:tcPr>
          <w:p>
            <w:pPr>
              <w:spacing w:after="0"/>
              <w:rPr>
                <w:sz w:val="24"/>
                <w:szCs w:val="24"/>
                <w:color w:val="auto"/>
              </w:rPr>
            </w:pPr>
          </w:p>
        </w:tc>
        <w:tc>
          <w:tcPr>
            <w:tcW w:w="6900" w:type="dxa"/>
            <w:vAlign w:val="bottom"/>
          </w:tcPr>
          <w:p>
            <w:pPr>
              <w:ind w:left="100"/>
              <w:spacing w:after="0"/>
              <w:rPr>
                <w:sz w:val="20"/>
                <w:szCs w:val="20"/>
                <w:color w:val="auto"/>
              </w:rPr>
            </w:pPr>
            <w:r>
              <w:rPr>
                <w:rFonts w:ascii="Courier New" w:cs="Courier New" w:eastAsia="Courier New" w:hAnsi="Courier New"/>
                <w:sz w:val="18"/>
                <w:szCs w:val="18"/>
                <w:color w:val="auto"/>
                <w:w w:val="98"/>
              </w:rPr>
              <w:t>Item 6  Exhibits and Reports on Form 8-K . . . . . . . . . . . .</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rPr>
              <w:t>10</w:t>
            </w:r>
          </w:p>
        </w:tc>
      </w:tr>
      <w:tr>
        <w:trPr>
          <w:trHeight w:val="405"/>
        </w:trPr>
        <w:tc>
          <w:tcPr>
            <w:tcW w:w="960" w:type="dxa"/>
            <w:vAlign w:val="bottom"/>
          </w:tcPr>
          <w:p>
            <w:pPr>
              <w:spacing w:after="0"/>
              <w:rPr>
                <w:sz w:val="24"/>
                <w:szCs w:val="24"/>
                <w:color w:val="auto"/>
              </w:rPr>
            </w:pPr>
          </w:p>
        </w:tc>
        <w:tc>
          <w:tcPr>
            <w:tcW w:w="6900" w:type="dxa"/>
            <w:vAlign w:val="bottom"/>
          </w:tcPr>
          <w:p>
            <w:pPr>
              <w:jc w:val="right"/>
              <w:spacing w:after="0"/>
              <w:rPr>
                <w:sz w:val="20"/>
                <w:szCs w:val="20"/>
                <w:color w:val="auto"/>
              </w:rPr>
            </w:pPr>
            <w:r>
              <w:rPr>
                <w:rFonts w:ascii="Courier New" w:cs="Courier New" w:eastAsia="Courier New" w:hAnsi="Courier New"/>
                <w:sz w:val="18"/>
                <w:szCs w:val="18"/>
                <w:color w:val="auto"/>
              </w:rPr>
              <w:t>Exhibit 11  Computation of Earnings per Common Share. . . . .</w:t>
            </w:r>
          </w:p>
        </w:tc>
        <w:tc>
          <w:tcPr>
            <w:tcW w:w="360" w:type="dxa"/>
            <w:vAlign w:val="bottom"/>
          </w:tcPr>
          <w:p>
            <w:pPr>
              <w:ind w:left="40"/>
              <w:spacing w:after="0"/>
              <w:rPr>
                <w:sz w:val="20"/>
                <w:szCs w:val="20"/>
                <w:color w:val="auto"/>
              </w:rPr>
            </w:pPr>
            <w:r>
              <w:rPr>
                <w:rFonts w:ascii="Courier New" w:cs="Courier New" w:eastAsia="Courier New" w:hAnsi="Courier New"/>
                <w:sz w:val="18"/>
                <w:szCs w:val="18"/>
                <w:color w:val="auto"/>
              </w:rPr>
              <w:t>11</w:t>
            </w:r>
          </w:p>
        </w:tc>
      </w:tr>
      <w:tr>
        <w:trPr>
          <w:trHeight w:val="608"/>
        </w:trPr>
        <w:tc>
          <w:tcPr>
            <w:tcW w:w="960" w:type="dxa"/>
            <w:vAlign w:val="bottom"/>
          </w:tcPr>
          <w:p>
            <w:pPr>
              <w:spacing w:after="0"/>
              <w:rPr>
                <w:sz w:val="24"/>
                <w:szCs w:val="24"/>
                <w:color w:val="auto"/>
              </w:rPr>
            </w:pPr>
          </w:p>
        </w:tc>
        <w:tc>
          <w:tcPr>
            <w:tcW w:w="6900" w:type="dxa"/>
            <w:vAlign w:val="bottom"/>
          </w:tcPr>
          <w:p>
            <w:pPr>
              <w:ind w:left="3160"/>
              <w:spacing w:after="0"/>
              <w:rPr>
                <w:sz w:val="20"/>
                <w:szCs w:val="20"/>
                <w:color w:val="auto"/>
              </w:rPr>
            </w:pPr>
            <w:r>
              <w:rPr>
                <w:rFonts w:ascii="Courier New" w:cs="Courier New" w:eastAsia="Courier New" w:hAnsi="Courier New"/>
                <w:sz w:val="18"/>
                <w:szCs w:val="18"/>
                <w:color w:val="auto"/>
              </w:rPr>
              <w:t>-2-</w:t>
            </w:r>
          </w:p>
        </w:tc>
        <w:tc>
          <w:tcPr>
            <w:tcW w:w="36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2" w:name="page3"/>
    <w:bookmarkEnd w:id="2"/>
    <w:p>
      <w:pPr>
        <w:jc w:val="center"/>
        <w:ind w:right="1659"/>
        <w:spacing w:after="0"/>
        <w:rPr>
          <w:sz w:val="20"/>
          <w:szCs w:val="20"/>
          <w:color w:val="auto"/>
        </w:rPr>
      </w:pPr>
      <w:r>
        <w:rPr>
          <w:rFonts w:ascii="Courier New" w:cs="Courier New" w:eastAsia="Courier New" w:hAnsi="Courier New"/>
          <w:sz w:val="18"/>
          <w:szCs w:val="18"/>
          <w:color w:val="auto"/>
        </w:rPr>
        <w:t>PART I. FINANCIAL INFORMATION</w:t>
      </w:r>
    </w:p>
    <w:p>
      <w:pPr>
        <w:spacing w:after="0" w:line="201" w:lineRule="exact"/>
        <w:rPr>
          <w:sz w:val="20"/>
          <w:szCs w:val="20"/>
          <w:color w:val="auto"/>
        </w:rPr>
      </w:pPr>
    </w:p>
    <w:p>
      <w:pPr>
        <w:jc w:val="center"/>
        <w:ind w:right="1659"/>
        <w:spacing w:after="0"/>
        <w:rPr>
          <w:sz w:val="20"/>
          <w:szCs w:val="20"/>
          <w:color w:val="auto"/>
        </w:rPr>
      </w:pPr>
      <w:r>
        <w:rPr>
          <w:rFonts w:ascii="Courier New" w:cs="Courier New" w:eastAsia="Courier New" w:hAnsi="Courier New"/>
          <w:sz w:val="18"/>
          <w:szCs w:val="18"/>
          <w:color w:val="auto"/>
        </w:rPr>
        <w:t>THE TORO COMPANY AND SUBSIDIARIES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CONDENSED CONSOLIDATED STATEMENTS OF EARNINGS AND RETAINED EARNINGS (UNAUDITED)</w:t>
      </w:r>
    </w:p>
    <w:p>
      <w:pPr>
        <w:spacing w:after="0" w:line="16"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Three Months Ended</w:t>
      </w:r>
    </w:p>
    <w:p>
      <w:pPr>
        <w:ind w:left="4740"/>
        <w:spacing w:after="0" w:line="238" w:lineRule="auto"/>
        <w:rPr>
          <w:sz w:val="20"/>
          <w:szCs w:val="20"/>
          <w:color w:val="auto"/>
        </w:rPr>
      </w:pPr>
      <w:r>
        <w:rPr>
          <w:rFonts w:ascii="Courier New" w:cs="Courier New" w:eastAsia="Courier New" w:hAnsi="Courier New"/>
          <w:sz w:val="18"/>
          <w:szCs w:val="18"/>
          <w:color w:val="auto"/>
        </w:rPr>
        <w:t>-------------------------------</w:t>
      </w:r>
    </w:p>
    <w:tbl>
      <w:tblPr>
        <w:tblLayout w:type="fixed"/>
        <w:tblInd w:w="0" w:type="dxa"/>
        <w:tblCellMar>
          <w:top w:w="0" w:type="dxa"/>
          <w:left w:w="0" w:type="dxa"/>
          <w:bottom w:w="0" w:type="dxa"/>
          <w:right w:w="0" w:type="dxa"/>
        </w:tblCellMar>
      </w:tblPr>
      <w:tr>
        <w:trPr>
          <w:trHeight w:val="203"/>
        </w:trPr>
        <w:tc>
          <w:tcPr>
            <w:tcW w:w="6380" w:type="dxa"/>
            <w:vAlign w:val="bottom"/>
            <w:gridSpan w:val="2"/>
          </w:tcPr>
          <w:p>
            <w:pPr>
              <w:jc w:val="right"/>
              <w:ind w:right="392"/>
              <w:spacing w:after="0"/>
              <w:rPr>
                <w:sz w:val="20"/>
                <w:szCs w:val="20"/>
                <w:color w:val="auto"/>
              </w:rPr>
            </w:pPr>
            <w:r>
              <w:rPr>
                <w:rFonts w:ascii="Courier New" w:cs="Courier New" w:eastAsia="Courier New" w:hAnsi="Courier New"/>
                <w:sz w:val="18"/>
                <w:szCs w:val="18"/>
                <w:color w:val="auto"/>
              </w:rPr>
              <w:t>February 2,</w:t>
            </w:r>
          </w:p>
        </w:tc>
        <w:tc>
          <w:tcPr>
            <w:tcW w:w="16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February 3,</w:t>
            </w:r>
          </w:p>
        </w:tc>
      </w:tr>
      <w:tr>
        <w:trPr>
          <w:trHeight w:val="203"/>
        </w:trPr>
        <w:tc>
          <w:tcPr>
            <w:tcW w:w="5060" w:type="dxa"/>
            <w:vAlign w:val="bottom"/>
          </w:tcPr>
          <w:p>
            <w:pPr>
              <w:spacing w:after="0"/>
              <w:rPr>
                <w:sz w:val="17"/>
                <w:szCs w:val="17"/>
                <w:color w:val="auto"/>
              </w:rPr>
            </w:pPr>
          </w:p>
        </w:tc>
        <w:tc>
          <w:tcPr>
            <w:tcW w:w="13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w w:val="92"/>
              </w:rPr>
              <w:t>1996</w:t>
            </w:r>
          </w:p>
        </w:tc>
        <w:tc>
          <w:tcPr>
            <w:tcW w:w="680" w:type="dxa"/>
            <w:vAlign w:val="bottom"/>
          </w:tcPr>
          <w:p>
            <w:pPr>
              <w:spacing w:after="0"/>
              <w:rPr>
                <w:sz w:val="17"/>
                <w:szCs w:val="17"/>
                <w:color w:val="auto"/>
              </w:rPr>
            </w:pPr>
          </w:p>
        </w:tc>
        <w:tc>
          <w:tcPr>
            <w:tcW w:w="9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638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ind w:left="48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608"/>
        </w:trPr>
        <w:tc>
          <w:tcPr>
            <w:tcW w:w="5060" w:type="dxa"/>
            <w:vAlign w:val="bottom"/>
          </w:tcPr>
          <w:p>
            <w:pPr>
              <w:spacing w:after="0"/>
              <w:rPr>
                <w:sz w:val="20"/>
                <w:szCs w:val="20"/>
                <w:color w:val="auto"/>
              </w:rPr>
            </w:pPr>
            <w:r>
              <w:rPr>
                <w:rFonts w:ascii="Courier New" w:cs="Courier New" w:eastAsia="Courier New" w:hAnsi="Courier New"/>
                <w:sz w:val="18"/>
                <w:szCs w:val="18"/>
                <w:color w:val="auto"/>
              </w:rPr>
              <w:t>Net sales. . . . . . . . . . . . . . . . . . $</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5"/>
              </w:rPr>
              <w:t>211,501</w:t>
            </w:r>
          </w:p>
        </w:tc>
        <w:tc>
          <w:tcPr>
            <w:tcW w:w="680" w:type="dxa"/>
            <w:vAlign w:val="bottom"/>
          </w:tcPr>
          <w:p>
            <w:pPr>
              <w:ind w:left="480"/>
              <w:spacing w:after="0"/>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213,950</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sales. . . . . . . . . . . . . . . .</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135,172</w:t>
            </w:r>
          </w:p>
        </w:tc>
        <w:tc>
          <w:tcPr>
            <w:tcW w:w="6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137,882</w:t>
            </w:r>
          </w:p>
        </w:tc>
      </w:tr>
      <w:tr>
        <w:trPr>
          <w:trHeight w:val="203"/>
        </w:trPr>
        <w:tc>
          <w:tcPr>
            <w:tcW w:w="6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Gross profit . . . . . . . . . . . . . .</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76,329</w:t>
            </w:r>
          </w:p>
        </w:tc>
        <w:tc>
          <w:tcPr>
            <w:tcW w:w="6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76,068</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general and administrative</w:t>
            </w: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expense . . . . . . . . . . . . . . . . . .</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63,824</w:t>
            </w:r>
          </w:p>
        </w:tc>
        <w:tc>
          <w:tcPr>
            <w:tcW w:w="6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63,994</w:t>
            </w:r>
          </w:p>
        </w:tc>
      </w:tr>
      <w:tr>
        <w:trPr>
          <w:trHeight w:val="203"/>
        </w:trPr>
        <w:tc>
          <w:tcPr>
            <w:tcW w:w="6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Earnings from operations . . . . . . . .</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12,505</w:t>
            </w:r>
          </w:p>
        </w:tc>
        <w:tc>
          <w:tcPr>
            <w:tcW w:w="6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12,074</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Interest expense . . . . . . . . . . . . . .</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2,969</w:t>
            </w:r>
          </w:p>
        </w:tc>
        <w:tc>
          <w:tcPr>
            <w:tcW w:w="6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2,595</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income, net. . . . . . . . . . . . . .</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(4,513)</w:t>
            </w:r>
          </w:p>
        </w:tc>
        <w:tc>
          <w:tcPr>
            <w:tcW w:w="6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(1,852)</w:t>
            </w:r>
          </w:p>
        </w:tc>
      </w:tr>
      <w:tr>
        <w:trPr>
          <w:trHeight w:val="203"/>
        </w:trPr>
        <w:tc>
          <w:tcPr>
            <w:tcW w:w="6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Earnings before income taxes . . . . . .</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14,049</w:t>
            </w:r>
          </w:p>
        </w:tc>
        <w:tc>
          <w:tcPr>
            <w:tcW w:w="6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11,331</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Provision for income taxes . . . . . . . . .</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5,551</w:t>
            </w:r>
          </w:p>
        </w:tc>
        <w:tc>
          <w:tcPr>
            <w:tcW w:w="680" w:type="dxa"/>
            <w:vAlign w:val="bottom"/>
          </w:tcPr>
          <w:p>
            <w:pPr>
              <w:spacing w:after="0"/>
              <w:rPr>
                <w:sz w:val="17"/>
                <w:szCs w:val="17"/>
                <w:color w:val="auto"/>
              </w:rPr>
            </w:pP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4,532</w:t>
            </w:r>
          </w:p>
        </w:tc>
      </w:tr>
      <w:tr>
        <w:trPr>
          <w:trHeight w:val="203"/>
        </w:trPr>
        <w:tc>
          <w:tcPr>
            <w:tcW w:w="6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Net earnings . . . . . . . . . . . . . . $</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8,498</w:t>
            </w:r>
          </w:p>
        </w:tc>
        <w:tc>
          <w:tcPr>
            <w:tcW w:w="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6,799</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Retained earnings at beginning of period . .</w:t>
            </w: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w w:val="95"/>
              </w:rPr>
              <w:t>142,891</w:t>
            </w:r>
          </w:p>
        </w:tc>
        <w:tc>
          <w:tcPr>
            <w:tcW w:w="680" w:type="dxa"/>
            <w:vAlign w:val="bottom"/>
          </w:tcPr>
          <w:p>
            <w:pPr>
              <w:spacing w:after="0"/>
              <w:rPr>
                <w:sz w:val="24"/>
                <w:szCs w:val="24"/>
                <w:color w:val="auto"/>
              </w:rPr>
            </w:pP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116,482</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Dividends on common stock of $0.12</w:t>
            </w: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per share . . . . . . . . . . . . . . . . .</w:t>
            </w:r>
          </w:p>
        </w:tc>
        <w:tc>
          <w:tcPr>
            <w:tcW w:w="132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(1,465)</w:t>
            </w:r>
          </w:p>
        </w:tc>
        <w:tc>
          <w:tcPr>
            <w:tcW w:w="68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(1,530)</w:t>
            </w:r>
          </w:p>
        </w:tc>
      </w:tr>
      <w:tr>
        <w:trPr>
          <w:trHeight w:val="203"/>
        </w:trPr>
        <w:tc>
          <w:tcPr>
            <w:tcW w:w="6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Retained earnings at end of period . . . . . $</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5"/>
              </w:rPr>
              <w:t>149,924</w:t>
            </w:r>
          </w:p>
        </w:tc>
        <w:tc>
          <w:tcPr>
            <w:tcW w:w="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121,751</w:t>
            </w:r>
          </w:p>
        </w:tc>
      </w:tr>
      <w:tr>
        <w:trPr>
          <w:trHeight w:val="203"/>
        </w:trPr>
        <w:tc>
          <w:tcPr>
            <w:tcW w:w="6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060" w:type="dxa"/>
            <w:vAlign w:val="bottom"/>
          </w:tcPr>
          <w:p>
            <w:pPr>
              <w:spacing w:after="0"/>
              <w:rPr>
                <w:sz w:val="20"/>
                <w:szCs w:val="20"/>
                <w:color w:val="auto"/>
              </w:rPr>
            </w:pPr>
            <w:r>
              <w:rPr>
                <w:rFonts w:ascii="Courier New" w:cs="Courier New" w:eastAsia="Courier New" w:hAnsi="Courier New"/>
                <w:sz w:val="18"/>
                <w:szCs w:val="18"/>
                <w:color w:val="auto"/>
              </w:rPr>
              <w:t>Net earnings per share of common stock and</w:t>
            </w:r>
          </w:p>
        </w:tc>
        <w:tc>
          <w:tcPr>
            <w:tcW w:w="1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equivalent . . . . . . . . . . $</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0.67</w:t>
            </w:r>
          </w:p>
        </w:tc>
        <w:tc>
          <w:tcPr>
            <w:tcW w:w="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0.51</w:t>
            </w:r>
          </w:p>
        </w:tc>
      </w:tr>
      <w:tr>
        <w:trPr>
          <w:trHeight w:val="203"/>
        </w:trPr>
        <w:tc>
          <w:tcPr>
            <w:tcW w:w="6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per share of common stock and</w:t>
            </w: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common stock equivalent - assuming</w:t>
            </w:r>
          </w:p>
        </w:tc>
        <w:tc>
          <w:tcPr>
            <w:tcW w:w="1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full dilution . . . . . . . . . . . . . . . $</w:t>
            </w:r>
          </w:p>
        </w:tc>
        <w:tc>
          <w:tcPr>
            <w:tcW w:w="13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0.67</w:t>
            </w:r>
          </w:p>
        </w:tc>
        <w:tc>
          <w:tcPr>
            <w:tcW w:w="680" w:type="dxa"/>
            <w:vAlign w:val="bottom"/>
          </w:tcPr>
          <w:p>
            <w:pPr>
              <w:ind w:left="48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0.51</w:t>
            </w:r>
          </w:p>
        </w:tc>
      </w:tr>
      <w:tr>
        <w:trPr>
          <w:trHeight w:val="203"/>
        </w:trPr>
        <w:tc>
          <w:tcPr>
            <w:tcW w:w="6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38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rPr>
              <w:t>----------</w:t>
            </w:r>
          </w:p>
        </w:tc>
        <w:tc>
          <w:tcPr>
            <w:tcW w:w="16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717" w:right="1440" w:bottom="1440" w:gutter="0" w:footer="0" w:header="0"/>
        </w:sectPr>
      </w:pPr>
    </w:p>
    <w:bookmarkStart w:id="3" w:name="page4"/>
    <w:bookmarkEnd w:id="3"/>
    <w:p>
      <w:pPr>
        <w:jc w:val="center"/>
        <w:ind w:right="1659"/>
        <w:spacing w:after="0" w:line="236" w:lineRule="auto"/>
        <w:rPr>
          <w:sz w:val="20"/>
          <w:szCs w:val="20"/>
          <w:color w:val="auto"/>
        </w:rPr>
      </w:pPr>
      <w:r>
        <w:rPr>
          <w:rFonts w:ascii="Courier New" w:cs="Courier New" w:eastAsia="Courier New" w:hAnsi="Courier New"/>
          <w:sz w:val="18"/>
          <w:szCs w:val="18"/>
          <w:color w:val="auto"/>
        </w:rPr>
        <w:t>THE TORO COMPANY AND SUBSIDIARIES CONDENSED CONSOLIDATED BALANCE SHEETS (UNAUDITED) (DOLLARS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174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February 2,</w:t>
            </w:r>
          </w:p>
        </w:tc>
        <w:tc>
          <w:tcPr>
            <w:tcW w:w="1580" w:type="dxa"/>
            <w:vAlign w:val="bottom"/>
            <w:gridSpan w:val="2"/>
          </w:tcPr>
          <w:p>
            <w:pPr>
              <w:jc w:val="right"/>
              <w:ind w:right="72"/>
              <w:spacing w:after="0"/>
              <w:rPr>
                <w:sz w:val="20"/>
                <w:szCs w:val="20"/>
                <w:color w:val="auto"/>
              </w:rPr>
            </w:pPr>
            <w:r>
              <w:rPr>
                <w:rFonts w:ascii="Courier New" w:cs="Courier New" w:eastAsia="Courier New" w:hAnsi="Courier New"/>
                <w:sz w:val="18"/>
                <w:szCs w:val="18"/>
                <w:color w:val="auto"/>
              </w:rPr>
              <w:t>February 3,</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October 31,</w:t>
            </w:r>
          </w:p>
        </w:tc>
      </w:tr>
      <w:tr>
        <w:trPr>
          <w:trHeight w:val="203"/>
        </w:trPr>
        <w:tc>
          <w:tcPr>
            <w:tcW w:w="4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1996</w:t>
            </w:r>
          </w:p>
        </w:tc>
        <w:tc>
          <w:tcPr>
            <w:tcW w:w="420" w:type="dxa"/>
            <w:vAlign w:val="bottom"/>
          </w:tcPr>
          <w:p>
            <w:pPr>
              <w:spacing w:after="0"/>
              <w:rPr>
                <w:sz w:val="17"/>
                <w:szCs w:val="17"/>
                <w:color w:val="auto"/>
              </w:rPr>
            </w:pPr>
          </w:p>
        </w:tc>
        <w:tc>
          <w:tcPr>
            <w:tcW w:w="116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1995</w:t>
            </w:r>
          </w:p>
        </w:tc>
        <w:tc>
          <w:tcPr>
            <w:tcW w:w="4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960" w:type="dxa"/>
            <w:vAlign w:val="bottom"/>
          </w:tcPr>
          <w:p>
            <w:pPr>
              <w:spacing w:after="0"/>
              <w:rPr>
                <w:sz w:val="17"/>
                <w:szCs w:val="17"/>
                <w:color w:val="auto"/>
              </w:rPr>
            </w:pPr>
          </w:p>
        </w:tc>
        <w:tc>
          <w:tcPr>
            <w:tcW w:w="17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5"/>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and cash equivalents. . . . . . . . . .</w:t>
            </w:r>
          </w:p>
        </w:tc>
        <w:tc>
          <w:tcPr>
            <w:tcW w:w="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4,322</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9,198</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7,702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Receivables (net). . . . . . . . . . . . . .</w:t>
            </w: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262,473</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221,924</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198,816</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Inventories. . . . . . . . . . . . . . . . .</w:t>
            </w: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163,575</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165,053</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145,862</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current assets . . . . . . . . . . . .</w:t>
            </w: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32,106</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31,216</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33,879</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 current assets. . . . . . . . . . .</w:t>
            </w: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462,476</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427,391</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386,259</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7"/>
              </w:rPr>
              <w:t>Property, plant and equipment. . . . . . . .</w:t>
            </w:r>
          </w:p>
        </w:tc>
        <w:tc>
          <w:tcPr>
            <w:tcW w:w="580" w:type="dxa"/>
            <w:vAlign w:val="bottom"/>
          </w:tcPr>
          <w:p>
            <w:pPr>
              <w:spacing w:after="0"/>
              <w:rPr>
                <w:sz w:val="24"/>
                <w:szCs w:val="24"/>
                <w:color w:val="auto"/>
              </w:rPr>
            </w:pPr>
          </w:p>
        </w:tc>
        <w:tc>
          <w:tcPr>
            <w:tcW w:w="1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213,256</w:t>
            </w:r>
          </w:p>
        </w:tc>
        <w:tc>
          <w:tcPr>
            <w:tcW w:w="420" w:type="dxa"/>
            <w:vAlign w:val="bottom"/>
          </w:tcPr>
          <w:p>
            <w:pPr>
              <w:spacing w:after="0"/>
              <w:rPr>
                <w:sz w:val="24"/>
                <w:szCs w:val="24"/>
                <w:color w:val="auto"/>
              </w:rPr>
            </w:pPr>
          </w:p>
        </w:tc>
        <w:tc>
          <w:tcPr>
            <w:tcW w:w="1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196,816</w:t>
            </w:r>
          </w:p>
        </w:tc>
        <w:tc>
          <w:tcPr>
            <w:tcW w:w="42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211,681</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and amortization. . . . . . . . . . . .</w:t>
            </w: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145,319</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133,752</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141,726</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67,937</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63,064</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69,955</w:t>
            </w: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Other assets . . . . . . . . . . . . . . . .</w:t>
            </w: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17,244</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19,150</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16,439</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 assets. . . . . . . . . . . . . . .</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547,657</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509,605</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472,653</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LIABILITIES AND STOCKHOLDERS' EQUITY</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Current portion of long-term debt. . . . . .</w:t>
            </w:r>
          </w:p>
        </w:tc>
        <w:tc>
          <w:tcPr>
            <w:tcW w:w="5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10,331</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16,055</w:t>
            </w:r>
          </w:p>
        </w:tc>
        <w:tc>
          <w:tcPr>
            <w:tcW w:w="42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15,334</w:t>
            </w: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Short-term borrowing . . . . . . . . . . . .</w:t>
            </w: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114,909</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55,854</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41,575</w:t>
            </w: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Accounts payable . . . . . . . . . . . . . .</w:t>
            </w: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45,977</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41,957</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51,052</w:t>
            </w: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Other accrued liabilities. . . . . . . . . .</w:t>
            </w: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116,547</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140,147</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113,212</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Total current liabilities . . . . . . . .</w:t>
            </w: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287,764</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254,013</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221,173</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7"/>
              </w:rPr>
              <w:t>Long-term debt, less current portion . . . .</w:t>
            </w:r>
          </w:p>
        </w:tc>
        <w:tc>
          <w:tcPr>
            <w:tcW w:w="580" w:type="dxa"/>
            <w:vAlign w:val="bottom"/>
          </w:tcPr>
          <w:p>
            <w:pPr>
              <w:spacing w:after="0"/>
              <w:rPr>
                <w:sz w:val="24"/>
                <w:szCs w:val="24"/>
                <w:color w:val="auto"/>
              </w:rPr>
            </w:pPr>
          </w:p>
        </w:tc>
        <w:tc>
          <w:tcPr>
            <w:tcW w:w="1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53,365</w:t>
            </w:r>
          </w:p>
        </w:tc>
        <w:tc>
          <w:tcPr>
            <w:tcW w:w="420" w:type="dxa"/>
            <w:vAlign w:val="bottom"/>
          </w:tcPr>
          <w:p>
            <w:pPr>
              <w:spacing w:after="0"/>
              <w:rPr>
                <w:sz w:val="24"/>
                <w:szCs w:val="24"/>
                <w:color w:val="auto"/>
              </w:rPr>
            </w:pPr>
          </w:p>
        </w:tc>
        <w:tc>
          <w:tcPr>
            <w:tcW w:w="1160" w:type="dxa"/>
            <w:vAlign w:val="bottom"/>
          </w:tcPr>
          <w:p>
            <w:pPr>
              <w:jc w:val="right"/>
              <w:ind w:right="292"/>
              <w:spacing w:after="0"/>
              <w:rPr>
                <w:sz w:val="20"/>
                <w:szCs w:val="20"/>
                <w:color w:val="auto"/>
              </w:rPr>
            </w:pPr>
            <w:r>
              <w:rPr>
                <w:rFonts w:ascii="Courier New" w:cs="Courier New" w:eastAsia="Courier New" w:hAnsi="Courier New"/>
                <w:sz w:val="18"/>
                <w:szCs w:val="18"/>
                <w:color w:val="auto"/>
              </w:rPr>
              <w:t>65,384</w:t>
            </w:r>
          </w:p>
        </w:tc>
        <w:tc>
          <w:tcPr>
            <w:tcW w:w="420" w:type="dxa"/>
            <w:vAlign w:val="bottom"/>
          </w:tcPr>
          <w:p>
            <w:pPr>
              <w:spacing w:after="0"/>
              <w:rPr>
                <w:sz w:val="24"/>
                <w:szCs w:val="24"/>
                <w:color w:val="auto"/>
              </w:rPr>
            </w:pPr>
          </w:p>
        </w:tc>
        <w:tc>
          <w:tcPr>
            <w:tcW w:w="10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53,365</w:t>
            </w: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7"/>
              </w:rPr>
              <w:t>Other long-term liabilities. . . . . . . . .</w:t>
            </w: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7,178</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5,250</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7,223</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Common stockholders' equity:</w:t>
            </w:r>
          </w:p>
        </w:tc>
        <w:tc>
          <w:tcPr>
            <w:tcW w:w="5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960" w:type="dxa"/>
            <w:vAlign w:val="bottom"/>
          </w:tcPr>
          <w:p>
            <w:pPr>
              <w:jc w:val="right"/>
              <w:ind w:right="1712"/>
              <w:spacing w:after="0" w:line="203" w:lineRule="exact"/>
              <w:rPr>
                <w:sz w:val="20"/>
                <w:szCs w:val="20"/>
                <w:color w:val="auto"/>
              </w:rPr>
            </w:pPr>
            <w:r>
              <w:rPr>
                <w:rFonts w:ascii="Courier New" w:cs="Courier New" w:eastAsia="Courier New" w:hAnsi="Courier New"/>
                <w:sz w:val="18"/>
                <w:szCs w:val="18"/>
                <w:color w:val="auto"/>
              </w:rPr>
              <w:t>Common stock par value $1.00,</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authorized 35,000,000 shares; issued and</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outstanding 12,279,360 shares at February</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2, 1996 (net of 562,965 treasury shares),</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12,770,584 shares at February 3,</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1995 (net of 4,467 treasury shares),</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and 12,167,835 shares at October 31, 1995</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(net of 674,490 treasury shares) . . . . .</w:t>
            </w: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12,279</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12,771</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12,168</w:t>
            </w: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Additional paid-in capital. . . . . . . . .</w:t>
            </w: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37,766</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53,063</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35,712</w:t>
            </w: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Retained earnings . . . . . . . . . . . . .</w:t>
            </w: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149,924</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121,751</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142,891</w:t>
            </w: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Foreign currency translation adjustment . .</w:t>
            </w:r>
          </w:p>
        </w:tc>
        <w:tc>
          <w:tcPr>
            <w:tcW w:w="58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(619)</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121</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199,350</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187,570</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190,892</w:t>
            </w: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Receivable from ESOP. . . . . . . . . . . .</w:t>
            </w: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16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(2,612)</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Total common stockholders' equity . . . . .</w:t>
            </w:r>
          </w:p>
        </w:tc>
        <w:tc>
          <w:tcPr>
            <w:tcW w:w="58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199,350</w:t>
            </w:r>
          </w:p>
        </w:tc>
        <w:tc>
          <w:tcPr>
            <w:tcW w:w="420" w:type="dxa"/>
            <w:vAlign w:val="bottom"/>
          </w:tcPr>
          <w:p>
            <w:pPr>
              <w:spacing w:after="0"/>
              <w:rPr>
                <w:sz w:val="17"/>
                <w:szCs w:val="17"/>
                <w:color w:val="auto"/>
              </w:rPr>
            </w:pP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184,958</w:t>
            </w:r>
          </w:p>
        </w:tc>
        <w:tc>
          <w:tcPr>
            <w:tcW w:w="420" w:type="dxa"/>
            <w:vAlign w:val="bottom"/>
          </w:tcPr>
          <w:p>
            <w:pPr>
              <w:spacing w:after="0"/>
              <w:rPr>
                <w:sz w:val="17"/>
                <w:szCs w:val="17"/>
                <w:color w:val="auto"/>
              </w:rPr>
            </w:pP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190,892</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Total liabilities and common</w:t>
            </w: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stockholders' equity. . . . . . . . . .</w:t>
            </w:r>
          </w:p>
        </w:tc>
        <w:tc>
          <w:tcPr>
            <w:tcW w:w="5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547,657</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509,605</w:t>
            </w:r>
          </w:p>
        </w:tc>
        <w:tc>
          <w:tcPr>
            <w:tcW w:w="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472,653</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74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5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925" w:right="1440" w:bottom="970" w:gutter="0" w:footer="0" w:header="0"/>
        </w:sectPr>
      </w:pPr>
    </w:p>
    <w:bookmarkStart w:id="4" w:name="page5"/>
    <w:bookmarkEnd w:id="4"/>
    <w:p>
      <w:pPr>
        <w:jc w:val="center"/>
        <w:ind w:right="1659"/>
        <w:spacing w:after="0" w:line="236" w:lineRule="auto"/>
        <w:rPr>
          <w:sz w:val="20"/>
          <w:szCs w:val="20"/>
          <w:color w:val="auto"/>
        </w:rPr>
      </w:pPr>
      <w:r>
        <w:rPr>
          <w:rFonts w:ascii="Courier New" w:cs="Courier New" w:eastAsia="Courier New" w:hAnsi="Courier New"/>
          <w:sz w:val="18"/>
          <w:szCs w:val="18"/>
          <w:color w:val="auto"/>
        </w:rPr>
        <w:t>THE TORO COMPANY AND SUBSIDIARIES CONSOLIDATED STATEMENTS OF CASH FLOWS (UNAUDITED) (DOLLARS 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20" w:type="dxa"/>
            <w:vAlign w:val="bottom"/>
            <w:gridSpan w:val="3"/>
          </w:tcPr>
          <w:p>
            <w:pPr>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6540" w:type="dxa"/>
            <w:vAlign w:val="bottom"/>
          </w:tcPr>
          <w:p>
            <w:pPr>
              <w:spacing w:after="0"/>
              <w:rPr>
                <w:sz w:val="17"/>
                <w:szCs w:val="17"/>
                <w:color w:val="auto"/>
              </w:rPr>
            </w:pPr>
          </w:p>
        </w:tc>
        <w:tc>
          <w:tcPr>
            <w:tcW w:w="306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spacing w:after="0"/>
              <w:rPr>
                <w:sz w:val="17"/>
                <w:szCs w:val="17"/>
                <w:color w:val="auto"/>
              </w:rPr>
            </w:pPr>
          </w:p>
        </w:tc>
        <w:tc>
          <w:tcPr>
            <w:tcW w:w="164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February 2,</w:t>
            </w:r>
          </w:p>
        </w:tc>
        <w:tc>
          <w:tcPr>
            <w:tcW w:w="142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February 3,</w:t>
            </w:r>
          </w:p>
        </w:tc>
      </w:tr>
      <w:tr>
        <w:trPr>
          <w:trHeight w:val="203"/>
        </w:trPr>
        <w:tc>
          <w:tcPr>
            <w:tcW w:w="65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0" w:type="dxa"/>
            <w:vAlign w:val="bottom"/>
          </w:tcPr>
          <w:p>
            <w:pPr>
              <w:spacing w:after="0" w:line="203" w:lineRule="exact"/>
              <w:rPr>
                <w:sz w:val="20"/>
                <w:szCs w:val="20"/>
                <w:color w:val="auto"/>
              </w:rPr>
            </w:pPr>
            <w:r>
              <w:rPr>
                <w:rFonts w:ascii="Courier New" w:cs="Courier New" w:eastAsia="Courier New" w:hAnsi="Courier New"/>
                <w:sz w:val="18"/>
                <w:szCs w:val="18"/>
                <w:color w:val="auto"/>
              </w:rPr>
              <w:t>1996</w:t>
            </w:r>
          </w:p>
        </w:tc>
        <w:tc>
          <w:tcPr>
            <w:tcW w:w="420" w:type="dxa"/>
            <w:vAlign w:val="bottom"/>
          </w:tcPr>
          <w:p>
            <w:pPr>
              <w:spacing w:after="0"/>
              <w:rPr>
                <w:sz w:val="17"/>
                <w:szCs w:val="17"/>
                <w:color w:val="auto"/>
              </w:rPr>
            </w:pPr>
          </w:p>
        </w:tc>
        <w:tc>
          <w:tcPr>
            <w:tcW w:w="10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6540" w:type="dxa"/>
            <w:vAlign w:val="bottom"/>
          </w:tcPr>
          <w:p>
            <w:pPr>
              <w:spacing w:after="0"/>
              <w:rPr>
                <w:sz w:val="17"/>
                <w:szCs w:val="17"/>
                <w:color w:val="auto"/>
              </w:rPr>
            </w:pP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54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Net earnings . . . . . . . . . . . . . . . . . . . . . . . .</w:t>
            </w:r>
          </w:p>
        </w:tc>
        <w:tc>
          <w:tcPr>
            <w:tcW w:w="6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8,498</w:t>
            </w:r>
          </w:p>
        </w:tc>
        <w:tc>
          <w:tcPr>
            <w:tcW w:w="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6,799</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Adjustments to reconcile net earnings to net cash</w:t>
            </w: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540" w:type="dxa"/>
            <w:vAlign w:val="bottom"/>
          </w:tcPr>
          <w:p>
            <w:pPr>
              <w:jc w:val="right"/>
              <w:ind w:right="2872"/>
              <w:spacing w:after="0" w:line="203" w:lineRule="exact"/>
              <w:rPr>
                <w:sz w:val="20"/>
                <w:szCs w:val="20"/>
                <w:color w:val="auto"/>
              </w:rPr>
            </w:pPr>
            <w:r>
              <w:rPr>
                <w:rFonts w:ascii="Courier New" w:cs="Courier New" w:eastAsia="Courier New" w:hAnsi="Courier New"/>
                <w:sz w:val="18"/>
                <w:szCs w:val="18"/>
                <w:color w:val="auto"/>
              </w:rPr>
              <w:t>used in operating activities:</w:t>
            </w: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Provision for depreciation and amortization. . . . . . . .</w:t>
            </w:r>
          </w:p>
        </w:tc>
        <w:tc>
          <w:tcPr>
            <w:tcW w:w="64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4,693</w:t>
            </w:r>
          </w:p>
        </w:tc>
        <w:tc>
          <w:tcPr>
            <w:tcW w:w="4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4,441</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Gain on disposal of property, plant and equipment. . . . .</w:t>
            </w:r>
          </w:p>
        </w:tc>
        <w:tc>
          <w:tcPr>
            <w:tcW w:w="64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w:t>
            </w:r>
          </w:p>
        </w:tc>
        <w:tc>
          <w:tcPr>
            <w:tcW w:w="4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Deferred income taxes. . . . . . . . . . . . . . . . . . .</w:t>
            </w:r>
          </w:p>
        </w:tc>
        <w:tc>
          <w:tcPr>
            <w:tcW w:w="64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(297)</w:t>
            </w:r>
          </w:p>
        </w:tc>
      </w:tr>
      <w:tr>
        <w:trPr>
          <w:trHeight w:val="203"/>
        </w:trPr>
        <w:tc>
          <w:tcPr>
            <w:tcW w:w="65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Changes in operating assets and liabilities:</w:t>
            </w: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Receivables (net). . . . . . . . . . . . . . . . . . .</w:t>
            </w:r>
          </w:p>
        </w:tc>
        <w:tc>
          <w:tcPr>
            <w:tcW w:w="64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(63,657)</w:t>
            </w:r>
          </w:p>
        </w:tc>
        <w:tc>
          <w:tcPr>
            <w:tcW w:w="4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(27,941)</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Inventories. . . . . . . . . . . . . . . . . . . . . .</w:t>
            </w:r>
          </w:p>
        </w:tc>
        <w:tc>
          <w:tcPr>
            <w:tcW w:w="64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(17,713)</w:t>
            </w:r>
          </w:p>
        </w:tc>
        <w:tc>
          <w:tcPr>
            <w:tcW w:w="4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(32,199)</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Other current assets . . . . . . . . . . . . . . . . .</w:t>
            </w:r>
          </w:p>
        </w:tc>
        <w:tc>
          <w:tcPr>
            <w:tcW w:w="64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1,773</w:t>
            </w:r>
          </w:p>
        </w:tc>
        <w:tc>
          <w:tcPr>
            <w:tcW w:w="4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(2,997)</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Accounts payable and accrued expenses. . . . . . . . .</w:t>
            </w:r>
          </w:p>
        </w:tc>
        <w:tc>
          <w:tcPr>
            <w:tcW w:w="64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(3,585)</w:t>
            </w:r>
          </w:p>
        </w:tc>
        <w:tc>
          <w:tcPr>
            <w:tcW w:w="4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10,805</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Accrued income taxes . . . . . . . . . . . . . . . . .</w:t>
            </w:r>
          </w:p>
        </w:tc>
        <w:tc>
          <w:tcPr>
            <w:tcW w:w="64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1,844</w:t>
            </w:r>
          </w:p>
        </w:tc>
        <w:tc>
          <w:tcPr>
            <w:tcW w:w="4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(4,833)</w:t>
            </w:r>
          </w:p>
        </w:tc>
      </w:tr>
      <w:tr>
        <w:trPr>
          <w:trHeight w:val="203"/>
        </w:trPr>
        <w:tc>
          <w:tcPr>
            <w:tcW w:w="6540" w:type="dxa"/>
            <w:vAlign w:val="bottom"/>
          </w:tcPr>
          <w:p>
            <w:pPr>
              <w:spacing w:after="0"/>
              <w:rPr>
                <w:sz w:val="17"/>
                <w:szCs w:val="17"/>
                <w:color w:val="auto"/>
              </w:rPr>
            </w:pP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Net cash used in operating activities. . . . . . . .</w:t>
            </w:r>
          </w:p>
        </w:tc>
        <w:tc>
          <w:tcPr>
            <w:tcW w:w="64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4"/>
              </w:rPr>
              <w:t>(68,165)</w:t>
            </w:r>
          </w:p>
        </w:tc>
        <w:tc>
          <w:tcPr>
            <w:tcW w:w="4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(46,328)</w:t>
            </w:r>
          </w:p>
        </w:tc>
      </w:tr>
      <w:tr>
        <w:trPr>
          <w:trHeight w:val="203"/>
        </w:trPr>
        <w:tc>
          <w:tcPr>
            <w:tcW w:w="6540" w:type="dxa"/>
            <w:vAlign w:val="bottom"/>
          </w:tcPr>
          <w:p>
            <w:pPr>
              <w:spacing w:after="0"/>
              <w:rPr>
                <w:sz w:val="17"/>
                <w:szCs w:val="17"/>
                <w:color w:val="auto"/>
              </w:rPr>
            </w:pP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investing activities:</w:t>
            </w: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Purchases of property, plant and equipment . . . . . . . .</w:t>
            </w:r>
          </w:p>
        </w:tc>
        <w:tc>
          <w:tcPr>
            <w:tcW w:w="64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(2,492)</w:t>
            </w:r>
          </w:p>
        </w:tc>
        <w:tc>
          <w:tcPr>
            <w:tcW w:w="4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(7,394)</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Proceeds from asset disposals. . . . . . . . . . . . . . .</w:t>
            </w:r>
          </w:p>
        </w:tc>
        <w:tc>
          <w:tcPr>
            <w:tcW w:w="64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18</w:t>
            </w:r>
          </w:p>
        </w:tc>
        <w:tc>
          <w:tcPr>
            <w:tcW w:w="4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233</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Increase in other assets . . . . . . . . . . . . . . . . .</w:t>
            </w:r>
          </w:p>
        </w:tc>
        <w:tc>
          <w:tcPr>
            <w:tcW w:w="64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(987)</w:t>
            </w:r>
          </w:p>
        </w:tc>
        <w:tc>
          <w:tcPr>
            <w:tcW w:w="4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(910)</w:t>
            </w:r>
          </w:p>
        </w:tc>
      </w:tr>
      <w:tr>
        <w:trPr>
          <w:trHeight w:val="203"/>
        </w:trPr>
        <w:tc>
          <w:tcPr>
            <w:tcW w:w="6540" w:type="dxa"/>
            <w:vAlign w:val="bottom"/>
          </w:tcPr>
          <w:p>
            <w:pPr>
              <w:spacing w:after="0"/>
              <w:rPr>
                <w:sz w:val="17"/>
                <w:szCs w:val="17"/>
                <w:color w:val="auto"/>
              </w:rPr>
            </w:pP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Net cash used in investing activities. . . . . . . .</w:t>
            </w:r>
          </w:p>
        </w:tc>
        <w:tc>
          <w:tcPr>
            <w:tcW w:w="64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(3,461)</w:t>
            </w:r>
          </w:p>
        </w:tc>
        <w:tc>
          <w:tcPr>
            <w:tcW w:w="4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(8,071)</w:t>
            </w:r>
          </w:p>
        </w:tc>
      </w:tr>
      <w:tr>
        <w:trPr>
          <w:trHeight w:val="203"/>
        </w:trPr>
        <w:tc>
          <w:tcPr>
            <w:tcW w:w="6540" w:type="dxa"/>
            <w:vAlign w:val="bottom"/>
          </w:tcPr>
          <w:p>
            <w:pPr>
              <w:spacing w:after="0"/>
              <w:rPr>
                <w:sz w:val="17"/>
                <w:szCs w:val="17"/>
                <w:color w:val="auto"/>
              </w:rPr>
            </w:pP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flows from financing activities:</w:t>
            </w:r>
          </w:p>
        </w:tc>
        <w:tc>
          <w:tcPr>
            <w:tcW w:w="6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Increase in sale of receivables. . . . . . . . . . . . . .</w:t>
            </w:r>
          </w:p>
        </w:tc>
        <w:tc>
          <w:tcPr>
            <w:tcW w:w="64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4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5,927</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Increase in short-term borrowing . . . . . . . . . . . . .</w:t>
            </w:r>
          </w:p>
        </w:tc>
        <w:tc>
          <w:tcPr>
            <w:tcW w:w="64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73,334</w:t>
            </w:r>
          </w:p>
        </w:tc>
        <w:tc>
          <w:tcPr>
            <w:tcW w:w="4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55,854</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Repayments of long-term debt . . . . . . . . . . . . . . .</w:t>
            </w:r>
          </w:p>
        </w:tc>
        <w:tc>
          <w:tcPr>
            <w:tcW w:w="64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(5,003)</w:t>
            </w:r>
          </w:p>
        </w:tc>
        <w:tc>
          <w:tcPr>
            <w:tcW w:w="4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(10,015)</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Change in other long-term liabilities. . . . . . . . . . .</w:t>
            </w:r>
          </w:p>
        </w:tc>
        <w:tc>
          <w:tcPr>
            <w:tcW w:w="64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(45)</w:t>
            </w:r>
          </w:p>
        </w:tc>
        <w:tc>
          <w:tcPr>
            <w:tcW w:w="4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Proceeds from sale of common stock . . . . . . . . . . . .</w:t>
            </w:r>
          </w:p>
        </w:tc>
        <w:tc>
          <w:tcPr>
            <w:tcW w:w="64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2,814</w:t>
            </w:r>
          </w:p>
        </w:tc>
        <w:tc>
          <w:tcPr>
            <w:tcW w:w="4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931</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Purchases of common stock. . . . . . . . . . . . . . . . .</w:t>
            </w:r>
          </w:p>
        </w:tc>
        <w:tc>
          <w:tcPr>
            <w:tcW w:w="64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(649)</w:t>
            </w:r>
          </w:p>
        </w:tc>
        <w:tc>
          <w:tcPr>
            <w:tcW w:w="4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(191)</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Dividends on common stock. . . . . . . . . . . . . . . . .</w:t>
            </w:r>
          </w:p>
        </w:tc>
        <w:tc>
          <w:tcPr>
            <w:tcW w:w="64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(1,465)</w:t>
            </w:r>
          </w:p>
        </w:tc>
        <w:tc>
          <w:tcPr>
            <w:tcW w:w="420" w:type="dxa"/>
            <w:vAlign w:val="bottom"/>
          </w:tcPr>
          <w:p>
            <w:pPr>
              <w:spacing w:after="0"/>
              <w:rPr>
                <w:sz w:val="17"/>
                <w:szCs w:val="17"/>
                <w:color w:val="auto"/>
              </w:rPr>
            </w:pPr>
          </w:p>
        </w:tc>
        <w:tc>
          <w:tcPr>
            <w:tcW w:w="1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(1,530)</w:t>
            </w:r>
          </w:p>
        </w:tc>
      </w:tr>
      <w:tr>
        <w:trPr>
          <w:trHeight w:val="203"/>
        </w:trPr>
        <w:tc>
          <w:tcPr>
            <w:tcW w:w="6540" w:type="dxa"/>
            <w:vAlign w:val="bottom"/>
          </w:tcPr>
          <w:p>
            <w:pPr>
              <w:spacing w:after="0"/>
              <w:rPr>
                <w:sz w:val="17"/>
                <w:szCs w:val="17"/>
                <w:color w:val="auto"/>
              </w:rPr>
            </w:pP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Net cash provided by financing activities. . . . . .</w:t>
            </w:r>
          </w:p>
        </w:tc>
        <w:tc>
          <w:tcPr>
            <w:tcW w:w="64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68,986</w:t>
            </w:r>
          </w:p>
        </w:tc>
        <w:tc>
          <w:tcPr>
            <w:tcW w:w="4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50,976</w:t>
            </w:r>
          </w:p>
        </w:tc>
      </w:tr>
      <w:tr>
        <w:trPr>
          <w:trHeight w:val="203"/>
        </w:trPr>
        <w:tc>
          <w:tcPr>
            <w:tcW w:w="6540" w:type="dxa"/>
            <w:vAlign w:val="bottom"/>
          </w:tcPr>
          <w:p>
            <w:pPr>
              <w:spacing w:after="0"/>
              <w:rPr>
                <w:sz w:val="17"/>
                <w:szCs w:val="17"/>
                <w:color w:val="auto"/>
              </w:rPr>
            </w:pP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5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Foreign currency translation adjustment. . . . . . . . . . .</w:t>
            </w:r>
          </w:p>
        </w:tc>
        <w:tc>
          <w:tcPr>
            <w:tcW w:w="64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(740)</w:t>
            </w:r>
          </w:p>
        </w:tc>
        <w:tc>
          <w:tcPr>
            <w:tcW w:w="420" w:type="dxa"/>
            <w:vAlign w:val="bottom"/>
          </w:tcPr>
          <w:p>
            <w:pPr>
              <w:spacing w:after="0"/>
              <w:rPr>
                <w:sz w:val="24"/>
                <w:szCs w:val="24"/>
                <w:color w:val="auto"/>
              </w:rPr>
            </w:pP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219</w:t>
            </w:r>
          </w:p>
        </w:tc>
      </w:tr>
      <w:tr>
        <w:trPr>
          <w:trHeight w:val="203"/>
        </w:trPr>
        <w:tc>
          <w:tcPr>
            <w:tcW w:w="6540" w:type="dxa"/>
            <w:vAlign w:val="bottom"/>
          </w:tcPr>
          <w:p>
            <w:pPr>
              <w:spacing w:after="0"/>
              <w:rPr>
                <w:sz w:val="17"/>
                <w:szCs w:val="17"/>
                <w:color w:val="auto"/>
              </w:rPr>
            </w:pP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5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Net decrease in cash and cash equivalents. . . . . . . . . .</w:t>
            </w:r>
          </w:p>
        </w:tc>
        <w:tc>
          <w:tcPr>
            <w:tcW w:w="640" w:type="dxa"/>
            <w:vAlign w:val="bottom"/>
          </w:tcPr>
          <w:p>
            <w:pPr>
              <w:spacing w:after="0"/>
              <w:rPr>
                <w:sz w:val="24"/>
                <w:szCs w:val="24"/>
                <w:color w:val="auto"/>
              </w:rPr>
            </w:pPr>
          </w:p>
        </w:tc>
        <w:tc>
          <w:tcPr>
            <w:tcW w:w="100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(3,380)</w:t>
            </w:r>
          </w:p>
        </w:tc>
        <w:tc>
          <w:tcPr>
            <w:tcW w:w="42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8"/>
                <w:szCs w:val="18"/>
                <w:color w:val="auto"/>
              </w:rPr>
              <w:t>(3,204)</w:t>
            </w:r>
          </w:p>
        </w:tc>
      </w:tr>
      <w:tr>
        <w:trPr>
          <w:trHeight w:val="203"/>
        </w:trPr>
        <w:tc>
          <w:tcPr>
            <w:tcW w:w="65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7"/>
              </w:rPr>
              <w:t>Cash and cash equivalents at beginning of period . . . . . .</w:t>
            </w:r>
          </w:p>
        </w:tc>
        <w:tc>
          <w:tcPr>
            <w:tcW w:w="640" w:type="dxa"/>
            <w:vAlign w:val="bottom"/>
          </w:tcPr>
          <w:p>
            <w:pPr>
              <w:spacing w:after="0"/>
              <w:rPr>
                <w:sz w:val="17"/>
                <w:szCs w:val="17"/>
                <w:color w:val="auto"/>
              </w:rPr>
            </w:pPr>
          </w:p>
        </w:tc>
        <w:tc>
          <w:tcPr>
            <w:tcW w:w="1000" w:type="dxa"/>
            <w:vAlign w:val="bottom"/>
          </w:tcPr>
          <w:p>
            <w:pPr>
              <w:jc w:val="right"/>
              <w:ind w:right="192"/>
              <w:spacing w:after="0" w:line="203" w:lineRule="exact"/>
              <w:rPr>
                <w:sz w:val="20"/>
                <w:szCs w:val="20"/>
                <w:color w:val="auto"/>
              </w:rPr>
            </w:pPr>
            <w:r>
              <w:rPr>
                <w:rFonts w:ascii="Courier New" w:cs="Courier New" w:eastAsia="Courier New" w:hAnsi="Courier New"/>
                <w:sz w:val="18"/>
                <w:szCs w:val="18"/>
                <w:color w:val="auto"/>
              </w:rPr>
              <w:t>7,702</w:t>
            </w:r>
          </w:p>
        </w:tc>
        <w:tc>
          <w:tcPr>
            <w:tcW w:w="420" w:type="dxa"/>
            <w:vAlign w:val="bottom"/>
          </w:tcPr>
          <w:p>
            <w:pPr>
              <w:spacing w:after="0"/>
              <w:rPr>
                <w:sz w:val="17"/>
                <w:szCs w:val="17"/>
                <w:color w:val="auto"/>
              </w:rPr>
            </w:pPr>
          </w:p>
        </w:tc>
        <w:tc>
          <w:tcPr>
            <w:tcW w:w="100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12,402</w:t>
            </w:r>
          </w:p>
        </w:tc>
      </w:tr>
      <w:tr>
        <w:trPr>
          <w:trHeight w:val="203"/>
        </w:trPr>
        <w:tc>
          <w:tcPr>
            <w:tcW w:w="6540" w:type="dxa"/>
            <w:vAlign w:val="bottom"/>
          </w:tcPr>
          <w:p>
            <w:pPr>
              <w:spacing w:after="0"/>
              <w:rPr>
                <w:sz w:val="17"/>
                <w:szCs w:val="17"/>
                <w:color w:val="auto"/>
              </w:rPr>
            </w:pP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654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7"/>
              </w:rPr>
              <w:t>Cash and cash equivalents at end of period . . . . . . . . .</w:t>
            </w:r>
          </w:p>
        </w:tc>
        <w:tc>
          <w:tcPr>
            <w:tcW w:w="640" w:type="dxa"/>
            <w:vAlign w:val="bottom"/>
          </w:tcPr>
          <w:p>
            <w:pPr>
              <w:ind w:left="20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92"/>
              <w:spacing w:after="0"/>
              <w:rPr>
                <w:sz w:val="20"/>
                <w:szCs w:val="20"/>
                <w:color w:val="auto"/>
              </w:rPr>
            </w:pPr>
            <w:r>
              <w:rPr>
                <w:rFonts w:ascii="Courier New" w:cs="Courier New" w:eastAsia="Courier New" w:hAnsi="Courier New"/>
                <w:sz w:val="18"/>
                <w:szCs w:val="18"/>
                <w:color w:val="auto"/>
              </w:rPr>
              <w:t>4,322</w:t>
            </w:r>
          </w:p>
        </w:tc>
        <w:tc>
          <w:tcPr>
            <w:tcW w:w="420" w:type="dxa"/>
            <w:vAlign w:val="bottom"/>
          </w:tcPr>
          <w:p>
            <w:pPr>
              <w:ind w:left="160"/>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32"/>
              <w:spacing w:after="0"/>
              <w:rPr>
                <w:sz w:val="20"/>
                <w:szCs w:val="20"/>
                <w:color w:val="auto"/>
              </w:rPr>
            </w:pPr>
            <w:r>
              <w:rPr>
                <w:rFonts w:ascii="Courier New" w:cs="Courier New" w:eastAsia="Courier New" w:hAnsi="Courier New"/>
                <w:sz w:val="18"/>
                <w:szCs w:val="18"/>
                <w:color w:val="auto"/>
              </w:rPr>
              <w:t>9,198</w:t>
            </w:r>
          </w:p>
        </w:tc>
      </w:tr>
      <w:tr>
        <w:trPr>
          <w:trHeight w:val="203"/>
        </w:trPr>
        <w:tc>
          <w:tcPr>
            <w:tcW w:w="6540" w:type="dxa"/>
            <w:vAlign w:val="bottom"/>
          </w:tcPr>
          <w:p>
            <w:pPr>
              <w:spacing w:after="0"/>
              <w:rPr>
                <w:sz w:val="17"/>
                <w:szCs w:val="17"/>
                <w:color w:val="auto"/>
              </w:rPr>
            </w:pP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6540" w:type="dxa"/>
            <w:vAlign w:val="bottom"/>
          </w:tcPr>
          <w:p>
            <w:pPr>
              <w:spacing w:after="0"/>
              <w:rPr>
                <w:sz w:val="17"/>
                <w:szCs w:val="17"/>
                <w:color w:val="auto"/>
              </w:rPr>
            </w:pPr>
          </w:p>
        </w:tc>
        <w:tc>
          <w:tcPr>
            <w:tcW w:w="1640" w:type="dxa"/>
            <w:vAlign w:val="bottom"/>
            <w:gridSpan w:val="2"/>
          </w:tcPr>
          <w:p>
            <w:pPr>
              <w:jc w:val="right"/>
              <w:ind w:right="19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accompanying notes to condensed consolidated financial statements.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-5-</w:t>
      </w:r>
    </w:p>
    <w:p>
      <w:pPr>
        <w:sectPr>
          <w:pgSz w:w="11900" w:h="16838" w:orient="portrait"/>
          <w:cols w:equalWidth="0" w:num="1">
            <w:col w:w="10219"/>
          </w:cols>
          <w:pgMar w:left="240" w:top="925" w:right="1440" w:bottom="1440" w:gutter="0" w:footer="0" w:header="0"/>
        </w:sectPr>
      </w:pPr>
    </w:p>
    <w:bookmarkStart w:id="5" w:name="page6"/>
    <w:bookmarkEnd w:id="5"/>
    <w:p>
      <w:pPr>
        <w:jc w:val="center"/>
        <w:ind w:left="260" w:right="840"/>
        <w:spacing w:after="0"/>
        <w:rPr>
          <w:sz w:val="20"/>
          <w:szCs w:val="20"/>
          <w:color w:val="auto"/>
        </w:rPr>
      </w:pPr>
      <w:r>
        <w:rPr>
          <w:rFonts w:ascii="Courier New" w:cs="Courier New" w:eastAsia="Courier New" w:hAnsi="Courier New"/>
          <w:sz w:val="18"/>
          <w:szCs w:val="18"/>
          <w:color w:val="auto"/>
        </w:rPr>
        <w:t>THE TORO COMPANY AND SUBSIDIARIES NOTES TO CONDENSED CONSOLIDATED FINANCIAL STATEMENTS (UNAUDITED) FEBRUARY 2, 1996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BASIS OF PRESENTATION</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accompanying unaudited consolidated financial statements have been prepared in accordance with the instructions to Form 10-Q and do not include all the information and notes required by generally accepted accounting principles for complete financial statements. In the opinion of management, the unaudited consolidated financial statements include all adjustments, consisting primarily of recurring accruals, considered necessary for a fair presentation of the financial position and the results of operations. The Toro Company's business is seasonal. Operating results for the three months ended February 2, 1996 are not necessarily indicative of the results that may be expected for the year ending October 31, 1996.</w:t>
      </w:r>
    </w:p>
    <w:p>
      <w:pPr>
        <w:spacing w:after="0" w:line="215"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In November 1995, the company changed its fiscal year from a fiscal year ended July 31 to a fiscal year ended October 31.</w:t>
      </w:r>
    </w:p>
    <w:p>
      <w:pPr>
        <w:spacing w:after="0" w:line="208"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For further information, refer to the consolidated financial statements and notes included in the company's Annual Report on Form 10-K for the year ended July 31, 1995 (the company's former fiscal year end). The policies described in that report are used for preparing quarterly reports.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INVENTORIES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majority of all inventories are valued at the lower of cost or net realizable value with cost determined by the last-in, first-out (LIFO) method. Had the first-in, first-out (FIFO) method of cost determination been used, inventories would have been $24,841,000 and $19,204,000 higher than reported at February 2, 1996, and February 3, 1995, respectively. Under the FIFO method, work-in-process inventories were $85,691,000 and $78,851,000 and finished goods inventories were $102,725,000 and $105,406,000 at February 2, 1996, and February 3, 1995, respectively.</w:t>
      </w:r>
    </w:p>
    <w:p>
      <w:pPr>
        <w:spacing w:after="0" w:line="200" w:lineRule="exact"/>
        <w:rPr>
          <w:sz w:val="20"/>
          <w:szCs w:val="20"/>
          <w:color w:val="auto"/>
        </w:r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925" w:right="1440" w:bottom="1440" w:gutter="0" w:footer="0" w:header="0"/>
        </w:sectPr>
      </w:pPr>
    </w:p>
    <w:bookmarkStart w:id="6" w:name="page7"/>
    <w:bookmarkEnd w:id="6"/>
    <w:p>
      <w:pPr>
        <w:jc w:val="center"/>
        <w:ind w:right="2740"/>
        <w:spacing w:after="0"/>
        <w:rPr>
          <w:sz w:val="20"/>
          <w:szCs w:val="20"/>
          <w:color w:val="auto"/>
        </w:rPr>
      </w:pPr>
      <w:r>
        <w:rPr>
          <w:rFonts w:ascii="Courier New" w:cs="Courier New" w:eastAsia="Courier New" w:hAnsi="Courier New"/>
          <w:sz w:val="18"/>
          <w:szCs w:val="18"/>
          <w:color w:val="auto"/>
        </w:rPr>
        <w:t>MANAGEMENT'S DISCUSSION AND ANALYSIS OF FINANCIAL CONDITION</w:t>
      </w:r>
    </w:p>
    <w:p>
      <w:pPr>
        <w:jc w:val="center"/>
        <w:ind w:right="2740"/>
        <w:spacing w:after="0" w:line="238" w:lineRule="auto"/>
        <w:rPr>
          <w:sz w:val="20"/>
          <w:szCs w:val="20"/>
          <w:color w:val="auto"/>
        </w:rPr>
      </w:pPr>
      <w:r>
        <w:rPr>
          <w:rFonts w:ascii="Courier New" w:cs="Courier New" w:eastAsia="Courier New" w:hAnsi="Courier New"/>
          <w:sz w:val="18"/>
          <w:szCs w:val="18"/>
          <w:color w:val="auto"/>
        </w:rPr>
        <w:t>AND RESULTS OF OPERATIONS</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following table sets forth sales by product 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96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Three Months Ended</w:t>
            </w:r>
          </w:p>
        </w:tc>
        <w:tc>
          <w:tcPr>
            <w:tcW w:w="126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6320" w:type="dxa"/>
            <w:vAlign w:val="bottom"/>
            <w:gridSpan w:val="7"/>
          </w:tcPr>
          <w:p>
            <w:pPr>
              <w:ind w:left="320"/>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960" w:type="dxa"/>
            <w:vAlign w:val="bottom"/>
          </w:tcPr>
          <w:p>
            <w:pPr>
              <w:spacing w:after="0"/>
              <w:rPr>
                <w:sz w:val="17"/>
                <w:szCs w:val="17"/>
                <w:color w:val="auto"/>
              </w:rPr>
            </w:pPr>
          </w:p>
        </w:tc>
        <w:tc>
          <w:tcPr>
            <w:tcW w:w="1840" w:type="dxa"/>
            <w:vAlign w:val="bottom"/>
            <w:gridSpan w:val="2"/>
          </w:tcPr>
          <w:p>
            <w:pPr>
              <w:jc w:val="right"/>
              <w:ind w:right="272"/>
              <w:spacing w:after="0" w:line="203" w:lineRule="exact"/>
              <w:rPr>
                <w:sz w:val="20"/>
                <w:szCs w:val="20"/>
                <w:color w:val="auto"/>
              </w:rPr>
            </w:pPr>
            <w:r>
              <w:rPr>
                <w:rFonts w:ascii="Courier New" w:cs="Courier New" w:eastAsia="Courier New" w:hAnsi="Courier New"/>
                <w:sz w:val="18"/>
                <w:szCs w:val="18"/>
                <w:color w:val="auto"/>
              </w:rPr>
              <w:t>February 2,</w:t>
            </w:r>
          </w:p>
        </w:tc>
        <w:tc>
          <w:tcPr>
            <w:tcW w:w="1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February 3,</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w w:val="92"/>
              </w:rPr>
              <w:t>1996</w:t>
            </w:r>
          </w:p>
        </w:tc>
        <w:tc>
          <w:tcPr>
            <w:tcW w:w="260" w:type="dxa"/>
            <w:vAlign w:val="bottom"/>
          </w:tcPr>
          <w:p>
            <w:pPr>
              <w:spacing w:after="0"/>
              <w:rPr>
                <w:sz w:val="17"/>
                <w:szCs w:val="17"/>
                <w:color w:val="auto"/>
              </w:rPr>
            </w:pPr>
          </w:p>
        </w:tc>
        <w:tc>
          <w:tcPr>
            <w:tcW w:w="1260" w:type="dxa"/>
            <w:vAlign w:val="bottom"/>
          </w:tcPr>
          <w:p>
            <w:pPr>
              <w:jc w:val="right"/>
              <w:ind w:right="632"/>
              <w:spacing w:after="0" w:line="203" w:lineRule="exact"/>
              <w:rPr>
                <w:sz w:val="20"/>
                <w:szCs w:val="20"/>
                <w:color w:val="auto"/>
              </w:rPr>
            </w:pPr>
            <w:r>
              <w:rPr>
                <w:rFonts w:ascii="Courier New" w:cs="Courier New" w:eastAsia="Courier New" w:hAnsi="Courier New"/>
                <w:sz w:val="18"/>
                <w:szCs w:val="18"/>
                <w:color w:val="auto"/>
              </w:rPr>
              <w:t>1995</w:t>
            </w:r>
          </w:p>
        </w:tc>
        <w:tc>
          <w:tcPr>
            <w:tcW w:w="17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 Change</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Change</w:t>
            </w:r>
          </w:p>
        </w:tc>
      </w:tr>
      <w:tr>
        <w:trPr>
          <w:trHeight w:val="203"/>
        </w:trPr>
        <w:tc>
          <w:tcPr>
            <w:tcW w:w="4960" w:type="dxa"/>
            <w:vAlign w:val="bottom"/>
          </w:tcPr>
          <w:p>
            <w:pPr>
              <w:spacing w:after="0"/>
              <w:rPr>
                <w:sz w:val="17"/>
                <w:szCs w:val="17"/>
                <w:color w:val="auto"/>
              </w:rPr>
            </w:pPr>
          </w:p>
        </w:tc>
        <w:tc>
          <w:tcPr>
            <w:tcW w:w="18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Consumer products. . . . . . . . . . . . . .</w:t>
            </w:r>
          </w:p>
        </w:tc>
        <w:tc>
          <w:tcPr>
            <w:tcW w:w="64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92"/>
              <w:spacing w:after="0"/>
              <w:rPr>
                <w:sz w:val="20"/>
                <w:szCs w:val="20"/>
                <w:color w:val="auto"/>
              </w:rPr>
            </w:pPr>
            <w:r>
              <w:rPr>
                <w:rFonts w:ascii="Courier New" w:cs="Courier New" w:eastAsia="Courier New" w:hAnsi="Courier New"/>
                <w:sz w:val="18"/>
                <w:szCs w:val="18"/>
                <w:color w:val="auto"/>
                <w:w w:val="92"/>
              </w:rPr>
              <w:t>102,641</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111,979</w:t>
            </w:r>
          </w:p>
        </w:tc>
        <w:tc>
          <w:tcPr>
            <w:tcW w:w="44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(9,338)</w:t>
            </w:r>
          </w:p>
        </w:tc>
        <w:tc>
          <w:tcPr>
            <w:tcW w:w="1260" w:type="dxa"/>
            <w:vAlign w:val="bottom"/>
          </w:tcPr>
          <w:p>
            <w:pPr>
              <w:jc w:val="right"/>
              <w:spacing w:after="0"/>
              <w:rPr>
                <w:sz w:val="20"/>
                <w:szCs w:val="20"/>
                <w:color w:val="auto"/>
              </w:rPr>
            </w:pPr>
            <w:r>
              <w:rPr>
                <w:rFonts w:ascii="Courier New" w:cs="Courier New" w:eastAsia="Courier New" w:hAnsi="Courier New"/>
                <w:sz w:val="18"/>
                <w:szCs w:val="18"/>
                <w:color w:val="auto"/>
              </w:rPr>
              <w:t>(8.3)%</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Commercial products. . . . . . . . . . . . .</w:t>
            </w:r>
          </w:p>
        </w:tc>
        <w:tc>
          <w:tcPr>
            <w:tcW w:w="64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78,333</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73,842</w:t>
            </w:r>
          </w:p>
        </w:tc>
        <w:tc>
          <w:tcPr>
            <w:tcW w:w="44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4,491</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6.1</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Irrigation products. . . . . . . . . . . . .</w:t>
            </w:r>
          </w:p>
        </w:tc>
        <w:tc>
          <w:tcPr>
            <w:tcW w:w="640" w:type="dxa"/>
            <w:vAlign w:val="bottom"/>
          </w:tcPr>
          <w:p>
            <w:pPr>
              <w:spacing w:after="0"/>
              <w:rPr>
                <w:sz w:val="17"/>
                <w:szCs w:val="17"/>
                <w:color w:val="auto"/>
              </w:rPr>
            </w:pP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30,527</w:t>
            </w:r>
          </w:p>
        </w:tc>
        <w:tc>
          <w:tcPr>
            <w:tcW w:w="2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28,129</w:t>
            </w:r>
          </w:p>
        </w:tc>
        <w:tc>
          <w:tcPr>
            <w:tcW w:w="440" w:type="dxa"/>
            <w:vAlign w:val="bottom"/>
          </w:tcPr>
          <w:p>
            <w:pPr>
              <w:spacing w:after="0"/>
              <w:rPr>
                <w:sz w:val="17"/>
                <w:szCs w:val="17"/>
                <w:color w:val="auto"/>
              </w:rPr>
            </w:pPr>
          </w:p>
        </w:tc>
        <w:tc>
          <w:tcPr>
            <w:tcW w:w="126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rPr>
              <w:t>2,398</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8.5</w:t>
            </w:r>
          </w:p>
        </w:tc>
      </w:tr>
      <w:tr>
        <w:trPr>
          <w:trHeight w:val="203"/>
        </w:trPr>
        <w:tc>
          <w:tcPr>
            <w:tcW w:w="4960" w:type="dxa"/>
            <w:vAlign w:val="bottom"/>
          </w:tcPr>
          <w:p>
            <w:pPr>
              <w:spacing w:after="0"/>
              <w:rPr>
                <w:sz w:val="17"/>
                <w:szCs w:val="17"/>
                <w:color w:val="auto"/>
              </w:rPr>
            </w:pPr>
          </w:p>
        </w:tc>
        <w:tc>
          <w:tcPr>
            <w:tcW w:w="18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4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 . . . . . . . . . . . . . . . . .</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w w:val="92"/>
              </w:rPr>
              <w:t>211,501</w:t>
            </w:r>
          </w:p>
        </w:tc>
        <w:tc>
          <w:tcPr>
            <w:tcW w:w="2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213,950</w:t>
            </w:r>
          </w:p>
        </w:tc>
        <w:tc>
          <w:tcPr>
            <w:tcW w:w="44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(2,449)</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4960" w:type="dxa"/>
            <w:vAlign w:val="bottom"/>
          </w:tcPr>
          <w:p>
            <w:pPr>
              <w:spacing w:after="0"/>
              <w:rPr>
                <w:sz w:val="17"/>
                <w:szCs w:val="17"/>
                <w:color w:val="auto"/>
              </w:rPr>
            </w:pPr>
          </w:p>
        </w:tc>
        <w:tc>
          <w:tcPr>
            <w:tcW w:w="18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203"/>
        </w:trPr>
        <w:tc>
          <w:tcPr>
            <w:tcW w:w="4960" w:type="dxa"/>
            <w:vAlign w:val="bottom"/>
          </w:tcPr>
          <w:p>
            <w:pPr>
              <w:spacing w:after="0"/>
              <w:rPr>
                <w:sz w:val="17"/>
                <w:szCs w:val="17"/>
                <w:color w:val="auto"/>
              </w:rPr>
            </w:pPr>
          </w:p>
        </w:tc>
        <w:tc>
          <w:tcPr>
            <w:tcW w:w="1840" w:type="dxa"/>
            <w:vAlign w:val="bottom"/>
            <w:gridSpan w:val="2"/>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15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w w:val="99"/>
              </w:rPr>
              <w:t>----------</w:t>
            </w:r>
          </w:p>
        </w:tc>
        <w:tc>
          <w:tcPr>
            <w:tcW w:w="1700" w:type="dxa"/>
            <w:vAlign w:val="bottom"/>
            <w:gridSpan w:val="2"/>
          </w:tcPr>
          <w:p>
            <w:pPr>
              <w:jc w:val="right"/>
              <w:ind w:right="452"/>
              <w:spacing w:after="0" w:line="203" w:lineRule="exact"/>
              <w:rPr>
                <w:sz w:val="20"/>
                <w:szCs w:val="20"/>
                <w:color w:val="auto"/>
              </w:rPr>
            </w:pPr>
            <w:r>
              <w:rPr>
                <w:rFonts w:ascii="Courier New" w:cs="Courier New" w:eastAsia="Courier New" w:hAnsi="Courier New"/>
                <w:sz w:val="18"/>
                <w:szCs w:val="18"/>
                <w:color w:val="auto"/>
              </w:rPr>
              <w:t>---------</w:t>
            </w:r>
          </w:p>
        </w:tc>
        <w:tc>
          <w:tcPr>
            <w:tcW w:w="1260" w:type="dxa"/>
            <w:vAlign w:val="bottom"/>
          </w:tcPr>
          <w:p>
            <w:pPr>
              <w:spacing w:after="0"/>
              <w:rPr>
                <w:sz w:val="17"/>
                <w:szCs w:val="17"/>
                <w:color w:val="auto"/>
              </w:rPr>
            </w:pPr>
          </w:p>
        </w:tc>
      </w:tr>
      <w:tr>
        <w:trPr>
          <w:trHeight w:val="405"/>
        </w:trPr>
        <w:tc>
          <w:tcPr>
            <w:tcW w:w="4960" w:type="dxa"/>
            <w:vAlign w:val="bottom"/>
          </w:tcPr>
          <w:p>
            <w:pPr>
              <w:spacing w:after="0"/>
              <w:rPr>
                <w:sz w:val="20"/>
                <w:szCs w:val="20"/>
                <w:color w:val="auto"/>
              </w:rPr>
            </w:pPr>
            <w:r>
              <w:rPr>
                <w:rFonts w:ascii="Courier New" w:cs="Courier New" w:eastAsia="Courier New" w:hAnsi="Courier New"/>
                <w:sz w:val="18"/>
                <w:szCs w:val="18"/>
                <w:color w:val="auto"/>
              </w:rPr>
              <w:t>* Includes international sales of. . . . . .</w:t>
            </w:r>
          </w:p>
        </w:tc>
        <w:tc>
          <w:tcPr>
            <w:tcW w:w="64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39,419</w:t>
            </w:r>
          </w:p>
        </w:tc>
        <w:tc>
          <w:tcPr>
            <w:tcW w:w="260" w:type="dxa"/>
            <w:vAlign w:val="bottom"/>
          </w:tcPr>
          <w:p>
            <w:pPr>
              <w:ind w:left="60"/>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34,782</w:t>
            </w:r>
          </w:p>
        </w:tc>
        <w:tc>
          <w:tcPr>
            <w:tcW w:w="440" w:type="dxa"/>
            <w:vAlign w:val="bottom"/>
          </w:tcPr>
          <w:p>
            <w:pPr>
              <w:ind w:left="220"/>
              <w:spacing w:after="0"/>
              <w:rPr>
                <w:sz w:val="20"/>
                <w:szCs w:val="20"/>
                <w:color w:val="auto"/>
              </w:rPr>
            </w:pPr>
            <w:r>
              <w:rPr>
                <w:rFonts w:ascii="Courier New" w:cs="Courier New" w:eastAsia="Courier New" w:hAnsi="Courier New"/>
                <w:sz w:val="18"/>
                <w:szCs w:val="18"/>
                <w:color w:val="auto"/>
              </w:rPr>
              <w:t>$</w:t>
            </w:r>
          </w:p>
        </w:tc>
        <w:tc>
          <w:tcPr>
            <w:tcW w:w="126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4,637</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13.3%</w:t>
            </w:r>
          </w:p>
        </w:tc>
      </w:tr>
      <w:tr>
        <w:trPr>
          <w:trHeight w:val="608"/>
        </w:trPr>
        <w:tc>
          <w:tcPr>
            <w:tcW w:w="6800" w:type="dxa"/>
            <w:vAlign w:val="bottom"/>
            <w:gridSpan w:val="3"/>
          </w:tcPr>
          <w:p>
            <w:pPr>
              <w:spacing w:after="0"/>
              <w:rPr>
                <w:sz w:val="20"/>
                <w:szCs w:val="20"/>
                <w:color w:val="auto"/>
              </w:rPr>
            </w:pPr>
            <w:r>
              <w:rPr>
                <w:rFonts w:ascii="Courier New" w:cs="Courier New" w:eastAsia="Courier New" w:hAnsi="Courier New"/>
                <w:sz w:val="18"/>
                <w:szCs w:val="18"/>
                <w:color w:val="auto"/>
                <w:w w:val="98"/>
              </w:rPr>
              <w:t>Worldwide net sales for the three months ended February 2, 1996,</w:t>
            </w:r>
          </w:p>
        </w:tc>
        <w:tc>
          <w:tcPr>
            <w:tcW w:w="152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$211.5</w:t>
            </w:r>
          </w:p>
        </w:tc>
        <w:tc>
          <w:tcPr>
            <w:tcW w:w="4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3"/>
        </w:trPr>
        <w:tc>
          <w:tcPr>
            <w:tcW w:w="83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million decreased by $2.4 million from the prior year primarily as a result</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of decreased consumer sales of snow removal equipment.  Sales of</w:t>
            </w:r>
          </w:p>
        </w:tc>
        <w:tc>
          <w:tcPr>
            <w:tcW w:w="1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snow removal</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3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equipment for the quarter ended February 3, 1995 were exceptional, and</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although snow sales for the quarter ended February 2,</w:t>
            </w:r>
          </w:p>
        </w:tc>
        <w:tc>
          <w:tcPr>
            <w:tcW w:w="272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1996 were strong they</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68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8"/>
              </w:rPr>
              <w:t>did not meet prior year levels.  The decline in consumer product</w:t>
            </w:r>
          </w:p>
        </w:tc>
        <w:tc>
          <w:tcPr>
            <w:tcW w:w="1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sales for</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3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the quarter was offset partially by an increase in commercial and irrigation</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3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product sales. Commercial product sales showed increases from golf courses</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832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rPr>
              <w:t>and landscape contractors.  The commercial vehicle line continued to gain</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r>
        <w:trPr>
          <w:trHeight w:val="203"/>
        </w:trPr>
        <w:tc>
          <w:tcPr>
            <w:tcW w:w="5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momentum and two new fairway mowers were introduced.</w:t>
            </w:r>
          </w:p>
        </w:tc>
        <w:tc>
          <w:tcPr>
            <w:tcW w:w="12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Irrigation</w:t>
            </w:r>
          </w:p>
        </w:tc>
        <w:tc>
          <w:tcPr>
            <w:tcW w:w="15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sales of</w:t>
            </w: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spacing w:after="0"/>
              <w:rPr>
                <w:sz w:val="17"/>
                <w:szCs w:val="17"/>
                <w:color w:val="auto"/>
              </w:rPr>
            </w:pPr>
          </w:p>
        </w:tc>
      </w:tr>
    </w:tbl>
    <w:p>
      <w:pPr>
        <w:spacing w:after="0" w:line="4" w:lineRule="exact"/>
        <w:rPr>
          <w:sz w:val="20"/>
          <w:szCs w:val="20"/>
          <w:color w:val="auto"/>
        </w:rPr>
      </w:pPr>
    </w:p>
    <w:p>
      <w:pPr>
        <w:ind w:right="3260"/>
        <w:spacing w:after="0" w:line="237" w:lineRule="auto"/>
        <w:rPr>
          <w:sz w:val="20"/>
          <w:szCs w:val="20"/>
          <w:color w:val="auto"/>
        </w:rPr>
      </w:pPr>
      <w:r>
        <w:rPr>
          <w:rFonts w:ascii="Courier New" w:cs="Courier New" w:eastAsia="Courier New" w:hAnsi="Courier New"/>
          <w:sz w:val="18"/>
          <w:szCs w:val="18"/>
          <w:color w:val="auto"/>
        </w:rPr>
        <w:t>do-it-yourself (DIY) irrigation products to mass merchants continued strong with the Toro line now available in all 50 states. Irrigation golf sales also increased primarily from the overall growth of the market. International sales, reported within the consumer, commercial and irrigation numbers above, increased from the prior year led by strong consumer sales of riding products to the Australian market, and strong commercial sales in Europe and Canada.</w:t>
      </w:r>
    </w:p>
    <w:p>
      <w:pPr>
        <w:spacing w:after="0" w:line="211" w:lineRule="exact"/>
        <w:rPr>
          <w:sz w:val="20"/>
          <w:szCs w:val="20"/>
          <w:color w:val="auto"/>
        </w:rPr>
      </w:pPr>
    </w:p>
    <w:p>
      <w:pPr>
        <w:ind w:right="2940"/>
        <w:spacing w:after="0" w:line="237" w:lineRule="auto"/>
        <w:rPr>
          <w:sz w:val="20"/>
          <w:szCs w:val="20"/>
          <w:color w:val="auto"/>
        </w:rPr>
      </w:pPr>
      <w:r>
        <w:rPr>
          <w:rFonts w:ascii="Courier New" w:cs="Courier New" w:eastAsia="Courier New" w:hAnsi="Courier New"/>
          <w:sz w:val="18"/>
          <w:szCs w:val="18"/>
          <w:color w:val="auto"/>
        </w:rPr>
        <w:t>Gross profit of $76.3 million increased $0.3 million from the prior year. As a percent of sales, gross profit for the period ended February 2, 1996 was 36.1% compared with 35.6% for the period ended February 3, 1995 due primarily to favorable product costs resulting from a change in product mix. Manufacturing variances were relatively flat as compared to last year.</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1280"/>
          </w:cols>
          <w:pgMar w:left="240" w:top="919" w:right="379" w:bottom="1440" w:gutter="0" w:footer="0" w:header="0"/>
        </w:sectPr>
      </w:pPr>
    </w:p>
    <w:bookmarkStart w:id="7" w:name="page8"/>
    <w:bookmarkEnd w:id="7"/>
    <w:p>
      <w:pPr>
        <w:spacing w:after="0" w:line="88"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Selling General and Administrative Expense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 w:lineRule="exact"/>
        <w:rPr>
          <w:sz w:val="20"/>
          <w:szCs w:val="20"/>
          <w:color w:val="auto"/>
        </w:rPr>
      </w:pPr>
    </w:p>
    <w:p>
      <w:pPr>
        <w:jc w:val="both"/>
        <w:ind w:left="740" w:right="1259" w:firstLine="2844"/>
        <w:spacing w:after="0" w:line="235" w:lineRule="auto"/>
        <w:rPr>
          <w:sz w:val="20"/>
          <w:szCs w:val="20"/>
          <w:color w:val="auto"/>
        </w:rPr>
      </w:pPr>
      <w:r>
        <w:rPr>
          <w:rFonts w:ascii="Courier New" w:cs="Courier New" w:eastAsia="Courier New" w:hAnsi="Courier New"/>
          <w:sz w:val="18"/>
          <w:szCs w:val="18"/>
          <w:color w:val="auto"/>
        </w:rPr>
        <w:t>Feb 2, % of Net Feb 3, % of Net S G &amp; A 1996 Sales 1995 Sales</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280" w:type="dxa"/>
            <w:vAlign w:val="bottom"/>
          </w:tcPr>
          <w:p>
            <w:pPr>
              <w:spacing w:after="0"/>
              <w:rPr>
                <w:sz w:val="20"/>
                <w:szCs w:val="20"/>
                <w:color w:val="auto"/>
              </w:rPr>
            </w:pPr>
            <w:r>
              <w:rPr>
                <w:rFonts w:ascii="Courier New" w:cs="Courier New" w:eastAsia="Courier New" w:hAnsi="Courier New"/>
                <w:sz w:val="18"/>
                <w:szCs w:val="18"/>
                <w:color w:val="auto"/>
              </w:rPr>
              <w:t>Administrative</w:t>
            </w:r>
          </w:p>
        </w:tc>
        <w:tc>
          <w:tcPr>
            <w:tcW w:w="46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22.2</w:t>
            </w:r>
          </w:p>
        </w:tc>
        <w:tc>
          <w:tcPr>
            <w:tcW w:w="1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10.5%</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20.0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Sales and Marketing</w:t>
            </w:r>
          </w:p>
        </w:tc>
        <w:tc>
          <w:tcPr>
            <w:tcW w:w="46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20.4</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9.6</w:t>
            </w:r>
          </w:p>
        </w:tc>
        <w:tc>
          <w:tcPr>
            <w:tcW w:w="62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22.1</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Warranty</w:t>
            </w:r>
          </w:p>
        </w:tc>
        <w:tc>
          <w:tcPr>
            <w:tcW w:w="46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6.4</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3.0</w:t>
            </w:r>
          </w:p>
        </w:tc>
        <w:tc>
          <w:tcPr>
            <w:tcW w:w="62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7.6</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Distributor/Dealer Financing</w:t>
            </w:r>
          </w:p>
        </w:tc>
        <w:tc>
          <w:tcPr>
            <w:tcW w:w="46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2.4</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w:t>
            </w:r>
          </w:p>
        </w:tc>
        <w:tc>
          <w:tcPr>
            <w:tcW w:w="62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0.9</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46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7.1</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3.4</w:t>
            </w:r>
          </w:p>
        </w:tc>
        <w:tc>
          <w:tcPr>
            <w:tcW w:w="62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7.0</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3.3</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Warehousing</w:t>
            </w:r>
          </w:p>
        </w:tc>
        <w:tc>
          <w:tcPr>
            <w:tcW w:w="46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3.4</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1.6</w:t>
            </w:r>
          </w:p>
        </w:tc>
        <w:tc>
          <w:tcPr>
            <w:tcW w:w="62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3.5</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3280" w:type="dxa"/>
            <w:vAlign w:val="bottom"/>
          </w:tcPr>
          <w:p>
            <w:pPr>
              <w:spacing w:after="0" w:line="203" w:lineRule="exact"/>
              <w:rPr>
                <w:sz w:val="20"/>
                <w:szCs w:val="20"/>
                <w:color w:val="auto"/>
              </w:rPr>
            </w:pPr>
            <w:r>
              <w:rPr>
                <w:rFonts w:ascii="Courier New" w:cs="Courier New" w:eastAsia="Courier New" w:hAnsi="Courier New"/>
                <w:sz w:val="18"/>
                <w:szCs w:val="18"/>
                <w:color w:val="auto"/>
              </w:rPr>
              <w:t>Service/Quality Assurance</w:t>
            </w:r>
          </w:p>
        </w:tc>
        <w:tc>
          <w:tcPr>
            <w:tcW w:w="46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1.9</w:t>
            </w:r>
          </w:p>
        </w:tc>
        <w:tc>
          <w:tcPr>
            <w:tcW w:w="154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0.9</w:t>
            </w:r>
          </w:p>
        </w:tc>
        <w:tc>
          <w:tcPr>
            <w:tcW w:w="62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w:t>
            </w:r>
          </w:p>
        </w:tc>
        <w:tc>
          <w:tcPr>
            <w:tcW w:w="1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0.8</w:t>
            </w:r>
          </w:p>
        </w:tc>
      </w:tr>
      <w:tr>
        <w:trPr>
          <w:trHeight w:val="203"/>
        </w:trPr>
        <w:tc>
          <w:tcPr>
            <w:tcW w:w="32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w:t>
            </w:r>
          </w:p>
        </w:tc>
        <w:tc>
          <w:tcPr>
            <w:tcW w:w="620" w:type="dxa"/>
            <w:vAlign w:val="bottom"/>
          </w:tcPr>
          <w:p>
            <w:pPr>
              <w:spacing w:after="0"/>
              <w:rPr>
                <w:sz w:val="17"/>
                <w:szCs w:val="17"/>
                <w:color w:val="auto"/>
              </w:rPr>
            </w:pP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2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Total</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63.8</w:t>
            </w:r>
          </w:p>
        </w:tc>
        <w:tc>
          <w:tcPr>
            <w:tcW w:w="154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30.1%</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63.9</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29.8%</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Selling, General and Administrative Expense (S G &amp; A) decreased $0.1 million from the prior year and as a percent of sales increased to 30.1%. Administrative expense increased from the prior year as the company continues its implementation of a enterprise wide information system in addition to an overall increase in spending. Warranty decreased from the prior year as a result of a change in the sales mix of products. Distributor/Dealer financing was up slightly due to the flow of snow product to retail during the quarter as compared to the extraordinary flow to retail last year. Research and development expenditures were above the prior year reflecting the company's continued commitment to product innovation. These increases were offset partially by a decrease in sales and marketing expense primarily because of reduced sales and the company's efforts to reduce marketing costs.</w:t>
      </w:r>
    </w:p>
    <w:p>
      <w:pPr>
        <w:spacing w:after="0" w:line="207" w:lineRule="exact"/>
        <w:rPr>
          <w:sz w:val="20"/>
          <w:szCs w:val="20"/>
          <w:color w:val="auto"/>
        </w:rPr>
      </w:pPr>
    </w:p>
    <w:p>
      <w:pPr>
        <w:ind w:right="2619"/>
        <w:spacing w:after="0" w:line="235" w:lineRule="auto"/>
        <w:rPr>
          <w:sz w:val="20"/>
          <w:szCs w:val="20"/>
          <w:color w:val="auto"/>
        </w:rPr>
      </w:pPr>
      <w:r>
        <w:rPr>
          <w:rFonts w:ascii="Courier New" w:cs="Courier New" w:eastAsia="Courier New" w:hAnsi="Courier New"/>
          <w:sz w:val="18"/>
          <w:szCs w:val="18"/>
          <w:color w:val="auto"/>
        </w:rPr>
        <w:t>Other income increased during the quarter due primarily to the favorable settlement of a patent infringement lawsuit.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POSITION AS OF FEBRUARY 2, 1996</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FEBRUARY 2, 1996 COMPARED TO FEBRUARY 3, 1995</w:t>
      </w:r>
    </w:p>
    <w:p>
      <w:pPr>
        <w:spacing w:after="0" w:line="207" w:lineRule="exact"/>
        <w:rPr>
          <w:sz w:val="20"/>
          <w:szCs w:val="20"/>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Total assets as of February 2, 1996 were $547.7 million, up $38.1 million from February 3, 1995. The primary increases occurred in accounts receivable and property, plant and equipment. Property, plant and equipment increased compared with the prior year because of spending on a variety of projects such as increased tooling and an addition to the Windom, Minnesota manufacturing facility, offset by the normal accumulation of depreciation.</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Historically, accounts receivable balances increase throughout the winter months</w:t>
      </w:r>
    </w:p>
    <w:p>
      <w:pPr>
        <w:spacing w:after="0" w:line="238" w:lineRule="auto"/>
        <w:rPr>
          <w:sz w:val="20"/>
          <w:szCs w:val="20"/>
          <w:color w:val="auto"/>
        </w:rPr>
      </w:pPr>
      <w:r>
        <w:rPr>
          <w:rFonts w:ascii="Courier New" w:cs="Courier New" w:eastAsia="Courier New" w:hAnsi="Courier New"/>
          <w:sz w:val="18"/>
          <w:szCs w:val="18"/>
          <w:color w:val="auto"/>
        </w:rPr>
        <w:t>as a result of extended payment terms made available to the company's customers</w:t>
      </w:r>
    </w:p>
    <w:p>
      <w:pPr>
        <w:spacing w:after="0"/>
        <w:tabs>
          <w:tab w:leader="none" w:pos="5780" w:val="left"/>
        </w:tabs>
        <w:rPr>
          <w:sz w:val="20"/>
          <w:szCs w:val="20"/>
          <w:color w:val="auto"/>
        </w:rPr>
      </w:pPr>
      <w:r>
        <w:rPr>
          <w:rFonts w:ascii="Courier New" w:cs="Courier New" w:eastAsia="Courier New" w:hAnsi="Courier New"/>
          <w:sz w:val="18"/>
          <w:szCs w:val="18"/>
          <w:color w:val="auto"/>
        </w:rPr>
        <w:t>and decrease in late spring when payments become due.</w:t>
      </w:r>
      <w:r>
        <w:rPr>
          <w:sz w:val="20"/>
          <w:szCs w:val="20"/>
          <w:color w:val="auto"/>
        </w:rPr>
        <w:tab/>
      </w:r>
      <w:r>
        <w:rPr>
          <w:rFonts w:ascii="Courier New" w:cs="Courier New" w:eastAsia="Courier New" w:hAnsi="Courier New"/>
          <w:sz w:val="16"/>
          <w:szCs w:val="16"/>
          <w:color w:val="auto"/>
        </w:rPr>
        <w:t>Accounts receivable</w:t>
      </w:r>
    </w:p>
    <w:p>
      <w:pPr>
        <w:spacing w:after="0"/>
        <w:tabs>
          <w:tab w:leader="none" w:pos="2420" w:val="left"/>
          <w:tab w:leader="none" w:pos="6200" w:val="left"/>
        </w:tabs>
        <w:rPr>
          <w:sz w:val="20"/>
          <w:szCs w:val="20"/>
          <w:color w:val="auto"/>
        </w:rPr>
      </w:pPr>
      <w:r>
        <w:rPr>
          <w:rFonts w:ascii="Courier New" w:cs="Courier New" w:eastAsia="Courier New" w:hAnsi="Courier New"/>
          <w:sz w:val="18"/>
          <w:szCs w:val="18"/>
          <w:color w:val="auto"/>
        </w:rPr>
        <w:t>showed an increase of</w:t>
        <w:tab/>
        <w:t>$40.5 million over the prior year.</w:t>
      </w:r>
      <w:r>
        <w:rPr>
          <w:sz w:val="20"/>
          <w:szCs w:val="20"/>
          <w:color w:val="auto"/>
        </w:rPr>
        <w:tab/>
      </w:r>
      <w:r>
        <w:rPr>
          <w:rFonts w:ascii="Courier New" w:cs="Courier New" w:eastAsia="Courier New" w:hAnsi="Courier New"/>
          <w:sz w:val="16"/>
          <w:szCs w:val="16"/>
          <w:color w:val="auto"/>
        </w:rPr>
        <w:t>Of this increase,</w:t>
      </w:r>
    </w:p>
    <w:p>
      <w:pPr>
        <w:spacing w:after="0" w:line="238" w:lineRule="auto"/>
        <w:rPr>
          <w:sz w:val="20"/>
          <w:szCs w:val="20"/>
          <w:color w:val="auto"/>
        </w:rPr>
      </w:pPr>
      <w:r>
        <w:rPr>
          <w:rFonts w:ascii="Courier New" w:cs="Courier New" w:eastAsia="Courier New" w:hAnsi="Courier New"/>
          <w:sz w:val="18"/>
          <w:szCs w:val="18"/>
          <w:color w:val="auto"/>
        </w:rPr>
        <w:t>approximately $10.1 million occurred due to increases in the Commercial,</w:t>
      </w:r>
    </w:p>
    <w:p>
      <w:pPr>
        <w:spacing w:after="0"/>
        <w:rPr>
          <w:sz w:val="20"/>
          <w:szCs w:val="20"/>
          <w:color w:val="auto"/>
        </w:rPr>
      </w:pPr>
      <w:r>
        <w:rPr>
          <w:rFonts w:ascii="Courier New" w:cs="Courier New" w:eastAsia="Courier New" w:hAnsi="Courier New"/>
          <w:sz w:val="18"/>
          <w:szCs w:val="18"/>
          <w:color w:val="auto"/>
        </w:rPr>
        <w:t>Irrigation and International divisions as a result of their increased sales of</w:t>
      </w:r>
    </w:p>
    <w:p>
      <w:pPr>
        <w:spacing w:after="0"/>
        <w:tabs>
          <w:tab w:leader="none" w:pos="3880" w:val="left"/>
        </w:tabs>
        <w:rPr>
          <w:sz w:val="20"/>
          <w:szCs w:val="20"/>
          <w:color w:val="auto"/>
        </w:rPr>
      </w:pPr>
      <w:r>
        <w:rPr>
          <w:rFonts w:ascii="Courier New" w:cs="Courier New" w:eastAsia="Courier New" w:hAnsi="Courier New"/>
          <w:sz w:val="18"/>
          <w:szCs w:val="18"/>
          <w:color w:val="auto"/>
        </w:rPr>
        <w:t>6.1%, 8.5% and 13.3%, respectively.</w:t>
      </w:r>
      <w:r>
        <w:rPr>
          <w:sz w:val="20"/>
          <w:szCs w:val="20"/>
          <w:color w:val="auto"/>
        </w:rPr>
        <w:tab/>
      </w:r>
      <w:r>
        <w:rPr>
          <w:rFonts w:ascii="Courier New" w:cs="Courier New" w:eastAsia="Courier New" w:hAnsi="Courier New"/>
          <w:sz w:val="16"/>
          <w:szCs w:val="16"/>
          <w:color w:val="auto"/>
        </w:rPr>
        <w:t>Approximately, $10.0 million occurred due</w:t>
      </w:r>
    </w:p>
    <w:p>
      <w:pPr>
        <w:spacing w:after="0"/>
        <w:rPr>
          <w:sz w:val="20"/>
          <w:szCs w:val="20"/>
          <w:color w:val="auto"/>
        </w:rPr>
      </w:pPr>
      <w:r>
        <w:rPr>
          <w:rFonts w:ascii="Courier New" w:cs="Courier New" w:eastAsia="Courier New" w:hAnsi="Courier New"/>
          <w:sz w:val="18"/>
          <w:szCs w:val="18"/>
          <w:color w:val="auto"/>
        </w:rPr>
        <w:t>to a change in the timing of payments, with customers having paid earlier due to</w:t>
      </w:r>
    </w:p>
    <w:p>
      <w:pPr>
        <w:spacing w:after="0"/>
        <w:tabs>
          <w:tab w:leader="none" w:pos="4100" w:val="left"/>
        </w:tabs>
        <w:rPr>
          <w:sz w:val="20"/>
          <w:szCs w:val="20"/>
          <w:color w:val="auto"/>
        </w:rPr>
      </w:pPr>
      <w:r>
        <w:rPr>
          <w:rFonts w:ascii="Courier New" w:cs="Courier New" w:eastAsia="Courier New" w:hAnsi="Courier New"/>
          <w:sz w:val="18"/>
          <w:szCs w:val="18"/>
          <w:color w:val="auto"/>
        </w:rPr>
        <w:t>better retail flow in the prior year.</w:t>
      </w:r>
      <w:r>
        <w:rPr>
          <w:sz w:val="20"/>
          <w:szCs w:val="20"/>
          <w:color w:val="auto"/>
        </w:rPr>
        <w:tab/>
      </w:r>
      <w:r>
        <w:rPr>
          <w:rFonts w:ascii="Courier New" w:cs="Courier New" w:eastAsia="Courier New" w:hAnsi="Courier New"/>
          <w:sz w:val="16"/>
          <w:szCs w:val="16"/>
          <w:color w:val="auto"/>
        </w:rPr>
        <w:t>$7.4 million occurred due to an</w:t>
      </w:r>
    </w:p>
    <w:p>
      <w:pPr>
        <w:spacing w:after="0"/>
        <w:tabs>
          <w:tab w:leader="none" w:pos="5260" w:val="left"/>
        </w:tabs>
        <w:rPr>
          <w:sz w:val="20"/>
          <w:szCs w:val="20"/>
          <w:color w:val="auto"/>
        </w:rPr>
      </w:pPr>
      <w:r>
        <w:rPr>
          <w:rFonts w:ascii="Courier New" w:cs="Courier New" w:eastAsia="Courier New" w:hAnsi="Courier New"/>
          <w:sz w:val="18"/>
          <w:szCs w:val="18"/>
          <w:color w:val="auto"/>
        </w:rPr>
        <w:t>expansion of the dealer financing customer base.</w:t>
      </w:r>
      <w:r>
        <w:rPr>
          <w:sz w:val="20"/>
          <w:szCs w:val="20"/>
          <w:color w:val="auto"/>
        </w:rPr>
        <w:tab/>
      </w:r>
      <w:r>
        <w:rPr>
          <w:rFonts w:ascii="Courier New" w:cs="Courier New" w:eastAsia="Courier New" w:hAnsi="Courier New"/>
          <w:sz w:val="16"/>
          <w:szCs w:val="16"/>
          <w:color w:val="auto"/>
        </w:rPr>
        <w:t>$5.9 million can be attributed</w:t>
      </w:r>
    </w:p>
    <w:p>
      <w:pPr>
        <w:spacing w:after="0"/>
        <w:tabs>
          <w:tab w:leader="none" w:pos="6840" w:val="left"/>
        </w:tabs>
        <w:rPr>
          <w:sz w:val="20"/>
          <w:szCs w:val="20"/>
          <w:color w:val="auto"/>
        </w:rPr>
      </w:pPr>
      <w:r>
        <w:rPr>
          <w:rFonts w:ascii="Courier New" w:cs="Courier New" w:eastAsia="Courier New" w:hAnsi="Courier New"/>
          <w:sz w:val="18"/>
          <w:szCs w:val="18"/>
          <w:color w:val="auto"/>
        </w:rPr>
        <w:t>to the company's sale of accounts receivable in the prior year.</w:t>
      </w:r>
      <w:r>
        <w:rPr>
          <w:sz w:val="20"/>
          <w:szCs w:val="20"/>
          <w:color w:val="auto"/>
        </w:rPr>
        <w:tab/>
      </w:r>
      <w:r>
        <w:rPr>
          <w:rFonts w:ascii="Courier New" w:cs="Courier New" w:eastAsia="Courier New" w:hAnsi="Courier New"/>
          <w:sz w:val="16"/>
          <w:szCs w:val="16"/>
          <w:color w:val="auto"/>
        </w:rPr>
        <w:t>No receivables</w:t>
      </w:r>
    </w:p>
    <w:p>
      <w:pPr>
        <w:spacing w:after="0" w:line="238" w:lineRule="auto"/>
        <w:rPr>
          <w:sz w:val="20"/>
          <w:szCs w:val="20"/>
          <w:color w:val="auto"/>
        </w:rPr>
      </w:pPr>
      <w:r>
        <w:rPr>
          <w:rFonts w:ascii="Courier New" w:cs="Courier New" w:eastAsia="Courier New" w:hAnsi="Courier New"/>
          <w:sz w:val="18"/>
          <w:szCs w:val="18"/>
          <w:color w:val="auto"/>
        </w:rPr>
        <w:t>were sold in the current year.</w:t>
      </w:r>
    </w:p>
    <w:p>
      <w:pPr>
        <w:spacing w:after="0" w:line="208" w:lineRule="exact"/>
        <w:rPr>
          <w:sz w:val="20"/>
          <w:szCs w:val="20"/>
          <w:color w:val="auto"/>
        </w:rPr>
      </w:pPr>
    </w:p>
    <w:p>
      <w:pPr>
        <w:ind w:right="1779"/>
        <w:spacing w:after="0" w:line="270" w:lineRule="auto"/>
        <w:rPr>
          <w:sz w:val="20"/>
          <w:szCs w:val="20"/>
          <w:color w:val="auto"/>
        </w:rPr>
      </w:pPr>
      <w:r>
        <w:rPr>
          <w:rFonts w:ascii="Courier New" w:cs="Courier New" w:eastAsia="Courier New" w:hAnsi="Courier New"/>
          <w:sz w:val="16"/>
          <w:szCs w:val="16"/>
          <w:color w:val="auto"/>
        </w:rPr>
        <w:t>Total current liabilities of $287.8 million at February 2, 1996 increased $33.8 million compared with current liabilities at February 3, 1995. The majority of this increase occurred in short-term borrowing, which was up $59.1 million over the prior year. The increase in short-term borrowing reflects the company's cash management strategy of utilizing short-term borrowing to fund the company's seasonal working capital needs. The company's peak borrowing usually occurs in late winter/early spring. The company also acquired $26.2 million of Toro stock in 1995. The purchased stock will be used primarily to fulfill the company's obligations under a variety of benefit plans. The increase in short-term borrowing was offset by a decrease in other accrued liabilities which reflects reductions in marketing programs due to a combination of the consumer sales decline and the company's efforts to reduce marketing costs.</w:t>
      </w:r>
    </w:p>
    <w:p>
      <w:pPr>
        <w:sectPr>
          <w:pgSz w:w="11900" w:h="16838" w:orient="portrait"/>
          <w:cols w:equalWidth="0" w:num="1">
            <w:col w:w="10219"/>
          </w:cols>
          <w:pgMar w:left="240" w:top="1440" w:right="1440" w:bottom="545" w:gutter="0" w:footer="0" w:header="0"/>
        </w:sectPr>
      </w:pPr>
    </w:p>
    <w:bookmarkStart w:id="8" w:name="page9"/>
    <w:bookmarkEnd w:id="8"/>
    <w:p>
      <w:pPr>
        <w:ind w:left="292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9019"/>
          </w:cols>
          <w:pgMar w:left="1440" w:top="142" w:right="1440" w:bottom="1440" w:gutter="0" w:footer="0" w:header="0"/>
        </w:sectPr>
      </w:pPr>
    </w:p>
    <w:bookmarkStart w:id="9" w:name="page10"/>
    <w:bookmarkEnd w:id="9"/>
    <w:p>
      <w:pPr>
        <w:ind w:left="540"/>
        <w:spacing w:after="0"/>
        <w:rPr>
          <w:sz w:val="20"/>
          <w:szCs w:val="20"/>
          <w:color w:val="auto"/>
        </w:rPr>
      </w:pPr>
      <w:r>
        <w:rPr>
          <w:rFonts w:ascii="Courier New" w:cs="Courier New" w:eastAsia="Courier New" w:hAnsi="Courier New"/>
          <w:sz w:val="18"/>
          <w:szCs w:val="18"/>
          <w:color w:val="auto"/>
        </w:rPr>
        <w:t>FEBRUARY 2, 1996 COMPARED TO OCTOBER 31, 1995</w:t>
      </w:r>
    </w:p>
    <w:p>
      <w:pPr>
        <w:spacing w:after="0" w:line="207" w:lineRule="exact"/>
        <w:rPr>
          <w:sz w:val="20"/>
          <w:szCs w:val="20"/>
          <w:color w:val="auto"/>
        </w:rPr>
      </w:pPr>
    </w:p>
    <w:p>
      <w:pPr>
        <w:ind w:right="2099"/>
        <w:spacing w:after="0" w:line="271" w:lineRule="auto"/>
        <w:rPr>
          <w:sz w:val="20"/>
          <w:szCs w:val="20"/>
          <w:color w:val="auto"/>
        </w:rPr>
      </w:pPr>
      <w:r>
        <w:rPr>
          <w:rFonts w:ascii="Courier New" w:cs="Courier New" w:eastAsia="Courier New" w:hAnsi="Courier New"/>
          <w:sz w:val="16"/>
          <w:szCs w:val="16"/>
          <w:color w:val="auto"/>
        </w:rPr>
        <w:t>Total assets as of February 2, 1996 were $547.7 million, up $75.0 million from October 31, 1995. The primary increases were in accounts receivable and inventory. The increase in accounts receivable is primarily attributable to the following: sales increases in the Commercial, Irrigation and International divisions of 6.1%, 8.5% and 13.3%, respectively, a change in the timing of payments, with customers having paid earlier due to better retail flow in the prior year, an expansion of the dealer financing customer base, and the company's sale of accounts receivable in the prior year.</w:t>
      </w:r>
    </w:p>
    <w:p>
      <w:pPr>
        <w:spacing w:after="0" w:line="186"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Total current liabilities of $287.8 million at February 2, 1996 increased $66.6 million compared with current liabilities at October 31, 1995. The majority of this increase was the result of additional short-term borrowing of $73.3 million offset by reductions in long-term debt and accounts payable. The increase in short-term borrowing reflects the company's strategy of utilizing short-term borrowing to fund the company's seasonal working capital needs. The company also acquired $26.2 million of Toro stock in 1995.</w:t>
      </w: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EQUITY</w:t>
      </w:r>
    </w:p>
    <w:p>
      <w:pPr>
        <w:spacing w:after="0" w:line="207"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Equity increased $14.4 million compared with the prior year. Retained earnings increased because of earnings growth. This was offset by a decrease in additional paid in capital because of the purchase of the company's stock. The company acquired $26.2 million of Toro stock in 1995. The purchased stock will be used primarily to fulfill the company's obligations under a variety of benefit plans.</w:t>
      </w:r>
    </w:p>
    <w:p>
      <w:pPr>
        <w:spacing w:after="0" w:line="210"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Equity as of February 2, 1996 increased $8.5 million compared to October 31, 1995. The increase reflects the earnings over the period.</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CASH FLOWS</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seasonal working capital requirements of the business are financed primarily with short-term debt. Management believes that the combination of funds available through its existing financing arrangements, coupled with forecasted cash flows, will provide the capital resources for its anticipated needs.</w:t>
      </w:r>
    </w:p>
    <w:p>
      <w:pPr>
        <w:spacing w:after="0" w:line="209"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Cash used in operating activities was primarily to support the increase in accounts receivable and inventory primarily as a result of normal seasonal increases, offset slightly by payments of accounts payable and accrued expenses. Partially offsetting these operating cash outflows were positive cash flows from net earnings.</w:t>
      </w:r>
    </w:p>
    <w:p>
      <w:pPr>
        <w:spacing w:after="0" w:line="209"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Net cash used in investment activities was the result of spending related to company improvement projects of property, plant, and equipment as described above.</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Net cash provided by financing activities was the result of proceeds from short-term borrowing used to fulfill the operating cash flow requirements described above in addition to reducing long-term debt.</w:t>
      </w:r>
    </w:p>
    <w:p>
      <w:pPr>
        <w:spacing w:after="0" w:line="203"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INFLATION</w:t>
      </w:r>
    </w:p>
    <w:p>
      <w:pPr>
        <w:spacing w:after="0" w:line="20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The company is subject to the effects of changing prices. The Company has, however, generally been able to pass along inflationary increases in its costs by increasing the prices of its products.</w:t>
      </w: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19" w:right="1440" w:bottom="1440" w:gutter="0" w:footer="0" w:header="0"/>
        </w:sectPr>
      </w:pPr>
    </w:p>
    <w:bookmarkStart w:id="10" w:name="page11"/>
    <w:bookmarkEnd w:id="10"/>
    <w:p>
      <w:pPr>
        <w:ind w:left="2860"/>
        <w:spacing w:after="0"/>
        <w:tabs>
          <w:tab w:leader="none" w:pos="3880" w:val="left"/>
        </w:tabs>
        <w:rPr>
          <w:sz w:val="20"/>
          <w:szCs w:val="20"/>
          <w:color w:val="auto"/>
        </w:rPr>
      </w:pPr>
      <w:r>
        <w:rPr>
          <w:rFonts w:ascii="Courier New" w:cs="Courier New" w:eastAsia="Courier New" w:hAnsi="Courier New"/>
          <w:sz w:val="18"/>
          <w:szCs w:val="18"/>
          <w:color w:val="auto"/>
        </w:rPr>
        <w:t>PART II.</w:t>
      </w:r>
      <w:r>
        <w:rPr>
          <w:sz w:val="20"/>
          <w:szCs w:val="20"/>
          <w:color w:val="auto"/>
        </w:rPr>
        <w:tab/>
      </w:r>
      <w:r>
        <w:rPr>
          <w:rFonts w:ascii="Courier New" w:cs="Courier New" w:eastAsia="Courier New" w:hAnsi="Courier New"/>
          <w:sz w:val="16"/>
          <w:szCs w:val="16"/>
          <w:color w:val="auto"/>
        </w:rPr>
        <w:t>OTHER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1" w:lineRule="exact"/>
        <w:rPr>
          <w:sz w:val="20"/>
          <w:szCs w:val="20"/>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11  Computation of Earnings per Common Share</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 27  Financial Data Schedule</w:t>
      </w:r>
    </w:p>
    <w:p>
      <w:pPr>
        <w:spacing w:after="0" w:line="201" w:lineRule="exact"/>
        <w:rPr>
          <w:rFonts w:ascii="Courier New" w:cs="Courier New" w:eastAsia="Courier New" w:hAnsi="Courier New"/>
          <w:sz w:val="18"/>
          <w:szCs w:val="18"/>
          <w:color w:val="auto"/>
        </w:rPr>
      </w:pPr>
    </w:p>
    <w:p>
      <w:pPr>
        <w:ind w:left="106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Summarized financial data; electronic filing only.</w:t>
      </w:r>
    </w:p>
    <w:p>
      <w:pPr>
        <w:spacing w:after="0" w:line="201"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w:t>
      </w:r>
    </w:p>
    <w:p>
      <w:pPr>
        <w:spacing w:after="0" w:line="206" w:lineRule="exact"/>
        <w:rPr>
          <w:rFonts w:ascii="Courier New" w:cs="Courier New" w:eastAsia="Courier New" w:hAnsi="Courier New"/>
          <w:sz w:val="18"/>
          <w:szCs w:val="18"/>
          <w:color w:val="auto"/>
        </w:rPr>
      </w:pPr>
    </w:p>
    <w:p>
      <w:pPr>
        <w:ind w:left="1060" w:right="17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did not file any Form 8-K reports during the first quarter of fiscal 1996.</w:t>
      </w:r>
    </w:p>
    <w:p>
      <w:pPr>
        <w:spacing w:after="0" w:line="200" w:lineRule="exact"/>
        <w:rPr>
          <w:sz w:val="20"/>
          <w:szCs w:val="20"/>
          <w:color w:val="auto"/>
        </w:rPr>
      </w:pPr>
    </w:p>
    <w:p>
      <w:pPr>
        <w:spacing w:after="0" w:line="205"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3"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THE TORO COMPANY</w:t>
      </w:r>
    </w:p>
    <w:p>
      <w:pPr>
        <w:jc w:val="center"/>
        <w:ind w:right="1779"/>
        <w:spacing w:after="0" w:line="238" w:lineRule="auto"/>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4" w:lineRule="exact"/>
        <w:rPr>
          <w:sz w:val="20"/>
          <w:szCs w:val="20"/>
          <w:color w:val="auto"/>
        </w:rPr>
      </w:pPr>
    </w:p>
    <w:p>
      <w:pPr>
        <w:ind w:left="3160"/>
        <w:spacing w:after="0"/>
        <w:tabs>
          <w:tab w:leader="none" w:pos="368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Gerald T. Knight</w:t>
      </w:r>
    </w:p>
    <w:p>
      <w:pPr>
        <w:ind w:left="3700"/>
        <w:spacing w:after="0" w:line="238" w:lineRule="auto"/>
        <w:rPr>
          <w:sz w:val="20"/>
          <w:szCs w:val="20"/>
          <w:color w:val="auto"/>
        </w:rPr>
      </w:pPr>
      <w:r>
        <w:rPr>
          <w:rFonts w:ascii="Courier New" w:cs="Courier New" w:eastAsia="Courier New" w:hAnsi="Courier New"/>
          <w:sz w:val="18"/>
          <w:szCs w:val="18"/>
          <w:color w:val="auto"/>
        </w:rPr>
        <w:t>------------------------------</w:t>
      </w:r>
    </w:p>
    <w:p>
      <w:pPr>
        <w:ind w:left="3700"/>
        <w:spacing w:after="0"/>
        <w:rPr>
          <w:sz w:val="20"/>
          <w:szCs w:val="20"/>
          <w:color w:val="auto"/>
        </w:rPr>
      </w:pPr>
      <w:r>
        <w:rPr>
          <w:rFonts w:ascii="Courier New" w:cs="Courier New" w:eastAsia="Courier New" w:hAnsi="Courier New"/>
          <w:sz w:val="18"/>
          <w:szCs w:val="18"/>
          <w:color w:val="auto"/>
        </w:rPr>
        <w:t>Gerald T. Knight</w:t>
      </w:r>
    </w:p>
    <w:p>
      <w:pPr>
        <w:ind w:left="3700"/>
        <w:spacing w:after="0" w:line="237" w:lineRule="auto"/>
        <w:rPr>
          <w:sz w:val="20"/>
          <w:szCs w:val="20"/>
          <w:color w:val="auto"/>
        </w:rPr>
      </w:pPr>
      <w:r>
        <w:rPr>
          <w:rFonts w:ascii="Courier New" w:cs="Courier New" w:eastAsia="Courier New" w:hAnsi="Courier New"/>
          <w:sz w:val="18"/>
          <w:szCs w:val="18"/>
          <w:color w:val="auto"/>
        </w:rPr>
        <w:t>Vice President, Finance</w:t>
      </w:r>
    </w:p>
    <w:p>
      <w:pPr>
        <w:ind w:left="3700"/>
        <w:spacing w:after="0" w:line="238" w:lineRule="auto"/>
        <w:rPr>
          <w:sz w:val="20"/>
          <w:szCs w:val="20"/>
          <w:color w:val="auto"/>
        </w:rPr>
      </w:pPr>
      <w:r>
        <w:rPr>
          <w:rFonts w:ascii="Courier New" w:cs="Courier New" w:eastAsia="Courier New" w:hAnsi="Courier New"/>
          <w:sz w:val="18"/>
          <w:szCs w:val="18"/>
          <w:color w:val="auto"/>
        </w:rPr>
        <w:t>Chief Financial Officer</w:t>
      </w:r>
    </w:p>
    <w:p>
      <w:pPr>
        <w:ind w:left="3700"/>
        <w:spacing w:after="0"/>
        <w:rPr>
          <w:sz w:val="20"/>
          <w:szCs w:val="20"/>
          <w:color w:val="auto"/>
        </w:rPr>
      </w:pPr>
      <w:r>
        <w:rPr>
          <w:rFonts w:ascii="Courier New" w:cs="Courier New" w:eastAsia="Courier New" w:hAnsi="Courier New"/>
          <w:sz w:val="18"/>
          <w:szCs w:val="18"/>
          <w:color w:val="auto"/>
        </w:rPr>
        <w:t>(principal financial officer)</w:t>
      </w:r>
    </w:p>
    <w:p>
      <w:pPr>
        <w:spacing w:after="0" w:line="200" w:lineRule="exact"/>
        <w:rPr>
          <w:sz w:val="20"/>
          <w:szCs w:val="20"/>
          <w:color w:val="auto"/>
        </w:rPr>
      </w:pPr>
    </w:p>
    <w:p>
      <w:pPr>
        <w:spacing w:after="0" w:line="203"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March 18, 1996</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0219"/>
          </w:cols>
          <w:pgMar w:left="240" w:top="919" w:right="1440" w:bottom="1440" w:gutter="0" w:footer="0" w:header="0"/>
        </w:sectPr>
      </w:pPr>
    </w:p>
    <w:bookmarkStart w:id="11" w:name="page12"/>
    <w:bookmarkEnd w:id="11"/>
    <w:p>
      <w:pPr>
        <w:jc w:val="right"/>
        <w:ind w:right="1779"/>
        <w:spacing w:after="0"/>
        <w:rPr>
          <w:sz w:val="20"/>
          <w:szCs w:val="20"/>
          <w:color w:val="auto"/>
        </w:rPr>
      </w:pPr>
      <w:r>
        <w:rPr>
          <w:rFonts w:ascii="Courier New" w:cs="Courier New" w:eastAsia="Courier New" w:hAnsi="Courier New"/>
          <w:sz w:val="18"/>
          <w:szCs w:val="18"/>
          <w:color w:val="auto"/>
        </w:rPr>
        <w:t>Exhibit 11</w:t>
      </w:r>
    </w:p>
    <w:p>
      <w:pPr>
        <w:spacing w:after="0" w:line="200" w:lineRule="exact"/>
        <w:rPr>
          <w:sz w:val="20"/>
          <w:szCs w:val="20"/>
          <w:color w:val="auto"/>
        </w:rPr>
      </w:pPr>
    </w:p>
    <w:p>
      <w:pPr>
        <w:spacing w:after="0" w:line="204" w:lineRule="exact"/>
        <w:rPr>
          <w:sz w:val="20"/>
          <w:szCs w:val="20"/>
          <w:color w:val="auto"/>
        </w:rPr>
      </w:pPr>
    </w:p>
    <w:p>
      <w:pPr>
        <w:ind w:left="2540"/>
        <w:spacing w:after="0"/>
        <w:rPr>
          <w:sz w:val="20"/>
          <w:szCs w:val="20"/>
          <w:color w:val="auto"/>
        </w:rPr>
      </w:pPr>
      <w:r>
        <w:rPr>
          <w:rFonts w:ascii="Courier New" w:cs="Courier New" w:eastAsia="Courier New" w:hAnsi="Courier New"/>
          <w:sz w:val="18"/>
          <w:szCs w:val="18"/>
          <w:color w:val="auto"/>
        </w:rPr>
        <w:t>THE TORO COMPANY AND SUBSIDIARIES</w:t>
      </w:r>
    </w:p>
    <w:p>
      <w:pPr>
        <w:ind w:left="2120"/>
        <w:spacing w:after="0" w:line="238" w:lineRule="auto"/>
        <w:rPr>
          <w:sz w:val="20"/>
          <w:szCs w:val="20"/>
          <w:color w:val="auto"/>
        </w:rPr>
      </w:pPr>
      <w:r>
        <w:rPr>
          <w:rFonts w:ascii="Courier New" w:cs="Courier New" w:eastAsia="Courier New" w:hAnsi="Courier New"/>
          <w:sz w:val="18"/>
          <w:szCs w:val="18"/>
          <w:color w:val="auto"/>
        </w:rPr>
        <w:t>COMPUTATION OF EARNINGS PER COMMON SHARE</w:t>
      </w:r>
    </w:p>
    <w:p>
      <w:pPr>
        <w:ind w:left="1900"/>
        <w:spacing w:after="0"/>
        <w:rPr>
          <w:sz w:val="20"/>
          <w:szCs w:val="20"/>
          <w:color w:val="auto"/>
        </w:rPr>
      </w:pPr>
      <w:r>
        <w:rPr>
          <w:rFonts w:ascii="Courier New" w:cs="Courier New" w:eastAsia="Courier New" w:hAnsi="Courier New"/>
          <w:sz w:val="18"/>
          <w:szCs w:val="18"/>
          <w:color w:val="auto"/>
        </w:rPr>
        <w:t>(DOLLARS IN THOUSANDS, EXCEPT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20" w:type="dxa"/>
            <w:vAlign w:val="bottom"/>
            <w:gridSpan w:val="3"/>
          </w:tcPr>
          <w:p>
            <w:pPr>
              <w:jc w:val="right"/>
              <w:ind w:right="332"/>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4960" w:type="dxa"/>
            <w:vAlign w:val="bottom"/>
          </w:tcPr>
          <w:p>
            <w:pPr>
              <w:spacing w:after="0"/>
              <w:rPr>
                <w:sz w:val="17"/>
                <w:szCs w:val="17"/>
                <w:color w:val="auto"/>
              </w:rPr>
            </w:pPr>
          </w:p>
        </w:tc>
        <w:tc>
          <w:tcPr>
            <w:tcW w:w="3060" w:type="dxa"/>
            <w:vAlign w:val="bottom"/>
            <w:gridSpan w:val="4"/>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6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February 2,</w:t>
            </w:r>
          </w:p>
        </w:tc>
        <w:tc>
          <w:tcPr>
            <w:tcW w:w="138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5"/>
              </w:rPr>
              <w:t>February 3,</w:t>
            </w:r>
          </w:p>
        </w:tc>
      </w:tr>
      <w:tr>
        <w:trPr>
          <w:trHeight w:val="203"/>
        </w:trPr>
        <w:tc>
          <w:tcPr>
            <w:tcW w:w="49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w w:val="92"/>
              </w:rPr>
              <w:t>1996</w:t>
            </w:r>
          </w:p>
        </w:tc>
        <w:tc>
          <w:tcPr>
            <w:tcW w:w="320" w:type="dxa"/>
            <w:vAlign w:val="bottom"/>
          </w:tcPr>
          <w:p>
            <w:pPr>
              <w:spacing w:after="0"/>
              <w:rPr>
                <w:sz w:val="17"/>
                <w:szCs w:val="17"/>
                <w:color w:val="auto"/>
              </w:rPr>
            </w:pPr>
          </w:p>
        </w:tc>
        <w:tc>
          <w:tcPr>
            <w:tcW w:w="10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203"/>
        </w:trPr>
        <w:tc>
          <w:tcPr>
            <w:tcW w:w="496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496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7"/>
              </w:rPr>
              <w:t>Net earnings . . . . . . . . . . . . . . . .</w:t>
            </w:r>
          </w:p>
        </w:tc>
        <w:tc>
          <w:tcPr>
            <w:tcW w:w="640" w:type="dxa"/>
            <w:vAlign w:val="bottom"/>
          </w:tcPr>
          <w:p>
            <w:pPr>
              <w:ind w:left="320"/>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8,498</w:t>
            </w:r>
          </w:p>
        </w:tc>
        <w:tc>
          <w:tcPr>
            <w:tcW w:w="320" w:type="dxa"/>
            <w:vAlign w:val="bottom"/>
          </w:tcPr>
          <w:p>
            <w:pPr>
              <w:ind w:left="220"/>
              <w:spacing w:after="0"/>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6,799</w:t>
            </w:r>
          </w:p>
        </w:tc>
      </w:tr>
      <w:tr>
        <w:trPr>
          <w:trHeight w:val="203"/>
        </w:trPr>
        <w:tc>
          <w:tcPr>
            <w:tcW w:w="496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Primary:</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of common stock and common</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stock equivalents:</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9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Weighted average number of common</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shares outstanding. . . . . . . . .</w:t>
            </w: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12,219,360</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12,748,891</w:t>
            </w:r>
          </w:p>
        </w:tc>
      </w:tr>
      <w:tr>
        <w:trPr>
          <w:trHeight w:val="203"/>
        </w:trPr>
        <w:tc>
          <w:tcPr>
            <w:tcW w:w="49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Dilutive effect of outstanding</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stock options (1) . . . . . . . . .</w:t>
            </w:r>
          </w:p>
        </w:tc>
        <w:tc>
          <w:tcPr>
            <w:tcW w:w="6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442,857</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505,812</w:t>
            </w:r>
          </w:p>
        </w:tc>
      </w:tr>
      <w:tr>
        <w:trPr>
          <w:trHeight w:val="203"/>
        </w:trPr>
        <w:tc>
          <w:tcPr>
            <w:tcW w:w="496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12,662,217</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13,254,703</w:t>
            </w:r>
          </w:p>
        </w:tc>
      </w:tr>
      <w:tr>
        <w:trPr>
          <w:trHeight w:val="203"/>
        </w:trPr>
        <w:tc>
          <w:tcPr>
            <w:tcW w:w="496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earnings per share of common stock</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and common stock equivalent . . . . .</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0.67</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0.51</w:t>
            </w:r>
          </w:p>
        </w:tc>
      </w:tr>
      <w:tr>
        <w:trPr>
          <w:trHeight w:val="203"/>
        </w:trPr>
        <w:tc>
          <w:tcPr>
            <w:tcW w:w="496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line="203" w:lineRule="exact"/>
              <w:rPr>
                <w:sz w:val="20"/>
                <w:szCs w:val="20"/>
                <w:color w:val="auto"/>
              </w:rPr>
            </w:pPr>
            <w:r>
              <w:rPr>
                <w:rFonts w:ascii="Courier New" w:cs="Courier New" w:eastAsia="Courier New" w:hAnsi="Courier New"/>
                <w:sz w:val="18"/>
                <w:szCs w:val="18"/>
                <w:color w:val="auto"/>
              </w:rPr>
              <w:t>Fully Diluted:</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Shares of common stock and common</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stock equivalents:</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9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Weighted average number of common</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shares outstanding. . . . . . . . .</w:t>
            </w: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12,219,360</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12,748,891</w:t>
            </w:r>
          </w:p>
        </w:tc>
      </w:tr>
      <w:tr>
        <w:trPr>
          <w:trHeight w:val="203"/>
        </w:trPr>
        <w:tc>
          <w:tcPr>
            <w:tcW w:w="4960" w:type="dxa"/>
            <w:vAlign w:val="bottom"/>
          </w:tcPr>
          <w:p>
            <w:pPr>
              <w:ind w:left="740"/>
              <w:spacing w:after="0" w:line="203" w:lineRule="exact"/>
              <w:rPr>
                <w:sz w:val="20"/>
                <w:szCs w:val="20"/>
                <w:color w:val="auto"/>
              </w:rPr>
            </w:pPr>
            <w:r>
              <w:rPr>
                <w:rFonts w:ascii="Courier New" w:cs="Courier New" w:eastAsia="Courier New" w:hAnsi="Courier New"/>
                <w:sz w:val="18"/>
                <w:szCs w:val="18"/>
                <w:color w:val="auto"/>
              </w:rPr>
              <w:t>Dilutive effect of outstanding</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stock options (2) . . . . . . . . .</w:t>
            </w:r>
          </w:p>
        </w:tc>
        <w:tc>
          <w:tcPr>
            <w:tcW w:w="64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497,522</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519,207</w:t>
            </w:r>
          </w:p>
        </w:tc>
      </w:tr>
      <w:tr>
        <w:trPr>
          <w:trHeight w:val="203"/>
        </w:trPr>
        <w:tc>
          <w:tcPr>
            <w:tcW w:w="496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12,716,882</w:t>
            </w:r>
          </w:p>
        </w:tc>
        <w:tc>
          <w:tcPr>
            <w:tcW w:w="320" w:type="dxa"/>
            <w:vAlign w:val="bottom"/>
          </w:tcPr>
          <w:p>
            <w:pPr>
              <w:spacing w:after="0"/>
              <w:rPr>
                <w:sz w:val="17"/>
                <w:szCs w:val="17"/>
                <w:color w:val="auto"/>
              </w:rPr>
            </w:pP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3,268,098</w:t>
            </w:r>
          </w:p>
        </w:tc>
      </w:tr>
      <w:tr>
        <w:trPr>
          <w:trHeight w:val="203"/>
        </w:trPr>
        <w:tc>
          <w:tcPr>
            <w:tcW w:w="496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earnings per share of common stock</w:t>
            </w: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4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and common stock equivalent . . . . .</w:t>
            </w: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0.67</w:t>
            </w:r>
          </w:p>
        </w:tc>
        <w:tc>
          <w:tcPr>
            <w:tcW w:w="3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73"/>
              </w:rPr>
              <w:t>$</w:t>
            </w:r>
          </w:p>
        </w:tc>
        <w:tc>
          <w:tcPr>
            <w:tcW w:w="10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0.51</w:t>
            </w:r>
          </w:p>
        </w:tc>
      </w:tr>
      <w:tr>
        <w:trPr>
          <w:trHeight w:val="203"/>
        </w:trPr>
        <w:tc>
          <w:tcPr>
            <w:tcW w:w="496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960" w:type="dxa"/>
            <w:vAlign w:val="bottom"/>
          </w:tcPr>
          <w:p>
            <w:pPr>
              <w:spacing w:after="0"/>
              <w:rPr>
                <w:sz w:val="17"/>
                <w:szCs w:val="17"/>
                <w:color w:val="auto"/>
              </w:rPr>
            </w:pPr>
          </w:p>
        </w:tc>
        <w:tc>
          <w:tcPr>
            <w:tcW w:w="168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right="1999" w:hanging="532"/>
        <w:spacing w:after="0" w:line="279" w:lineRule="auto"/>
        <w:tabs>
          <w:tab w:leader="none" w:pos="54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Outstanding stock options and options exercised in the current period are converted to common stock equivalents by the treasury stock method using the average market price of the company's stock during each period.</w:t>
      </w:r>
    </w:p>
    <w:p>
      <w:pPr>
        <w:spacing w:after="0" w:line="178" w:lineRule="exact"/>
        <w:rPr>
          <w:rFonts w:ascii="Courier New" w:cs="Courier New" w:eastAsia="Courier New" w:hAnsi="Courier New"/>
          <w:sz w:val="16"/>
          <w:szCs w:val="16"/>
          <w:color w:val="auto"/>
        </w:rPr>
      </w:pPr>
    </w:p>
    <w:p>
      <w:pPr>
        <w:ind w:left="540" w:right="1999"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Outstanding stock options and options exercised in the current period are converted to common stock equivalents by the treasury stock method using the greater of the average market price or the period-end market price of the company's stock during each period.</w:t>
      </w:r>
    </w:p>
    <w:p>
      <w:pPr>
        <w:spacing w:after="0" w:line="200" w:lineRule="exact"/>
        <w:rPr>
          <w:sz w:val="20"/>
          <w:szCs w:val="20"/>
          <w:color w:val="auto"/>
        </w:rPr>
      </w:pPr>
    </w:p>
    <w:p>
      <w:pPr>
        <w:spacing w:after="0" w:line="204"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919" w:right="1440" w:bottom="1440" w:gutter="0" w:footer="0" w:header="0"/>
        </w:sectPr>
      </w:pPr>
    </w:p>
    <w:bookmarkStart w:id="12" w:name="page13"/>
    <w:bookmarkEnd w:id="1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 w:name="page14"/>
    <w:bookmarkEnd w:id="13"/>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2699"/>
        <w:spacing w:after="0" w:line="268" w:lineRule="auto"/>
        <w:rPr>
          <w:sz w:val="20"/>
          <w:szCs w:val="20"/>
          <w:color w:val="auto"/>
        </w:rPr>
      </w:pPr>
      <w:r>
        <w:rPr>
          <w:rFonts w:ascii="Courier New" w:cs="Courier New" w:eastAsia="Courier New" w:hAnsi="Courier New"/>
          <w:sz w:val="16"/>
          <w:szCs w:val="16"/>
          <w:color w:val="auto"/>
        </w:rPr>
        <w:t>THIS SCHEDULE CONTAINS SUMMARY FINANCIAL INFORMATION EXTRACTED FROM THE CONDENSED CONSOLIDATED STATEMENT OF EARNINGS AND RETAINED EARNINGS,</w:t>
      </w:r>
    </w:p>
    <w:p>
      <w:pPr>
        <w:ind w:left="40" w:right="2499"/>
        <w:spacing w:after="0" w:line="235" w:lineRule="auto"/>
        <w:rPr>
          <w:sz w:val="20"/>
          <w:szCs w:val="20"/>
          <w:color w:val="auto"/>
        </w:rPr>
      </w:pPr>
      <w:r>
        <w:rPr>
          <w:rFonts w:ascii="Courier New" w:cs="Courier New" w:eastAsia="Courier New" w:hAnsi="Courier New"/>
          <w:sz w:val="18"/>
          <w:szCs w:val="18"/>
          <w:color w:val="auto"/>
        </w:rPr>
        <w:t>THE CONDENSED CONSOLIDATED BALANCE SHEET AND EXHIBIT 11, AND IS QUALIFIED IN ITS ENTIRETY BY REFERENCE TO SUCH FINANCIAL STATEMENTS.</w:t>
      </w:r>
    </w:p>
    <w:p>
      <w:pPr>
        <w:spacing w:after="0" w:line="20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3-MOS</w:t>
      </w:r>
    </w:p>
    <w:p>
      <w:pPr>
        <w:ind w:left="2740"/>
        <w:spacing w:after="0" w:line="238" w:lineRule="auto"/>
        <w:rPr>
          <w:sz w:val="20"/>
          <w:szCs w:val="20"/>
          <w:color w:val="auto"/>
        </w:rPr>
      </w:pPr>
      <w:r>
        <w:rPr>
          <w:rFonts w:ascii="Courier New" w:cs="Courier New" w:eastAsia="Courier New" w:hAnsi="Courier New"/>
          <w:sz w:val="18"/>
          <w:szCs w:val="18"/>
          <w:color w:val="auto"/>
        </w:rPr>
        <w:t>OCT-31-1995</w:t>
      </w:r>
    </w:p>
    <w:p>
      <w:pPr>
        <w:ind w:left="3060"/>
        <w:spacing w:after="0"/>
        <w:rPr>
          <w:sz w:val="20"/>
          <w:szCs w:val="20"/>
          <w:color w:val="auto"/>
        </w:rPr>
      </w:pPr>
      <w:r>
        <w:rPr>
          <w:rFonts w:ascii="Courier New" w:cs="Courier New" w:eastAsia="Courier New" w:hAnsi="Courier New"/>
          <w:sz w:val="18"/>
          <w:szCs w:val="18"/>
          <w:color w:val="auto"/>
        </w:rPr>
        <w:t>NOV-01-1995</w:t>
      </w:r>
    </w:p>
    <w:p>
      <w:pPr>
        <w:ind w:left="3280"/>
        <w:spacing w:after="0" w:line="237" w:lineRule="auto"/>
        <w:rPr>
          <w:sz w:val="20"/>
          <w:szCs w:val="20"/>
          <w:color w:val="auto"/>
        </w:rPr>
      </w:pPr>
      <w:r>
        <w:rPr>
          <w:rFonts w:ascii="Courier New" w:cs="Courier New" w:eastAsia="Courier New" w:hAnsi="Courier New"/>
          <w:sz w:val="18"/>
          <w:szCs w:val="18"/>
          <w:color w:val="auto"/>
        </w:rPr>
        <w:t>FEB-02-1996</w:t>
      </w:r>
    </w:p>
    <w:p>
      <w:pPr>
        <w:ind w:left="4540"/>
        <w:spacing w:after="0" w:line="238" w:lineRule="auto"/>
        <w:rPr>
          <w:sz w:val="20"/>
          <w:szCs w:val="20"/>
          <w:color w:val="auto"/>
        </w:rPr>
      </w:pPr>
      <w:r>
        <w:rPr>
          <w:rFonts w:ascii="Courier New" w:cs="Courier New" w:eastAsia="Courier New" w:hAnsi="Courier New"/>
          <w:sz w:val="18"/>
          <w:szCs w:val="18"/>
          <w:color w:val="auto"/>
        </w:rPr>
        <w:t>4,322</w:t>
      </w:r>
    </w:p>
    <w:p>
      <w:pPr>
        <w:ind w:left="4320"/>
        <w:spacing w:after="0"/>
        <w:rPr>
          <w:sz w:val="20"/>
          <w:szCs w:val="20"/>
          <w:color w:val="auto"/>
        </w:rPr>
      </w:pPr>
      <w:r>
        <w:rPr>
          <w:rFonts w:ascii="Courier New" w:cs="Courier New" w:eastAsia="Courier New" w:hAnsi="Courier New"/>
          <w:sz w:val="18"/>
          <w:szCs w:val="18"/>
          <w:color w:val="auto"/>
        </w:rPr>
        <w:t>0</w:t>
      </w:r>
    </w:p>
    <w:p>
      <w:pPr>
        <w:ind w:left="3580"/>
        <w:spacing w:after="0" w:line="237" w:lineRule="auto"/>
        <w:rPr>
          <w:sz w:val="20"/>
          <w:szCs w:val="20"/>
          <w:color w:val="auto"/>
        </w:rPr>
      </w:pPr>
      <w:r>
        <w:rPr>
          <w:rFonts w:ascii="Courier New" w:cs="Courier New" w:eastAsia="Courier New" w:hAnsi="Courier New"/>
          <w:sz w:val="18"/>
          <w:szCs w:val="18"/>
          <w:color w:val="auto"/>
        </w:rPr>
        <w:t>262,473</w:t>
      </w:r>
    </w:p>
    <w:p>
      <w:pPr>
        <w:ind w:left="4320"/>
        <w:spacing w:after="0"/>
        <w:rPr>
          <w:sz w:val="20"/>
          <w:szCs w:val="20"/>
          <w:color w:val="auto"/>
        </w:rPr>
      </w:pPr>
      <w:r>
        <w:rPr>
          <w:rFonts w:ascii="Courier New" w:cs="Courier New" w:eastAsia="Courier New" w:hAnsi="Courier New"/>
          <w:sz w:val="18"/>
          <w:szCs w:val="18"/>
          <w:color w:val="auto"/>
        </w:rPr>
        <w:t>0</w:t>
      </w:r>
    </w:p>
    <w:p>
      <w:pPr>
        <w:ind w:left="3800"/>
        <w:spacing w:after="0" w:line="237" w:lineRule="auto"/>
        <w:rPr>
          <w:sz w:val="20"/>
          <w:szCs w:val="20"/>
          <w:color w:val="auto"/>
        </w:rPr>
      </w:pPr>
      <w:r>
        <w:rPr>
          <w:rFonts w:ascii="Courier New" w:cs="Courier New" w:eastAsia="Courier New" w:hAnsi="Courier New"/>
          <w:sz w:val="18"/>
          <w:szCs w:val="18"/>
          <w:color w:val="auto"/>
        </w:rPr>
        <w:t>163,575</w:t>
      </w:r>
    </w:p>
    <w:p>
      <w:pPr>
        <w:ind w:left="3280"/>
        <w:spacing w:after="0"/>
        <w:rPr>
          <w:sz w:val="20"/>
          <w:szCs w:val="20"/>
          <w:color w:val="auto"/>
        </w:rPr>
      </w:pPr>
      <w:r>
        <w:rPr>
          <w:rFonts w:ascii="Courier New" w:cs="Courier New" w:eastAsia="Courier New" w:hAnsi="Courier New"/>
          <w:sz w:val="18"/>
          <w:szCs w:val="18"/>
          <w:color w:val="auto"/>
        </w:rPr>
        <w:t>462,476</w:t>
      </w:r>
    </w:p>
    <w:p>
      <w:pPr>
        <w:ind w:left="4320"/>
        <w:spacing w:after="0" w:line="237" w:lineRule="auto"/>
        <w:rPr>
          <w:sz w:val="20"/>
          <w:szCs w:val="20"/>
          <w:color w:val="auto"/>
        </w:rPr>
      </w:pPr>
      <w:r>
        <w:rPr>
          <w:rFonts w:ascii="Courier New" w:cs="Courier New" w:eastAsia="Courier New" w:hAnsi="Courier New"/>
          <w:sz w:val="18"/>
          <w:szCs w:val="18"/>
          <w:color w:val="auto"/>
        </w:rPr>
        <w:t>213,256</w:t>
      </w:r>
    </w:p>
    <w:p>
      <w:pPr>
        <w:ind w:left="3480"/>
        <w:spacing w:after="0" w:line="238" w:lineRule="auto"/>
        <w:rPr>
          <w:sz w:val="20"/>
          <w:szCs w:val="20"/>
          <w:color w:val="auto"/>
        </w:rPr>
      </w:pPr>
      <w:r>
        <w:rPr>
          <w:rFonts w:ascii="Courier New" w:cs="Courier New" w:eastAsia="Courier New" w:hAnsi="Courier New"/>
          <w:sz w:val="18"/>
          <w:szCs w:val="18"/>
          <w:color w:val="auto"/>
        </w:rPr>
        <w:t>145,319</w:t>
      </w:r>
    </w:p>
    <w:p>
      <w:pPr>
        <w:ind w:left="3480"/>
        <w:spacing w:after="0"/>
        <w:rPr>
          <w:sz w:val="20"/>
          <w:szCs w:val="20"/>
          <w:color w:val="auto"/>
        </w:rPr>
      </w:pPr>
      <w:r>
        <w:rPr>
          <w:rFonts w:ascii="Courier New" w:cs="Courier New" w:eastAsia="Courier New" w:hAnsi="Courier New"/>
          <w:sz w:val="18"/>
          <w:szCs w:val="18"/>
          <w:color w:val="auto"/>
        </w:rPr>
        <w:t>547,657</w:t>
      </w:r>
    </w:p>
    <w:p>
      <w:pPr>
        <w:ind w:left="2740"/>
        <w:spacing w:after="0" w:line="237" w:lineRule="auto"/>
        <w:rPr>
          <w:sz w:val="20"/>
          <w:szCs w:val="20"/>
          <w:color w:val="auto"/>
        </w:rPr>
      </w:pPr>
      <w:r>
        <w:rPr>
          <w:rFonts w:ascii="Courier New" w:cs="Courier New" w:eastAsia="Courier New" w:hAnsi="Courier New"/>
          <w:sz w:val="18"/>
          <w:szCs w:val="18"/>
          <w:color w:val="auto"/>
        </w:rPr>
        <w:t>287,764</w:t>
      </w:r>
    </w:p>
    <w:p>
      <w:pPr>
        <w:ind w:left="4320"/>
        <w:spacing w:after="0"/>
        <w:rPr>
          <w:sz w:val="20"/>
          <w:szCs w:val="20"/>
          <w:color w:val="auto"/>
        </w:rPr>
      </w:pPr>
      <w:r>
        <w:rPr>
          <w:rFonts w:ascii="Courier New" w:cs="Courier New" w:eastAsia="Courier New" w:hAnsi="Courier New"/>
          <w:sz w:val="18"/>
          <w:szCs w:val="18"/>
          <w:color w:val="auto"/>
        </w:rPr>
        <w:t>63,696</w:t>
      </w:r>
    </w:p>
    <w:p>
      <w:pPr>
        <w:ind w:left="3380"/>
        <w:spacing w:after="0" w:line="237" w:lineRule="auto"/>
        <w:rPr>
          <w:sz w:val="20"/>
          <w:szCs w:val="20"/>
          <w:color w:val="auto"/>
        </w:rPr>
      </w:pPr>
      <w:r>
        <w:rPr>
          <w:rFonts w:ascii="Courier New" w:cs="Courier New" w:eastAsia="Courier New" w:hAnsi="Courier New"/>
          <w:sz w:val="18"/>
          <w:szCs w:val="18"/>
          <w:color w:val="auto"/>
        </w:rPr>
        <w:t>0</w:t>
      </w:r>
    </w:p>
    <w:p>
      <w:pPr>
        <w:ind w:left="4440"/>
        <w:spacing w:after="0"/>
        <w:rPr>
          <w:sz w:val="20"/>
          <w:szCs w:val="20"/>
          <w:color w:val="auto"/>
        </w:rPr>
      </w:pPr>
      <w:r>
        <w:rPr>
          <w:rFonts w:ascii="Courier New" w:cs="Courier New" w:eastAsia="Courier New" w:hAnsi="Courier New"/>
          <w:sz w:val="18"/>
          <w:szCs w:val="18"/>
          <w:color w:val="auto"/>
        </w:rPr>
        <w:t>0</w:t>
      </w:r>
    </w:p>
    <w:p>
      <w:pPr>
        <w:ind w:left="4220"/>
        <w:spacing w:after="0" w:line="237" w:lineRule="auto"/>
        <w:rPr>
          <w:sz w:val="20"/>
          <w:szCs w:val="20"/>
          <w:color w:val="auto"/>
        </w:rPr>
      </w:pPr>
      <w:r>
        <w:rPr>
          <w:rFonts w:ascii="Courier New" w:cs="Courier New" w:eastAsia="Courier New" w:hAnsi="Courier New"/>
          <w:sz w:val="18"/>
          <w:szCs w:val="18"/>
          <w:color w:val="auto"/>
        </w:rPr>
        <w:t>12,279</w:t>
      </w:r>
    </w:p>
    <w:p>
      <w:pPr>
        <w:ind w:left="3900"/>
        <w:spacing w:after="0" w:line="238" w:lineRule="auto"/>
        <w:rPr>
          <w:sz w:val="20"/>
          <w:szCs w:val="20"/>
          <w:color w:val="auto"/>
        </w:rPr>
      </w:pPr>
      <w:r>
        <w:rPr>
          <w:rFonts w:ascii="Courier New" w:cs="Courier New" w:eastAsia="Courier New" w:hAnsi="Courier New"/>
          <w:sz w:val="18"/>
          <w:szCs w:val="18"/>
          <w:color w:val="auto"/>
        </w:rPr>
        <w:t>187,071</w:t>
      </w:r>
    </w:p>
    <w:p>
      <w:pPr>
        <w:ind w:left="2000"/>
        <w:spacing w:after="0"/>
        <w:rPr>
          <w:sz w:val="20"/>
          <w:szCs w:val="20"/>
          <w:color w:val="auto"/>
        </w:rPr>
      </w:pPr>
      <w:r>
        <w:rPr>
          <w:rFonts w:ascii="Courier New" w:cs="Courier New" w:eastAsia="Courier New" w:hAnsi="Courier New"/>
          <w:sz w:val="18"/>
          <w:szCs w:val="18"/>
          <w:color w:val="auto"/>
        </w:rPr>
        <w:t>547,657</w:t>
      </w:r>
    </w:p>
    <w:p>
      <w:pPr>
        <w:ind w:left="4220"/>
        <w:spacing w:after="0" w:line="237" w:lineRule="auto"/>
        <w:rPr>
          <w:sz w:val="20"/>
          <w:szCs w:val="20"/>
          <w:color w:val="auto"/>
        </w:rPr>
      </w:pPr>
      <w:r>
        <w:rPr>
          <w:rFonts w:ascii="Courier New" w:cs="Courier New" w:eastAsia="Courier New" w:hAnsi="Courier New"/>
          <w:sz w:val="18"/>
          <w:szCs w:val="18"/>
          <w:color w:val="auto"/>
        </w:rPr>
        <w:t>211,501</w:t>
      </w:r>
    </w:p>
    <w:p>
      <w:pPr>
        <w:ind w:left="3280"/>
        <w:spacing w:after="0"/>
        <w:rPr>
          <w:sz w:val="20"/>
          <w:szCs w:val="20"/>
          <w:color w:val="auto"/>
        </w:rPr>
      </w:pPr>
      <w:r>
        <w:rPr>
          <w:rFonts w:ascii="Courier New" w:cs="Courier New" w:eastAsia="Courier New" w:hAnsi="Courier New"/>
          <w:sz w:val="18"/>
          <w:szCs w:val="18"/>
          <w:color w:val="auto"/>
        </w:rPr>
        <w:t>211,501</w:t>
      </w:r>
    </w:p>
    <w:p>
      <w:pPr>
        <w:ind w:left="4440"/>
        <w:spacing w:after="0" w:line="237" w:lineRule="auto"/>
        <w:rPr>
          <w:sz w:val="20"/>
          <w:szCs w:val="20"/>
          <w:color w:val="auto"/>
        </w:rPr>
      </w:pPr>
      <w:r>
        <w:rPr>
          <w:rFonts w:ascii="Courier New" w:cs="Courier New" w:eastAsia="Courier New" w:hAnsi="Courier New"/>
          <w:sz w:val="18"/>
          <w:szCs w:val="18"/>
          <w:color w:val="auto"/>
        </w:rPr>
        <w:t>135,172</w:t>
      </w:r>
    </w:p>
    <w:p>
      <w:pPr>
        <w:ind w:left="3700"/>
        <w:spacing w:after="0"/>
        <w:rPr>
          <w:sz w:val="20"/>
          <w:szCs w:val="20"/>
          <w:color w:val="auto"/>
        </w:rPr>
      </w:pPr>
      <w:r>
        <w:rPr>
          <w:rFonts w:ascii="Courier New" w:cs="Courier New" w:eastAsia="Courier New" w:hAnsi="Courier New"/>
          <w:sz w:val="18"/>
          <w:szCs w:val="18"/>
          <w:color w:val="auto"/>
        </w:rPr>
        <w:t>63,824</w:t>
      </w:r>
    </w:p>
    <w:p>
      <w:pPr>
        <w:ind w:left="3280"/>
        <w:spacing w:after="0" w:line="237" w:lineRule="auto"/>
        <w:rPr>
          <w:sz w:val="20"/>
          <w:szCs w:val="20"/>
          <w:color w:val="auto"/>
        </w:rPr>
      </w:pPr>
      <w:r>
        <w:rPr>
          <w:rFonts w:ascii="Courier New" w:cs="Courier New" w:eastAsia="Courier New" w:hAnsi="Courier New"/>
          <w:sz w:val="18"/>
          <w:szCs w:val="18"/>
          <w:color w:val="auto"/>
        </w:rPr>
        <w:t>(4,513)</w:t>
      </w:r>
    </w:p>
    <w:p>
      <w:pPr>
        <w:ind w:left="3900"/>
        <w:spacing w:after="0"/>
        <w:rPr>
          <w:sz w:val="20"/>
          <w:szCs w:val="20"/>
          <w:color w:val="auto"/>
        </w:rPr>
      </w:pPr>
      <w:r>
        <w:rPr>
          <w:rFonts w:ascii="Courier New" w:cs="Courier New" w:eastAsia="Courier New" w:hAnsi="Courier New"/>
          <w:sz w:val="18"/>
          <w:szCs w:val="18"/>
          <w:color w:val="auto"/>
        </w:rPr>
        <w:t>0</w:t>
      </w:r>
    </w:p>
    <w:p>
      <w:pPr>
        <w:ind w:left="3280"/>
        <w:spacing w:after="0" w:line="237" w:lineRule="auto"/>
        <w:rPr>
          <w:sz w:val="20"/>
          <w:szCs w:val="20"/>
          <w:color w:val="auto"/>
        </w:rPr>
      </w:pPr>
      <w:r>
        <w:rPr>
          <w:rFonts w:ascii="Courier New" w:cs="Courier New" w:eastAsia="Courier New" w:hAnsi="Courier New"/>
          <w:sz w:val="18"/>
          <w:szCs w:val="18"/>
          <w:color w:val="auto"/>
        </w:rPr>
        <w:t>2,969</w:t>
      </w:r>
    </w:p>
    <w:p>
      <w:pPr>
        <w:ind w:left="3480"/>
        <w:spacing w:after="0" w:line="238" w:lineRule="auto"/>
        <w:rPr>
          <w:sz w:val="20"/>
          <w:szCs w:val="20"/>
          <w:color w:val="auto"/>
        </w:rPr>
      </w:pPr>
      <w:r>
        <w:rPr>
          <w:rFonts w:ascii="Courier New" w:cs="Courier New" w:eastAsia="Courier New" w:hAnsi="Courier New"/>
          <w:sz w:val="18"/>
          <w:szCs w:val="18"/>
          <w:color w:val="auto"/>
        </w:rPr>
        <w:t>14,049</w:t>
      </w:r>
    </w:p>
    <w:p>
      <w:pPr>
        <w:ind w:left="3900"/>
        <w:spacing w:after="0"/>
        <w:rPr>
          <w:sz w:val="20"/>
          <w:szCs w:val="20"/>
          <w:color w:val="auto"/>
        </w:rPr>
      </w:pPr>
      <w:r>
        <w:rPr>
          <w:rFonts w:ascii="Courier New" w:cs="Courier New" w:eastAsia="Courier New" w:hAnsi="Courier New"/>
          <w:sz w:val="18"/>
          <w:szCs w:val="18"/>
          <w:color w:val="auto"/>
        </w:rPr>
        <w:t>5,551</w:t>
      </w:r>
    </w:p>
    <w:p>
      <w:pPr>
        <w:ind w:left="3160"/>
        <w:spacing w:after="0" w:line="237" w:lineRule="auto"/>
        <w:rPr>
          <w:sz w:val="20"/>
          <w:szCs w:val="20"/>
          <w:color w:val="auto"/>
        </w:rPr>
      </w:pPr>
      <w:r>
        <w:rPr>
          <w:rFonts w:ascii="Courier New" w:cs="Courier New" w:eastAsia="Courier New" w:hAnsi="Courier New"/>
          <w:sz w:val="18"/>
          <w:szCs w:val="18"/>
          <w:color w:val="auto"/>
        </w:rPr>
        <w:t>8,498</w:t>
      </w:r>
    </w:p>
    <w:p>
      <w:pPr>
        <w:ind w:left="4120"/>
        <w:spacing w:after="0"/>
        <w:rPr>
          <w:sz w:val="20"/>
          <w:szCs w:val="20"/>
          <w:color w:val="auto"/>
        </w:rPr>
      </w:pPr>
      <w:r>
        <w:rPr>
          <w:rFonts w:ascii="Courier New" w:cs="Courier New" w:eastAsia="Courier New" w:hAnsi="Courier New"/>
          <w:sz w:val="18"/>
          <w:szCs w:val="18"/>
          <w:color w:val="auto"/>
        </w:rPr>
        <w:t>0</w:t>
      </w:r>
    </w:p>
    <w:p>
      <w:pPr>
        <w:ind w:left="4020"/>
        <w:spacing w:after="0" w:line="237" w:lineRule="auto"/>
        <w:rPr>
          <w:sz w:val="20"/>
          <w:szCs w:val="20"/>
          <w:color w:val="auto"/>
        </w:rPr>
      </w:pPr>
      <w:r>
        <w:rPr>
          <w:rFonts w:ascii="Courier New" w:cs="Courier New" w:eastAsia="Courier New" w:hAnsi="Courier New"/>
          <w:sz w:val="18"/>
          <w:szCs w:val="18"/>
          <w:color w:val="auto"/>
        </w:rPr>
        <w:t>0</w:t>
      </w:r>
    </w:p>
    <w:p>
      <w:pPr>
        <w:ind w:left="4640"/>
        <w:spacing w:after="0"/>
        <w:rPr>
          <w:sz w:val="20"/>
          <w:szCs w:val="20"/>
          <w:color w:val="auto"/>
        </w:rPr>
      </w:pPr>
      <w:r>
        <w:rPr>
          <w:rFonts w:ascii="Courier New" w:cs="Courier New" w:eastAsia="Courier New" w:hAnsi="Courier New"/>
          <w:sz w:val="18"/>
          <w:szCs w:val="18"/>
          <w:color w:val="auto"/>
        </w:rPr>
        <w:t>0</w:t>
      </w:r>
    </w:p>
    <w:p>
      <w:pPr>
        <w:jc w:val="center"/>
        <w:ind w:right="1879"/>
        <w:spacing w:after="0" w:line="237" w:lineRule="auto"/>
        <w:rPr>
          <w:sz w:val="20"/>
          <w:szCs w:val="20"/>
          <w:color w:val="auto"/>
        </w:rPr>
      </w:pPr>
      <w:r>
        <w:rPr>
          <w:rFonts w:ascii="Courier New" w:cs="Courier New" w:eastAsia="Courier New" w:hAnsi="Courier New"/>
          <w:sz w:val="18"/>
          <w:szCs w:val="18"/>
          <w:color w:val="auto"/>
        </w:rPr>
        <w:t>8,498</w:t>
      </w:r>
    </w:p>
    <w:p>
      <w:pPr>
        <w:jc w:val="center"/>
        <w:ind w:right="1879"/>
        <w:spacing w:after="0" w:line="238" w:lineRule="auto"/>
        <w:rPr>
          <w:sz w:val="20"/>
          <w:szCs w:val="20"/>
          <w:color w:val="auto"/>
        </w:rPr>
      </w:pPr>
      <w:r>
        <w:rPr>
          <w:rFonts w:ascii="Courier New" w:cs="Courier New" w:eastAsia="Courier New" w:hAnsi="Courier New"/>
          <w:sz w:val="18"/>
          <w:szCs w:val="18"/>
          <w:color w:val="auto"/>
        </w:rPr>
        <w:t>.67</w:t>
      </w:r>
    </w:p>
    <w:p>
      <w:pPr>
        <w:jc w:val="center"/>
        <w:ind w:right="1879"/>
        <w:spacing w:after="0"/>
        <w:rPr>
          <w:sz w:val="20"/>
          <w:szCs w:val="20"/>
          <w:color w:val="auto"/>
        </w:rPr>
      </w:pPr>
      <w:r>
        <w:rPr>
          <w:rFonts w:ascii="Courier New" w:cs="Courier New" w:eastAsia="Courier New" w:hAnsi="Courier New"/>
          <w:sz w:val="18"/>
          <w:szCs w:val="18"/>
          <w:color w:val="auto"/>
        </w:rPr>
        <w:t>.67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TOTAL LONG-TERM DEBT</w:t>
      </w:r>
    </w:p>
    <w:p>
      <w:pPr>
        <w:spacing w:after="0" w:line="238" w:lineRule="auto"/>
        <w:rPr>
          <w:sz w:val="20"/>
          <w:szCs w:val="20"/>
          <w:color w:val="auto"/>
        </w:rPr>
      </w:pPr>
      <w:r>
        <w:rPr>
          <w:rFonts w:ascii="Courier New" w:cs="Courier New" w:eastAsia="Courier New" w:hAnsi="Courier New"/>
          <w:sz w:val="18"/>
          <w:szCs w:val="18"/>
          <w:color w:val="auto"/>
        </w:rPr>
        <w:t>DOES NOT INCLUDE ADDITIONAL PAID-IN-CAPITAL</w:t>
      </w:r>
    </w:p>
    <w:p>
      <w:pPr>
        <w:spacing w:after="0"/>
        <w:rPr>
          <w:sz w:val="20"/>
          <w:szCs w:val="20"/>
          <w:color w:val="auto"/>
        </w:rPr>
      </w:pPr>
      <w:r>
        <w:rPr>
          <w:rFonts w:ascii="Courier New" w:cs="Courier New" w:eastAsia="Courier New" w:hAnsi="Courier New"/>
          <w:sz w:val="18"/>
          <w:szCs w:val="18"/>
          <w:color w:val="auto"/>
        </w:rPr>
        <w:t>OTHER INCOME - NET</w:t>
      </w:r>
    </w:p>
    <w:p>
      <w:pPr>
        <w:spacing w:after="0" w:line="237" w:lineRule="auto"/>
        <w:rPr>
          <w:sz w:val="20"/>
          <w:szCs w:val="20"/>
          <w:color w:val="auto"/>
        </w:rPr>
      </w:pPr>
      <w:r>
        <w:rPr>
          <w:rFonts w:ascii="Courier New" w:cs="Courier New" w:eastAsia="Courier New" w:hAnsi="Courier New"/>
          <w:sz w:val="18"/>
          <w:szCs w:val="18"/>
          <w:color w:val="auto"/>
        </w:rPr>
        <w:t>NOT INCLUDED IN QUARTERLY FINANCIAL INFORMATION</w:t>
      </w:r>
    </w:p>
    <w:p>
      <w:pPr>
        <w:spacing w:after="0" w:line="238" w:lineRule="auto"/>
        <w:rPr>
          <w:sz w:val="20"/>
          <w:szCs w:val="20"/>
          <w:color w:val="auto"/>
        </w:rPr>
      </w:pPr>
      <w:r>
        <w:rPr>
          <w:rFonts w:ascii="Courier New" w:cs="Courier New" w:eastAsia="Courier New" w:hAnsi="Courier New"/>
          <w:sz w:val="18"/>
          <w:szCs w:val="18"/>
          <w:color w:val="auto"/>
        </w:rPr>
        <w:t>TOTAL NET RECEIVABLES</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2019-12-13T13:51:45Z</dcterms:created>
  <dcterms:modified xsi:type="dcterms:W3CDTF">2019-12-13T13:51:45Z</dcterms:modified>
</cp:coreProperties>
</file>