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NASSAU ROBERT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06/14/2011</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40" w:type="dxa"/>
            <w:vAlign w:val="bottom"/>
          </w:tcPr>
          <w:p>
            <w:pPr>
              <w:ind w:left="200"/>
              <w:spacing w:after="0"/>
              <w:rPr>
                <w:sz w:val="20"/>
                <w:szCs w:val="20"/>
                <w:color w:val="auto"/>
              </w:rPr>
            </w:pPr>
            <w:r>
              <w:rPr>
                <w:rFonts w:ascii="Arial" w:cs="Arial" w:eastAsia="Arial" w:hAnsi="Arial"/>
                <w:sz w:val="18"/>
                <w:szCs w:val="18"/>
                <w:color w:val="0000FF"/>
              </w:rPr>
              <w:t>3,546</w:t>
            </w:r>
          </w:p>
        </w:tc>
        <w:tc>
          <w:tcPr>
            <w:tcW w:w="640" w:type="dxa"/>
            <w:vAlign w:val="bottom"/>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Pr>
          <w:p>
            <w:pPr>
              <w:ind w:left="1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37.39</w:t>
            </w:r>
          </w:p>
        </w:tc>
        <w:tc>
          <w:tcPr>
            <w:tcW w:w="1400" w:type="dxa"/>
            <w:vAlign w:val="bottom"/>
            <w:gridSpan w:val="3"/>
          </w:tcPr>
          <w:p>
            <w:pPr>
              <w:jc w:val="center"/>
              <w:ind w:left="72"/>
              <w:spacing w:after="0"/>
              <w:rPr>
                <w:sz w:val="20"/>
                <w:szCs w:val="20"/>
                <w:color w:val="auto"/>
              </w:rPr>
            </w:pPr>
            <w:r>
              <w:rPr>
                <w:rFonts w:ascii="Arial" w:cs="Arial" w:eastAsia="Arial" w:hAnsi="Arial"/>
                <w:sz w:val="18"/>
                <w:szCs w:val="18"/>
                <w:color w:val="0000FF"/>
                <w:w w:val="84"/>
              </w:rPr>
              <w:t>3,546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06/14/2011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3,546</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60.872</w:t>
            </w:r>
            <w:r>
              <w:rPr>
                <w:rFonts w:ascii="Arial" w:cs="Arial" w:eastAsia="Arial" w:hAnsi="Arial"/>
                <w:sz w:val="22"/>
                <w:szCs w:val="22"/>
                <w:color w:val="008000"/>
                <w:w w:val="91"/>
                <w:vertAlign w:val="superscript"/>
              </w:rPr>
              <w:t>(1)</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6"/>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72"/>
              <w:spacing w:after="0"/>
              <w:rPr>
                <w:sz w:val="20"/>
                <w:szCs w:val="20"/>
                <w:color w:val="auto"/>
              </w:rPr>
            </w:pPr>
            <w:r>
              <w:rPr>
                <w:rFonts w:ascii="Arial" w:cs="Arial" w:eastAsia="Arial" w:hAnsi="Arial"/>
                <w:sz w:val="18"/>
                <w:szCs w:val="18"/>
                <w:color w:val="0000FF"/>
                <w:w w:val="86"/>
              </w:rPr>
              <w:t>15,299.327</w:t>
            </w:r>
            <w:r>
              <w:rPr>
                <w:rFonts w:ascii="Arial" w:cs="Arial" w:eastAsia="Arial" w:hAnsi="Arial"/>
                <w:sz w:val="22"/>
                <w:szCs w:val="22"/>
                <w:color w:val="008000"/>
                <w:w w:val="86"/>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37.39</w:t>
            </w:r>
          </w:p>
        </w:tc>
        <w:tc>
          <w:tcPr>
            <w:tcW w:w="1080" w:type="dxa"/>
            <w:vAlign w:val="bottom"/>
          </w:tcPr>
          <w:p>
            <w:pPr>
              <w:ind w:left="200"/>
              <w:spacing w:after="0"/>
              <w:rPr>
                <w:sz w:val="20"/>
                <w:szCs w:val="20"/>
                <w:color w:val="auto"/>
              </w:rPr>
            </w:pPr>
            <w:r>
              <w:rPr>
                <w:rFonts w:ascii="Arial" w:cs="Arial" w:eastAsia="Arial" w:hAnsi="Arial"/>
                <w:sz w:val="14"/>
                <w:szCs w:val="14"/>
                <w:color w:val="0000FF"/>
              </w:rPr>
              <w:t>06/14/2011</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0000FF"/>
              </w:rPr>
              <w:t>3,546</w:t>
            </w:r>
          </w:p>
        </w:tc>
        <w:tc>
          <w:tcPr>
            <w:tcW w:w="820" w:type="dxa"/>
            <w:vAlign w:val="bottom"/>
          </w:tcPr>
          <w:p>
            <w:pPr>
              <w:ind w:left="80"/>
              <w:spacing w:after="0"/>
              <w:rPr>
                <w:sz w:val="20"/>
                <w:szCs w:val="20"/>
                <w:color w:val="auto"/>
              </w:rPr>
            </w:pPr>
            <w:r>
              <w:rPr>
                <w:rFonts w:ascii="Arial" w:cs="Arial" w:eastAsia="Arial" w:hAnsi="Arial"/>
                <w:sz w:val="14"/>
                <w:szCs w:val="14"/>
                <w:color w:val="0000FF"/>
              </w:rPr>
              <w:t>11/01/2006</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11/01/2015</w:t>
            </w:r>
          </w:p>
        </w:tc>
        <w:tc>
          <w:tcPr>
            <w:tcW w:w="640" w:type="dxa"/>
            <w:vAlign w:val="bottom"/>
          </w:tcPr>
          <w:p>
            <w:pPr>
              <w:ind w:left="80"/>
              <w:spacing w:after="0"/>
              <w:rPr>
                <w:sz w:val="20"/>
                <w:szCs w:val="20"/>
                <w:color w:val="auto"/>
              </w:rPr>
            </w:pPr>
            <w:r>
              <w:rPr>
                <w:rFonts w:ascii="Arial" w:cs="Arial" w:eastAsia="Arial" w:hAnsi="Arial"/>
                <w:sz w:val="14"/>
                <w:szCs w:val="14"/>
                <w:color w:val="0000FF"/>
                <w:w w:val="95"/>
              </w:rPr>
              <w:t>Common</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0000FF"/>
              </w:rPr>
              <w:t>3,546</w:t>
            </w:r>
          </w:p>
        </w:tc>
        <w:tc>
          <w:tcPr>
            <w:tcW w:w="6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5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$60.76 to $60.94,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46.687 common stock units acquired by the reporting person under the dividend reinvestment feature of The Toro Company Deferred Compensation Plan for Non-Employee Directors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06/15/2011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H. Nassau</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H. Nassau</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05/17/2011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2019-12-17T01:00:16Z</dcterms:created>
  <dcterms:modified xsi:type="dcterms:W3CDTF">2019-12-17T01:00:16Z</dcterms:modified>
</cp:coreProperties>
</file>