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31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HARLESS KATHERINE J</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TORO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TTC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01/14/2022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0"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Arial" w:cs="Arial" w:eastAsia="Arial" w:hAnsi="Arial"/>
                <w:sz w:val="17"/>
                <w:szCs w:val="17"/>
                <w:color w:val="0000FF"/>
              </w:rPr>
              <w:t>BLOOMINGTON MN</w:t>
            </w:r>
          </w:p>
        </w:tc>
        <w:tc>
          <w:tcPr>
            <w:tcW w:w="1600" w:type="dxa"/>
            <w:vAlign w:val="bottom"/>
          </w:tcPr>
          <w:p>
            <w:pPr>
              <w:jc w:val="right"/>
              <w:ind w:right="243"/>
              <w:spacing w:after="0"/>
              <w:rPr>
                <w:sz w:val="20"/>
                <w:szCs w:val="20"/>
                <w:color w:val="auto"/>
              </w:rPr>
            </w:pPr>
            <w:r>
              <w:rPr>
                <w:rFonts w:ascii="Arial" w:cs="Arial" w:eastAsia="Arial" w:hAnsi="Arial"/>
                <w:sz w:val="17"/>
                <w:szCs w:val="17"/>
                <w:color w:val="0000FF"/>
              </w:rPr>
              <w:t>55420-1196</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jc w:val="right"/>
              <w:ind w:right="843"/>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ind w:left="56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8"/>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w w:val="93"/>
              </w:rPr>
              <w:t>Common Stock Units</w:t>
            </w:r>
          </w:p>
        </w:tc>
        <w:tc>
          <w:tcPr>
            <w:tcW w:w="106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Arial" w:cs="Arial" w:eastAsia="Arial" w:hAnsi="Arial"/>
                <w:sz w:val="17"/>
                <w:szCs w:val="17"/>
                <w:color w:val="0000FF"/>
              </w:rPr>
              <w:t>01/14/2022</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D</w:t>
            </w:r>
          </w:p>
        </w:tc>
        <w:tc>
          <w:tcPr>
            <w:tcW w:w="7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982.808</w:t>
            </w:r>
          </w:p>
        </w:tc>
        <w:tc>
          <w:tcPr>
            <w:tcW w:w="4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80" w:type="dxa"/>
            <w:vAlign w:val="bottom"/>
            <w:tcBorders>
              <w:bottom w:val="single" w:sz="8" w:color="2C2C2C"/>
            </w:tcBorders>
            <w:gridSpan w:val="3"/>
          </w:tcPr>
          <w:p>
            <w:pPr>
              <w:jc w:val="center"/>
              <w:ind w:right="140"/>
              <w:spacing w:after="0"/>
              <w:rPr>
                <w:sz w:val="20"/>
                <w:szCs w:val="20"/>
                <w:color w:val="auto"/>
              </w:rPr>
            </w:pPr>
            <w:r>
              <w:rPr>
                <w:rFonts w:ascii="Arial" w:cs="Arial" w:eastAsia="Arial" w:hAnsi="Arial"/>
                <w:sz w:val="17"/>
                <w:szCs w:val="17"/>
                <w:color w:val="0000FF"/>
              </w:rPr>
              <w:t>3,503.069</w:t>
            </w:r>
            <w:r>
              <w:rPr>
                <w:rFonts w:ascii="Arial" w:cs="Arial" w:eastAsia="Arial" w:hAnsi="Arial"/>
                <w:sz w:val="22"/>
                <w:szCs w:val="22"/>
                <w:color w:val="008000"/>
                <w:vertAlign w:val="superscript"/>
              </w:rPr>
              <w:t>(1)</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Arial" w:cs="Arial" w:eastAsia="Arial" w:hAnsi="Arial"/>
                <w:sz w:val="17"/>
                <w:szCs w:val="17"/>
                <w:color w:val="0000FF"/>
              </w:rPr>
              <w:t>01/14/2022</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A</w:t>
            </w:r>
          </w:p>
        </w:tc>
        <w:tc>
          <w:tcPr>
            <w:tcW w:w="740" w:type="dxa"/>
            <w:vAlign w:val="bottom"/>
            <w:tcBorders>
              <w:bottom w:val="single" w:sz="8" w:color="2C2C2C"/>
            </w:tcBorders>
          </w:tcPr>
          <w:p>
            <w:pPr>
              <w:jc w:val="center"/>
              <w:ind w:right="33"/>
              <w:spacing w:after="0"/>
              <w:rPr>
                <w:sz w:val="20"/>
                <w:szCs w:val="20"/>
                <w:color w:val="auto"/>
              </w:rPr>
            </w:pPr>
            <w:r>
              <w:rPr>
                <w:rFonts w:ascii="Arial" w:cs="Arial" w:eastAsia="Arial" w:hAnsi="Arial"/>
                <w:sz w:val="17"/>
                <w:szCs w:val="17"/>
                <w:color w:val="0000FF"/>
              </w:rPr>
              <w:t>982</w:t>
            </w:r>
            <w:r>
              <w:rPr>
                <w:rFonts w:ascii="Arial" w:cs="Arial" w:eastAsia="Arial" w:hAnsi="Arial"/>
                <w:sz w:val="22"/>
                <w:szCs w:val="22"/>
                <w:color w:val="008000"/>
                <w:vertAlign w:val="superscript"/>
              </w:rPr>
              <w:t>(2)</w:t>
            </w:r>
          </w:p>
        </w:tc>
        <w:tc>
          <w:tcPr>
            <w:tcW w:w="4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80" w:type="dxa"/>
            <w:vAlign w:val="bottom"/>
            <w:tcBorders>
              <w:bottom w:val="single" w:sz="8" w:color="2C2C2C"/>
            </w:tcBorders>
            <w:gridSpan w:val="3"/>
          </w:tcPr>
          <w:p>
            <w:pPr>
              <w:jc w:val="right"/>
              <w:ind w:right="180"/>
              <w:spacing w:after="0"/>
              <w:rPr>
                <w:sz w:val="20"/>
                <w:szCs w:val="20"/>
                <w:color w:val="auto"/>
              </w:rPr>
            </w:pPr>
            <w:r>
              <w:rPr>
                <w:rFonts w:ascii="Arial" w:cs="Arial" w:eastAsia="Arial" w:hAnsi="Arial"/>
                <w:sz w:val="17"/>
                <w:szCs w:val="17"/>
                <w:color w:val="0000FF"/>
              </w:rPr>
              <w:t>55,144.042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7720" w:type="dxa"/>
            <w:vAlign w:val="bottom"/>
            <w:tcBorders>
              <w:top w:val="single" w:sz="8" w:color="2C2C2C"/>
            </w:tcBorders>
            <w:gridSpan w:val="14"/>
          </w:tcPr>
          <w:p>
            <w:pPr>
              <w:ind w:left="8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6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06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10.804 common stock units acquired by the reporting person under the dividend reinvestment feature of the Deferred Plan since the date of her last report.</w:t>
      </w:r>
    </w:p>
    <w:p>
      <w:pPr>
        <w:spacing w:after="0" w:line="50" w:lineRule="exact"/>
        <w:rPr>
          <w:rFonts w:ascii="Arial" w:cs="Arial" w:eastAsia="Arial" w:hAnsi="Arial"/>
          <w:sz w:val="13"/>
          <w:szCs w:val="13"/>
          <w:color w:val="008000"/>
        </w:rPr>
      </w:pPr>
    </w:p>
    <w:p>
      <w:pPr>
        <w:ind w:left="40" w:right="200" w:firstLine="7"/>
        <w:spacing w:after="0" w:line="268"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the payout of 932 shares of common stock and 50.808 related dividend reinvestment shares in connection with an annual common stock award for service as a non-employee director issued under The Toro Company Amended and Restated 2010 Equity and Incentive Plan, as amended. The reporting person previously deferred the payout of her common stock award under The Toro Company Deferred Compensation Plan for Non-Employee Directors (the "Deferred Plan") and, accordingly, the reporting person's annual common stock award was initially paid in common stock units under the Deferred Plan. A common stock unit under the Deferred Plan is the economic equivalent of one share of Toro common stock. The reporting person previously elected to receive a single lump sum distribution, payable in January 2022 under the terms of the Deferred Plan, and, therefore, the common stock units were settled for shares of Toro common stock.</w:t>
      </w:r>
    </w:p>
    <w:p>
      <w:pPr>
        <w:spacing w:after="0" w:line="29"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4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Timothy C. Quist,</w:t>
            </w:r>
          </w:p>
        </w:tc>
        <w:tc>
          <w:tcPr>
            <w:tcW w:w="60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01/19/2022</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Arial" w:cs="Arial" w:eastAsia="Arial" w:hAnsi="Arial"/>
                <w:sz w:val="17"/>
                <w:szCs w:val="17"/>
                <w:color w:val="0000FF"/>
                <w:w w:val="95"/>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167151"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2022-01-19T11:53:16Z</dcterms:created>
  <dcterms:modified xsi:type="dcterms:W3CDTF">2022-01-19T11:53:16Z</dcterms:modified>
</cp:coreProperties>
</file>