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724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83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Corporate Info. Services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839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83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15.8125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12,535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8,535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06/17/2004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950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16.8125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9,485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06/17/2004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227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70.23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9,258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575.939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2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06/16/2004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2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70.5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12/15/2003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12/15/2006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Common  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color w:val="0000FF"/>
                <w:vertAlign w:val="subscript"/>
              </w:rPr>
              <w:t>4,000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950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12/05/2000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12/05/2005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16.8125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4,150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9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disclaims beneficial ownership of the shares sold by son/daughter and this report should not be deemed an admission that the reporting person is the beneficial owner of his son's/daughter's shares for purpose of Section 16 or for any other purposes.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06/17/2004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8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2019-12-18T05:28:34Z</dcterms:created>
  <dcterms:modified xsi:type="dcterms:W3CDTF">2019-12-18T05:28:34Z</dcterms:modified>
</cp:coreProperties>
</file>