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23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ETTINGER JEFFREY M</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11/01/2018</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37,639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58.63</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11/01/2018</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4,482</w:t>
            </w:r>
            <w:r>
              <w:rPr>
                <w:rFonts w:ascii="Arial" w:cs="Arial" w:eastAsia="Arial" w:hAnsi="Arial"/>
                <w:sz w:val="22"/>
                <w:szCs w:val="22"/>
                <w:color w:val="008000"/>
                <w:vertAlign w:val="superscript"/>
              </w:rPr>
              <w:t>(3)</w:t>
            </w:r>
          </w:p>
        </w:tc>
        <w:tc>
          <w:tcPr>
            <w:tcW w:w="320" w:type="dxa"/>
            <w:vAlign w:val="bottom"/>
          </w:tcPr>
          <w:p>
            <w:pPr>
              <w:spacing w:after="0"/>
              <w:rPr>
                <w:sz w:val="12"/>
                <w:szCs w:val="12"/>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right"/>
              <w:ind w:right="76"/>
              <w:spacing w:after="0"/>
              <w:rPr>
                <w:sz w:val="20"/>
                <w:szCs w:val="20"/>
                <w:color w:val="auto"/>
              </w:rPr>
            </w:pPr>
            <w:r>
              <w:rPr>
                <w:rFonts w:ascii="Arial" w:cs="Arial" w:eastAsia="Arial" w:hAnsi="Arial"/>
                <w:sz w:val="13"/>
                <w:szCs w:val="13"/>
                <w:color w:val="0000FF"/>
                <w:w w:val="92"/>
              </w:rPr>
              <w:t>11/01/2028</w:t>
            </w:r>
          </w:p>
        </w:tc>
        <w:tc>
          <w:tcPr>
            <w:tcW w:w="640" w:type="dxa"/>
            <w:vAlign w:val="bottom"/>
          </w:tcPr>
          <w:p>
            <w:pPr>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3"/>
              <w:spacing w:after="0"/>
              <w:rPr>
                <w:sz w:val="20"/>
                <w:szCs w:val="20"/>
                <w:color w:val="auto"/>
              </w:rPr>
            </w:pPr>
            <w:r>
              <w:rPr>
                <w:rFonts w:ascii="Arial" w:cs="Arial" w:eastAsia="Arial" w:hAnsi="Arial"/>
                <w:sz w:val="17"/>
                <w:szCs w:val="17"/>
                <w:color w:val="0000FF"/>
                <w:w w:val="93"/>
              </w:rPr>
              <w:t>4,482</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4,482</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w:t>
      </w:r>
    </w:p>
    <w:p>
      <w:pPr>
        <w:spacing w:after="0" w:line="10"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346.273 shares of common stock acquired by the reporting person under the dividend reinvestment feature of The Toro Company Direct Stock Purchase Plan less an account adjustment of 0.919 shares since the date of his last report.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11/02/2018</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2019-12-23T21:19:17Z</dcterms:created>
  <dcterms:modified xsi:type="dcterms:W3CDTF">2019-12-23T21:19:17Z</dcterms:modified>
</cp:coreProperties>
</file>