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Group VP, Comm. &amp;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tcPr>
          <w:p>
            <w:pPr>
              <w:jc w:val="right"/>
              <w:ind w:right="159"/>
              <w:spacing w:after="0"/>
              <w:rPr>
                <w:sz w:val="20"/>
                <w:szCs w:val="20"/>
                <w:color w:val="auto"/>
              </w:rPr>
            </w:pPr>
            <w:r>
              <w:rPr>
                <w:rFonts w:ascii="Arial" w:cs="Arial" w:eastAsia="Arial" w:hAnsi="Arial"/>
                <w:sz w:val="18"/>
                <w:szCs w:val="18"/>
                <w:color w:val="0000FF"/>
              </w:rPr>
              <w:t>09/27/2013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Pr>
          <w:p>
            <w:pPr>
              <w:ind w:left="200"/>
              <w:spacing w:after="0"/>
              <w:rPr>
                <w:sz w:val="20"/>
                <w:szCs w:val="20"/>
                <w:color w:val="auto"/>
              </w:rPr>
            </w:pPr>
            <w:r>
              <w:rPr>
                <w:rFonts w:ascii="Arial" w:cs="Arial" w:eastAsia="Arial" w:hAnsi="Arial"/>
                <w:sz w:val="18"/>
                <w:szCs w:val="18"/>
                <w:color w:val="0000FF"/>
              </w:rPr>
              <w:t>3,000</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80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54.463</w:t>
            </w:r>
            <w:r>
              <w:rPr>
                <w:rFonts w:ascii="Arial" w:cs="Arial" w:eastAsia="Arial" w:hAnsi="Arial"/>
                <w:sz w:val="22"/>
                <w:szCs w:val="22"/>
                <w:color w:val="008000"/>
                <w:w w:val="91"/>
                <w:vertAlign w:val="superscript"/>
              </w:rPr>
              <w:t>(1)</w:t>
            </w:r>
          </w:p>
        </w:tc>
        <w:tc>
          <w:tcPr>
            <w:tcW w:w="1240" w:type="dxa"/>
            <w:vAlign w:val="bottom"/>
            <w:gridSpan w:val="2"/>
          </w:tcPr>
          <w:p>
            <w:pPr>
              <w:jc w:val="right"/>
              <w:ind w:right="199"/>
              <w:spacing w:after="0"/>
              <w:rPr>
                <w:sz w:val="20"/>
                <w:szCs w:val="20"/>
                <w:color w:val="auto"/>
              </w:rPr>
            </w:pPr>
            <w:r>
              <w:rPr>
                <w:rFonts w:ascii="Arial" w:cs="Arial" w:eastAsia="Arial" w:hAnsi="Arial"/>
                <w:sz w:val="18"/>
                <w:szCs w:val="18"/>
                <w:color w:val="0000FF"/>
              </w:rPr>
              <w:t>11,544.166</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96"/>
              </w:rPr>
              <w:t>99,824.175</w:t>
            </w:r>
            <w:r>
              <w:rPr>
                <w:rFonts w:ascii="Arial" w:cs="Arial" w:eastAsia="Arial" w:hAnsi="Arial"/>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$54.44 to $54.4642,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3,054.175 shares of restricted stock and related dividend reinvestment shares that vest in full on the third anniversary of the date of grant, which was March 20,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09/30/2013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2019-12-17T02:32:27Z</dcterms:created>
  <dcterms:modified xsi:type="dcterms:W3CDTF">2019-12-17T02:32:27Z</dcterms:modified>
</cp:coreProperties>
</file>