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12/07/2010</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632</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7"/>
              </w:rPr>
              <w:t>1,120.927</w:t>
            </w:r>
            <w:r>
              <w:rPr>
                <w:rFonts w:ascii="Arial" w:cs="Arial" w:eastAsia="Arial" w:hAnsi="Arial"/>
                <w:sz w:val="22"/>
                <w:szCs w:val="22"/>
                <w:color w:val="008000"/>
                <w:w w:val="97"/>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180"/>
              <w:spacing w:after="0" w:line="217" w:lineRule="exact"/>
              <w:rPr>
                <w:sz w:val="20"/>
                <w:szCs w:val="20"/>
                <w:color w:val="auto"/>
              </w:rPr>
            </w:pPr>
            <w:r>
              <w:rPr>
                <w:rFonts w:ascii="Arial" w:cs="Arial" w:eastAsia="Arial" w:hAnsi="Arial"/>
                <w:sz w:val="18"/>
                <w:szCs w:val="18"/>
                <w:color w:val="0000FF"/>
                <w:w w:val="97"/>
              </w:rPr>
              <w:t>6,839.424</w:t>
            </w:r>
            <w:r>
              <w:rPr>
                <w:rFonts w:ascii="Arial" w:cs="Arial" w:eastAsia="Arial" w:hAnsi="Arial"/>
                <w:sz w:val="22"/>
                <w:szCs w:val="22"/>
                <w:color w:val="008000"/>
                <w:w w:val="97"/>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12/08/2010</w:t>
            </w:r>
          </w:p>
        </w:tc>
        <w:tc>
          <w:tcPr>
            <w:tcW w:w="114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4,100</w:t>
            </w: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12/08/2020</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4,100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4,100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The reporting person has deferred the payout of his Performance Share Awards under The Toro Company Deferred Compensation Plan for Officers and, accordingly, the reporting person's Performance Share Awards are paid in Performance Share Units under The Toro Company Deferred Compensation Plan for Officers.</w:t>
      </w:r>
    </w:p>
    <w:p>
      <w:pPr>
        <w:spacing w:after="0" w:line="8"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3.259 Performance Share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45.031 shares acquired under the dividend reinvestment feature of The Toro Company Investment, Savings &amp; ESOP (IS&amp;ESOP); and 185.040 shares acquired through individual and issuer matching contributions to the IS&amp;ESOP.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2019-12-17T00:18:09Z</dcterms:created>
  <dcterms:modified xsi:type="dcterms:W3CDTF">2019-12-17T00:18:09Z</dcterms:modified>
</cp:coreProperties>
</file>