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Richard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International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12/05/2013</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3,228</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jc w:val="right"/>
              <w:ind w:right="156"/>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3,228</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center"/>
              <w:ind w:left="354"/>
              <w:spacing w:after="0"/>
              <w:rPr>
                <w:sz w:val="20"/>
                <w:szCs w:val="20"/>
                <w:color w:val="auto"/>
              </w:rPr>
            </w:pPr>
            <w:r>
              <w:rPr>
                <w:rFonts w:ascii="Arial" w:cs="Arial" w:eastAsia="Arial" w:hAnsi="Arial"/>
                <w:sz w:val="18"/>
                <w:szCs w:val="18"/>
                <w:color w:val="0000FF"/>
                <w:w w:val="86"/>
              </w:rPr>
              <w:t>344</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7,260.045</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6,000</w:t>
            </w: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40"/>
              <w:spacing w:after="0"/>
              <w:rPr>
                <w:sz w:val="20"/>
                <w:szCs w:val="20"/>
                <w:color w:val="auto"/>
              </w:rPr>
            </w:pPr>
            <w:r>
              <w:rPr>
                <w:rFonts w:ascii="Arial" w:cs="Arial" w:eastAsia="Arial" w:hAnsi="Arial"/>
                <w:sz w:val="14"/>
                <w:szCs w:val="14"/>
                <w:color w:val="0000FF"/>
                <w:w w:val="99"/>
              </w:rPr>
              <w:t>12/06/2023</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6,000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6,000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2011 to Fiscal 2013 Performance Period under The Toro Company 2010 Equity and Incentive Plan, as amended,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40" w:right="5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60.359 shares acquired under the dividend reinvestment feature of The Toro Company Investment, Savings &amp; ESOP (IS&amp;ESOP); and 79.35 shares acquired through issuer annual investment fund contributions to and revenue credit allocations in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M. Olson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M. Olson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11/25/2013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2019-12-17T01:40:00Z</dcterms:created>
  <dcterms:modified xsi:type="dcterms:W3CDTF">2019-12-17T01:40:00Z</dcterms:modified>
</cp:coreProperties>
</file>