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180"/>
        <w:spacing w:after="0"/>
        <w:rPr>
          <w:sz w:val="20"/>
          <w:szCs w:val="20"/>
          <w:color w:val="auto"/>
        </w:rPr>
      </w:pPr>
      <w:r>
        <w:rPr>
          <w:rFonts w:ascii="Arial" w:cs="Arial" w:eastAsia="Arial" w:hAnsi="Arial"/>
          <w:sz w:val="22"/>
          <w:szCs w:val="22"/>
          <w:color w:val="auto"/>
        </w:rPr>
        <w:t>SECURITIES AND EXCHANGE COMMISSION</w:t>
      </w:r>
    </w:p>
    <w:p>
      <w:pPr>
        <w:spacing w:after="0" w:line="13"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2800" w:right="140" w:hanging="2463"/>
        <w:spacing w:after="0" w:line="532" w:lineRule="auto"/>
        <w:tabs>
          <w:tab w:leader="none" w:pos="83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15(d) OF THE SECURITIES EXCHANGE ACT OF 1934 For the fiscal year ended </w:t>
      </w:r>
      <w:r>
        <w:rPr>
          <w:rFonts w:ascii="Arial" w:cs="Arial" w:eastAsia="Arial" w:hAnsi="Arial"/>
          <w:sz w:val="18"/>
          <w:szCs w:val="18"/>
          <w:b w:val="1"/>
          <w:bCs w:val="1"/>
          <w:u w:val="single" w:color="auto"/>
          <w:color w:val="auto"/>
        </w:rPr>
        <w:t>December 31, 2007</w:t>
      </w:r>
      <w:r>
        <w:rPr>
          <w:rFonts w:ascii="Arial" w:cs="Arial" w:eastAsia="Arial" w:hAnsi="Arial"/>
          <w:sz w:val="18"/>
          <w:szCs w:val="18"/>
          <w:b w:val="1"/>
          <w:bCs w:val="1"/>
          <w:color w:val="auto"/>
        </w:rPr>
        <w:t>.</w:t>
      </w: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00" w:hanging="543"/>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64"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ind w:left="98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ind w:left="1520" w:hanging="328"/>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48"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b w:val="1"/>
          <w:bCs w:val="1"/>
          <w:color w:val="auto"/>
        </w:rPr>
        <w:t>The Toro Company Profit-Sharing Plan for Plymouth Union Employees</w:t>
      </w:r>
    </w:p>
    <w:p>
      <w:pPr>
        <w:spacing w:after="0" w:line="25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jc w:val="center"/>
        <w:ind w:right="-119"/>
        <w:spacing w:after="0"/>
        <w:tabs>
          <w:tab w:leader="none" w:pos="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723900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20"/>
          </w:cols>
          <w:pgMar w:left="1440" w:top="1036" w:right="1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0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900" w:type="dxa"/>
            <w:vAlign w:val="bottom"/>
            <w:gridSpan w:val="3"/>
            <w:shd w:val="clear" w:color="auto" w:fill="CCEEFF"/>
          </w:tcPr>
          <w:p>
            <w:pPr>
              <w:jc w:val="center"/>
              <w:ind w:left="281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gridSpan w:val="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3300" w:type="dxa"/>
            <w:vAlign w:val="bottom"/>
            <w:gridSpan w:val="2"/>
          </w:tcPr>
          <w:p>
            <w:pPr>
              <w:spacing w:after="0"/>
              <w:rPr>
                <w:sz w:val="15"/>
                <w:szCs w:val="15"/>
                <w:color w:val="auto"/>
              </w:rPr>
            </w:pPr>
          </w:p>
        </w:tc>
        <w:tc>
          <w:tcPr>
            <w:tcW w:w="3900" w:type="dxa"/>
            <w:vAlign w:val="bottom"/>
            <w:gridSpan w:val="3"/>
          </w:tcPr>
          <w:p>
            <w:pPr>
              <w:jc w:val="center"/>
              <w:ind w:left="281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3220" w:type="dxa"/>
            <w:vAlign w:val="bottom"/>
            <w:shd w:val="clear" w:color="auto" w:fill="CCEEFF"/>
          </w:tcPr>
          <w:p>
            <w:pPr>
              <w:spacing w:after="0"/>
              <w:rPr>
                <w:sz w:val="15"/>
                <w:szCs w:val="15"/>
                <w:color w:val="auto"/>
              </w:rPr>
            </w:pPr>
          </w:p>
        </w:tc>
        <w:tc>
          <w:tcPr>
            <w:tcW w:w="3900" w:type="dxa"/>
            <w:vAlign w:val="bottom"/>
            <w:gridSpan w:val="3"/>
            <w:shd w:val="clear" w:color="auto" w:fill="CCEEFF"/>
          </w:tcPr>
          <w:p>
            <w:pPr>
              <w:jc w:val="center"/>
              <w:ind w:left="281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220" w:type="dxa"/>
            <w:vAlign w:val="bottom"/>
          </w:tcPr>
          <w:p>
            <w:pPr>
              <w:spacing w:after="0"/>
              <w:rPr>
                <w:sz w:val="15"/>
                <w:szCs w:val="15"/>
                <w:color w:val="auto"/>
              </w:rPr>
            </w:pPr>
          </w:p>
        </w:tc>
        <w:tc>
          <w:tcPr>
            <w:tcW w:w="3900" w:type="dxa"/>
            <w:vAlign w:val="bottom"/>
            <w:gridSpan w:val="3"/>
          </w:tcPr>
          <w:p>
            <w:pPr>
              <w:jc w:val="center"/>
              <w:ind w:left="281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3488"/>
        </w:trPr>
        <w:tc>
          <w:tcPr>
            <w:tcW w:w="20" w:type="dxa"/>
            <w:vAlign w:val="bottom"/>
            <w:tcBorders>
              <w:bottom w:val="single" w:sz="8" w:color="808080"/>
            </w:tcBorders>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Plymouth Union Employees: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2007 and 2006,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net assets available for benefits for the years then ended,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1196340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756" w:right="739" w:bottom="1440" w:gutter="0" w:footer="0" w:header="0"/>
        </w:sectPr>
      </w:pPr>
    </w:p>
    <w:bookmarkStart w:id="3" w:name="page4"/>
    <w:bookmarkEnd w:id="3"/>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Investments at fair value: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3,252,492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3,252,492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available for benefits at fair value</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3,256,701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20"/>
              <w:spacing w:after="0"/>
              <w:rPr>
                <w:sz w:val="20"/>
                <w:szCs w:val="20"/>
                <w:color w:val="auto"/>
              </w:rPr>
            </w:pPr>
            <w:r>
              <w:rPr>
                <w:rFonts w:ascii="Arial" w:cs="Arial" w:eastAsia="Arial" w:hAnsi="Arial"/>
                <w:sz w:val="18"/>
                <w:szCs w:val="18"/>
                <w:color w:val="auto"/>
              </w:rPr>
              <w:t>Net assets available for benefits</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3,257,382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2,985,293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Years ended 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Plan interest in net investment income of the Toro</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337,448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337,448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43,170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150,652</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Total contributions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193,822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00"/>
              <w:spacing w:after="0"/>
              <w:rPr>
                <w:sz w:val="20"/>
                <w:szCs w:val="20"/>
                <w:color w:val="auto"/>
              </w:rPr>
            </w:pPr>
            <w:r>
              <w:rPr>
                <w:rFonts w:ascii="Arial" w:cs="Arial" w:eastAsia="Arial" w:hAnsi="Arial"/>
                <w:sz w:val="18"/>
                <w:szCs w:val="18"/>
                <w:color w:val="auto"/>
              </w:rPr>
              <w:t>Total Additions to Net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531,270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payments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increase in net assets available for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00"/>
              <w:spacing w:after="0"/>
              <w:rPr>
                <w:sz w:val="20"/>
                <w:szCs w:val="20"/>
                <w:color w:val="auto"/>
              </w:rPr>
            </w:pPr>
            <w:r>
              <w:rPr>
                <w:rFonts w:ascii="Arial" w:cs="Arial" w:eastAsia="Arial" w:hAnsi="Arial"/>
                <w:sz w:val="18"/>
                <w:szCs w:val="18"/>
                <w:color w:val="auto"/>
              </w:rPr>
              <w:t>Beginning of year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2,985,293</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Arial" w:cs="Arial" w:eastAsia="Arial" w:hAnsi="Arial"/>
                <w:sz w:val="18"/>
                <w:szCs w:val="18"/>
                <w:color w:val="auto"/>
              </w:rPr>
              <w:t>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3,257,382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2,985,293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the Plan document restated as of January 1, 2006 for more complete information.</w:t>
      </w:r>
    </w:p>
    <w:p>
      <w:pPr>
        <w:spacing w:after="0" w:line="19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20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19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Participant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Company common shares, a withdrawal or distribution can be in the form of common shares or cash.</w:t>
      </w:r>
    </w:p>
    <w:p>
      <w:pPr>
        <w:spacing w:after="0" w:line="18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Effective November 5, 2007, a new trustee (Fidelity) was appointed to the Plan. Plan assets transferred to the new trustee were transferred into funds comparable to those offered by the former trustee (J.P. Morgan Retirement Plan Services). The conversion initiated a “Black Out” period beginning October 20, 2007 and continued through November 4, 2007. Prior to this period, employees were notified and able to select funds with the new trustee. During the Black Out period, fund elections could not be changed or withdrawn from the Plan until the new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20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 made.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other plans of other employers or other transfers to/from plans.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plan years ended December 31, 2007 and 2006, there were no forfeited amounts from nonvested accounts.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administrator of the Plan, absorbs all administrative costs of the Plan, except for the trustee fees.</w:t>
      </w:r>
    </w:p>
    <w:p>
      <w:pPr>
        <w:spacing w:after="0" w:line="24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800" w:hanging="558"/>
        <w:spacing w:after="0"/>
        <w:tabs>
          <w:tab w:leader="none" w:pos="8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accompanying financial statements of The Toro Company Profit-Sharing Plan for Plymouth Union Employees (the Plan) are presented in accordance with U.S. generally accepted accounting principles.</w:t>
      </w:r>
    </w:p>
    <w:p>
      <w:pPr>
        <w:spacing w:after="0" w:line="197" w:lineRule="exact"/>
        <w:rPr>
          <w:sz w:val="20"/>
          <w:szCs w:val="20"/>
          <w:color w:val="auto"/>
        </w:rPr>
      </w:pPr>
    </w:p>
    <w:p>
      <w:pPr>
        <w:ind w:left="780" w:hanging="583"/>
        <w:spacing w:after="0"/>
        <w:tabs>
          <w:tab w:leader="none" w:pos="7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investments are in a Master Trust held by Fidelity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208"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1% as of December 31, 2007 and 2006.</w:t>
      </w:r>
    </w:p>
    <w:p>
      <w:pPr>
        <w:spacing w:after="0" w:line="208" w:lineRule="exact"/>
        <w:rPr>
          <w:sz w:val="20"/>
          <w:szCs w:val="20"/>
          <w:color w:val="auto"/>
        </w:rPr>
      </w:pPr>
    </w:p>
    <w:p>
      <w:pPr>
        <w:ind w:left="800" w:hanging="558"/>
        <w:spacing w:after="0"/>
        <w:tabs>
          <w:tab w:leader="none" w:pos="8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214" w:lineRule="exact"/>
        <w:rPr>
          <w:sz w:val="20"/>
          <w:szCs w:val="20"/>
          <w:color w:val="auto"/>
        </w:rPr>
      </w:pPr>
    </w:p>
    <w:p>
      <w:pPr>
        <w:ind w:left="760" w:hanging="563"/>
        <w:spacing w:after="0"/>
        <w:tabs>
          <w:tab w:leader="none" w:pos="7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52"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Benefits.</w:t>
      </w:r>
    </w:p>
    <w:p>
      <w:pPr>
        <w:spacing w:after="0" w:line="214"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assets held by the Master Trust include The Toro Company Common Stock. At December 31, 2007 and 2006, approximately 34% and 36% of the investments of the Master Trust were invested in common stock of the Company. The underlying value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52"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of the Company’s common stock is entirely dependent upon the performance of the Company and the market’s evaluation of such performance and other factors.</w:t>
      </w:r>
    </w:p>
    <w:p>
      <w:pPr>
        <w:spacing w:after="0" w:line="197" w:lineRule="exact"/>
        <w:rPr>
          <w:sz w:val="20"/>
          <w:szCs w:val="20"/>
          <w:color w:val="auto"/>
        </w:rPr>
      </w:pPr>
    </w:p>
    <w:p>
      <w:pPr>
        <w:ind w:left="980" w:hanging="810"/>
        <w:spacing w:after="0"/>
        <w:tabs>
          <w:tab w:leader="none" w:pos="9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52" w:lineRule="exact"/>
        <w:rPr>
          <w:rFonts w:ascii="Arial" w:cs="Arial" w:eastAsia="Arial" w:hAnsi="Arial"/>
          <w:sz w:val="18"/>
          <w:szCs w:val="18"/>
          <w:b w:val="1"/>
          <w:bCs w:val="1"/>
          <w:i w:val="1"/>
          <w:iCs w:val="1"/>
          <w:color w:val="auto"/>
        </w:rPr>
      </w:pPr>
    </w:p>
    <w:p>
      <w:pPr>
        <w:jc w:val="both"/>
        <w:ind w:left="98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The financial statements reflect the Financial Accounting Standards Board Staff Position AAG INV-1 and SOP 94-4-1, </w:t>
      </w:r>
      <w:r>
        <w:rPr>
          <w:rFonts w:ascii="Arial" w:cs="Arial" w:eastAsia="Arial" w:hAnsi="Arial"/>
          <w:sz w:val="16"/>
          <w:szCs w:val="16"/>
          <w:i w:val="1"/>
          <w:iCs w:val="1"/>
          <w:color w:val="auto"/>
        </w:rPr>
        <w:t>Reporting of Fully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Benefit-Responsive Investment Contracts Held by Certain Investment Companies Subject to the AICPA Investment Company guide and Defined-Contribution Health and Welfare and Pension Plans </w:t>
      </w:r>
      <w:r>
        <w:rPr>
          <w:rFonts w:ascii="Arial" w:cs="Arial" w:eastAsia="Arial" w:hAnsi="Arial"/>
          <w:sz w:val="16"/>
          <w:szCs w:val="16"/>
          <w:color w:val="auto"/>
        </w:rPr>
        <w:t>(the FSP). As required by the FSP, investment contracts held by a defined contribution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193" w:lineRule="exact"/>
        <w:rPr>
          <w:rFonts w:ascii="Arial" w:cs="Arial" w:eastAsia="Arial" w:hAnsi="Arial"/>
          <w:sz w:val="18"/>
          <w:szCs w:val="18"/>
          <w:b w:val="1"/>
          <w:bCs w:val="1"/>
          <w:i w:val="1"/>
          <w:iCs w:val="1"/>
          <w:color w:val="auto"/>
        </w:rPr>
      </w:pPr>
    </w:p>
    <w:p>
      <w:pPr>
        <w:ind w:left="980" w:hanging="810"/>
        <w:spacing w:after="0"/>
        <w:tabs>
          <w:tab w:leader="none" w:pos="9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52"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252" w:lineRule="exact"/>
        <w:rPr>
          <w:rFonts w:ascii="Arial" w:cs="Arial" w:eastAsia="Arial" w:hAnsi="Arial"/>
          <w:sz w:val="18"/>
          <w:szCs w:val="18"/>
          <w:b w:val="1"/>
          <w:bCs w:val="1"/>
          <w:i w:val="1"/>
          <w:iCs w:val="1"/>
          <w:color w:val="auto"/>
        </w:rPr>
      </w:pPr>
    </w:p>
    <w:p>
      <w:pPr>
        <w:ind w:left="980" w:hanging="810"/>
        <w:spacing w:after="0"/>
        <w:tabs>
          <w:tab w:leader="none" w:pos="9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 to be Adopted</w:t>
      </w:r>
    </w:p>
    <w:p>
      <w:pPr>
        <w:spacing w:after="0" w:line="252" w:lineRule="exact"/>
        <w:rPr>
          <w:rFonts w:ascii="Arial" w:cs="Arial" w:eastAsia="Arial" w:hAnsi="Arial"/>
          <w:sz w:val="18"/>
          <w:szCs w:val="18"/>
          <w:b w:val="1"/>
          <w:bCs w:val="1"/>
          <w:i w:val="1"/>
          <w:iCs w:val="1"/>
          <w:color w:val="auto"/>
        </w:rPr>
      </w:pPr>
    </w:p>
    <w:p>
      <w:pPr>
        <w:jc w:val="both"/>
        <w:ind w:left="98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September 2006, the Financial Accounting Standards Board (FASB) issued SFAS 157, Fair Value Measurements (SFAS 157), which defines fair value, establishes a framework for measuring fair value, and expands disclosures about fair value measurements. The provisions of SFAS 157 are effective as of the beginning of the 2008 plan year. Management is currently evaluating the impact of adopting SFAS 157 and does not expect the adoption to have a material impact on the Plan’s financial statements.</w:t>
      </w:r>
    </w:p>
    <w:p>
      <w:pPr>
        <w:spacing w:after="0" w:line="194" w:lineRule="exact"/>
        <w:rPr>
          <w:rFonts w:ascii="Arial" w:cs="Arial" w:eastAsia="Arial" w:hAnsi="Arial"/>
          <w:sz w:val="18"/>
          <w:szCs w:val="18"/>
          <w:b w:val="1"/>
          <w:bCs w:val="1"/>
          <w:i w:val="1"/>
          <w:i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Fidelity (trustee of the Plan effective November 5, 2007), J.P. Morgan Retirement Plan Services (former trustee of the Plan), and The Toro Company are parties-in-interest with respect to the Plan. The Plan’s investments are held by Fidelity (trustee of the Plan effective November 5, 2007) and J.P. Morgan Retirement Plan Services (former trustee of the Plan prior to November 5, 2007). Some of the investment funds available to participants also include mutual funds managed by Fidelity for periods effective to November 5, 2007 and J.P. Morgan Retirement Plan Services for periods subsequent to November 5, 2007. In the opinion of the Plan’s legal counsel, transactions between the Plan and the trustees are exempt from being considered as “prohibited transactions” under the ERISA Section 408(b).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91" w:lineRule="exact"/>
        <w:rPr>
          <w:sz w:val="20"/>
          <w:szCs w:val="20"/>
          <w:color w:val="auto"/>
        </w:rPr>
      </w:pPr>
    </w:p>
    <w:p>
      <w:pPr>
        <w:ind w:left="660" w:hanging="607"/>
        <w:spacing w:after="0"/>
        <w:tabs>
          <w:tab w:leader="none" w:pos="66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07"/>
        <w:spacing w:after="0"/>
        <w:tabs>
          <w:tab w:leader="none" w:pos="66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administrator has received a favorable determination letter dated April 15, 2003 from the Internal Revenue Service stating that the Plan constitutes a qualified plan under Section 401(a) of the Internal Revenue Code and that the trust created under the Plan is exempt from federal income tax under Section 501(a) of the Code. The Plan has been amended since the date of this letter, and an updated tax determination letter was received on February 19, 2008. Therefore, no provision for income taxes has been included in the Plan’s financial statements.</w:t>
      </w:r>
    </w:p>
    <w:p>
      <w:pPr>
        <w:spacing w:after="0" w:line="177" w:lineRule="exact"/>
        <w:rPr>
          <w:rFonts w:ascii="Arial" w:cs="Arial" w:eastAsia="Arial" w:hAnsi="Arial"/>
          <w:sz w:val="18"/>
          <w:szCs w:val="18"/>
          <w:b w:val="1"/>
          <w:bCs w:val="1"/>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for the Master Trust for the years-ended December 31, 2007 and 2006 was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appreciation in fair</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value of investments</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44,948,064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41,261,248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realized and unrealized appreciation</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44,948,064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41,261,248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Dividends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20,935,009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16,417,004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Investment Income</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65,906,379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Fair values of Master Trust investments at December 31, 2007 and 2006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Wells Fargo Stable Return 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83,706,503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85,630,792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Barclays Global Investors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9,472,865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21,749,153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Artisan Mid Cap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9,961,602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9,005,047</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JP Morgan MidCap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12,271,931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13,824,733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STI Classics Small Cap Growth Stock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7,184,245</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Fidelity Diversified International Fund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55,049,741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47,908,736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Growth Fund of America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69,498,831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63,013,048</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ICM Small Company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27,574,964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30,783,774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Institutional Index</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37,554,154</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American Century Large Company Value Fund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61,240,057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67,308,832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Alger Small Cap</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7,952,213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Toro Company Common Stock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217,508,364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212,431,878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Pooled Funds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2,022,179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13,034,933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14,673,475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14,766,645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4,809,707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1,469,009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investments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643,106,544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596,394,392</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1016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Net assets available for benefits as presented on Form 5500</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3,256,701</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272,089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 at December 31, 2006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employer contribution receivable at December 31, 2006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for employee contribution receivable at December 31, 2006</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presented on Form 5500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277,956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ind w:left="1963"/>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left="1963"/>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157"/>
        <w:spacing w:after="0" w:line="258" w:lineRule="auto"/>
        <w:rPr>
          <w:sz w:val="20"/>
          <w:szCs w:val="20"/>
          <w:color w:val="auto"/>
        </w:rPr>
      </w:pPr>
      <w:r>
        <w:rPr>
          <w:rFonts w:ascii="Arial" w:cs="Arial" w:eastAsia="Arial" w:hAnsi="Arial"/>
          <w:sz w:val="18"/>
          <w:szCs w:val="18"/>
          <w:color w:val="auto"/>
        </w:rPr>
        <w:t>Net assets available for benefits as presented in these financial statements Adjustment from contract value to fair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fully benefit-responsive investment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employer contribution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these financial statements</w:t>
      </w:r>
    </w:p>
    <w:p>
      <w:pPr>
        <w:spacing w:after="0" w:line="9" w:lineRule="exact"/>
        <w:rPr>
          <w:sz w:val="20"/>
          <w:szCs w:val="20"/>
          <w:color w:val="auto"/>
        </w:rPr>
      </w:pPr>
    </w:p>
    <w:p>
      <w:pPr>
        <w:jc w:val="center"/>
        <w:ind w:right="5977"/>
        <w:spacing w:after="0"/>
        <w:rPr>
          <w:sz w:val="20"/>
          <w:szCs w:val="20"/>
          <w:color w:val="auto"/>
        </w:rPr>
      </w:pPr>
      <w:r>
        <w:rPr>
          <w:rFonts w:ascii="Arial" w:cs="Arial" w:eastAsia="Arial" w:hAnsi="Arial"/>
          <w:sz w:val="16"/>
          <w:szCs w:val="16"/>
          <w:color w:val="auto"/>
        </w:rPr>
        <w:t>Adjustment from contract value to fair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jc w:val="center"/>
        <w:ind w:right="5977"/>
        <w:spacing w:after="0"/>
        <w:rPr>
          <w:sz w:val="20"/>
          <w:szCs w:val="20"/>
          <w:color w:val="auto"/>
        </w:rPr>
      </w:pPr>
      <w:r>
        <w:rPr>
          <w:rFonts w:ascii="Arial" w:cs="Arial" w:eastAsia="Arial" w:hAnsi="Arial"/>
          <w:sz w:val="17"/>
          <w:szCs w:val="17"/>
          <w:color w:val="auto"/>
        </w:rPr>
        <w:t>fully benefit-responsive investment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employee contribution receivable at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employee contribution receivable at December 31, 2005</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423" w:hanging="423"/>
        <w:spacing w:after="0"/>
        <w:tabs>
          <w:tab w:leader="none" w:pos="4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2,985,293</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(2,508)</w:t>
      </w:r>
    </w:p>
    <w:p>
      <w:pPr>
        <w:spacing w:after="0" w:line="22" w:lineRule="exact"/>
        <w:rPr>
          <w:sz w:val="20"/>
          <w:szCs w:val="20"/>
          <w:color w:val="auto"/>
        </w:rPr>
      </w:pPr>
    </w:p>
    <w:p>
      <w:pPr>
        <w:ind w:left="423" w:hanging="423"/>
        <w:spacing w:after="0"/>
        <w:tabs>
          <w:tab w:leader="none" w:pos="423"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2,978,745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7"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198,291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195,596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2">
            <w:col w:w="9457" w:space="720"/>
            <w:col w:w="1203"/>
          </w:cols>
          <w:pgMar w:left="240" w:top="270" w:right="279" w:bottom="1440" w:gutter="0" w:footer="0" w:header="0"/>
        </w:sectPr>
      </w:pPr>
    </w:p>
    <w:bookmarkStart w:id="12" w:name="page13"/>
    <w:bookmarkEnd w:id="12"/>
    <w:p>
      <w:pPr>
        <w:jc w:val="center"/>
        <w:ind w:right="-2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 Profit-Sharing Plan for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Plymouth Union Employees</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27, 2008</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46" w:right="47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23.1</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bl>
    <w:p>
      <w:pPr>
        <w:sectPr>
          <w:pgSz w:w="11900" w:h="16838" w:orient="portrait"/>
          <w:cols w:equalWidth="0" w:num="1">
            <w:col w:w="11420"/>
          </w:cols>
          <w:pgMar w:left="240" w:top="51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incorporation by reference in the Registration Statement (No. 333-119506) on Form S-8 of The Toro Company, of our report dated June 27, 2008, relating to the statements of net assets available for benefits of The Toro Company Profit-Sharing Plan for Plymouth Union Employees as of December 31, 2007 and 2006, and the related statements of changes in net assets available for benefits for the years then ended, which report appears in the December 31, 2007 annual report on Form 11-K of The Toro Company Profit-Sharing Plan for Plymouth Union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2008</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lvl w:ilvl="1">
      <w:lvlJc w:val="left"/>
      <w:lvlText w:val="(%2)"/>
      <w:numFmt w:val="lowerLetter"/>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lowerLetter"/>
      <w:start w:val="4"/>
    </w:lvl>
  </w:abstractNum>
  <w:abstractNum w:abstractNumId="8">
    <w:nsid w:val="3352255A"/>
    <w:multiLevelType w:val="hybridMultilevel"/>
    <w:lvl w:ilvl="0">
      <w:lvlJc w:val="left"/>
      <w:lvlText w:val="%1"/>
      <w:numFmt w:val="decimal"/>
      <w:start w:val="1"/>
    </w:lvl>
    <w:lvl w:ilvl="1">
      <w:lvlJc w:val="left"/>
      <w:lvlText w:val="(%2)"/>
      <w:numFmt w:val="lowerLetter"/>
      <w:start w:val="5"/>
    </w:lvl>
  </w:abstractNum>
  <w:abstractNum w:abstractNumId="9">
    <w:nsid w:val="109CF92E"/>
    <w:multiLevelType w:val="hybridMultilevel"/>
    <w:lvl w:ilvl="0">
      <w:lvlJc w:val="left"/>
      <w:lvlText w:val="(%1)"/>
      <w:numFmt w:val="decimal"/>
      <w:start w:val="3"/>
    </w:lvl>
    <w:lvl w:ilvl="1">
      <w:lvlJc w:val="left"/>
      <w:lvlText w:val="%2"/>
      <w:numFmt w:val="lowerLetter"/>
      <w:start w:val="1"/>
    </w:lvl>
  </w:abstractNum>
  <w:abstractNum w:abstractNumId="10">
    <w:nsid w:val="DED7263"/>
    <w:multiLevelType w:val="hybridMultilevel"/>
    <w:lvl w:ilvl="0">
      <w:lvlJc w:val="left"/>
      <w:lvlText w:val="%1"/>
      <w:numFmt w:val="decimal"/>
      <w:start w:val="1"/>
    </w:lvl>
    <w:lvl w:ilvl="1">
      <w:lvlJc w:val="left"/>
      <w:lvlText w:val="(%2)"/>
      <w:numFmt w:val="decimal"/>
      <w:start w:val="4"/>
    </w:lvl>
  </w:abstractNum>
  <w:abstractNum w:abstractNumId="11">
    <w:nsid w:val="7FDCC233"/>
    <w:multiLevelType w:val="hybridMultilevel"/>
    <w:lvl w:ilvl="0">
      <w:lvlJc w:val="left"/>
      <w:lvlText w:val="(%1)"/>
      <w:numFmt w:val="decimal"/>
      <w:start w:val="6"/>
    </w:lvl>
    <w:lvl w:ilvl="1">
      <w:lvlJc w:val="left"/>
      <w:lvlText w:val="%2"/>
      <w:numFmt w:val="decimal"/>
      <w:start w:val="1"/>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2019-12-13T13:41:48Z</dcterms:created>
  <dcterms:modified xsi:type="dcterms:W3CDTF">2019-12-13T13:41:48Z</dcterms:modified>
</cp:coreProperties>
</file>