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6" w:lineRule="exact"/>
        <w:rPr>
          <w:sz w:val="24"/>
          <w:szCs w:val="24"/>
          <w:color w:val="auto"/>
        </w:rPr>
      </w:pPr>
    </w:p>
    <w:p>
      <w:pPr>
        <w:ind w:left="880" w:hanging="509"/>
        <w:spacing w:after="0"/>
        <w:tabs>
          <w:tab w:leader="none" w:pos="88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2013</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920" w:hanging="549"/>
        <w:spacing w:after="0"/>
        <w:tabs>
          <w:tab w:leader="none" w:pos="9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27" w:lineRule="exact"/>
        <w:rPr>
          <w:sz w:val="24"/>
          <w:szCs w:val="24"/>
          <w:color w:val="auto"/>
        </w:rPr>
      </w:pPr>
    </w:p>
    <w:p>
      <w:pPr>
        <w:ind w:left="346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1-8649</w:t>
      </w:r>
    </w:p>
    <w:p>
      <w:pPr>
        <w:spacing w:after="0" w:line="229"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A.</w:t>
        <w:tab/>
        <w:t>Full title of the plan and address of the plan, if different from that of the issuer named below:</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Toro Company Profit-Sharing Plan for Plymouth Union Employees</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Bloomington, MN 55420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Attn: Director, Total Rewards &amp; HR Services</w:t>
      </w:r>
    </w:p>
    <w:p>
      <w:pPr>
        <w:spacing w:after="0" w:line="207"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Name of issuer of the securities held pursuant to the plan and the address of its principal executive office:</w:t>
      </w:r>
    </w:p>
    <w:p>
      <w:pPr>
        <w:spacing w:after="0" w:line="19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60" w:type="dxa"/>
            <w:vAlign w:val="bottom"/>
            <w:gridSpan w:val="3"/>
          </w:tcPr>
          <w:p>
            <w:pPr>
              <w:jc w:val="center"/>
              <w:ind w:right="4340"/>
              <w:spacing w:after="0"/>
              <w:rPr>
                <w:sz w:val="20"/>
                <w:szCs w:val="20"/>
                <w:color w:val="auto"/>
              </w:rPr>
            </w:pPr>
            <w:r>
              <w:rPr>
                <w:rFonts w:ascii="Times New Roman" w:cs="Times New Roman" w:eastAsia="Times New Roman" w:hAnsi="Times New Roman"/>
                <w:sz w:val="18"/>
                <w:szCs w:val="18"/>
                <w:color w:val="auto"/>
                <w:w w:val="99"/>
              </w:rPr>
              <w:t>Financial Statements</w:t>
            </w:r>
          </w:p>
        </w:tc>
      </w:tr>
      <w:tr>
        <w:trPr>
          <w:trHeight w:val="432"/>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160" w:type="dxa"/>
            <w:vAlign w:val="bottom"/>
            <w:gridSpan w:val="3"/>
          </w:tcPr>
          <w:p>
            <w:pPr>
              <w:jc w:val="center"/>
              <w:ind w:right="4320"/>
              <w:spacing w:after="0"/>
              <w:rPr>
                <w:sz w:val="20"/>
                <w:szCs w:val="20"/>
                <w:color w:val="auto"/>
              </w:rPr>
            </w:pPr>
            <w:r>
              <w:rPr>
                <w:rFonts w:ascii="Times New Roman" w:cs="Times New Roman" w:eastAsia="Times New Roman" w:hAnsi="Times New Roman"/>
                <w:sz w:val="18"/>
                <w:szCs w:val="18"/>
                <w:color w:val="auto"/>
                <w:w w:val="99"/>
              </w:rPr>
              <w:t>December 31, 2013 and 2012</w:t>
            </w:r>
          </w:p>
        </w:tc>
      </w:tr>
      <w:tr>
        <w:trPr>
          <w:trHeight w:val="348"/>
        </w:trPr>
        <w:tc>
          <w:tcPr>
            <w:tcW w:w="70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624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23"/>
        </w:trPr>
        <w:tc>
          <w:tcPr>
            <w:tcW w:w="4300" w:type="dxa"/>
            <w:vAlign w:val="bottom"/>
            <w:gridSpan w:val="5"/>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6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160" w:type="dxa"/>
            <w:vAlign w:val="bottom"/>
            <w:gridSpan w:val="3"/>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365"/>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Page</w:t>
            </w:r>
          </w:p>
        </w:tc>
        <w:tc>
          <w:tcPr>
            <w:tcW w:w="40" w:type="dxa"/>
            <w:vAlign w:val="bottom"/>
          </w:tcPr>
          <w:p>
            <w:pPr>
              <w:spacing w:after="0"/>
              <w:rPr>
                <w:sz w:val="24"/>
                <w:szCs w:val="24"/>
                <w:color w:val="auto"/>
              </w:rPr>
            </w:pPr>
          </w:p>
        </w:tc>
      </w:tr>
      <w:tr>
        <w:trPr>
          <w:trHeight w:val="318"/>
        </w:trPr>
        <w:tc>
          <w:tcPr>
            <w:tcW w:w="4300" w:type="dxa"/>
            <w:vAlign w:val="bottom"/>
            <w:gridSpan w:val="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Statements of Net Assets Available for Benefits</w:t>
              </w:r>
            </w:hyperlink>
          </w:p>
        </w:tc>
        <w:tc>
          <w:tcPr>
            <w:tcW w:w="7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r>
      <w:tr>
        <w:trPr>
          <w:trHeight w:val="412"/>
        </w:trPr>
        <w:tc>
          <w:tcPr>
            <w:tcW w:w="43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Statements of Changes in Net Assets Available for Benefits</w:t>
              </w:r>
            </w:hyperlink>
          </w:p>
        </w:tc>
        <w:tc>
          <w:tcPr>
            <w:tcW w:w="7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4300" w:type="dxa"/>
            <w:vAlign w:val="bottom"/>
            <w:gridSpan w:val="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Notes to Financial Statements</w:t>
              </w:r>
            </w:hyperlink>
          </w:p>
        </w:tc>
        <w:tc>
          <w:tcPr>
            <w:tcW w:w="7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216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Signature</w:t>
              </w:r>
            </w:hyperlink>
          </w:p>
        </w:tc>
        <w:tc>
          <w:tcPr>
            <w:tcW w:w="2140" w:type="dxa"/>
            <w:vAlign w:val="bottom"/>
            <w:gridSpan w:val="2"/>
          </w:tcPr>
          <w:p>
            <w:pPr>
              <w:spacing w:after="0"/>
              <w:rPr>
                <w:sz w:val="24"/>
                <w:szCs w:val="24"/>
                <w:color w:val="auto"/>
              </w:rPr>
            </w:pPr>
          </w:p>
        </w:tc>
        <w:tc>
          <w:tcPr>
            <w:tcW w:w="7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368"/>
        </w:trPr>
        <w:tc>
          <w:tcPr>
            <w:tcW w:w="700" w:type="dxa"/>
            <w:vAlign w:val="bottom"/>
            <w:tcBorders>
              <w:top w:val="single" w:sz="8" w:color="0000EE"/>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624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-2190115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-2190115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ectPr>
          <w:pgSz w:w="11900" w:h="16838" w:orient="portrait"/>
          <w:cols w:equalWidth="0" w:num="1">
            <w:col w:w="11460"/>
          </w:cols>
          <w:pgMar w:left="240" w:top="229" w:right="199" w:bottom="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2013 and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196"/>
        </w:trPr>
        <w:tc>
          <w:tcPr>
            <w:tcW w:w="7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 the Toro Company Master Trust Fund</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4,050,620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3,231,539</w:t>
            </w: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contribution receivable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1,982</w:t>
            </w: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r>
      <w:tr>
        <w:trPr>
          <w:trHeight w:val="210"/>
        </w:trPr>
        <w:tc>
          <w:tcPr>
            <w:tcW w:w="75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receivables</w:t>
            </w:r>
          </w:p>
        </w:tc>
        <w:tc>
          <w:tcPr>
            <w:tcW w:w="7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Borders>
              <w:bottom w:val="single" w:sz="8" w:color="CCEEFF"/>
            </w:tcBorders>
          </w:tcPr>
          <w:p>
            <w:pPr>
              <w:spacing w:after="0"/>
              <w:rPr>
                <w:sz w:val="18"/>
                <w:szCs w:val="18"/>
                <w:color w:val="auto"/>
              </w:rPr>
            </w:pPr>
          </w:p>
        </w:tc>
      </w:tr>
      <w:tr>
        <w:trPr>
          <w:trHeight w:val="210"/>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 before adjustment at fair value</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4,055,171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3,234,290</w:t>
            </w: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from fair value to contract value for fully benefit-responsive investment contracts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(1,953)</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(10,079)</w:t>
            </w:r>
          </w:p>
        </w:tc>
      </w:tr>
      <w:tr>
        <w:trPr>
          <w:trHeight w:val="210"/>
        </w:trPr>
        <w:tc>
          <w:tcPr>
            <w:tcW w:w="75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4,053,218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2013 and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Additions to net assets:</w:t>
            </w: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interest in net investment income of the Toro Company Master Trust Fund</w:t>
            </w:r>
          </w:p>
        </w:tc>
        <w:tc>
          <w:tcPr>
            <w:tcW w:w="1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1,015,369</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710,558</w:t>
            </w:r>
          </w:p>
        </w:tc>
      </w:tr>
      <w:tr>
        <w:trPr>
          <w:trHeight w:val="210"/>
        </w:trPr>
        <w:tc>
          <w:tcPr>
            <w:tcW w:w="72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investment income</w:t>
            </w:r>
          </w:p>
        </w:tc>
        <w:tc>
          <w:tcPr>
            <w:tcW w:w="1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1,015,369</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710,558</w:t>
            </w:r>
          </w:p>
        </w:tc>
        <w:tc>
          <w:tcPr>
            <w:tcW w:w="100" w:type="dxa"/>
            <w:vAlign w:val="bottom"/>
            <w:tcBorders>
              <w:bottom w:val="single" w:sz="8" w:color="CCEEFF"/>
            </w:tcBorders>
          </w:tcPr>
          <w:p>
            <w:pPr>
              <w:spacing w:after="0"/>
              <w:rPr>
                <w:sz w:val="18"/>
                <w:szCs w:val="18"/>
                <w:color w:val="auto"/>
              </w:rPr>
            </w:pPr>
          </w:p>
        </w:tc>
      </w:tr>
      <w:tr>
        <w:trPr>
          <w:trHeight w:val="21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Employer contributions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47,203</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contributions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129,811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123,400</w:t>
            </w:r>
          </w:p>
        </w:tc>
      </w:tr>
      <w:tr>
        <w:trPr>
          <w:trHeight w:val="210"/>
        </w:trPr>
        <w:tc>
          <w:tcPr>
            <w:tcW w:w="72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contributions</w:t>
            </w: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additions to net assets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1,204,937</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881,161</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 from net assets: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payments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(375,930)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(743,917)</w:t>
            </w:r>
          </w:p>
        </w:tc>
      </w:tr>
      <w:tr>
        <w:trPr>
          <w:trHeight w:val="210"/>
        </w:trPr>
        <w:tc>
          <w:tcPr>
            <w:tcW w:w="72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deductions from net assets</w:t>
            </w: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(375,930)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829,007</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137,244</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of year</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3,224,211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3,086,967</w:t>
            </w:r>
          </w:p>
        </w:tc>
      </w:tr>
      <w:tr>
        <w:trPr>
          <w:trHeight w:val="210"/>
        </w:trPr>
        <w:tc>
          <w:tcPr>
            <w:tcW w:w="7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 of year</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4,053,218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2013 and 2012</w:t>
      </w:r>
    </w:p>
    <w:p>
      <w:pPr>
        <w:spacing w:after="0" w:line="221"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Description of Plan</w:t>
      </w:r>
    </w:p>
    <w:p>
      <w:pPr>
        <w:spacing w:after="0" w:line="229" w:lineRule="exact"/>
        <w:rPr>
          <w:rFonts w:ascii="Times New Roman" w:cs="Times New Roman" w:eastAsia="Times New Roman" w:hAnsi="Times New Roman"/>
          <w:sz w:val="18"/>
          <w:szCs w:val="18"/>
          <w:b w:val="1"/>
          <w:bCs w:val="1"/>
          <w:color w:val="auto"/>
        </w:rPr>
      </w:pPr>
    </w:p>
    <w:p>
      <w:pPr>
        <w:ind w:left="58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Toro Company Profit-Sharing Plan for Plymouth Union Employees (the Plan) is provided for general information purposes only. Participants should refer to the Plan document amended and restated as of January 1, 2009 for more complete information as it relates to calendar years prior to 2013. The Plan document was amended and restated effective January 1, 2012 as part of the regular five-year cycle of amendments and restatements. The plan is subject to certain provisions of the Employee Retirement Security Act of 1974, as amended (ERISA).</w:t>
      </w:r>
    </w:p>
    <w:p>
      <w:pPr>
        <w:spacing w:after="0" w:line="180" w:lineRule="exact"/>
        <w:rPr>
          <w:rFonts w:ascii="Times New Roman" w:cs="Times New Roman" w:eastAsia="Times New Roman" w:hAnsi="Times New Roman"/>
          <w:sz w:val="18"/>
          <w:szCs w:val="18"/>
          <w:b w:val="1"/>
          <w:bCs w:val="1"/>
          <w:color w:val="auto"/>
        </w:rPr>
      </w:pPr>
    </w:p>
    <w:p>
      <w:pPr>
        <w:ind w:left="58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are eligible to contribute to the Plan after they have completed 180 consecutive days of employment or one year of eligibility service and must be a member of a collective bargaining unit. Employee contributions to the Plan consist of salary reduction elections under a 401(k) feature, voluntary after tax contributions, and rollover funds from other qualified plans. Participants are fully vested in the entire balance of their individual accounts attributable to those contributions. The Toro Company (the Company), at its discretion, may make matching contributions. Participants are eligible for matching contributions the first of the month following completion of one year of qualifying service with the Company. Company contributions, together with the income attributable thereto, vest at a rate of 20% after one year of vesting service, with an additional 20% being accumulated annually thereafter until the participant is 100% vested. All contributions under the Plan are made to a trust that holds all of the assets of the Plan.</w:t>
      </w:r>
    </w:p>
    <w:p>
      <w:pPr>
        <w:spacing w:after="0" w:line="185"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investments of employee and employer contributions are selected by the participants.</w:t>
      </w:r>
    </w:p>
    <w:p>
      <w:pPr>
        <w:sectPr>
          <w:pgSz w:w="11900" w:h="16838" w:orient="portrait"/>
          <w:cols w:equalWidth="0" w:num="1">
            <w:col w:w="11420"/>
          </w:cols>
          <w:pgMar w:left="240" w:top="117" w:right="239" w:bottom="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8"/>
          <w:szCs w:val="18"/>
          <w:color w:val="auto"/>
        </w:rPr>
        <w:t>Benefit payments and transfers of participants’ interests are made by the trustee, Fidelity Investments (the Trustee).</w:t>
      </w:r>
    </w:p>
    <w:p>
      <w:pPr>
        <w:spacing w:after="0" w:line="225" w:lineRule="exact"/>
        <w:rPr>
          <w:sz w:val="20"/>
          <w:szCs w:val="20"/>
          <w:color w:val="auto"/>
        </w:rPr>
      </w:pPr>
    </w:p>
    <w:p>
      <w:pPr>
        <w:ind w:left="580"/>
        <w:spacing w:after="0" w:line="258" w:lineRule="auto"/>
        <w:rPr>
          <w:sz w:val="20"/>
          <w:szCs w:val="20"/>
          <w:color w:val="auto"/>
        </w:rPr>
      </w:pPr>
      <w:r>
        <w:rPr>
          <w:rFonts w:ascii="Times New Roman" w:cs="Times New Roman" w:eastAsia="Times New Roman" w:hAnsi="Times New Roman"/>
          <w:sz w:val="18"/>
          <w:szCs w:val="18"/>
          <w:color w:val="auto"/>
        </w:rPr>
        <w:t>Participants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par value $1.00 per share, of the Company (Common Stock), a withdrawal or distribution can be in the form of Common Stock or cash.</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Forfeited amounts from nonvested accounts totaled $275 and $0 during the Plan years ended December 31, 2013 and 2012, respectively.</w:t>
      </w:r>
    </w:p>
    <w:p>
      <w:pPr>
        <w:spacing w:after="0" w:line="225" w:lineRule="exact"/>
        <w:rPr>
          <w:sz w:val="20"/>
          <w:szCs w:val="20"/>
          <w:color w:val="auto"/>
        </w:rPr>
      </w:pPr>
    </w:p>
    <w:p>
      <w:pPr>
        <w:ind w:left="580"/>
        <w:spacing w:after="0" w:line="261" w:lineRule="auto"/>
        <w:rPr>
          <w:sz w:val="20"/>
          <w:szCs w:val="20"/>
          <w:color w:val="auto"/>
        </w:rPr>
      </w:pPr>
      <w:r>
        <w:rPr>
          <w:rFonts w:ascii="Times New Roman" w:cs="Times New Roman" w:eastAsia="Times New Roman" w:hAnsi="Times New Roman"/>
          <w:sz w:val="18"/>
          <w:szCs w:val="18"/>
          <w:color w:val="auto"/>
        </w:rPr>
        <w:t>The Company (the administrator of the Plan) designs, manufactures, and markets professional turf maintenance equipment and services, turf irrigation systems, agricultural micro-irrigation systems, landscaping equipment and lighting, underground utility equipment, concrete and hardscape equipment, and residential yard and snow removal products. The Company absorbs all administrative costs of the Plan, with the exception of investment management fees, which are netted against investment income.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2013 and 2012</w:t>
      </w:r>
    </w:p>
    <w:p>
      <w:pPr>
        <w:spacing w:after="0" w:line="221"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980" w:hanging="365"/>
        <w:spacing w:after="0"/>
        <w:tabs>
          <w:tab w:leader="none" w:pos="980" w:val="left"/>
        </w:tabs>
        <w:numPr>
          <w:ilvl w:val="2"/>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Financial Statement Presentation</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accompanying financial statements of the Plan are presented in accordance with U.S. generally accepted accounting principles (U.S. GAAP). The accounting records of the Plan are maintained on the accrual basis. The accompanying financial statements have not been audited, as an audit is not required under the applicable ERISA rules.</w:t>
      </w:r>
    </w:p>
    <w:p>
      <w:pPr>
        <w:spacing w:after="0" w:line="172" w:lineRule="exact"/>
        <w:rPr>
          <w:rFonts w:ascii="Times New Roman" w:cs="Times New Roman" w:eastAsia="Times New Roman" w:hAnsi="Times New Roman"/>
          <w:sz w:val="18"/>
          <w:szCs w:val="18"/>
          <w:b w:val="1"/>
          <w:bCs w:val="1"/>
          <w:i w:val="1"/>
          <w:iCs w:val="1"/>
          <w:color w:val="auto"/>
        </w:rPr>
      </w:pPr>
    </w:p>
    <w:p>
      <w:pPr>
        <w:ind w:left="1000" w:hanging="421"/>
        <w:spacing w:after="0"/>
        <w:tabs>
          <w:tab w:leader="none" w:pos="1000"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Plan’s investments are in a Master Trust held by the Trustee.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83" w:lineRule="exact"/>
        <w:rPr>
          <w:rFonts w:ascii="Times New Roman" w:cs="Times New Roman" w:eastAsia="Times New Roman" w:hAnsi="Times New Roman"/>
          <w:sz w:val="18"/>
          <w:szCs w:val="18"/>
          <w:b w:val="1"/>
          <w:bCs w:val="1"/>
          <w:i w:val="1"/>
          <w:iCs w:val="1"/>
          <w:color w:val="auto"/>
        </w:rPr>
      </w:pPr>
    </w:p>
    <w:p>
      <w:pPr>
        <w:ind w:left="980" w:right="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maintains one Master Trust for two profit sharing and retirement plans that are sponsored by the Company. The two plans are the Plan and The Toro Company Investment, Savings, and Employee Stock Ownership Plan. The purpose of the Master Trust is to pool investment transactions and achieve uniform rates of return on comparable funds under all plans. The Master Trust invests in fully benefit-responsive investment contracts stated at fair value which are then adjusted to contract value. Fair value of the contracts is calculated by discounting the related cash flows based on current yields of similar instruments with comparable durations.</w:t>
      </w:r>
    </w:p>
    <w:p>
      <w:pPr>
        <w:spacing w:after="0" w:line="183" w:lineRule="exact"/>
        <w:rPr>
          <w:rFonts w:ascii="Times New Roman" w:cs="Times New Roman" w:eastAsia="Times New Roman" w:hAnsi="Times New Roman"/>
          <w:sz w:val="18"/>
          <w:szCs w:val="18"/>
          <w:b w:val="1"/>
          <w:bCs w:val="1"/>
          <w:i w:val="1"/>
          <w:iCs w:val="1"/>
          <w:color w:val="auto"/>
        </w:rPr>
      </w:pPr>
    </w:p>
    <w:p>
      <w:pPr>
        <w:jc w:val="both"/>
        <w:ind w:left="980" w:right="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Plan’s proportionate share of net investment income (loss) from the Master Trust is based upon the percentage of the fair value of the Plan’s investment in the Master Trust’s net assets. The Plan’s percentage interest in the net assets of the Master Trust was approximately 1% as of each of December 31, 2013 and 2012.</w:t>
      </w:r>
    </w:p>
    <w:p>
      <w:pPr>
        <w:spacing w:after="0" w:line="172" w:lineRule="exact"/>
        <w:rPr>
          <w:rFonts w:ascii="Times New Roman" w:cs="Times New Roman" w:eastAsia="Times New Roman" w:hAnsi="Times New Roman"/>
          <w:sz w:val="18"/>
          <w:szCs w:val="18"/>
          <w:b w:val="1"/>
          <w:bCs w:val="1"/>
          <w:i w:val="1"/>
          <w:iCs w:val="1"/>
          <w:color w:val="auto"/>
        </w:rPr>
      </w:pPr>
    </w:p>
    <w:p>
      <w:pPr>
        <w:ind w:left="1000" w:hanging="385"/>
        <w:spacing w:after="0"/>
        <w:tabs>
          <w:tab w:leader="none" w:pos="1000" w:val="left"/>
        </w:tabs>
        <w:numPr>
          <w:ilvl w:val="2"/>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Accounting Estimates</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preparation of financial statements in conformity with U.S. GAAP requires the Company, as the administrator of the Plan,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176" w:lineRule="exact"/>
        <w:rPr>
          <w:sz w:val="20"/>
          <w:szCs w:val="20"/>
          <w:color w:val="auto"/>
        </w:rPr>
      </w:pPr>
    </w:p>
    <w:p>
      <w:pPr>
        <w:ind w:left="1000" w:hanging="421"/>
        <w:spacing w:after="0"/>
        <w:tabs>
          <w:tab w:leader="none" w:pos="100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Concentrations of Risk</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 of net assets available for benefits.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ectPr>
          <w:pgSz w:w="11900" w:h="16838" w:orient="portrait"/>
          <w:cols w:equalWidth="0" w:num="1">
            <w:col w:w="11420"/>
          </w:cols>
          <w:pgMar w:left="240" w:top="337" w:right="239" w:bottom="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2013 and 2012</w:t>
      </w:r>
    </w:p>
    <w:p>
      <w:pPr>
        <w:spacing w:after="0" w:line="225"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The assets held by the Master Trust include Common Stock. At December 31, 2013 and 2012, approximately 39% and 36%, respectively, of the investments of the Master Trust were invested in Common Stock. The underlying value of the Common Stock is entirely dependent upon the performance of the Company and the market’s evaluation of such performance and other factors.</w:t>
      </w:r>
    </w:p>
    <w:p>
      <w:pPr>
        <w:spacing w:after="0" w:line="172" w:lineRule="exact"/>
        <w:rPr>
          <w:sz w:val="20"/>
          <w:szCs w:val="20"/>
          <w:color w:val="auto"/>
        </w:rPr>
      </w:pPr>
    </w:p>
    <w:p>
      <w:pPr>
        <w:ind w:left="580"/>
        <w:spacing w:after="0"/>
        <w:tabs>
          <w:tab w:leader="none" w:pos="90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Fully Benefit-Responsive Investment Contracts</w:t>
      </w:r>
    </w:p>
    <w:p>
      <w:pPr>
        <w:spacing w:after="0" w:line="229" w:lineRule="exact"/>
        <w:rPr>
          <w:sz w:val="20"/>
          <w:szCs w:val="20"/>
          <w:color w:val="auto"/>
        </w:rPr>
      </w:pPr>
    </w:p>
    <w:p>
      <w:pPr>
        <w:ind w:left="980" w:right="100"/>
        <w:spacing w:after="0" w:line="258" w:lineRule="auto"/>
        <w:rPr>
          <w:sz w:val="20"/>
          <w:szCs w:val="20"/>
          <w:color w:val="auto"/>
        </w:rPr>
      </w:pPr>
      <w:r>
        <w:rPr>
          <w:rFonts w:ascii="Times New Roman" w:cs="Times New Roman" w:eastAsia="Times New Roman" w:hAnsi="Times New Roman"/>
          <w:sz w:val="18"/>
          <w:szCs w:val="18"/>
          <w:color w:val="auto"/>
        </w:rPr>
        <w:t>The Plan indirectly invests in investment contracts and security-backed contracts through the Wells Fargo Stable Value Fund E.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(wrapper) provided by a third party. The yield earned by the Wells Fargo Stable Value Fund E at December 31, 2013 and 2012 was 1.36% and 0.94%, respectively.</w:t>
      </w:r>
    </w:p>
    <w:p>
      <w:pPr>
        <w:spacing w:after="0" w:line="184" w:lineRule="exact"/>
        <w:rPr>
          <w:sz w:val="20"/>
          <w:szCs w:val="20"/>
          <w:color w:val="auto"/>
        </w:rPr>
      </w:pPr>
    </w:p>
    <w:p>
      <w:pPr>
        <w:ind w:left="980" w:right="220"/>
        <w:spacing w:after="0" w:line="256" w:lineRule="auto"/>
        <w:rPr>
          <w:sz w:val="20"/>
          <w:szCs w:val="20"/>
          <w:color w:val="auto"/>
        </w:rPr>
      </w:pPr>
      <w:r>
        <w:rPr>
          <w:rFonts w:ascii="Times New Roman" w:cs="Times New Roman" w:eastAsia="Times New Roman" w:hAnsi="Times New Roman"/>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statements of changes in net assets available for benefits are prepared on a contract value basis.</w:t>
      </w:r>
    </w:p>
    <w:p>
      <w:pPr>
        <w:spacing w:after="0" w:line="184" w:lineRule="exact"/>
        <w:rPr>
          <w:sz w:val="20"/>
          <w:szCs w:val="20"/>
          <w:color w:val="auto"/>
        </w:rPr>
      </w:pPr>
    </w:p>
    <w:p>
      <w:pPr>
        <w:ind w:left="580" w:hanging="500"/>
        <w:spacing w:after="0"/>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Party-in-interest Transactions</w:t>
      </w:r>
    </w:p>
    <w:p>
      <w:pPr>
        <w:spacing w:after="0" w:line="229" w:lineRule="exact"/>
        <w:rPr>
          <w:rFonts w:ascii="Times New Roman" w:cs="Times New Roman" w:eastAsia="Times New Roman" w:hAnsi="Times New Roman"/>
          <w:sz w:val="18"/>
          <w:szCs w:val="18"/>
          <w:b w:val="1"/>
          <w:bCs w:val="1"/>
          <w:color w:val="auto"/>
        </w:rPr>
      </w:pPr>
    </w:p>
    <w:p>
      <w:pPr>
        <w:ind w:left="580" w:righ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and the Company are parties-in-interest with respect to the Plan. The Plan’s investments are held by the Trustee, and some of the investment funds available to participants include mutual funds managed by the Trustee. In the opinion of the Plan’s legal counsel, transactions between the Plan and the Trustee are exempt from being considered as “prohibited transactions” under the ERISA Section 408(b).</w:t>
      </w:r>
    </w:p>
    <w:p>
      <w:pPr>
        <w:spacing w:after="0" w:line="172" w:lineRule="exact"/>
        <w:rPr>
          <w:rFonts w:ascii="Times New Roman" w:cs="Times New Roman" w:eastAsia="Times New Roman" w:hAnsi="Times New Roman"/>
          <w:sz w:val="18"/>
          <w:szCs w:val="18"/>
          <w:b w:val="1"/>
          <w:bCs w:val="1"/>
          <w:color w:val="auto"/>
        </w:rPr>
      </w:pPr>
    </w:p>
    <w:p>
      <w:pPr>
        <w:ind w:left="580" w:hanging="500"/>
        <w:spacing w:after="0"/>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229" w:lineRule="exact"/>
        <w:rPr>
          <w:rFonts w:ascii="Times New Roman" w:cs="Times New Roman" w:eastAsia="Times New Roman" w:hAnsi="Times New Roman"/>
          <w:sz w:val="18"/>
          <w:szCs w:val="18"/>
          <w:b w:val="1"/>
          <w:bCs w:val="1"/>
          <w:color w:val="auto"/>
        </w:rPr>
      </w:pPr>
    </w:p>
    <w:p>
      <w:pPr>
        <w:jc w:val="both"/>
        <w:ind w:left="58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72" w:lineRule="exact"/>
        <w:rPr>
          <w:rFonts w:ascii="Times New Roman" w:cs="Times New Roman" w:eastAsia="Times New Roman" w:hAnsi="Times New Roman"/>
          <w:sz w:val="18"/>
          <w:szCs w:val="18"/>
          <w:b w:val="1"/>
          <w:bCs w:val="1"/>
          <w:color w:val="auto"/>
        </w:rPr>
      </w:pPr>
    </w:p>
    <w:p>
      <w:pPr>
        <w:ind w:left="580" w:hanging="500"/>
        <w:spacing w:after="0"/>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Master Trust Fund</w:t>
      </w:r>
    </w:p>
    <w:p>
      <w:pPr>
        <w:spacing w:after="0" w:line="229" w:lineRule="exact"/>
        <w:rPr>
          <w:rFonts w:ascii="Times New Roman" w:cs="Times New Roman" w:eastAsia="Times New Roman" w:hAnsi="Times New Roman"/>
          <w:sz w:val="18"/>
          <w:szCs w:val="18"/>
          <w:b w:val="1"/>
          <w:bCs w:val="1"/>
          <w:color w:val="auto"/>
        </w:rPr>
      </w:pPr>
    </w:p>
    <w:p>
      <w:pPr>
        <w:ind w:left="58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2013 and 2012</w:t>
      </w:r>
    </w:p>
    <w:p>
      <w:pPr>
        <w:spacing w:after="0" w:line="225" w:lineRule="exact"/>
        <w:rPr>
          <w:sz w:val="20"/>
          <w:szCs w:val="20"/>
          <w:color w:val="auto"/>
        </w:rPr>
      </w:pPr>
    </w:p>
    <w:p>
      <w:pPr>
        <w:ind w:left="580" w:right="260"/>
        <w:spacing w:after="0" w:line="282" w:lineRule="auto"/>
        <w:rPr>
          <w:sz w:val="20"/>
          <w:szCs w:val="20"/>
          <w:color w:val="auto"/>
        </w:rPr>
      </w:pPr>
      <w:r>
        <w:rPr>
          <w:rFonts w:ascii="Times New Roman" w:cs="Times New Roman" w:eastAsia="Times New Roman" w:hAnsi="Times New Roman"/>
          <w:sz w:val="18"/>
          <w:szCs w:val="18"/>
          <w:color w:val="auto"/>
        </w:rPr>
        <w:t>sponsored by the Company in the Master Trust. Investment income related to the Master Trust is allocated to the individual plans based upon daily balances invested in the Plan.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Fair values of Master Trust investments at December 31, 2013 and 2012 were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3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Small Cap Equities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41,005,467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31,567,294</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Mid Cap Equities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48,249,964</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32,420,071</w:t>
            </w: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Large Cap Equities</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157,422,699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122,443,659</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Small Cap Equities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6,039,532</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3,653,436</w:t>
            </w: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Large Cap Equities</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32,725,859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26,403,367</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Stable Asset Funds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100,787,143</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100,747,244</w:t>
            </w: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Allocation Funds</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122,908,658</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103,583,178</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Funds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17,729,392</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22,591,625</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3,579,365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3,223,982</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340,367,884</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251,938,375</w:t>
            </w:r>
          </w:p>
        </w:tc>
      </w:tr>
      <w:tr>
        <w:trPr>
          <w:trHeight w:val="250"/>
        </w:trPr>
        <w:tc>
          <w:tcPr>
            <w:tcW w:w="73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870,815,963</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698,572,231</w:t>
            </w:r>
          </w:p>
        </w:tc>
        <w:tc>
          <w:tcPr>
            <w:tcW w:w="100" w:type="dxa"/>
            <w:vAlign w:val="bottom"/>
            <w:tcBorders>
              <w:bottom w:val="single" w:sz="8" w:color="CCEEFF"/>
            </w:tcBorders>
          </w:tcPr>
          <w:p>
            <w:pPr>
              <w:spacing w:after="0"/>
              <w:rPr>
                <w:sz w:val="21"/>
                <w:szCs w:val="21"/>
                <w:color w:val="auto"/>
              </w:rPr>
            </w:pPr>
          </w:p>
        </w:tc>
      </w:tr>
      <w:tr>
        <w:trPr>
          <w:trHeight w:val="197"/>
        </w:trPr>
        <w:tc>
          <w:tcPr>
            <w:tcW w:w="7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Plan Interest in Master Trust</w:t>
            </w:r>
          </w:p>
        </w:tc>
        <w:tc>
          <w:tcPr>
            <w:tcW w:w="28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4,050,620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3,231,539</w:t>
            </w:r>
          </w:p>
        </w:tc>
      </w:tr>
    </w:tbl>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investment income (loss) for the Master Trust for the years ended December 31, 2013 and 2012 was as follows:</w:t>
      </w:r>
    </w:p>
    <w:p>
      <w:pPr>
        <w:sectPr>
          <w:pgSz w:w="11900" w:h="16838" w:orient="portrait"/>
          <w:cols w:equalWidth="0" w:num="1">
            <w:col w:w="11400"/>
          </w:cols>
          <w:pgMar w:left="240" w:top="121" w:right="259" w:bottom="0" w:gutter="0" w:footer="0" w:header="0"/>
        </w:sectPr>
      </w:pPr>
    </w:p>
    <w:bookmarkStart w:id="4" w:name="page5"/>
    <w:bookmarkEnd w:id="4"/>
    <w:tbl>
      <w:tblPr>
        <w:tblLayout w:type="fixed"/>
        <w:tblInd w:w="580" w:type="dxa"/>
        <w:tblCellMar>
          <w:top w:w="0" w:type="dxa"/>
          <w:left w:w="0" w:type="dxa"/>
          <w:bottom w:w="0" w:type="dxa"/>
          <w:right w:w="0" w:type="dxa"/>
        </w:tblCellMar>
      </w:tblPr>
      <w:tr>
        <w:trPr>
          <w:trHeight w:val="173"/>
        </w:trPr>
        <w:tc>
          <w:tcPr>
            <w:tcW w:w="73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realized and unrealized appreciation (depreciation) in fair value of investments: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U.S. Small Cap Equities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6,018,933</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1,902,305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 Mid Cap Equities</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8,956,708</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4,178,779</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U.S. Large Cap Equities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31,610,382</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17,735,527</w:t>
            </w:r>
          </w:p>
        </w:tc>
      </w:tr>
      <w:tr>
        <w:trPr>
          <w:trHeight w:val="216"/>
        </w:trPr>
        <w:tc>
          <w:tcPr>
            <w:tcW w:w="7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International Small Cap Equities</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899,630</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638,757</w:t>
            </w:r>
          </w:p>
        </w:tc>
      </w:tr>
      <w:tr>
        <w:trPr>
          <w:trHeight w:val="216"/>
        </w:trPr>
        <w:tc>
          <w:tcPr>
            <w:tcW w:w="7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International Large Cap Equities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5,054,117</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4,016,531</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Stable Asset Funds</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(523,992)</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2,032,319</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Allocation Funds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15,204,942</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10,452,064</w:t>
            </w:r>
          </w:p>
        </w:tc>
      </w:tr>
      <w:tr>
        <w:trPr>
          <w:trHeight w:val="216"/>
        </w:trPr>
        <w:tc>
          <w:tcPr>
            <w:tcW w:w="7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Fixed Income Funds</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(432,943)</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821,569</w:t>
            </w: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113,262,406</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78,850,074</w:t>
            </w: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appreciation</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180,050,183</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120,627,925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17,597,972</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9,210,911</w:t>
            </w: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197,648,155</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129,838,836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Master Trust categorizes its assets and liabilities into one of three levels based on the assumptions (inputs) used in valuing the asset or liability. Level 1 provides the most reliable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2013 and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 of fair value, while Level 3 generally requires significant management judgment. The three levels are defined as follows: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980" w:right="80" w:hanging="803"/>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Master Trust’s investments in small, mid, and large-cap equities, in the United States and internationally, as well as investments in Common Stock of the Company and money market funds are classified as Level 1 assets in the fair value hierarchy, while the Master Trust’s investments in stable asset, asset allocation, and fixed income funds are classified as Level 2 assets in the fair value hierarchy. Stable asset, asset allocation, and fixed income funds are valued at Net Asset Value (NAV), which is based on the fair value of the underlying securities owned by the fund and divided by the number of shares outstanding. The NAV unit price is quoted on a private market that is not active.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measured at fair value, as of December 31, 2013 and 2012 are summarized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5"/>
                <w:szCs w:val="15"/>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Small Cap Equities</w:t>
            </w:r>
          </w:p>
        </w:tc>
        <w:tc>
          <w:tcPr>
            <w:tcW w:w="5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41,005,467</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41,005,467</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Mid Cap Equities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48,249,964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48,249,964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Large Cap Equities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157,422,699</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157,422,699</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Small Cap Equities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6,039,532</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6,039,532</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Large Cap Equities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32,725,859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32,725,859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Stable Asset Funds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100,787,143</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100,787,143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Allocation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122,908,658</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122,908,658</w:t>
            </w:r>
          </w:p>
        </w:tc>
        <w:tc>
          <w:tcPr>
            <w:tcW w:w="280" w:type="dxa"/>
            <w:vAlign w:val="bottom"/>
          </w:tcPr>
          <w:p>
            <w:pPr>
              <w:spacing w:after="0"/>
              <w:rPr>
                <w:sz w:val="18"/>
                <w:szCs w:val="18"/>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Funds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17,729,392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17,729,392</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3,579,365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3,579,365</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340,367,884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340,367,884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0"/>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870,815,963</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629,390,770</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241,425,193</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2013 and 2012</w:t>
      </w:r>
    </w:p>
    <w:p>
      <w:pPr>
        <w:spacing w:after="0" w:line="219" w:lineRule="exact"/>
        <w:rPr>
          <w:sz w:val="20"/>
          <w:szCs w:val="20"/>
          <w:color w:val="auto"/>
        </w:rPr>
      </w:pPr>
    </w:p>
    <w:p>
      <w:pPr>
        <w:spacing w:after="0"/>
        <w:tabs>
          <w:tab w:leader="none" w:pos="5340" w:val="left"/>
          <w:tab w:leader="none" w:pos="7100" w:val="left"/>
          <w:tab w:leader="none" w:pos="8740" w:val="left"/>
          <w:tab w:leader="none" w:pos="10380" w:val="left"/>
        </w:tabs>
        <w:rPr>
          <w:sz w:val="20"/>
          <w:szCs w:val="20"/>
          <w:color w:val="auto"/>
        </w:rPr>
      </w:pPr>
      <w:r>
        <w:rPr>
          <w:rFonts w:ascii="Times New Roman" w:cs="Times New Roman" w:eastAsia="Times New Roman" w:hAnsi="Times New Roman"/>
          <w:sz w:val="14"/>
          <w:szCs w:val="14"/>
          <w:b w:val="1"/>
          <w:bCs w:val="1"/>
          <w:color w:val="auto"/>
        </w:rPr>
        <w:t>2012</w:t>
      </w:r>
      <w:r>
        <w:rPr>
          <w:sz w:val="20"/>
          <w:szCs w:val="20"/>
          <w:color w:val="auto"/>
        </w:rPr>
        <w:tab/>
      </w:r>
      <w:r>
        <w:rPr>
          <w:rFonts w:ascii="Times New Roman" w:cs="Times New Roman" w:eastAsia="Times New Roman" w:hAnsi="Times New Roman"/>
          <w:sz w:val="14"/>
          <w:szCs w:val="14"/>
          <w:b w:val="1"/>
          <w:bCs w:val="1"/>
          <w:color w:val="auto"/>
        </w:rPr>
        <w:t>Fair value</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4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4450"/>
                    </a:xfrm>
                    <a:prstGeom prst="rect">
                      <a:avLst/>
                    </a:prstGeom>
                    <a:noFill/>
                  </pic:spPr>
                </pic:pic>
              </a:graphicData>
            </a:graphic>
          </wp:anchor>
        </w:drawing>
      </w:r>
    </w:p>
    <w:p>
      <w:pPr>
        <w:sectPr>
          <w:pgSz w:w="11900" w:h="16838" w:orient="portrait"/>
          <w:cols w:equalWidth="0" w:num="1">
            <w:col w:w="11460"/>
          </w:cols>
          <w:pgMar w:left="240" w:top="331"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Small Cap Equities</w:t>
            </w:r>
          </w:p>
        </w:tc>
        <w:tc>
          <w:tcPr>
            <w:tcW w:w="15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31,567,294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31,567,294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Mid Cap Equities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32,420,071</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32,420,071</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Large Cap Equities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122,443,659</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122,443,659</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Small Cap Equities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3,653,436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3,653,436</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Large Cap Equities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26,403,367</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26,403,367</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Stable Asset Funds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100,747,244</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100,747,244</w:t>
            </w: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Allocation Funds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103,583,178</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103,583,178</w:t>
            </w:r>
          </w:p>
        </w:tc>
        <w:tc>
          <w:tcPr>
            <w:tcW w:w="280" w:type="dxa"/>
            <w:vAlign w:val="bottom"/>
          </w:tcPr>
          <w:p>
            <w:pPr>
              <w:spacing w:after="0"/>
              <w:rPr>
                <w:sz w:val="18"/>
                <w:szCs w:val="18"/>
                <w:color w:val="auto"/>
              </w:rPr>
            </w:pPr>
          </w:p>
        </w:tc>
        <w:tc>
          <w:tcPr>
            <w:tcW w:w="1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Funds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22,591,625</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22,591,625</w:t>
            </w:r>
          </w:p>
        </w:tc>
        <w:tc>
          <w:tcPr>
            <w:tcW w:w="14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3,223,982</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3,223,982</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251,938,375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251,938,375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698,572,231</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471,650,184</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226,922,047</w:t>
            </w:r>
          </w:p>
        </w:tc>
        <w:tc>
          <w:tcPr>
            <w:tcW w:w="280" w:type="dxa"/>
            <w:vAlign w:val="bottom"/>
          </w:tcPr>
          <w:p>
            <w:pPr>
              <w:spacing w:after="0"/>
              <w:rPr>
                <w:sz w:val="18"/>
                <w:szCs w:val="18"/>
                <w:color w:val="auto"/>
              </w:rPr>
            </w:pPr>
          </w:p>
        </w:tc>
        <w:tc>
          <w:tcPr>
            <w:tcW w:w="138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There were no transfers between Level 1 and Level 2 during the years ended December 31, 2013 and 2012.</w:t>
      </w:r>
    </w:p>
    <w:p>
      <w:pPr>
        <w:spacing w:after="0" w:line="225" w:lineRule="exact"/>
        <w:rPr>
          <w:sz w:val="20"/>
          <w:szCs w:val="20"/>
          <w:color w:val="auto"/>
        </w:rPr>
      </w:pPr>
    </w:p>
    <w:p>
      <w:pPr>
        <w:ind w:left="580" w:right="120"/>
        <w:spacing w:after="0" w:line="282" w:lineRule="auto"/>
        <w:rPr>
          <w:sz w:val="20"/>
          <w:szCs w:val="20"/>
          <w:color w:val="auto"/>
        </w:rPr>
      </w:pPr>
      <w:r>
        <w:rPr>
          <w:rFonts w:ascii="Times New Roman" w:cs="Times New Roman" w:eastAsia="Times New Roman" w:hAnsi="Times New Roman"/>
          <w:sz w:val="18"/>
          <w:szCs w:val="18"/>
          <w:color w:val="auto"/>
        </w:rPr>
        <w:t>The following presents investments in the Master Trust as of December 31, 2013 and 2012 that represent 5% or more of the Master Trust’s net assets in either year:</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Stable Value Fund 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100,787,143</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100,747,244</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Equity Income Fund</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52,289,678</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41,183,923</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Growth Fund of America</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72,780,357</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56,255,610</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340,367,884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251,938,375</w:t>
            </w:r>
          </w:p>
        </w:tc>
      </w:tr>
    </w:tbl>
    <w:p>
      <w:pPr>
        <w:spacing w:after="0" w:line="175"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Income Taxes</w:t>
      </w:r>
    </w:p>
    <w:p>
      <w:pPr>
        <w:spacing w:after="0" w:line="229" w:lineRule="exact"/>
        <w:rPr>
          <w:rFonts w:ascii="Times New Roman" w:cs="Times New Roman" w:eastAsia="Times New Roman" w:hAnsi="Times New Roman"/>
          <w:sz w:val="18"/>
          <w:szCs w:val="18"/>
          <w:b w:val="1"/>
          <w:bCs w:val="1"/>
          <w:color w:val="auto"/>
        </w:rPr>
      </w:pPr>
    </w:p>
    <w:p>
      <w:pPr>
        <w:ind w:left="58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Internal Revenue Service (IRS) has determined and informed the Company by a letter dated November 7, 2012, that the Plan and related trust are designed in accordance with applicable sections of the Internal Revenue Code (IRC). The Company, as the administrator of the Plan, believes that the Plan is designed and is currently being operated in compliance with the applicable requirements of the IRC and therefore believes that the Plan is qualified and the related trust is tax-exempt.</w:t>
      </w:r>
    </w:p>
    <w:p>
      <w:pPr>
        <w:spacing w:after="0" w:line="180" w:lineRule="exact"/>
        <w:rPr>
          <w:rFonts w:ascii="Times New Roman" w:cs="Times New Roman" w:eastAsia="Times New Roman" w:hAnsi="Times New Roman"/>
          <w:sz w:val="18"/>
          <w:szCs w:val="18"/>
          <w:b w:val="1"/>
          <w:bCs w:val="1"/>
          <w:color w:val="auto"/>
        </w:rPr>
      </w:pPr>
    </w:p>
    <w:p>
      <w:pPr>
        <w:ind w:left="580" w:righ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 GAAP requires the Plan’s sponsor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 The Company believes that the Plan is no longer subject to income tax examinations for years prior to 2009.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2013 and 2012</w:t>
      </w:r>
    </w:p>
    <w:p>
      <w:pPr>
        <w:spacing w:after="0" w:line="221" w:lineRule="exact"/>
        <w:rPr>
          <w:sz w:val="20"/>
          <w:szCs w:val="20"/>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Differences between these Financial Statements and the Financial Information Required on Form 5500: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10"/>
        </w:trPr>
        <w:tc>
          <w:tcPr>
            <w:tcW w:w="9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as presented in these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4,053,218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 at December 31, 2013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tcPr>
          <w:p>
            <w:pPr>
              <w:spacing w:after="0"/>
              <w:rPr>
                <w:sz w:val="18"/>
                <w:szCs w:val="18"/>
                <w:color w:val="auto"/>
              </w:rPr>
            </w:pPr>
          </w:p>
        </w:tc>
      </w:tr>
      <w:tr>
        <w:trPr>
          <w:trHeight w:val="210"/>
        </w:trPr>
        <w:tc>
          <w:tcPr>
            <w:tcW w:w="9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available for benefits as presented on Form 5500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4,055,171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9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10"/>
        </w:trPr>
        <w:tc>
          <w:tcPr>
            <w:tcW w:w="9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net assets available for benefits as presented in these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 at December 31, 2013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 at December 31, 2012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(10,079)</w:t>
            </w:r>
          </w:p>
        </w:tc>
      </w:tr>
      <w:tr>
        <w:trPr>
          <w:trHeight w:val="210"/>
        </w:trPr>
        <w:tc>
          <w:tcPr>
            <w:tcW w:w="9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net assets available for benefits as presented on Form 5500</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820,881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9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10"/>
        </w:trPr>
        <w:tc>
          <w:tcPr>
            <w:tcW w:w="9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as presented in these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 at December 31, 2012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10,079</w:t>
            </w:r>
          </w:p>
        </w:tc>
        <w:tc>
          <w:tcPr>
            <w:tcW w:w="80" w:type="dxa"/>
            <w:vAlign w:val="bottom"/>
          </w:tcPr>
          <w:p>
            <w:pPr>
              <w:spacing w:after="0"/>
              <w:rPr>
                <w:sz w:val="18"/>
                <w:szCs w:val="18"/>
                <w:color w:val="auto"/>
              </w:rPr>
            </w:pPr>
          </w:p>
        </w:tc>
      </w:tr>
      <w:tr>
        <w:trPr>
          <w:trHeight w:val="210"/>
        </w:trPr>
        <w:tc>
          <w:tcPr>
            <w:tcW w:w="9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available for benefits as presented on Form 5500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3,234,290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9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10"/>
        </w:trPr>
        <w:tc>
          <w:tcPr>
            <w:tcW w:w="9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net assets available for benefits as presented in these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 at December 31, 2012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10,079</w:t>
            </w:r>
          </w:p>
        </w:tc>
        <w:tc>
          <w:tcPr>
            <w:tcW w:w="8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 at December 31, 2011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(11,085)</w:t>
            </w:r>
          </w:p>
        </w:tc>
      </w:tr>
      <w:tr>
        <w:trPr>
          <w:trHeight w:val="210"/>
        </w:trPr>
        <w:tc>
          <w:tcPr>
            <w:tcW w:w="9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net assets available for benefits as presented on Form 5500</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ectPr>
          <w:pgSz w:w="11900" w:h="16838" w:orient="portrait"/>
          <w:cols w:equalWidth="0" w:num="1">
            <w:col w:w="11420"/>
          </w:cols>
          <w:pgMar w:left="240" w:top="140" w:right="239" w:bottom="27" w:gutter="0" w:footer="0" w:header="0"/>
        </w:sectPr>
      </w:pPr>
    </w:p>
    <w:bookmarkStart w:id="6" w:name="page7"/>
    <w:bookmarkEnd w:id="6"/>
    <w:p>
      <w:pPr>
        <w:ind w:left="580" w:right="160"/>
        <w:spacing w:after="0" w:line="282" w:lineRule="auto"/>
        <w:rPr>
          <w:sz w:val="20"/>
          <w:szCs w:val="20"/>
          <w:color w:val="auto"/>
        </w:rPr>
      </w:pPr>
      <w:r>
        <w:rPr>
          <w:rFonts w:ascii="Times New Roman" w:cs="Times New Roman" w:eastAsia="Times New Roman" w:hAnsi="Times New Roman"/>
          <w:sz w:val="18"/>
          <w:szCs w:val="18"/>
          <w:color w:val="auto"/>
        </w:rPr>
        <w:t>The Company evaluated all subsequent events and concluded that no subsequent events have occurred that would require recognition in the financial statements or disclosure in the notes to the financial statements.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200" w:right="260" w:hanging="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78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The Toro Company Profit-Sharing Plan for</w:t>
            </w:r>
          </w:p>
        </w:tc>
        <w:tc>
          <w:tcPr>
            <w:tcW w:w="4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Plymouth Union Employees</w:t>
            </w:r>
          </w:p>
        </w:tc>
        <w:tc>
          <w:tcPr>
            <w:tcW w:w="40" w:type="dxa"/>
            <w:vAlign w:val="bottom"/>
          </w:tcPr>
          <w:p>
            <w:pPr>
              <w:spacing w:after="0"/>
              <w:rPr>
                <w:sz w:val="20"/>
                <w:szCs w:val="20"/>
                <w:color w:val="auto"/>
              </w:rPr>
            </w:pP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2014</w:t>
            </w:r>
          </w:p>
        </w:tc>
        <w:tc>
          <w:tcPr>
            <w:tcW w:w="78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Renee J. Peterson</w:t>
            </w:r>
          </w:p>
        </w:tc>
        <w:tc>
          <w:tcPr>
            <w:tcW w:w="40" w:type="dxa"/>
            <w:vAlign w:val="bottom"/>
          </w:tcPr>
          <w:p>
            <w:pPr>
              <w:spacing w:after="0"/>
              <w:rPr>
                <w:sz w:val="24"/>
                <w:szCs w:val="24"/>
                <w:color w:val="auto"/>
              </w:rPr>
            </w:pPr>
          </w:p>
        </w:tc>
      </w:tr>
      <w:tr>
        <w:trPr>
          <w:trHeight w:val="178"/>
        </w:trPr>
        <w:tc>
          <w:tcPr>
            <w:tcW w:w="3540" w:type="dxa"/>
            <w:vAlign w:val="bottom"/>
          </w:tcPr>
          <w:p>
            <w:pPr>
              <w:spacing w:after="0"/>
              <w:rPr>
                <w:sz w:val="15"/>
                <w:szCs w:val="15"/>
                <w:color w:val="auto"/>
              </w:rPr>
            </w:pPr>
          </w:p>
        </w:tc>
        <w:tc>
          <w:tcPr>
            <w:tcW w:w="2560" w:type="dxa"/>
            <w:vAlign w:val="bottom"/>
          </w:tcPr>
          <w:p>
            <w:pPr>
              <w:ind w:left="2180"/>
              <w:spacing w:after="0" w:line="178" w:lineRule="exact"/>
              <w:rPr>
                <w:sz w:val="20"/>
                <w:szCs w:val="20"/>
                <w:color w:val="auto"/>
              </w:rPr>
            </w:pPr>
            <w:r>
              <w:rPr>
                <w:rFonts w:ascii="Times New Roman" w:cs="Times New Roman" w:eastAsia="Times New Roman" w:hAnsi="Times New Roman"/>
                <w:sz w:val="18"/>
                <w:szCs w:val="18"/>
                <w:color w:val="auto"/>
                <w:w w:val="79"/>
              </w:rPr>
              <w:t>Renee</w:t>
            </w:r>
          </w:p>
        </w:tc>
        <w:tc>
          <w:tcPr>
            <w:tcW w:w="5320" w:type="dxa"/>
            <w:vAlign w:val="bottom"/>
            <w:tcBorders>
              <w:top w:val="single" w:sz="8" w:color="auto"/>
            </w:tcBorders>
          </w:tcPr>
          <w:p>
            <w:pPr>
              <w:ind w:left="120"/>
              <w:spacing w:after="0" w:line="178" w:lineRule="exact"/>
              <w:rPr>
                <w:sz w:val="20"/>
                <w:szCs w:val="20"/>
                <w:color w:val="auto"/>
              </w:rPr>
            </w:pPr>
            <w:r>
              <w:rPr>
                <w:rFonts w:ascii="Times New Roman" w:cs="Times New Roman" w:eastAsia="Times New Roman" w:hAnsi="Times New Roman"/>
                <w:sz w:val="18"/>
                <w:szCs w:val="18"/>
                <w:color w:val="auto"/>
              </w:rPr>
              <w:t>J. Peterson</w:t>
            </w:r>
          </w:p>
        </w:tc>
        <w:tc>
          <w:tcPr>
            <w:tcW w:w="40" w:type="dxa"/>
            <w:vAlign w:val="bottom"/>
          </w:tcPr>
          <w:p>
            <w:pPr>
              <w:spacing w:after="0"/>
              <w:rPr>
                <w:sz w:val="15"/>
                <w:szCs w:val="15"/>
                <w:color w:val="auto"/>
              </w:rPr>
            </w:pP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Vice President, Treasurer and</w:t>
            </w:r>
          </w:p>
        </w:tc>
        <w:tc>
          <w:tcPr>
            <w:tcW w:w="4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of The Toro Company</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11</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1)"/>
      <w:numFmt w:val="decimal"/>
      <w:start w:val="7"/>
    </w:lvl>
  </w:abstractNum>
  <w:abstractNum w:abstractNumId="9">
    <w:nsid w:val="4DB127F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2019-12-05T20:14:56Z</dcterms:created>
  <dcterms:modified xsi:type="dcterms:W3CDTF">2019-12-05T20:14:56Z</dcterms:modified>
</cp:coreProperties>
</file>