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Stinson Mark B</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12/08/2009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543" w:type="dxa"/>
        <w:tblCellMar>
          <w:top w:w="0" w:type="dxa"/>
          <w:left w:w="0" w:type="dxa"/>
          <w:bottom w:w="0" w:type="dxa"/>
          <w:right w:w="0" w:type="dxa"/>
        </w:tblCellMar>
      </w:tblPr>
      <w:tr>
        <w:trPr>
          <w:trHeight w:val="16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spacing w:after="0"/>
              <w:rPr>
                <w:sz w:val="14"/>
                <w:szCs w:val="14"/>
                <w:color w:val="auto"/>
              </w:rPr>
            </w:pP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GM, Exmark</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12/08/2009</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4"/>
                <w:szCs w:val="14"/>
                <w:color w:val="0000FF"/>
                <w:w w:val="85"/>
              </w:rPr>
              <w:t>A</w:t>
            </w:r>
          </w:p>
        </w:tc>
        <w:tc>
          <w:tcPr>
            <w:tcW w:w="760" w:type="dxa"/>
            <w:vAlign w:val="bottom"/>
            <w:tcBorders>
              <w:bottom w:val="single" w:sz="8" w:color="2C2C2C"/>
            </w:tcBorders>
          </w:tcPr>
          <w:p>
            <w:pPr>
              <w:jc w:val="center"/>
              <w:ind w:right="52"/>
              <w:spacing w:after="0"/>
              <w:rPr>
                <w:sz w:val="20"/>
                <w:szCs w:val="20"/>
                <w:color w:val="auto"/>
              </w:rPr>
            </w:pPr>
            <w:r>
              <w:rPr>
                <w:rFonts w:ascii="Arial" w:cs="Arial" w:eastAsia="Arial" w:hAnsi="Arial"/>
                <w:sz w:val="18"/>
                <w:szCs w:val="18"/>
                <w:color w:val="0000FF"/>
              </w:rPr>
              <w:t>585</w:t>
            </w:r>
            <w:r>
              <w:rPr>
                <w:rFonts w:ascii="Arial" w:cs="Arial" w:eastAsia="Arial" w:hAnsi="Arial"/>
                <w:sz w:val="22"/>
                <w:szCs w:val="22"/>
                <w:color w:val="008000"/>
                <w:vertAlign w:val="superscript"/>
              </w:rPr>
              <w:t>(1)</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tcPr>
          <w:p>
            <w:pPr>
              <w:jc w:val="center"/>
              <w:ind w:right="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4"/>
              </w:rPr>
              <w:t>8,600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00" w:type="dxa"/>
            <w:vAlign w:val="bottom"/>
            <w:gridSpan w:val="2"/>
          </w:tcPr>
          <w:p>
            <w:pPr>
              <w:ind w:left="660"/>
              <w:spacing w:after="0"/>
              <w:rPr>
                <w:sz w:val="20"/>
                <w:szCs w:val="20"/>
                <w:color w:val="auto"/>
              </w:rPr>
            </w:pPr>
            <w:r>
              <w:rPr>
                <w:rFonts w:ascii="Arial" w:cs="Arial" w:eastAsia="Arial" w:hAnsi="Arial"/>
                <w:sz w:val="18"/>
                <w:szCs w:val="18"/>
                <w:color w:val="0000FF"/>
              </w:rPr>
              <w:t>12/08/2009</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jc w:val="center"/>
              <w:ind w:right="298"/>
              <w:spacing w:after="0"/>
              <w:rPr>
                <w:sz w:val="20"/>
                <w:szCs w:val="20"/>
                <w:color w:val="auto"/>
              </w:rPr>
            </w:pPr>
            <w:r>
              <w:rPr>
                <w:rFonts w:ascii="Arial" w:cs="Arial" w:eastAsia="Arial" w:hAnsi="Arial"/>
                <w:sz w:val="14"/>
                <w:szCs w:val="14"/>
                <w:color w:val="0000FF"/>
                <w:w w:val="92"/>
              </w:rPr>
              <w:t>F</w:t>
            </w:r>
          </w:p>
        </w:tc>
        <w:tc>
          <w:tcPr>
            <w:tcW w:w="760" w:type="dxa"/>
            <w:vAlign w:val="bottom"/>
          </w:tcPr>
          <w:p>
            <w:pPr>
              <w:jc w:val="right"/>
              <w:ind w:right="152"/>
              <w:spacing w:after="0"/>
              <w:rPr>
                <w:sz w:val="20"/>
                <w:szCs w:val="20"/>
                <w:color w:val="auto"/>
              </w:rPr>
            </w:pPr>
            <w:r>
              <w:rPr>
                <w:rFonts w:ascii="Arial" w:cs="Arial" w:eastAsia="Arial" w:hAnsi="Arial"/>
                <w:sz w:val="18"/>
                <w:szCs w:val="18"/>
                <w:color w:val="0000FF"/>
              </w:rPr>
              <w:t>183</w:t>
            </w:r>
          </w:p>
        </w:tc>
        <w:tc>
          <w:tcPr>
            <w:tcW w:w="500" w:type="dxa"/>
            <w:vAlign w:val="bottom"/>
          </w:tcPr>
          <w:p>
            <w:pPr>
              <w:ind w:left="26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39.67</w:t>
            </w:r>
          </w:p>
        </w:tc>
        <w:tc>
          <w:tcPr>
            <w:tcW w:w="1320" w:type="dxa"/>
            <w:vAlign w:val="bottom"/>
            <w:gridSpan w:val="3"/>
          </w:tcPr>
          <w:p>
            <w:pPr>
              <w:jc w:val="center"/>
              <w:spacing w:after="0"/>
              <w:rPr>
                <w:sz w:val="20"/>
                <w:szCs w:val="20"/>
                <w:color w:val="auto"/>
              </w:rPr>
            </w:pPr>
            <w:r>
              <w:rPr>
                <w:rFonts w:ascii="Arial" w:cs="Arial" w:eastAsia="Arial" w:hAnsi="Arial"/>
                <w:sz w:val="18"/>
                <w:szCs w:val="18"/>
                <w:color w:val="0000FF"/>
                <w:w w:val="84"/>
              </w:rPr>
              <w:t>8,417</w:t>
            </w:r>
          </w:p>
        </w:tc>
        <w:tc>
          <w:tcPr>
            <w:tcW w:w="30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3"/>
          </w:tcPr>
          <w:p>
            <w:pPr>
              <w:jc w:val="center"/>
              <w:spacing w:after="0"/>
              <w:rPr>
                <w:sz w:val="20"/>
                <w:szCs w:val="20"/>
                <w:color w:val="auto"/>
              </w:rPr>
            </w:pPr>
            <w:r>
              <w:rPr>
                <w:rFonts w:ascii="Arial" w:cs="Arial" w:eastAsia="Arial" w:hAnsi="Arial"/>
                <w:sz w:val="18"/>
                <w:szCs w:val="18"/>
                <w:color w:val="0000FF"/>
                <w:w w:val="89"/>
              </w:rPr>
              <w:t>957.945</w:t>
            </w:r>
          </w:p>
        </w:tc>
        <w:tc>
          <w:tcPr>
            <w:tcW w:w="30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9"/>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2"/>
          </w:tcPr>
          <w:p>
            <w:pPr>
              <w:jc w:val="center"/>
              <w:ind w:left="8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0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4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payout of Performance Share Awards for the Fiscal 2007 to Fiscal 2009 Performance Period under The Toro Company Performance Share Plan (the "PSP"), as approved by the registrant's Compensation &amp; Human Resources Committee of its Board of Directors and conditioned upon and subject to confirmation by the registrant's Fiscal 2009 financial results released on December 8, 2009. Performance Share Awards are paid in Shares of Common Stock under the PSP.</w:t>
      </w:r>
    </w:p>
    <w:p>
      <w:pPr>
        <w:spacing w:after="0" w:line="17"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Amy E. Dahl,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12/10/2009</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1108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2019-12-16T23:51:07Z</dcterms:created>
  <dcterms:modified xsi:type="dcterms:W3CDTF">2019-12-16T23:51:07Z</dcterms:modified>
</cp:coreProperties>
</file>