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042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0427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HOFFMAN MICHAEL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06/26/2014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Chairman, Pres. &amp; CEO</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5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940" w:type="dxa"/>
            <w:vAlign w:val="bottom"/>
            <w:gridSpan w:val="6"/>
            <w:vMerge w:val="restart"/>
          </w:tcPr>
          <w:p>
            <w:pPr>
              <w:ind w:left="58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560" w:type="dxa"/>
            <w:vAlign w:val="bottom"/>
            <w:gridSpan w:val="5"/>
            <w:vMerge w:val="continue"/>
          </w:tcPr>
          <w:p>
            <w:pPr>
              <w:spacing w:after="0"/>
              <w:rPr>
                <w:sz w:val="11"/>
                <w:szCs w:val="11"/>
                <w:color w:val="auto"/>
              </w:rPr>
            </w:pPr>
          </w:p>
        </w:tc>
        <w:tc>
          <w:tcPr>
            <w:tcW w:w="394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80" w:type="dxa"/>
            <w:vAlign w:val="bottom"/>
            <w:gridSpan w:val="3"/>
          </w:tcPr>
          <w:p>
            <w:pPr>
              <w:ind w:left="580"/>
              <w:spacing w:after="0"/>
              <w:rPr>
                <w:sz w:val="20"/>
                <w:szCs w:val="20"/>
                <w:color w:val="auto"/>
              </w:rPr>
            </w:pPr>
            <w:r>
              <w:rPr>
                <w:rFonts w:ascii="Arial" w:cs="Arial" w:eastAsia="Arial" w:hAnsi="Arial"/>
                <w:sz w:val="13"/>
                <w:szCs w:val="13"/>
                <w:color w:val="auto"/>
              </w:rPr>
              <w:t>Line)</w:t>
            </w: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820" w:type="dxa"/>
            <w:vAlign w:val="bottom"/>
          </w:tcPr>
          <w:p>
            <w:pPr>
              <w:jc w:val="right"/>
              <w:ind w:right="305"/>
              <w:spacing w:after="0"/>
              <w:rPr>
                <w:sz w:val="20"/>
                <w:szCs w:val="20"/>
                <w:color w:val="auto"/>
              </w:rPr>
            </w:pPr>
            <w:r>
              <w:rPr>
                <w:rFonts w:ascii="Arial" w:cs="Arial" w:eastAsia="Arial" w:hAnsi="Arial"/>
                <w:sz w:val="17"/>
                <w:szCs w:val="17"/>
                <w:color w:val="0000FF"/>
              </w:rPr>
              <w:t>55420-1196</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0" w:type="dxa"/>
            <w:vAlign w:val="bottom"/>
            <w:gridSpan w:val="5"/>
          </w:tcPr>
          <w:p>
            <w:pPr>
              <w:ind w:left="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160" w:type="dxa"/>
            <w:vAlign w:val="bottom"/>
            <w:gridSpan w:val="4"/>
            <w:vMerge w:val="restart"/>
          </w:tcPr>
          <w:p>
            <w:pPr>
              <w:ind w:left="34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16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20" w:type="dxa"/>
            <w:vAlign w:val="bottom"/>
            <w:vMerge w:val="restart"/>
          </w:tcPr>
          <w:p>
            <w:pPr>
              <w:ind w:left="120"/>
              <w:spacing w:after="0"/>
              <w:rPr>
                <w:sz w:val="20"/>
                <w:szCs w:val="20"/>
                <w:color w:val="auto"/>
              </w:rPr>
            </w:pPr>
            <w:r>
              <w:rPr>
                <w:rFonts w:ascii="Arial" w:cs="Arial" w:eastAsia="Arial" w:hAnsi="Arial"/>
                <w:sz w:val="13"/>
                <w:szCs w:val="13"/>
                <w:color w:val="auto"/>
              </w:rPr>
              <w:t>(State)</w:t>
            </w:r>
          </w:p>
        </w:tc>
        <w:tc>
          <w:tcPr>
            <w:tcW w:w="2080" w:type="dxa"/>
            <w:vAlign w:val="bottom"/>
            <w:gridSpan w:val="2"/>
            <w:vMerge w:val="restart"/>
          </w:tcPr>
          <w:p>
            <w:pPr>
              <w:ind w:left="58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8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4340" w:type="dxa"/>
            <w:vAlign w:val="bottom"/>
            <w:tcBorders>
              <w:bottom w:val="single" w:sz="8" w:color="2C2C2C"/>
            </w:tcBorders>
            <w:gridSpan w:val="7"/>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360" w:type="dxa"/>
            <w:vAlign w:val="bottom"/>
            <w:tcBorders>
              <w:top w:val="single" w:sz="8" w:color="2C2C2C"/>
            </w:tcBorders>
            <w:gridSpan w:val="9"/>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0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80" w:type="dxa"/>
            <w:vAlign w:val="bottom"/>
            <w:gridSpan w:val="2"/>
          </w:tcPr>
          <w:p>
            <w:pPr>
              <w:ind w:left="10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80" w:type="dxa"/>
            <w:vAlign w:val="bottom"/>
            <w:gridSpan w:val="2"/>
          </w:tcPr>
          <w:p>
            <w:pPr>
              <w:ind w:left="10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80" w:type="dxa"/>
            <w:vAlign w:val="bottom"/>
            <w:gridSpan w:val="2"/>
          </w:tcPr>
          <w:p>
            <w:pPr>
              <w:ind w:left="102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0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080" w:type="dxa"/>
            <w:vAlign w:val="bottom"/>
            <w:tcBorders>
              <w:bottom w:val="single" w:sz="8" w:color="2C2C2C"/>
            </w:tcBorders>
            <w:gridSpan w:val="2"/>
          </w:tcPr>
          <w:p>
            <w:pPr>
              <w:jc w:val="right"/>
              <w:ind w:right="93"/>
              <w:spacing w:after="0"/>
              <w:rPr>
                <w:sz w:val="20"/>
                <w:szCs w:val="20"/>
                <w:color w:val="auto"/>
              </w:rPr>
            </w:pPr>
            <w:r>
              <w:rPr>
                <w:rFonts w:ascii="Arial" w:cs="Arial" w:eastAsia="Arial" w:hAnsi="Arial"/>
                <w:sz w:val="17"/>
                <w:szCs w:val="17"/>
                <w:color w:val="0000FF"/>
              </w:rPr>
              <w:t>06/26/2014</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80,000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tcPr>
          <w:p>
            <w:pPr>
              <w:jc w:val="center"/>
              <w:ind w:right="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18.51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609,758.234</w:t>
            </w:r>
            <w:r>
              <w:rPr>
                <w:rFonts w:ascii="Arial" w:cs="Arial" w:eastAsia="Arial" w:hAnsi="Arial"/>
                <w:sz w:val="22"/>
                <w:szCs w:val="22"/>
                <w:color w:val="008000"/>
                <w:w w:val="88"/>
                <w:vertAlign w:val="superscript"/>
              </w:rPr>
              <w:t>(1)</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080" w:type="dxa"/>
            <w:vAlign w:val="bottom"/>
            <w:tcBorders>
              <w:bottom w:val="single" w:sz="8" w:color="2C2C2C"/>
            </w:tcBorders>
            <w:gridSpan w:val="2"/>
          </w:tcPr>
          <w:p>
            <w:pPr>
              <w:jc w:val="right"/>
              <w:ind w:right="93"/>
              <w:spacing w:after="0"/>
              <w:rPr>
                <w:sz w:val="20"/>
                <w:szCs w:val="20"/>
                <w:color w:val="auto"/>
              </w:rPr>
            </w:pPr>
            <w:r>
              <w:rPr>
                <w:rFonts w:ascii="Arial" w:cs="Arial" w:eastAsia="Arial" w:hAnsi="Arial"/>
                <w:sz w:val="17"/>
                <w:szCs w:val="17"/>
                <w:color w:val="0000FF"/>
              </w:rPr>
              <w:t>06/26/2014</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80,000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62.669</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529,758.234</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Held by</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Michael J.</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Hoffman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8"/>
              </w:rPr>
              <w:t>121,769.862</w:t>
            </w:r>
            <w:r>
              <w:rPr>
                <w:rFonts w:ascii="Arial" w:cs="Arial" w:eastAsia="Arial" w:hAnsi="Arial"/>
                <w:sz w:val="22"/>
                <w:szCs w:val="22"/>
                <w:color w:val="008000"/>
                <w:w w:val="88"/>
                <w:vertAlign w:val="superscript"/>
              </w:rPr>
              <w:t>(3)</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Irrevocable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Lifetime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Family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Trust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The Toro</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Company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9"/>
              </w:rPr>
              <w:t>65,984.111</w:t>
            </w:r>
            <w:r>
              <w:rPr>
                <w:rFonts w:ascii="Arial" w:cs="Arial" w:eastAsia="Arial" w:hAnsi="Arial"/>
                <w:sz w:val="22"/>
                <w:szCs w:val="22"/>
                <w:color w:val="008000"/>
                <w:w w:val="89"/>
                <w:vertAlign w:val="superscript"/>
              </w:rPr>
              <w:t>(4)</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Investment,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Savings &amp;</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ESOP</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4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18.51</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06/26/2014</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80,000</w:t>
            </w: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12/02/2014</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80,000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1,107.467 shares of common stock acquired by the reporting person under The Toro Company Dividend Reinvestment Plan (the "DRIP") since the date of his last report.</w:t>
      </w:r>
    </w:p>
    <w:p>
      <w:pPr>
        <w:spacing w:after="0" w:line="51" w:lineRule="exact"/>
        <w:rPr>
          <w:rFonts w:ascii="Arial" w:cs="Arial" w:eastAsia="Arial" w:hAnsi="Arial"/>
          <w:sz w:val="13"/>
          <w:szCs w:val="13"/>
          <w:color w:val="008000"/>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$62.39 to $63.25,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387.836 shares of common stock acquired by the reporting person under the DRIP since the date of his last report.</w:t>
      </w:r>
    </w:p>
    <w:p>
      <w:pPr>
        <w:spacing w:after="0" w:line="51" w:lineRule="exact"/>
        <w:rPr>
          <w:rFonts w:ascii="Arial" w:cs="Arial" w:eastAsia="Arial" w:hAnsi="Arial"/>
          <w:sz w:val="13"/>
          <w:szCs w:val="13"/>
          <w:color w:val="008000"/>
        </w:rPr>
      </w:pPr>
    </w:p>
    <w:p>
      <w:pPr>
        <w:ind w:left="40" w:right="38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208.693 net shares acquired under the dividend reinvestment feature of The Toro Company Investment, Savings &amp; ESOP ("IS&amp;ESOP") less quarterly non-discretionary administrative fees; and 58.661 shares acquired through issuer annual investment fund contributions to the IS&amp;ESOP.</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2, 2004.</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06/30/2014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2019-12-17T03:01:34Z</dcterms:created>
  <dcterms:modified xsi:type="dcterms:W3CDTF">2019-12-17T03:01:34Z</dcterms:modified>
</cp:coreProperties>
</file>