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20, 2015</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60"/>
          </w:cols>
          <w:pgMar w:left="240" w:top="538" w:right="199" w:bottom="208" w:gutter="0" w:footer="0" w:header="0"/>
        </w:sectPr>
      </w:pPr>
    </w:p>
    <w:p>
      <w:pPr>
        <w:spacing w:after="0" w:line="20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38" w:right="199" w:bottom="208" w:gutter="0" w:footer="0" w:header="0"/>
          <w:type w:val="continuous"/>
        </w:sectPr>
      </w:pPr>
    </w:p>
    <w:p>
      <w:pPr>
        <w:spacing w:after="0" w:line="14"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31" w:lineRule="exact"/>
        <w:rPr>
          <w:sz w:val="24"/>
          <w:szCs w:val="24"/>
          <w:color w:val="auto"/>
        </w:rPr>
      </w:pPr>
    </w:p>
    <w:p>
      <w:pPr>
        <w:jc w:val="center"/>
        <w:ind w:right="28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120" w:space="720"/>
            <w:col w:w="3620"/>
          </w:cols>
          <w:pgMar w:left="240" w:top="538" w:right="199" w:bottom="208"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20, 2015, The Toro Company announced its earnings for the three and nine months ended July 31, 2015.</w:t>
      </w:r>
    </w:p>
    <w:p>
      <w:pPr>
        <w:spacing w:after="0" w:line="225" w:lineRule="exact"/>
        <w:rPr>
          <w:sz w:val="24"/>
          <w:szCs w:val="24"/>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1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5"/>
                <w:szCs w:val="15"/>
                <w:color w:val="auto"/>
              </w:rPr>
            </w:pPr>
          </w:p>
        </w:tc>
        <w:tc>
          <w:tcPr>
            <w:tcW w:w="7760" w:type="dxa"/>
            <w:vAlign w:val="bottom"/>
          </w:tcPr>
          <w:p>
            <w:pPr>
              <w:jc w:val="right"/>
              <w:ind w:right="343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r>
      <w:tr>
        <w:trPr>
          <w:trHeight w:val="228"/>
        </w:trPr>
        <w:tc>
          <w:tcPr>
            <w:tcW w:w="660" w:type="dxa"/>
            <w:vAlign w:val="bottom"/>
          </w:tcPr>
          <w:p>
            <w:pPr>
              <w:spacing w:after="0"/>
              <w:rPr>
                <w:sz w:val="19"/>
                <w:szCs w:val="19"/>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9"/>
                <w:szCs w:val="19"/>
                <w:color w:val="auto"/>
              </w:rPr>
            </w:pPr>
          </w:p>
        </w:tc>
        <w:tc>
          <w:tcPr>
            <w:tcW w:w="7760" w:type="dxa"/>
            <w:vAlign w:val="bottom"/>
            <w:tcBorders>
              <w:top w:val="single" w:sz="8" w:color="auto"/>
            </w:tcBorders>
          </w:tcPr>
          <w:p>
            <w:pPr>
              <w:jc w:val="right"/>
              <w:ind w:right="3519"/>
              <w:spacing w:after="0"/>
              <w:rPr>
                <w:sz w:val="20"/>
                <w:szCs w:val="20"/>
                <w:color w:val="auto"/>
              </w:rPr>
            </w:pPr>
            <w:r>
              <w:rPr>
                <w:rFonts w:ascii="Times New Roman" w:cs="Times New Roman" w:eastAsia="Times New Roman" w:hAnsi="Times New Roman"/>
                <w:sz w:val="18"/>
                <w:szCs w:val="18"/>
                <w:color w:val="auto"/>
                <w:w w:val="99"/>
              </w:rPr>
              <w:t>Press release dated August 20, 2015 (furnished herewith).</w:t>
            </w:r>
          </w:p>
        </w:tc>
        <w:tc>
          <w:tcPr>
            <w:tcW w:w="2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80" w:type="dxa"/>
            <w:vAlign w:val="bottom"/>
            <w:gridSpan w:val="2"/>
          </w:tcPr>
          <w:p>
            <w:pPr>
              <w:jc w:val="right"/>
              <w:ind w:right="5419"/>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208"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3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THE TORO COMPANY</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20, 2015</w:t>
            </w:r>
          </w:p>
        </w:tc>
        <w:tc>
          <w:tcPr>
            <w:tcW w:w="93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By  /s/ Renee J. Peterson</w:t>
            </w:r>
          </w:p>
        </w:tc>
        <w:tc>
          <w:tcPr>
            <w:tcW w:w="4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0" w:type="dxa"/>
            <w:vAlign w:val="bottom"/>
          </w:tcPr>
          <w:p>
            <w:pPr>
              <w:ind w:left="3640"/>
              <w:spacing w:after="0" w:line="178" w:lineRule="exact"/>
              <w:rPr>
                <w:sz w:val="20"/>
                <w:szCs w:val="20"/>
                <w:color w:val="auto"/>
              </w:rPr>
            </w:pPr>
            <w:r>
              <w:rPr>
                <w:rFonts w:ascii="Times New Roman" w:cs="Times New Roman" w:eastAsia="Times New Roman" w:hAnsi="Times New Roman"/>
                <w:sz w:val="18"/>
                <w:szCs w:val="18"/>
                <w:color w:val="auto"/>
                <w:w w:val="75"/>
              </w:rPr>
              <w:t>Renee</w:t>
            </w:r>
          </w:p>
        </w:tc>
        <w:tc>
          <w:tcPr>
            <w:tcW w:w="534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8"/>
                <w:szCs w:val="18"/>
                <w:color w:val="auto"/>
              </w:rPr>
              <w:t>J. Peterson</w:t>
            </w:r>
          </w:p>
        </w:tc>
        <w:tc>
          <w:tcPr>
            <w:tcW w:w="4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40" w:type="dxa"/>
            <w:vAlign w:val="bottom"/>
            <w:gridSpan w:val="2"/>
          </w:tcPr>
          <w:p>
            <w:pPr>
              <w:ind w:left="3640"/>
              <w:spacing w:after="0"/>
              <w:rPr>
                <w:sz w:val="20"/>
                <w:szCs w:val="20"/>
                <w:color w:val="auto"/>
              </w:rPr>
            </w:pPr>
            <w:r>
              <w:rPr>
                <w:rFonts w:ascii="Times New Roman" w:cs="Times New Roman" w:eastAsia="Times New Roman" w:hAnsi="Times New Roman"/>
                <w:sz w:val="18"/>
                <w:szCs w:val="18"/>
                <w:color w:val="auto"/>
              </w:rPr>
              <w:t>Vice President, Treasurer and 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4</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34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0" w:type="dxa"/>
            <w:vAlign w:val="bottom"/>
          </w:tcPr>
          <w:p>
            <w:pPr>
              <w:spacing w:after="0"/>
              <w:rPr>
                <w:sz w:val="24"/>
                <w:szCs w:val="24"/>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19"/>
                <w:szCs w:val="19"/>
                <w:color w:val="auto"/>
              </w:rPr>
            </w:pPr>
          </w:p>
        </w:tc>
        <w:tc>
          <w:tcPr>
            <w:tcW w:w="9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Press release dated August 20, 2015 (furnished herewith).</w:t>
            </w:r>
          </w:p>
        </w:tc>
        <w:tc>
          <w:tcPr>
            <w:tcW w:w="4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0" w:type="dxa"/>
            <w:vAlign w:val="bottom"/>
          </w:tcPr>
          <w:p>
            <w:pPr>
              <w:ind w:left="3580"/>
              <w:spacing w:after="0"/>
              <w:rPr>
                <w:sz w:val="20"/>
                <w:szCs w:val="20"/>
                <w:color w:val="auto"/>
              </w:rPr>
            </w:pPr>
            <w:r>
              <w:rPr>
                <w:rFonts w:ascii="Times New Roman" w:cs="Times New Roman" w:eastAsia="Times New Roman" w:hAnsi="Times New Roman"/>
                <w:sz w:val="18"/>
                <w:szCs w:val="18"/>
                <w:color w:val="auto"/>
              </w:rPr>
              <w:t>5</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07188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Hille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(952) 887-8923, heather.hille@toro.com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Branden Happel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(952) 887-8930, branden.happel@toro.com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Reports Record Third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sales increase 7.4 percent to a record $609.6 million driven by increased demand for professional segment products</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earnings per share increase 8.0 percent to a record $0.94</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raises full year outlook</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BLOOMINGTON, Minn. (August 20, 2015) — The Toro Company (NYSE: TTC) today reported net earnings of $53.3 million, or $0.94 per share, on a net sales increase of 7.4 percent to $609.6 million for its fiscal third quarter ended July 31, 2015. In the comparable fiscal 2014 period, the company delivered net earnings of $50 million, or $0.87 per share, on net sales of $567.5 million.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“Favorable summer growing conditions, particularly in our domestic markets, coupled with the success of new product introductions drove increased retail sales for the quarter,” said Michael J. Hoffman, Toro’s chairman and chief executive officer. “On behalf of our global team, we are pleased to deliver record third quarter results as we benefit from the growth provided by the recent acquisition of the BOSS® line of snow and ice management products as well as ongoing demand for our Toro® and Exmark® branded landscape contractor equipment. We also saw strong growth in our specialty construction business and consistent performance in our residential segment, driven by solid world-wide demand for zero-turn riding mowers and domestic demand for walk power mowers,” said Hoffman.</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first nine months, Toro reported net earnings of $178 million, or $3.13 per share, on a net sales increase of 8.6 percent to $1.910 billion. In the comparable fiscal 2014 period, the company posted net earnings of $163 million, or $2.82 per share, on net sales of $1.759 billion.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“Now in our fourth quarter, we are encouraged by the strong retail sales results we are seeing across our businesses. We will manage the impacts of unfavorable foreign currency rate conditions, which are expected to continue, as well as the extended drought like conditions in certain regions of the country. We are seeing solid fourth quarter demand for residential and professional snow and ice management products on the heels of a strong snow season in North America in fiscal 2014. We believe that we are well-positioned with our portfolio of innovative products to drive market share, grow revenue and deliver strong full-year results.”</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raised its full-year earnings outlook to about $3.50. Similarly, expected full-year revenue for fiscal 2015 has been refined to about 10%, a change from the previous expectation of about 8 to 10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w:t>
      </w:r>
    </w:p>
    <w:p>
      <w:pPr>
        <w:spacing w:after="0" w:line="229" w:lineRule="exact"/>
        <w:rPr>
          <w:sz w:val="20"/>
          <w:szCs w:val="20"/>
          <w:color w:val="auto"/>
        </w:rPr>
      </w:pPr>
    </w:p>
    <w:p>
      <w:pPr>
        <w:ind w:left="340" w:right="20" w:hanging="332"/>
        <w:spacing w:after="0" w:line="255"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net sales for the third quarter totaled $422 million, up 9.7 percent from $384.7 million in the same period last year. Incremental sales of our recently acquired BOSS® snow and ice management products, as well as solid demand for new landscape contractor products, and rental and specialty construction equipment contributed to the growth for the quarter. For the first nine months, professional segment net sales were $1,314.5 million, up 8.8 percent from the comparable fiscal 2014 period. Year-to-date, increased sales were attributed to the addition of the BOSS® snow and ice management products to our professional portfolio, as well as new product introductions in our landscape contractor business. Somewhat offsetting the sales growth in both periods were unfavorable currency exchange rates, as well as impactful weather conditions in certain regions adversely affecting irrigation product sales.</w:t>
      </w:r>
    </w:p>
    <w:p>
      <w:pPr>
        <w:spacing w:after="0" w:line="189"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segment earnings for the third quarter totaled $82.3 million, up 9.9 percent from $74.8 million in the same period last year. For the first nine months, professional segment earnings were $258.7 million, up 5.7 percent from the comparable fiscal 2014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w:t>
      </w:r>
    </w:p>
    <w:p>
      <w:pPr>
        <w:spacing w:after="0" w:line="229" w:lineRule="exact"/>
        <w:rPr>
          <w:sz w:val="20"/>
          <w:szCs w:val="20"/>
          <w:color w:val="auto"/>
        </w:rPr>
      </w:pPr>
    </w:p>
    <w:p>
      <w:pPr>
        <w:ind w:left="340" w:right="80" w:hanging="332"/>
        <w:spacing w:after="0" w:line="256" w:lineRule="auto"/>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net sales for the third quarter were $176 million, up 0.1 percent from $175.7 million in the same period last year. The relatively flat comparison is due to quarter-end timing of new snow product introductions for preseason shipments, the benefit of which is an anticipated increase in fourth quarter shipments. Lack of snowfall in Europe for the last two seasons has also contributed to the flat preseason activity for that region. For the first nine months, residential segment net sales were $578.6 million, up 8.4 percent from the comparable fiscal 2014 period. Increased world-wide sales of zero-turn riding mowers and domestic walk power mowers, as well as expanded retail placement contributed to the growth in both periods. Somewhat offsetting growth in both the quarter and year-to-date periods were continued unfavorable currency exchange rates.</w:t>
      </w:r>
    </w:p>
    <w:p>
      <w:pPr>
        <w:sectPr>
          <w:pgSz w:w="11900" w:h="16838" w:orient="portrait"/>
          <w:cols w:equalWidth="0" w:num="1">
            <w:col w:w="11420"/>
          </w:cols>
          <w:pgMar w:left="240" w:top="117" w:right="239" w:bottom="0" w:gutter="0" w:footer="0" w:header="0"/>
        </w:sectPr>
      </w:pPr>
    </w:p>
    <w:bookmarkStart w:id="3" w:name="page4"/>
    <w:bookmarkEnd w:id="3"/>
    <w:p>
      <w:pPr>
        <w:spacing w:after="0" w:line="118" w:lineRule="exact"/>
        <w:rPr>
          <w:sz w:val="20"/>
          <w:szCs w:val="20"/>
          <w:color w:val="auto"/>
        </w:rPr>
      </w:pPr>
    </w:p>
    <w:p>
      <w:pPr>
        <w:ind w:left="340" w:right="20" w:hanging="332"/>
        <w:spacing w:after="0" w:line="282"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segment earnings for the third quarter were $20.6 million, up 10.0 percent from $18.7 million from the same period last year. For the first nine months, residential segment earnings were $69.1 million, up 14.0 percent from the comparable fiscal 2014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RESULTS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Gross margin as a percent of sales for the third quarter was 35.5 percent, a decrease of 10 basis points from the same period last year. The decrease is primarily due to unfavorable currency exchange rates, somewhat offset by favorable segment mix. For the first nine months, gross margin as a percent of sales was 34.9 percent, a decrease of 90 basis points from the same period last year, also primarily due to unfavorable currency exchange rates.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as a percent of sales for the third quarter was 22.5 percent, a decrease of 40 basis points from the same period last year. For the first nine months, SG&amp;A expense as a percent of sales was 21.2 percent, a decrease of 80 basis points from the same period last year. For both periods, the decreases were primarily due to the leveraging of expenses over higher sales volumes.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earnings as a percent of sales for the third quarter was 13.0 percent, an increase of 30 basis points from the same period last year. Operating earnings as a percent of sales for the first nine months was 13.7 percent, a slight decrease of 10 basis points from the same period last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expense for the third quarter was up $1 million from the same period last year, and interest expense for the first nine months was up $3 million from the same period last year. For both periods, the increases were primarily due to the additional long-term debt issued in connection with the BOSS® acquisition.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third quarter was 31.3 percent, compared to 29.4 percent in the same period last year. For the first nine months, the effective tax rate was 30.4 percent, compared to 31.7 percent in the same period last year, primarily due to the benefit realized in our first quarter from the retroactive reenactment of the domestic research tax credit for calendar year 2014.</w:t>
      </w:r>
    </w:p>
    <w:p>
      <w:pPr>
        <w:spacing w:after="0" w:line="176"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Accounts receivable at the end of the third quarter totaled $227.8 million, up 5.7 percent compared to the same period last year. Net inventories were $350.2 million, up 19.2 percent compared to the same period last year. Trade payables were $169.9 million, up 0.6 percent compared to the same period last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Toro Company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Toro Company (NYSE: TTC) is a leading worldwide provider of innovative solutions for the outdoor environment, including turf, snow and ground engaging equipment and irrigation and outdoor lighting solutions. With sales of $2.2 billion in fiscal 2014,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Times New Roman" w:cs="Times New Roman" w:eastAsia="Times New Roman" w:hAnsi="Times New Roman"/>
          <w:sz w:val="17"/>
          <w:szCs w:val="17"/>
          <w:color w:val="auto"/>
        </w:rPr>
        <w:t>www.thetorocompany.com.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August 20, 2015 at 10:00 a.m. CDT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www.thetorocompany.com/invest</w:t>
      </w:r>
    </w:p>
    <w:p>
      <w:pPr>
        <w:spacing w:after="0" w:line="2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Toro Company will conduct its earnings call and webcast for investors beginning at 10:00 a.m. CDT on August 20, 2015.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our acquisition of the</w:t>
      </w:r>
    </w:p>
    <w:p>
      <w:pPr>
        <w:spacing w:after="0" w:line="1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BOSS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the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w:t>
      </w:r>
    </w:p>
    <w:p>
      <w:pPr>
        <w:sectPr>
          <w:pgSz w:w="11900" w:h="16957" w:orient="portrait"/>
          <w:cols w:equalWidth="0" w:num="1">
            <w:col w:w="11420"/>
          </w:cols>
          <w:pgMar w:left="240" w:top="121" w:right="2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undertake no obligation to update forward-looking statements made herein to reflect events or circumstances after the date hereof.</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216,390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202,080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667,361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percent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136,985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130,043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405,079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243,514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24,292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53,324</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50,013</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178,037</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Basic</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55,310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55,965</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Diluted</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56,552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57,320</w:t>
            </w: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Segment Data (Unaudited)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 Net Sales</w:t>
            </w: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gridSpan w:val="4"/>
            <w:vMerge w:val="continue"/>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421,994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1,314,474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175,717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578,587</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533,664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17,007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609,615</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1,910,068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680" w:type="dxa"/>
            <w:vAlign w:val="bottom"/>
            <w:gridSpan w:val="2"/>
          </w:tcPr>
          <w:p>
            <w:pPr>
              <w:spacing w:after="0"/>
              <w:rPr>
                <w:sz w:val="8"/>
                <w:szCs w:val="8"/>
                <w:color w:val="auto"/>
              </w:rPr>
            </w:pPr>
          </w:p>
        </w:tc>
        <w:tc>
          <w:tcPr>
            <w:tcW w:w="1920" w:type="dxa"/>
            <w:vAlign w:val="bottom"/>
            <w:gridSpan w:val="3"/>
          </w:tcPr>
          <w:p>
            <w:pPr>
              <w:spacing w:after="0"/>
              <w:rPr>
                <w:sz w:val="8"/>
                <w:szCs w:val="8"/>
                <w:color w:val="auto"/>
              </w:rPr>
            </w:pPr>
          </w:p>
        </w:tc>
        <w:tc>
          <w:tcPr>
            <w:tcW w:w="1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3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Includes international sales of</w:t>
            </w:r>
          </w:p>
        </w:tc>
        <w:tc>
          <w:tcPr>
            <w:tcW w:w="1920" w:type="dxa"/>
            <w:vAlign w:val="bottom"/>
            <w:gridSpan w:val="3"/>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141,649</w:t>
            </w:r>
          </w:p>
        </w:tc>
        <w:tc>
          <w:tcPr>
            <w:tcW w:w="3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474,911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498,029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 Earnings (Loss) Before Income Taxes</w:t>
            </w: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gridSpan w:val="4"/>
            <w:vMerge w:val="continue"/>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20,566</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69,131</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(25,203)</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(72,132)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77,616</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gridSpan w:val="8"/>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TORO COMPANY AND SUBSIDIARIES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6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40" w:type="dxa"/>
            <w:vAlign w:val="bottom"/>
          </w:tcPr>
          <w:p>
            <w:pPr>
              <w:spacing w:after="0"/>
              <w:rPr>
                <w:sz w:val="24"/>
                <w:szCs w:val="2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5"/>
              </w:rPr>
              <w:t>ASSETS</w:t>
            </w: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110,335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177,894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227,806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215,595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350,194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293,761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39,743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33,764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43,339</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771,417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220,322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202,828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-2513965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-2513965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26,364</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assets,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341,848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1,359,951</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1,127,827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5,189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169,927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300,576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498,971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459,749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358,053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11,324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26,423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465,173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1,359,951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jc w:val="center"/>
              <w:ind w:left="309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THE TORO COMPANY AND SUBSIDIARIES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5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1"/>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45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178,037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depreciation, amortization, and impairment loss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7,815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deferred income taxes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(74,916)</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(67,902)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92,985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168,014</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(37,544)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(198,329)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(233,868)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of) increase in short-term debt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increase in long-term debt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Excess tax benefits from stock-based awards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7,808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(90,993)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(41,794)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(136,478)</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(204,538)</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beginning of the period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314,873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period</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110,335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-6398895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-6398895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2019-12-05T21:52:57Z</dcterms:created>
  <dcterms:modified xsi:type="dcterms:W3CDTF">2019-12-05T21:52:57Z</dcterms:modified>
</cp:coreProperties>
</file>